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1FF5" w:rsidP="00441FF5">
      <w:pPr>
        <w:pStyle w:val="OrderHeading"/>
      </w:pPr>
      <w:r>
        <w:t>BEFORE THE FLORIDA PUBLIC SERVICE COMMISSION</w:t>
      </w:r>
    </w:p>
    <w:p w:rsidR="00441FF5" w:rsidRDefault="00441FF5" w:rsidP="00441FF5">
      <w:pPr>
        <w:pStyle w:val="OrderHeading"/>
      </w:pPr>
    </w:p>
    <w:p w:rsidR="00441FF5" w:rsidRDefault="00441FF5" w:rsidP="00441F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1FF5" w:rsidRPr="00C63FCF" w:rsidTr="00C63FCF">
        <w:trPr>
          <w:trHeight w:val="828"/>
        </w:trPr>
        <w:tc>
          <w:tcPr>
            <w:tcW w:w="4788" w:type="dxa"/>
            <w:tcBorders>
              <w:bottom w:val="single" w:sz="8" w:space="0" w:color="auto"/>
              <w:right w:val="double" w:sz="6" w:space="0" w:color="auto"/>
            </w:tcBorders>
            <w:shd w:val="clear" w:color="auto" w:fill="auto"/>
          </w:tcPr>
          <w:p w:rsidR="00441FF5" w:rsidRDefault="00441FF5" w:rsidP="00C63FCF">
            <w:pPr>
              <w:pStyle w:val="OrderBody"/>
              <w:tabs>
                <w:tab w:val="center" w:pos="4320"/>
                <w:tab w:val="right" w:pos="8640"/>
              </w:tabs>
              <w:jc w:val="left"/>
            </w:pPr>
            <w:r>
              <w:t xml:space="preserve">In re: </w:t>
            </w:r>
            <w:bookmarkStart w:id="0" w:name="SSInRe"/>
            <w:bookmarkEnd w:id="0"/>
            <w:r>
              <w:t>Proposed adoption of Rules 25-6.0346, 25-12.005, 25-12.008, 25-12.022, 25-12.027, 25-12.040, and 25-12.085, F.A.C.</w:t>
            </w:r>
          </w:p>
        </w:tc>
        <w:tc>
          <w:tcPr>
            <w:tcW w:w="4788" w:type="dxa"/>
            <w:tcBorders>
              <w:left w:val="double" w:sz="6" w:space="0" w:color="auto"/>
            </w:tcBorders>
            <w:shd w:val="clear" w:color="auto" w:fill="auto"/>
          </w:tcPr>
          <w:p w:rsidR="00441FF5" w:rsidRDefault="00441FF5" w:rsidP="00441FF5">
            <w:pPr>
              <w:pStyle w:val="OrderBody"/>
            </w:pPr>
            <w:r>
              <w:t xml:space="preserve">DOCKET NO. </w:t>
            </w:r>
            <w:bookmarkStart w:id="1" w:name="SSDocketNo"/>
            <w:bookmarkEnd w:id="1"/>
            <w:r>
              <w:t>160121-GU</w:t>
            </w:r>
          </w:p>
          <w:p w:rsidR="00441FF5" w:rsidRDefault="00441FF5" w:rsidP="00C63FCF">
            <w:pPr>
              <w:pStyle w:val="OrderBody"/>
              <w:tabs>
                <w:tab w:val="center" w:pos="4320"/>
                <w:tab w:val="right" w:pos="8640"/>
              </w:tabs>
              <w:jc w:val="left"/>
            </w:pPr>
            <w:r>
              <w:t xml:space="preserve">ORDER NO. </w:t>
            </w:r>
            <w:bookmarkStart w:id="2" w:name="OrderNo0553"/>
            <w:r w:rsidR="00D400CC">
              <w:t>PSC-16-0553-NOR-GU</w:t>
            </w:r>
            <w:bookmarkEnd w:id="2"/>
          </w:p>
          <w:p w:rsidR="00441FF5" w:rsidRDefault="00441FF5" w:rsidP="00C63FCF">
            <w:pPr>
              <w:pStyle w:val="OrderBody"/>
              <w:tabs>
                <w:tab w:val="center" w:pos="4320"/>
                <w:tab w:val="right" w:pos="8640"/>
              </w:tabs>
              <w:jc w:val="left"/>
            </w:pPr>
            <w:r>
              <w:t xml:space="preserve">ISSUED: </w:t>
            </w:r>
            <w:r w:rsidR="00D400CC">
              <w:t>December 12, 2016</w:t>
            </w:r>
          </w:p>
        </w:tc>
      </w:tr>
    </w:tbl>
    <w:p w:rsidR="00441FF5" w:rsidRDefault="00441FF5" w:rsidP="00441FF5"/>
    <w:p w:rsidR="00441FF5" w:rsidRDefault="00441FF5" w:rsidP="00441FF5"/>
    <w:p w:rsidR="00441FF5" w:rsidRPr="00E46E1F" w:rsidRDefault="00441FF5">
      <w:pPr>
        <w:ind w:firstLine="720"/>
        <w:jc w:val="both"/>
      </w:pPr>
      <w:bookmarkStart w:id="3" w:name="Commissioners"/>
      <w:bookmarkEnd w:id="3"/>
      <w:r w:rsidRPr="00E46E1F">
        <w:t>The following Commissioners participated in the disposition of this matter:</w:t>
      </w:r>
    </w:p>
    <w:p w:rsidR="00441FF5" w:rsidRPr="00E46E1F" w:rsidRDefault="00441FF5"/>
    <w:p w:rsidR="00441FF5" w:rsidRDefault="00441FF5">
      <w:pPr>
        <w:jc w:val="center"/>
      </w:pPr>
      <w:r>
        <w:t>JULIE I. BROWN</w:t>
      </w:r>
      <w:r w:rsidRPr="00E46E1F">
        <w:t>, Chairman</w:t>
      </w:r>
    </w:p>
    <w:p w:rsidR="00441FF5" w:rsidRPr="00E46E1F" w:rsidRDefault="00441FF5">
      <w:pPr>
        <w:jc w:val="center"/>
      </w:pPr>
      <w:r w:rsidRPr="00E46E1F">
        <w:t>LISA POLAK EDGAR</w:t>
      </w:r>
    </w:p>
    <w:p w:rsidR="00441FF5" w:rsidRDefault="00441FF5">
      <w:pPr>
        <w:jc w:val="center"/>
      </w:pPr>
      <w:r>
        <w:t>ART GRAHAM</w:t>
      </w:r>
    </w:p>
    <w:p w:rsidR="00441FF5" w:rsidRDefault="00441FF5">
      <w:pPr>
        <w:jc w:val="center"/>
      </w:pPr>
      <w:r>
        <w:t>RONALD A. BRISÉ</w:t>
      </w:r>
    </w:p>
    <w:p w:rsidR="00441FF5" w:rsidRDefault="00441FF5">
      <w:pPr>
        <w:jc w:val="center"/>
      </w:pPr>
      <w:r>
        <w:t>JIMMY PATRONIS</w:t>
      </w:r>
    </w:p>
    <w:p w:rsidR="00CB5276" w:rsidRDefault="00CB5276">
      <w:pPr>
        <w:pStyle w:val="OrderBody"/>
      </w:pPr>
    </w:p>
    <w:p w:rsidR="00441FF5" w:rsidRDefault="00441FF5" w:rsidP="00441FF5">
      <w:pPr>
        <w:pStyle w:val="CenterUnderline"/>
      </w:pPr>
      <w:bookmarkStart w:id="4" w:name="OrderTitle"/>
      <w:r>
        <w:t xml:space="preserve"> NOTICE OF RULEMAKING </w:t>
      </w:r>
      <w:bookmarkEnd w:id="4"/>
    </w:p>
    <w:p w:rsidR="00441FF5" w:rsidRDefault="00441FF5" w:rsidP="00441FF5">
      <w:pPr>
        <w:pStyle w:val="CenterUnderline"/>
      </w:pPr>
    </w:p>
    <w:p w:rsidR="00441FF5" w:rsidRDefault="00441FF5" w:rsidP="00441FF5">
      <w:pPr>
        <w:pStyle w:val="OrderBody"/>
      </w:pPr>
      <w:r>
        <w:t>BY THE COMMISSION:</w:t>
      </w:r>
    </w:p>
    <w:p w:rsidR="00441FF5" w:rsidRDefault="00441FF5" w:rsidP="00441FF5">
      <w:pPr>
        <w:pStyle w:val="OrderBody"/>
      </w:pPr>
    </w:p>
    <w:p w:rsidR="00441FF5" w:rsidRPr="00441FF5" w:rsidRDefault="00441FF5" w:rsidP="00441FF5">
      <w:pPr>
        <w:ind w:firstLine="720"/>
        <w:jc w:val="both"/>
      </w:pPr>
      <w:bookmarkStart w:id="5" w:name="OrderText"/>
      <w:bookmarkEnd w:id="5"/>
      <w:r w:rsidRPr="00441FF5">
        <w:t>NOTICE is hereby given that the Florida Public Service Commission, pursuant to Section 120.54, Florida Statutes, has proposed the amendment of Rule</w:t>
      </w:r>
      <w:r>
        <w:t>s 25-6.03</w:t>
      </w:r>
      <w:r w:rsidR="00F75677">
        <w:t>46, 25-12.005, 25-12.008, 25-12.</w:t>
      </w:r>
      <w:r>
        <w:t>022, 25-12.027, 25-12.040 and 25-12.085,</w:t>
      </w:r>
      <w:r w:rsidRPr="00441FF5">
        <w:t xml:space="preserve"> Florida Administrative Code, </w:t>
      </w:r>
      <w:r w:rsidR="0073237E">
        <w:t xml:space="preserve">to update the </w:t>
      </w:r>
      <w:r w:rsidR="00EC1859" w:rsidRPr="00EC1859">
        <w:t>electric and gas utility safety rules</w:t>
      </w:r>
      <w:r w:rsidR="0073237E">
        <w:t xml:space="preserve"> consistent with the federal standards</w:t>
      </w:r>
      <w:r w:rsidRPr="00EC1859">
        <w:t xml:space="preserve">.  </w:t>
      </w:r>
    </w:p>
    <w:p w:rsidR="00441FF5" w:rsidRPr="00441FF5" w:rsidRDefault="00441FF5" w:rsidP="00441FF5">
      <w:pPr>
        <w:jc w:val="both"/>
      </w:pPr>
    </w:p>
    <w:p w:rsidR="00441FF5" w:rsidRPr="00441FF5" w:rsidRDefault="00441FF5" w:rsidP="00441FF5">
      <w:pPr>
        <w:jc w:val="both"/>
      </w:pPr>
      <w:r w:rsidRPr="00441FF5">
        <w:tab/>
        <w:t>The attached Notice</w:t>
      </w:r>
      <w:r>
        <w:t>s</w:t>
      </w:r>
      <w:r w:rsidRPr="00441FF5">
        <w:t xml:space="preserve"> of Proposed Rule</w:t>
      </w:r>
      <w:r>
        <w:t>s</w:t>
      </w:r>
      <w:r w:rsidRPr="00441FF5">
        <w:t xml:space="preserve"> appear</w:t>
      </w:r>
      <w:r>
        <w:t>ed</w:t>
      </w:r>
      <w:r w:rsidRPr="00441FF5">
        <w:t xml:space="preserve"> in the </w:t>
      </w:r>
      <w:r>
        <w:t xml:space="preserve">December </w:t>
      </w:r>
      <w:r w:rsidR="00EF3D71">
        <w:t>12</w:t>
      </w:r>
      <w:r>
        <w:t>, 2016,</w:t>
      </w:r>
      <w:r w:rsidRPr="00441FF5">
        <w:t xml:space="preserve"> edition of the Florida Administrative Register.  </w:t>
      </w:r>
    </w:p>
    <w:p w:rsidR="00441FF5" w:rsidRPr="00441FF5" w:rsidRDefault="00441FF5" w:rsidP="00441FF5">
      <w:pPr>
        <w:jc w:val="both"/>
      </w:pPr>
    </w:p>
    <w:p w:rsidR="00441FF5" w:rsidRDefault="00441FF5" w:rsidP="00441FF5">
      <w:pPr>
        <w:jc w:val="both"/>
      </w:pPr>
      <w:r w:rsidRPr="00441FF5">
        <w:tab/>
        <w:t>Written requests for hearing and written comments on the rule</w:t>
      </w:r>
      <w:r>
        <w:t>s</w:t>
      </w:r>
      <w:r w:rsidRPr="00441FF5">
        <w:t xml:space="preserve"> must be received by the Office of Commission Clerk, Florida Public Service Commission, 2540 Shumard Oak Blvd., Tallahassee, FL 32399-0862, no later than </w:t>
      </w:r>
      <w:r>
        <w:t xml:space="preserve">December </w:t>
      </w:r>
      <w:r w:rsidR="00F654E7">
        <w:t>27</w:t>
      </w:r>
      <w:r>
        <w:t>, 2016.</w:t>
      </w:r>
      <w:r w:rsidRPr="00441FF5">
        <w:t xml:space="preserve"> </w:t>
      </w:r>
    </w:p>
    <w:p w:rsidR="00441FF5" w:rsidRPr="00441FF5" w:rsidRDefault="00441FF5" w:rsidP="00441FF5">
      <w:pPr>
        <w:jc w:val="both"/>
      </w:pPr>
    </w:p>
    <w:p w:rsidR="00441FF5" w:rsidRPr="00441FF5" w:rsidRDefault="00441FF5" w:rsidP="00441FF5">
      <w:pPr>
        <w:jc w:val="both"/>
      </w:pPr>
    </w:p>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441FF5"/>
    <w:p w:rsidR="00441FF5" w:rsidRDefault="00441FF5" w:rsidP="00D400CC">
      <w:pPr>
        <w:keepNext/>
        <w:keepLines/>
        <w:jc w:val="both"/>
      </w:pPr>
      <w:r>
        <w:lastRenderedPageBreak/>
        <w:tab/>
        <w:t xml:space="preserve">By ORDER of the Florida Public Service Commission this </w:t>
      </w:r>
      <w:bookmarkStart w:id="6" w:name="replaceDate"/>
      <w:bookmarkEnd w:id="6"/>
      <w:r w:rsidR="00D400CC">
        <w:rPr>
          <w:u w:val="single"/>
        </w:rPr>
        <w:t>12th</w:t>
      </w:r>
      <w:r w:rsidR="00D400CC">
        <w:t xml:space="preserve"> day of </w:t>
      </w:r>
      <w:r w:rsidR="00D400CC">
        <w:rPr>
          <w:u w:val="single"/>
        </w:rPr>
        <w:t>December</w:t>
      </w:r>
      <w:r w:rsidR="00D400CC">
        <w:t xml:space="preserve">, </w:t>
      </w:r>
      <w:r w:rsidR="00D400CC">
        <w:rPr>
          <w:u w:val="single"/>
        </w:rPr>
        <w:t>2016</w:t>
      </w:r>
      <w:r w:rsidR="00D400CC">
        <w:t>.</w:t>
      </w:r>
    </w:p>
    <w:p w:rsidR="00D400CC" w:rsidRPr="00D400CC" w:rsidRDefault="00D400CC" w:rsidP="00D400CC">
      <w:pPr>
        <w:keepNext/>
        <w:keepLines/>
        <w:jc w:val="both"/>
      </w:pPr>
    </w:p>
    <w:p w:rsidR="00441FF5" w:rsidRDefault="00441FF5" w:rsidP="00441FF5">
      <w:pPr>
        <w:keepNext/>
        <w:keepLines/>
      </w:pPr>
    </w:p>
    <w:p w:rsidR="00441FF5" w:rsidRDefault="00441FF5" w:rsidP="00441FF5">
      <w:pPr>
        <w:keepNext/>
        <w:keepLines/>
      </w:pPr>
    </w:p>
    <w:p w:rsidR="00441FF5" w:rsidRDefault="00441FF5" w:rsidP="00441FF5">
      <w:pPr>
        <w:keepNext/>
        <w:keepLines/>
      </w:pPr>
    </w:p>
    <w:tbl>
      <w:tblPr>
        <w:tblW w:w="4720" w:type="dxa"/>
        <w:tblInd w:w="3800" w:type="dxa"/>
        <w:tblLayout w:type="fixed"/>
        <w:tblLook w:val="0000" w:firstRow="0" w:lastRow="0" w:firstColumn="0" w:lastColumn="0" w:noHBand="0" w:noVBand="0"/>
      </w:tblPr>
      <w:tblGrid>
        <w:gridCol w:w="686"/>
        <w:gridCol w:w="4034"/>
      </w:tblGrid>
      <w:tr w:rsidR="00441FF5" w:rsidTr="00441FF5">
        <w:tc>
          <w:tcPr>
            <w:tcW w:w="720" w:type="dxa"/>
            <w:shd w:val="clear" w:color="auto" w:fill="auto"/>
          </w:tcPr>
          <w:p w:rsidR="00441FF5" w:rsidRDefault="00441FF5" w:rsidP="00441FF5">
            <w:pPr>
              <w:keepNext/>
              <w:keepLines/>
            </w:pPr>
            <w:bookmarkStart w:id="7" w:name="bkmrkSignature" w:colFirst="0" w:colLast="0"/>
          </w:p>
        </w:tc>
        <w:tc>
          <w:tcPr>
            <w:tcW w:w="4320" w:type="dxa"/>
            <w:tcBorders>
              <w:bottom w:val="single" w:sz="4" w:space="0" w:color="auto"/>
            </w:tcBorders>
            <w:shd w:val="clear" w:color="auto" w:fill="auto"/>
          </w:tcPr>
          <w:p w:rsidR="00441FF5" w:rsidRDefault="00D400CC" w:rsidP="00441FF5">
            <w:pPr>
              <w:keepNext/>
              <w:keepLines/>
            </w:pPr>
            <w:r>
              <w:t>/s/ Carlotta S. Stauffer</w:t>
            </w:r>
            <w:bookmarkStart w:id="8" w:name="_GoBack"/>
            <w:bookmarkEnd w:id="8"/>
          </w:p>
        </w:tc>
      </w:tr>
      <w:bookmarkEnd w:id="7"/>
      <w:tr w:rsidR="00441FF5" w:rsidTr="00441FF5">
        <w:tc>
          <w:tcPr>
            <w:tcW w:w="720" w:type="dxa"/>
            <w:shd w:val="clear" w:color="auto" w:fill="auto"/>
          </w:tcPr>
          <w:p w:rsidR="00441FF5" w:rsidRDefault="00441FF5" w:rsidP="00441FF5">
            <w:pPr>
              <w:keepNext/>
              <w:keepLines/>
            </w:pPr>
          </w:p>
        </w:tc>
        <w:tc>
          <w:tcPr>
            <w:tcW w:w="4320" w:type="dxa"/>
            <w:tcBorders>
              <w:top w:val="single" w:sz="4" w:space="0" w:color="auto"/>
            </w:tcBorders>
            <w:shd w:val="clear" w:color="auto" w:fill="auto"/>
          </w:tcPr>
          <w:p w:rsidR="00441FF5" w:rsidRDefault="00441FF5" w:rsidP="00441FF5">
            <w:pPr>
              <w:keepNext/>
              <w:keepLines/>
            </w:pPr>
            <w:r>
              <w:t>CARLOTTA S. STAUFFER</w:t>
            </w:r>
          </w:p>
          <w:p w:rsidR="00441FF5" w:rsidRDefault="00441FF5" w:rsidP="00441FF5">
            <w:pPr>
              <w:keepNext/>
              <w:keepLines/>
            </w:pPr>
            <w:r>
              <w:t>Commission Clerk</w:t>
            </w:r>
          </w:p>
        </w:tc>
      </w:tr>
    </w:tbl>
    <w:p w:rsidR="00441FF5" w:rsidRDefault="00441FF5" w:rsidP="00441FF5">
      <w:pPr>
        <w:pStyle w:val="OrderSigInfo"/>
        <w:keepNext/>
        <w:keepLines/>
      </w:pPr>
      <w:r>
        <w:t>Florida Public Service Commission</w:t>
      </w:r>
    </w:p>
    <w:p w:rsidR="00441FF5" w:rsidRDefault="00441FF5" w:rsidP="00441FF5">
      <w:pPr>
        <w:pStyle w:val="OrderSigInfo"/>
        <w:keepNext/>
        <w:keepLines/>
      </w:pPr>
      <w:r>
        <w:t>2540 Shumard Oak Boulevard</w:t>
      </w:r>
    </w:p>
    <w:p w:rsidR="00441FF5" w:rsidRDefault="00441FF5" w:rsidP="00441FF5">
      <w:pPr>
        <w:pStyle w:val="OrderSigInfo"/>
        <w:keepNext/>
        <w:keepLines/>
      </w:pPr>
      <w:r>
        <w:t>Tallahassee, Florida  32399</w:t>
      </w:r>
    </w:p>
    <w:p w:rsidR="00441FF5" w:rsidRDefault="00441FF5" w:rsidP="00441FF5">
      <w:pPr>
        <w:pStyle w:val="OrderSigInfo"/>
        <w:keepNext/>
        <w:keepLines/>
      </w:pPr>
      <w:r>
        <w:t>(850) 413</w:t>
      </w:r>
      <w:r>
        <w:noBreakHyphen/>
        <w:t>6770</w:t>
      </w:r>
    </w:p>
    <w:p w:rsidR="00441FF5" w:rsidRDefault="00441FF5" w:rsidP="00441FF5">
      <w:pPr>
        <w:pStyle w:val="OrderSigInfo"/>
        <w:keepNext/>
        <w:keepLines/>
      </w:pPr>
      <w:r>
        <w:t>www.floridapsc.com</w:t>
      </w:r>
    </w:p>
    <w:p w:rsidR="00441FF5" w:rsidRDefault="00441FF5" w:rsidP="00441FF5">
      <w:pPr>
        <w:pStyle w:val="OrderSigInfo"/>
        <w:keepNext/>
        <w:keepLines/>
      </w:pPr>
    </w:p>
    <w:p w:rsidR="00441FF5" w:rsidRDefault="00441FF5" w:rsidP="00441FF5">
      <w:pPr>
        <w:pStyle w:val="OrderSigInfo"/>
        <w:keepNext/>
        <w:keepLines/>
      </w:pPr>
      <w:r>
        <w:t>Copies furnished:  A copy of this document is provided to the parties of record at the time of issuance and, if applicable, interested persons.</w:t>
      </w:r>
    </w:p>
    <w:p w:rsidR="00441FF5" w:rsidRDefault="00441FF5" w:rsidP="00441FF5">
      <w:pPr>
        <w:pStyle w:val="OrderBody"/>
        <w:keepNext/>
        <w:keepLines/>
      </w:pPr>
    </w:p>
    <w:p w:rsidR="00441FF5" w:rsidRDefault="00441FF5" w:rsidP="00441FF5">
      <w:pPr>
        <w:keepNext/>
        <w:keepLines/>
      </w:pPr>
    </w:p>
    <w:p w:rsidR="00441FF5" w:rsidRDefault="00441FF5" w:rsidP="00441FF5">
      <w:pPr>
        <w:keepNext/>
        <w:keepLines/>
      </w:pPr>
      <w:r>
        <w:t>AEH</w:t>
      </w:r>
    </w:p>
    <w:p w:rsidR="00441FF5" w:rsidRDefault="00441FF5" w:rsidP="00441FF5"/>
    <w:p w:rsidR="003E77FA" w:rsidRDefault="003E77FA">
      <w:r>
        <w:br w:type="page"/>
      </w:r>
    </w:p>
    <w:p w:rsidR="003E77FA" w:rsidRPr="003E77FA" w:rsidRDefault="003E77FA" w:rsidP="003E77FA">
      <w:pPr>
        <w:jc w:val="center"/>
        <w:rPr>
          <w:sz w:val="22"/>
          <w:szCs w:val="22"/>
        </w:rPr>
      </w:pPr>
      <w:r w:rsidRPr="003E77FA">
        <w:rPr>
          <w:sz w:val="22"/>
          <w:szCs w:val="22"/>
        </w:rPr>
        <w:lastRenderedPageBreak/>
        <w:t>Notice of Proposed Rule</w:t>
      </w:r>
    </w:p>
    <w:p w:rsidR="003E77FA" w:rsidRPr="003E77FA" w:rsidRDefault="003E77FA" w:rsidP="003E77FA">
      <w:pPr>
        <w:rPr>
          <w:sz w:val="20"/>
          <w:szCs w:val="20"/>
        </w:rPr>
      </w:pPr>
    </w:p>
    <w:p w:rsidR="003E77FA" w:rsidRPr="003E77FA" w:rsidRDefault="00D400CC" w:rsidP="003E77FA">
      <w:pPr>
        <w:rPr>
          <w:b/>
          <w:bCs/>
          <w:sz w:val="20"/>
          <w:szCs w:val="20"/>
        </w:rPr>
      </w:pPr>
      <w:hyperlink r:id="rId7" w:tgtFrame="department" w:history="1">
        <w:r w:rsidR="003E77FA" w:rsidRPr="003E77FA">
          <w:rPr>
            <w:b/>
            <w:bCs/>
            <w:sz w:val="20"/>
            <w:szCs w:val="20"/>
          </w:rPr>
          <w:t>PUBLIC SERVICE COMMISSION</w:t>
        </w:r>
      </w:hyperlink>
    </w:p>
    <w:p w:rsidR="003E77FA" w:rsidRPr="003E77FA" w:rsidRDefault="003E77FA" w:rsidP="003E77FA">
      <w:pPr>
        <w:spacing w:line="264" w:lineRule="auto"/>
        <w:jc w:val="both"/>
        <w:rPr>
          <w:sz w:val="20"/>
          <w:szCs w:val="20"/>
        </w:rPr>
      </w:pPr>
      <w:r w:rsidRPr="003E77FA">
        <w:rPr>
          <w:sz w:val="20"/>
          <w:szCs w:val="20"/>
        </w:rPr>
        <w:t>RULE NO.:</w:t>
      </w:r>
      <w:r w:rsidRPr="003E77FA">
        <w:rPr>
          <w:sz w:val="20"/>
          <w:szCs w:val="20"/>
        </w:rPr>
        <w:tab/>
        <w:t>RULE TITLE:</w:t>
      </w:r>
    </w:p>
    <w:p w:rsidR="003E77FA" w:rsidRPr="003E77FA" w:rsidRDefault="00D400CC" w:rsidP="003E77FA">
      <w:pPr>
        <w:spacing w:line="264" w:lineRule="auto"/>
        <w:jc w:val="both"/>
        <w:rPr>
          <w:sz w:val="20"/>
          <w:szCs w:val="20"/>
        </w:rPr>
      </w:pPr>
      <w:hyperlink r:id="rId8" w:tgtFrame="ruleNo" w:history="1">
        <w:r w:rsidR="003E77FA" w:rsidRPr="003E77FA">
          <w:rPr>
            <w:sz w:val="20"/>
            <w:szCs w:val="20"/>
          </w:rPr>
          <w:t>25-6.0346</w:t>
        </w:r>
      </w:hyperlink>
      <w:r w:rsidR="003E77FA" w:rsidRPr="003E77FA">
        <w:rPr>
          <w:sz w:val="20"/>
          <w:szCs w:val="20"/>
        </w:rPr>
        <w:tab/>
        <w:t>Quarterly Reports of Work Orders and Safety Compliance</w:t>
      </w:r>
    </w:p>
    <w:p w:rsidR="003E77FA" w:rsidRPr="003E77FA" w:rsidRDefault="003E77FA" w:rsidP="003E77FA">
      <w:pPr>
        <w:spacing w:line="264" w:lineRule="auto"/>
        <w:jc w:val="both"/>
        <w:rPr>
          <w:sz w:val="20"/>
          <w:szCs w:val="20"/>
        </w:rPr>
      </w:pPr>
      <w:r w:rsidRPr="003E77FA">
        <w:rPr>
          <w:sz w:val="20"/>
          <w:szCs w:val="20"/>
        </w:rPr>
        <w:t>PURPOSE AND EFFECT: The rule amendments update and clarify the rule regarding electric utilities’ work order lists.</w:t>
      </w:r>
    </w:p>
    <w:p w:rsidR="003E77FA" w:rsidRPr="003E77FA" w:rsidRDefault="003E77FA" w:rsidP="003E77FA">
      <w:pPr>
        <w:spacing w:line="264" w:lineRule="auto"/>
        <w:jc w:val="both"/>
        <w:rPr>
          <w:sz w:val="20"/>
          <w:szCs w:val="20"/>
        </w:rPr>
      </w:pPr>
      <w:r w:rsidRPr="003E77FA">
        <w:rPr>
          <w:sz w:val="20"/>
          <w:szCs w:val="20"/>
        </w:rPr>
        <w:t>Docket No. 160121-GU</w:t>
      </w:r>
    </w:p>
    <w:p w:rsidR="003E77FA" w:rsidRPr="003E77FA" w:rsidRDefault="003E77FA" w:rsidP="003E77FA">
      <w:pPr>
        <w:spacing w:line="264" w:lineRule="auto"/>
        <w:jc w:val="both"/>
        <w:rPr>
          <w:sz w:val="20"/>
          <w:szCs w:val="20"/>
        </w:rPr>
      </w:pPr>
      <w:r w:rsidRPr="003E77FA">
        <w:rPr>
          <w:sz w:val="20"/>
          <w:szCs w:val="20"/>
        </w:rPr>
        <w:t>SUMMARY: The rule requires electric utilities to provide the Commission with work order lists containing certain information on construction and safety compliance.</w:t>
      </w:r>
    </w:p>
    <w:p w:rsidR="003E77FA" w:rsidRPr="003E77FA" w:rsidRDefault="003E77FA" w:rsidP="003E77FA">
      <w:pPr>
        <w:spacing w:line="264" w:lineRule="auto"/>
        <w:jc w:val="both"/>
        <w:rPr>
          <w:sz w:val="20"/>
          <w:szCs w:val="20"/>
        </w:rPr>
      </w:pPr>
      <w:r w:rsidRPr="003E77FA">
        <w:rPr>
          <w:sz w:val="20"/>
          <w:szCs w:val="20"/>
        </w:rPr>
        <w:t xml:space="preserve">SUMMARY OF STATEMENT OF ESTIMATED REGULATORY COSTS AND LEGISLATIVE RATIFICATION: </w:t>
      </w:r>
    </w:p>
    <w:p w:rsidR="003E77FA" w:rsidRPr="003E77FA" w:rsidRDefault="003E77FA" w:rsidP="003E77FA">
      <w:pPr>
        <w:spacing w:line="264" w:lineRule="auto"/>
        <w:jc w:val="both"/>
        <w:rPr>
          <w:sz w:val="20"/>
          <w:szCs w:val="20"/>
        </w:rPr>
      </w:pPr>
      <w:r w:rsidRPr="003E77FA">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3E77FA" w:rsidRPr="003E77FA" w:rsidRDefault="003E77FA" w:rsidP="003E77FA">
      <w:pPr>
        <w:spacing w:line="264" w:lineRule="auto"/>
        <w:jc w:val="both"/>
        <w:rPr>
          <w:sz w:val="20"/>
          <w:szCs w:val="20"/>
        </w:rPr>
      </w:pPr>
      <w:r w:rsidRPr="003E77FA">
        <w:rPr>
          <w:sz w:val="20"/>
          <w:szCs w:val="20"/>
        </w:rPr>
        <w:t>The SERC examined the factors required by Section 120.541(2), FS, and concluded that the rule amendment will not have an adverse impact on economic growth, business competitiveness, or small business.</w:t>
      </w:r>
    </w:p>
    <w:p w:rsidR="003E77FA" w:rsidRPr="003E77FA" w:rsidRDefault="003E77FA" w:rsidP="003E77FA">
      <w:pPr>
        <w:spacing w:line="264" w:lineRule="auto"/>
        <w:jc w:val="both"/>
        <w:rPr>
          <w:sz w:val="20"/>
          <w:szCs w:val="20"/>
        </w:rPr>
      </w:pPr>
      <w:r w:rsidRPr="003E77FA">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3E77FA" w:rsidRPr="003E77FA" w:rsidRDefault="003E77FA" w:rsidP="003E77FA">
      <w:pPr>
        <w:spacing w:line="264" w:lineRule="auto"/>
        <w:jc w:val="both"/>
        <w:rPr>
          <w:sz w:val="20"/>
          <w:szCs w:val="20"/>
        </w:rPr>
      </w:pPr>
      <w:r w:rsidRPr="003E77FA">
        <w:rPr>
          <w:sz w:val="20"/>
          <w:szCs w:val="20"/>
        </w:rPr>
        <w:t>Any person who wishes to provide information regarding a statement of estimated regulatory costs, or provide a proposal for a lower cost regulatory alternative must do so in writing within 21 days of this notice.</w:t>
      </w:r>
    </w:p>
    <w:p w:rsidR="003E77FA" w:rsidRPr="003E77FA" w:rsidRDefault="003E77FA" w:rsidP="003E77FA">
      <w:pPr>
        <w:spacing w:line="264" w:lineRule="auto"/>
        <w:jc w:val="both"/>
        <w:rPr>
          <w:sz w:val="20"/>
          <w:szCs w:val="20"/>
        </w:rPr>
      </w:pPr>
      <w:r w:rsidRPr="003E77FA">
        <w:rPr>
          <w:sz w:val="20"/>
          <w:szCs w:val="20"/>
        </w:rPr>
        <w:t xml:space="preserve">RULEMAKING AUTHORITY: </w:t>
      </w:r>
      <w:hyperlink r:id="rId9" w:tgtFrame="statute" w:history="1">
        <w:r w:rsidRPr="003E77FA">
          <w:rPr>
            <w:sz w:val="20"/>
            <w:szCs w:val="20"/>
          </w:rPr>
          <w:t>350.127(2)</w:t>
        </w:r>
      </w:hyperlink>
      <w:r w:rsidRPr="003E77FA">
        <w:rPr>
          <w:sz w:val="20"/>
          <w:szCs w:val="20"/>
        </w:rPr>
        <w:t xml:space="preserve">, </w:t>
      </w:r>
      <w:hyperlink r:id="rId10" w:tgtFrame="statute" w:history="1">
        <w:r w:rsidRPr="003E77FA">
          <w:rPr>
            <w:sz w:val="20"/>
            <w:szCs w:val="20"/>
          </w:rPr>
          <w:t>366.05(1)</w:t>
        </w:r>
      </w:hyperlink>
      <w:r w:rsidRPr="003E77FA">
        <w:rPr>
          <w:sz w:val="20"/>
          <w:szCs w:val="20"/>
        </w:rPr>
        <w:t>, FS.</w:t>
      </w:r>
    </w:p>
    <w:p w:rsidR="003E77FA" w:rsidRPr="003E77FA" w:rsidRDefault="003E77FA" w:rsidP="003E77FA">
      <w:pPr>
        <w:spacing w:line="264" w:lineRule="auto"/>
        <w:jc w:val="both"/>
        <w:rPr>
          <w:sz w:val="20"/>
          <w:szCs w:val="20"/>
        </w:rPr>
      </w:pPr>
      <w:r w:rsidRPr="003E77FA">
        <w:rPr>
          <w:sz w:val="20"/>
          <w:szCs w:val="20"/>
        </w:rPr>
        <w:t xml:space="preserve">LAW IMPLEMENTED: </w:t>
      </w:r>
      <w:hyperlink r:id="rId11" w:tgtFrame="statute" w:history="1">
        <w:r w:rsidRPr="003E77FA">
          <w:rPr>
            <w:sz w:val="20"/>
            <w:szCs w:val="20"/>
          </w:rPr>
          <w:t>366.04(2)(f)</w:t>
        </w:r>
      </w:hyperlink>
      <w:r w:rsidRPr="003E77FA">
        <w:rPr>
          <w:sz w:val="20"/>
          <w:szCs w:val="20"/>
        </w:rPr>
        <w:t xml:space="preserve">, </w:t>
      </w:r>
      <w:hyperlink r:id="rId12" w:tgtFrame="statute" w:history="1">
        <w:r w:rsidRPr="003E77FA">
          <w:rPr>
            <w:sz w:val="20"/>
            <w:szCs w:val="20"/>
          </w:rPr>
          <w:t>366.05(1)</w:t>
        </w:r>
      </w:hyperlink>
      <w:r w:rsidRPr="003E77FA">
        <w:rPr>
          <w:sz w:val="20"/>
          <w:szCs w:val="20"/>
        </w:rPr>
        <w:t>, FS.</w:t>
      </w:r>
    </w:p>
    <w:p w:rsidR="003E77FA" w:rsidRPr="003E77FA" w:rsidRDefault="003E77FA" w:rsidP="003E77FA">
      <w:pPr>
        <w:spacing w:line="264" w:lineRule="auto"/>
        <w:jc w:val="both"/>
        <w:rPr>
          <w:sz w:val="20"/>
          <w:szCs w:val="20"/>
        </w:rPr>
      </w:pPr>
      <w:r w:rsidRPr="003E77FA">
        <w:rPr>
          <w:sz w:val="20"/>
          <w:szCs w:val="20"/>
        </w:rPr>
        <w:t>IF REQUESTED WITHIN 21 DAYS OF THE DATE OF THIS NOTICE, A HEARING WILL BE SCHEDULED AND ANNOUNCED IN THE FAR.</w:t>
      </w:r>
    </w:p>
    <w:p w:rsidR="003E77FA" w:rsidRPr="003E77FA" w:rsidRDefault="003E77FA" w:rsidP="003E77FA">
      <w:pPr>
        <w:spacing w:line="264" w:lineRule="auto"/>
        <w:jc w:val="both"/>
        <w:rPr>
          <w:sz w:val="20"/>
          <w:szCs w:val="20"/>
        </w:rPr>
      </w:pPr>
      <w:r w:rsidRPr="003E77FA">
        <w:rPr>
          <w:sz w:val="20"/>
          <w:szCs w:val="20"/>
        </w:rPr>
        <w:t>THE PERSON TO BE CONTACTED REGARDING THE PROPOSED RULE IS: Adria Harper, Office of General Counsel, 2540 Shumard Oak Blvd., Tallahassee, FL 32399-0850, (850)413-6082, aharper@psc.state.fl.us</w:t>
      </w:r>
    </w:p>
    <w:p w:rsidR="003E77FA" w:rsidRPr="003E77FA" w:rsidRDefault="003E77FA" w:rsidP="003E77FA">
      <w:pPr>
        <w:spacing w:line="264" w:lineRule="auto"/>
        <w:jc w:val="both"/>
        <w:rPr>
          <w:sz w:val="20"/>
          <w:szCs w:val="20"/>
        </w:rPr>
      </w:pPr>
    </w:p>
    <w:p w:rsidR="003E77FA" w:rsidRPr="003E77FA" w:rsidRDefault="003E77FA" w:rsidP="003E77FA">
      <w:pPr>
        <w:spacing w:line="264" w:lineRule="auto"/>
        <w:jc w:val="both"/>
        <w:rPr>
          <w:sz w:val="20"/>
          <w:szCs w:val="20"/>
        </w:rPr>
      </w:pPr>
      <w:r w:rsidRPr="003E77FA">
        <w:rPr>
          <w:sz w:val="20"/>
          <w:szCs w:val="20"/>
        </w:rPr>
        <w:t>THE FULL TEXT OF THE PROPOSED RULE IS:</w:t>
      </w:r>
    </w:p>
    <w:p w:rsidR="003E77FA" w:rsidRPr="003E77FA" w:rsidRDefault="003E77FA" w:rsidP="003E77FA">
      <w:pPr>
        <w:spacing w:line="264" w:lineRule="auto"/>
        <w:jc w:val="both"/>
        <w:rPr>
          <w:sz w:val="20"/>
          <w:szCs w:val="20"/>
        </w:rPr>
      </w:pPr>
    </w:p>
    <w:p w:rsidR="003E77FA" w:rsidRPr="003E77FA" w:rsidRDefault="003E77FA" w:rsidP="003E77FA">
      <w:pPr>
        <w:widowControl w:val="0"/>
        <w:spacing w:line="264" w:lineRule="auto"/>
        <w:ind w:firstLine="360"/>
        <w:jc w:val="both"/>
        <w:rPr>
          <w:sz w:val="20"/>
          <w:szCs w:val="20"/>
        </w:rPr>
      </w:pPr>
      <w:r w:rsidRPr="003E77FA">
        <w:rPr>
          <w:sz w:val="20"/>
          <w:szCs w:val="20"/>
        </w:rPr>
        <w:t>25-6.0346 Quarterly Reports of Work Orders and Safety Compliance.</w:t>
      </w:r>
    </w:p>
    <w:p w:rsidR="003E77FA" w:rsidRPr="003E77FA" w:rsidRDefault="003E77FA" w:rsidP="003E77FA">
      <w:pPr>
        <w:widowControl w:val="0"/>
        <w:spacing w:line="264" w:lineRule="auto"/>
        <w:ind w:firstLine="360"/>
        <w:jc w:val="both"/>
        <w:rPr>
          <w:sz w:val="20"/>
          <w:szCs w:val="20"/>
        </w:rPr>
      </w:pPr>
      <w:r w:rsidRPr="003E77FA">
        <w:rPr>
          <w:sz w:val="20"/>
          <w:szCs w:val="20"/>
        </w:rPr>
        <w:t xml:space="preserve">(1) Each investor-owned electric utility, rural electric cooperative and municipal electric utility shall </w:t>
      </w:r>
      <w:r w:rsidRPr="003E77FA">
        <w:rPr>
          <w:sz w:val="20"/>
          <w:szCs w:val="20"/>
          <w:u w:val="single"/>
        </w:rPr>
        <w:t>provide a work order list</w:t>
      </w:r>
      <w:r w:rsidRPr="003E77FA">
        <w:rPr>
          <w:sz w:val="20"/>
          <w:szCs w:val="20"/>
        </w:rPr>
        <w:t xml:space="preserve"> </w:t>
      </w:r>
      <w:r w:rsidRPr="003E77FA">
        <w:rPr>
          <w:strike/>
          <w:sz w:val="20"/>
          <w:szCs w:val="20"/>
        </w:rPr>
        <w:t>report all completed electric work orders</w:t>
      </w:r>
      <w:r w:rsidRPr="003E77FA">
        <w:rPr>
          <w:sz w:val="20"/>
          <w:szCs w:val="20"/>
        </w:rPr>
        <w:t>, relating to the construction and/or maintenance of transmission and distribution facilities</w:t>
      </w:r>
      <w:r w:rsidRPr="003E77FA">
        <w:rPr>
          <w:strike/>
          <w:sz w:val="20"/>
          <w:szCs w:val="20"/>
        </w:rPr>
        <w:t>, whether</w:t>
      </w:r>
      <w:r w:rsidRPr="003E77FA">
        <w:rPr>
          <w:sz w:val="20"/>
          <w:szCs w:val="20"/>
        </w:rPr>
        <w:t xml:space="preserve"> </w:t>
      </w:r>
      <w:r w:rsidRPr="003E77FA">
        <w:rPr>
          <w:sz w:val="20"/>
          <w:szCs w:val="20"/>
          <w:u w:val="single"/>
        </w:rPr>
        <w:t>that is</w:t>
      </w:r>
      <w:r w:rsidRPr="003E77FA">
        <w:rPr>
          <w:sz w:val="20"/>
          <w:szCs w:val="20"/>
        </w:rPr>
        <w:t xml:space="preserve"> completed by the utility or one of its contractors</w:t>
      </w:r>
      <w:r w:rsidRPr="003E77FA">
        <w:rPr>
          <w:strike/>
          <w:sz w:val="20"/>
          <w:szCs w:val="20"/>
        </w:rPr>
        <w:t>, at the end of each quarter of the year</w:t>
      </w:r>
      <w:r w:rsidRPr="003E77FA">
        <w:rPr>
          <w:sz w:val="20"/>
          <w:szCs w:val="20"/>
        </w:rPr>
        <w:t xml:space="preserve">. The </w:t>
      </w:r>
      <w:r w:rsidRPr="003E77FA">
        <w:rPr>
          <w:strike/>
          <w:sz w:val="20"/>
          <w:szCs w:val="20"/>
        </w:rPr>
        <w:t>report</w:t>
      </w:r>
      <w:r w:rsidRPr="003E77FA">
        <w:rPr>
          <w:sz w:val="20"/>
          <w:szCs w:val="20"/>
        </w:rPr>
        <w:t xml:space="preserve"> </w:t>
      </w:r>
      <w:r w:rsidRPr="003E77FA">
        <w:rPr>
          <w:sz w:val="20"/>
          <w:szCs w:val="20"/>
          <w:u w:val="single"/>
        </w:rPr>
        <w:t>work order list shall contain the utility name, contact name, quarter and year, work order number, location of construction, county of construction, estimated costs, and brief description of the work (overhead and underground), and</w:t>
      </w:r>
      <w:r w:rsidRPr="003E77FA">
        <w:rPr>
          <w:sz w:val="20"/>
          <w:szCs w:val="20"/>
        </w:rPr>
        <w:t xml:space="preserve"> shall be </w:t>
      </w:r>
      <w:r w:rsidRPr="003E77FA">
        <w:rPr>
          <w:sz w:val="20"/>
          <w:szCs w:val="20"/>
          <w:u w:val="single"/>
        </w:rPr>
        <w:t>sent via e-mail to</w:t>
      </w:r>
      <w:r w:rsidRPr="003E77FA">
        <w:rPr>
          <w:sz w:val="20"/>
          <w:szCs w:val="20"/>
        </w:rPr>
        <w:t xml:space="preserve"> </w:t>
      </w:r>
      <w:r w:rsidRPr="003E77FA">
        <w:rPr>
          <w:strike/>
          <w:sz w:val="20"/>
          <w:szCs w:val="20"/>
        </w:rPr>
        <w:t>electronically filed with the</w:t>
      </w:r>
      <w:r w:rsidRPr="003E77FA">
        <w:rPr>
          <w:sz w:val="20"/>
          <w:szCs w:val="20"/>
        </w:rPr>
        <w:t xml:space="preserve"> </w:t>
      </w:r>
      <w:r w:rsidRPr="003E77FA">
        <w:rPr>
          <w:sz w:val="20"/>
          <w:szCs w:val="20"/>
          <w:u w:val="single"/>
        </w:rPr>
        <w:t>Electric-QTR-Reports@psc.state.fl.us</w:t>
      </w:r>
      <w:r w:rsidRPr="003E77FA">
        <w:rPr>
          <w:sz w:val="20"/>
          <w:szCs w:val="20"/>
        </w:rPr>
        <w:t xml:space="preserve"> </w:t>
      </w:r>
      <w:r w:rsidRPr="003E77FA">
        <w:rPr>
          <w:strike/>
          <w:sz w:val="20"/>
          <w:szCs w:val="20"/>
        </w:rPr>
        <w:t>Commission Clerk</w:t>
      </w:r>
      <w:r w:rsidRPr="003E77FA">
        <w:rPr>
          <w:sz w:val="20"/>
          <w:szCs w:val="20"/>
        </w:rPr>
        <w:t xml:space="preserve"> no later than the 30th working day after the last day of the reporting quarter</w:t>
      </w:r>
      <w:r w:rsidRPr="003E77FA">
        <w:rPr>
          <w:sz w:val="20"/>
          <w:szCs w:val="20"/>
          <w:u w:val="single"/>
        </w:rPr>
        <w:t>.</w:t>
      </w:r>
      <w:r w:rsidRPr="003E77FA">
        <w:rPr>
          <w:sz w:val="20"/>
          <w:szCs w:val="20"/>
        </w:rPr>
        <w:t xml:space="preserve"> </w:t>
      </w:r>
      <w:r w:rsidRPr="003E77FA">
        <w:rPr>
          <w:strike/>
          <w:sz w:val="20"/>
          <w:szCs w:val="20"/>
        </w:rPr>
        <w:t>using</w:t>
      </w:r>
      <w:r w:rsidRPr="003E77FA">
        <w:rPr>
          <w:sz w:val="20"/>
          <w:szCs w:val="20"/>
        </w:rPr>
        <w:t xml:space="preserve"> Form PSC/ENG 157 (12/12), “PSC Quarterly Report of Completed Work Orders,” which is available at  </w:t>
      </w:r>
      <w:hyperlink r:id="rId13" w:history="1">
        <w:r w:rsidRPr="003E77FA">
          <w:rPr>
            <w:sz w:val="20"/>
            <w:szCs w:val="20"/>
            <w:u w:val="single"/>
          </w:rPr>
          <w:t>http://www.flrules.org/Gateway/reference.asp?No=Ref-02040</w:t>
        </w:r>
      </w:hyperlink>
      <w:r w:rsidRPr="003E77FA">
        <w:rPr>
          <w:sz w:val="20"/>
          <w:szCs w:val="20"/>
          <w:u w:val="single"/>
        </w:rPr>
        <w:t>,</w:t>
      </w:r>
      <w:r w:rsidRPr="003E77FA">
        <w:rPr>
          <w:strike/>
          <w:sz w:val="20"/>
          <w:szCs w:val="20"/>
        </w:rPr>
        <w:t>.</w:t>
      </w:r>
      <w:r w:rsidRPr="003E77FA">
        <w:rPr>
          <w:sz w:val="20"/>
          <w:szCs w:val="20"/>
        </w:rPr>
        <w:t xml:space="preserve"> </w:t>
      </w:r>
      <w:r w:rsidRPr="003E77FA">
        <w:rPr>
          <w:sz w:val="20"/>
          <w:szCs w:val="20"/>
          <w:u w:val="single"/>
        </w:rPr>
        <w:t>is an example work order list that may be completed and filed to meet the reporting requirement for this rule.</w:t>
      </w:r>
      <w:r w:rsidRPr="003E77FA">
        <w:rPr>
          <w:sz w:val="20"/>
          <w:szCs w:val="20"/>
        </w:rPr>
        <w:t xml:space="preserve"> This form is incorporated into this rule by reference and may also be obtained from the Commission’s Division of Administrative and Information Technology Services.</w:t>
      </w:r>
    </w:p>
    <w:p w:rsidR="003E77FA" w:rsidRPr="003E77FA" w:rsidRDefault="003E77FA" w:rsidP="003E77FA">
      <w:pPr>
        <w:widowControl w:val="0"/>
        <w:spacing w:line="264" w:lineRule="auto"/>
        <w:ind w:firstLine="360"/>
        <w:jc w:val="both"/>
        <w:rPr>
          <w:sz w:val="20"/>
          <w:szCs w:val="20"/>
        </w:rPr>
      </w:pPr>
      <w:r w:rsidRPr="003E77FA">
        <w:rPr>
          <w:sz w:val="20"/>
          <w:szCs w:val="20"/>
        </w:rPr>
        <w:t>(2) No change.</w:t>
      </w:r>
    </w:p>
    <w:p w:rsidR="003E77FA" w:rsidRPr="003E77FA" w:rsidRDefault="003E77FA" w:rsidP="003E77FA">
      <w:pPr>
        <w:widowControl w:val="0"/>
        <w:spacing w:line="264" w:lineRule="auto"/>
        <w:jc w:val="both"/>
        <w:rPr>
          <w:sz w:val="18"/>
          <w:szCs w:val="20"/>
        </w:rPr>
      </w:pPr>
      <w:r w:rsidRPr="003E77FA">
        <w:rPr>
          <w:i/>
          <w:sz w:val="18"/>
          <w:szCs w:val="20"/>
        </w:rPr>
        <w:t>Rulemaking Authority 350.127(2), 366.05(1) FS. Law Implemented 366.04(2)(f), (6), 366.05(1) FS. History–New 12-16-12</w:t>
      </w:r>
      <w:r w:rsidRPr="003E77FA">
        <w:rPr>
          <w:i/>
          <w:sz w:val="18"/>
          <w:szCs w:val="20"/>
          <w:u w:val="single"/>
        </w:rPr>
        <w:t>, Amended</w:t>
      </w:r>
      <w:r w:rsidRPr="003E77FA">
        <w:rPr>
          <w:i/>
          <w:sz w:val="18"/>
          <w:szCs w:val="20"/>
        </w:rPr>
        <w:t>____________.</w:t>
      </w:r>
    </w:p>
    <w:p w:rsidR="003E77FA" w:rsidRPr="003E77FA" w:rsidRDefault="003E77FA" w:rsidP="003E77FA">
      <w:pPr>
        <w:spacing w:line="264" w:lineRule="auto"/>
        <w:jc w:val="both"/>
        <w:rPr>
          <w:sz w:val="20"/>
          <w:szCs w:val="20"/>
        </w:rPr>
      </w:pPr>
    </w:p>
    <w:p w:rsidR="003E77FA" w:rsidRPr="003E77FA" w:rsidRDefault="003E77FA" w:rsidP="003E77FA">
      <w:pPr>
        <w:spacing w:line="264" w:lineRule="auto"/>
        <w:jc w:val="both"/>
        <w:rPr>
          <w:sz w:val="20"/>
          <w:szCs w:val="20"/>
        </w:rPr>
      </w:pPr>
      <w:r w:rsidRPr="003E77FA">
        <w:rPr>
          <w:sz w:val="20"/>
          <w:szCs w:val="20"/>
        </w:rPr>
        <w:t>NAME OF PERSON ORIGINATING PROPOSED RULE: Rick Moses</w:t>
      </w:r>
    </w:p>
    <w:p w:rsidR="003E77FA" w:rsidRPr="003E77FA" w:rsidRDefault="003E77FA" w:rsidP="003E77FA">
      <w:pPr>
        <w:spacing w:line="264" w:lineRule="auto"/>
        <w:jc w:val="both"/>
        <w:rPr>
          <w:sz w:val="20"/>
          <w:szCs w:val="20"/>
        </w:rPr>
      </w:pPr>
      <w:r w:rsidRPr="003E77FA">
        <w:rPr>
          <w:sz w:val="20"/>
          <w:szCs w:val="20"/>
        </w:rPr>
        <w:t>NAME OF AGENCY HEAD WHO APPROVED THE PROPOSED RULE: Florida Public Service Commission</w:t>
      </w:r>
    </w:p>
    <w:p w:rsidR="003E77FA" w:rsidRPr="003E77FA" w:rsidRDefault="003E77FA" w:rsidP="003E77FA">
      <w:pPr>
        <w:spacing w:line="264" w:lineRule="auto"/>
        <w:jc w:val="both"/>
        <w:rPr>
          <w:sz w:val="20"/>
          <w:szCs w:val="20"/>
        </w:rPr>
      </w:pPr>
      <w:r w:rsidRPr="003E77FA">
        <w:rPr>
          <w:sz w:val="20"/>
          <w:szCs w:val="20"/>
        </w:rPr>
        <w:lastRenderedPageBreak/>
        <w:t>DATE PROPOSED RULE APPROVED BY AGENCY HEAD: December 6, 2016</w:t>
      </w:r>
    </w:p>
    <w:p w:rsidR="003E77FA" w:rsidRPr="003E77FA" w:rsidRDefault="003E77FA" w:rsidP="003E77FA">
      <w:pPr>
        <w:spacing w:line="264" w:lineRule="auto"/>
        <w:jc w:val="both"/>
        <w:rPr>
          <w:sz w:val="20"/>
          <w:szCs w:val="20"/>
        </w:rPr>
      </w:pPr>
      <w:r w:rsidRPr="003E77FA">
        <w:rPr>
          <w:sz w:val="20"/>
          <w:szCs w:val="20"/>
        </w:rPr>
        <w:t>DATE NOTICE OF PROPOSED RULE DEVELOPMENT PUBLISHED IN FAR: Volume 42, Number 77, April 20, 2016.</w:t>
      </w:r>
    </w:p>
    <w:p w:rsidR="00CB5276" w:rsidRDefault="00CB5276"/>
    <w:p w:rsidR="003E77FA" w:rsidRPr="003E77FA" w:rsidRDefault="003E77FA" w:rsidP="003E77FA">
      <w:pPr>
        <w:jc w:val="center"/>
        <w:rPr>
          <w:sz w:val="22"/>
          <w:szCs w:val="22"/>
        </w:rPr>
      </w:pPr>
      <w:r w:rsidRPr="003E77FA">
        <w:rPr>
          <w:sz w:val="22"/>
          <w:szCs w:val="22"/>
        </w:rPr>
        <w:t>Notice of Proposed Rule</w:t>
      </w:r>
    </w:p>
    <w:p w:rsidR="003E77FA" w:rsidRPr="003E77FA" w:rsidRDefault="003E77FA" w:rsidP="003E77FA">
      <w:pPr>
        <w:rPr>
          <w:sz w:val="20"/>
          <w:szCs w:val="20"/>
        </w:rPr>
      </w:pPr>
    </w:p>
    <w:p w:rsidR="003E77FA" w:rsidRPr="003E77FA" w:rsidRDefault="00D400CC" w:rsidP="003E77FA">
      <w:pPr>
        <w:rPr>
          <w:b/>
          <w:bCs/>
          <w:sz w:val="20"/>
          <w:szCs w:val="20"/>
        </w:rPr>
      </w:pPr>
      <w:hyperlink r:id="rId14" w:tgtFrame="department" w:history="1">
        <w:r w:rsidR="003E77FA" w:rsidRPr="003E77FA">
          <w:rPr>
            <w:b/>
            <w:bCs/>
            <w:sz w:val="20"/>
            <w:szCs w:val="20"/>
          </w:rPr>
          <w:t>PUBLIC SERVICE COMMISSION</w:t>
        </w:r>
      </w:hyperlink>
    </w:p>
    <w:p w:rsidR="003E77FA" w:rsidRPr="003E77FA" w:rsidRDefault="003E77FA" w:rsidP="003E77FA">
      <w:pPr>
        <w:spacing w:line="264" w:lineRule="auto"/>
        <w:jc w:val="both"/>
        <w:rPr>
          <w:sz w:val="20"/>
          <w:szCs w:val="20"/>
        </w:rPr>
      </w:pPr>
      <w:r w:rsidRPr="003E77FA">
        <w:rPr>
          <w:sz w:val="20"/>
          <w:szCs w:val="20"/>
        </w:rPr>
        <w:t>RULE NOS.:</w:t>
      </w:r>
      <w:r w:rsidRPr="003E77FA">
        <w:rPr>
          <w:sz w:val="20"/>
          <w:szCs w:val="20"/>
        </w:rPr>
        <w:tab/>
        <w:t>RULE TITLES:</w:t>
      </w:r>
    </w:p>
    <w:p w:rsidR="003E77FA" w:rsidRPr="003E77FA" w:rsidRDefault="00D400CC" w:rsidP="003E77FA">
      <w:pPr>
        <w:spacing w:line="264" w:lineRule="auto"/>
        <w:jc w:val="both"/>
        <w:rPr>
          <w:sz w:val="20"/>
          <w:szCs w:val="20"/>
        </w:rPr>
      </w:pPr>
      <w:hyperlink r:id="rId15" w:tgtFrame="ruleNo" w:history="1">
        <w:r w:rsidR="003E77FA" w:rsidRPr="003E77FA">
          <w:rPr>
            <w:sz w:val="20"/>
            <w:szCs w:val="20"/>
          </w:rPr>
          <w:t>25-12.005</w:t>
        </w:r>
      </w:hyperlink>
      <w:r w:rsidR="003E77FA" w:rsidRPr="003E77FA">
        <w:rPr>
          <w:sz w:val="20"/>
          <w:szCs w:val="20"/>
        </w:rPr>
        <w:tab/>
        <w:t>Codes and Standards Adopted</w:t>
      </w:r>
    </w:p>
    <w:p w:rsidR="003E77FA" w:rsidRPr="003E77FA" w:rsidRDefault="00D400CC" w:rsidP="003E77FA">
      <w:pPr>
        <w:spacing w:line="264" w:lineRule="auto"/>
        <w:jc w:val="both"/>
        <w:rPr>
          <w:sz w:val="20"/>
          <w:szCs w:val="20"/>
        </w:rPr>
      </w:pPr>
      <w:hyperlink r:id="rId16" w:tgtFrame="ruleNo" w:history="1">
        <w:r w:rsidR="003E77FA" w:rsidRPr="003E77FA">
          <w:rPr>
            <w:sz w:val="20"/>
            <w:szCs w:val="20"/>
          </w:rPr>
          <w:t>25-12.008</w:t>
        </w:r>
      </w:hyperlink>
      <w:r w:rsidR="003E77FA" w:rsidRPr="003E77FA">
        <w:rPr>
          <w:sz w:val="20"/>
          <w:szCs w:val="20"/>
        </w:rPr>
        <w:tab/>
        <w:t>New, Reconstructed or Converted Facilities</w:t>
      </w:r>
    </w:p>
    <w:p w:rsidR="003E77FA" w:rsidRPr="003E77FA" w:rsidRDefault="00D400CC" w:rsidP="003E77FA">
      <w:pPr>
        <w:spacing w:line="264" w:lineRule="auto"/>
        <w:jc w:val="both"/>
        <w:rPr>
          <w:sz w:val="20"/>
          <w:szCs w:val="20"/>
        </w:rPr>
      </w:pPr>
      <w:hyperlink r:id="rId17" w:tgtFrame="ruleNo" w:history="1">
        <w:r w:rsidR="003E77FA" w:rsidRPr="003E77FA">
          <w:rPr>
            <w:sz w:val="20"/>
            <w:szCs w:val="20"/>
          </w:rPr>
          <w:t>25-12.022</w:t>
        </w:r>
      </w:hyperlink>
      <w:r w:rsidR="003E77FA" w:rsidRPr="003E77FA">
        <w:rPr>
          <w:sz w:val="20"/>
          <w:szCs w:val="20"/>
        </w:rPr>
        <w:tab/>
        <w:t>Requirements for Distribution System Valves</w:t>
      </w:r>
    </w:p>
    <w:p w:rsidR="003E77FA" w:rsidRPr="003E77FA" w:rsidRDefault="00D400CC" w:rsidP="003E77FA">
      <w:pPr>
        <w:spacing w:line="264" w:lineRule="auto"/>
        <w:jc w:val="both"/>
        <w:rPr>
          <w:sz w:val="20"/>
          <w:szCs w:val="20"/>
        </w:rPr>
      </w:pPr>
      <w:hyperlink r:id="rId18" w:tgtFrame="ruleNo" w:history="1">
        <w:r w:rsidR="003E77FA" w:rsidRPr="003E77FA">
          <w:rPr>
            <w:sz w:val="20"/>
            <w:szCs w:val="20"/>
          </w:rPr>
          <w:t>25-12.027</w:t>
        </w:r>
      </w:hyperlink>
      <w:r w:rsidR="003E77FA" w:rsidRPr="003E77FA">
        <w:rPr>
          <w:sz w:val="20"/>
          <w:szCs w:val="20"/>
        </w:rPr>
        <w:tab/>
        <w:t>Welder Qualification</w:t>
      </w:r>
    </w:p>
    <w:p w:rsidR="003E77FA" w:rsidRPr="003E77FA" w:rsidRDefault="00D400CC" w:rsidP="003E77FA">
      <w:pPr>
        <w:spacing w:line="264" w:lineRule="auto"/>
        <w:jc w:val="both"/>
        <w:rPr>
          <w:sz w:val="20"/>
          <w:szCs w:val="20"/>
        </w:rPr>
      </w:pPr>
      <w:hyperlink r:id="rId19" w:tgtFrame="ruleNo" w:history="1">
        <w:r w:rsidR="003E77FA" w:rsidRPr="003E77FA">
          <w:rPr>
            <w:sz w:val="20"/>
            <w:szCs w:val="20"/>
          </w:rPr>
          <w:t>25-12.040</w:t>
        </w:r>
      </w:hyperlink>
      <w:r w:rsidR="003E77FA" w:rsidRPr="003E77FA">
        <w:rPr>
          <w:sz w:val="20"/>
          <w:szCs w:val="20"/>
        </w:rPr>
        <w:tab/>
        <w:t>Leak Surveys, Procedures and Classification</w:t>
      </w:r>
    </w:p>
    <w:p w:rsidR="003E77FA" w:rsidRPr="003E77FA" w:rsidRDefault="00D400CC" w:rsidP="003E77FA">
      <w:pPr>
        <w:spacing w:line="264" w:lineRule="auto"/>
        <w:jc w:val="both"/>
        <w:rPr>
          <w:sz w:val="20"/>
          <w:szCs w:val="20"/>
        </w:rPr>
      </w:pPr>
      <w:hyperlink r:id="rId20" w:tgtFrame="ruleNo" w:history="1">
        <w:r w:rsidR="003E77FA" w:rsidRPr="003E77FA">
          <w:rPr>
            <w:sz w:val="20"/>
            <w:szCs w:val="20"/>
          </w:rPr>
          <w:t>25-12.085</w:t>
        </w:r>
      </w:hyperlink>
      <w:r w:rsidR="003E77FA" w:rsidRPr="003E77FA">
        <w:rPr>
          <w:sz w:val="20"/>
          <w:szCs w:val="20"/>
        </w:rPr>
        <w:tab/>
        <w:t>Written Annual Reports Required</w:t>
      </w:r>
    </w:p>
    <w:p w:rsidR="003E77FA" w:rsidRPr="003E77FA" w:rsidRDefault="003E77FA" w:rsidP="003E77FA">
      <w:pPr>
        <w:spacing w:line="264" w:lineRule="auto"/>
        <w:jc w:val="both"/>
        <w:rPr>
          <w:sz w:val="20"/>
          <w:szCs w:val="20"/>
        </w:rPr>
      </w:pPr>
      <w:r w:rsidRPr="003E77FA">
        <w:rPr>
          <w:sz w:val="20"/>
          <w:szCs w:val="20"/>
        </w:rPr>
        <w:t>PURPOSE AND EFFECT: The rule amendments update and clarify electric and gas safety and reporting rules</w:t>
      </w:r>
    </w:p>
    <w:p w:rsidR="003E77FA" w:rsidRPr="003E77FA" w:rsidRDefault="003E77FA" w:rsidP="003E77FA">
      <w:pPr>
        <w:spacing w:line="264" w:lineRule="auto"/>
        <w:jc w:val="both"/>
        <w:rPr>
          <w:sz w:val="20"/>
          <w:szCs w:val="20"/>
        </w:rPr>
      </w:pPr>
      <w:r w:rsidRPr="003E77FA">
        <w:rPr>
          <w:sz w:val="20"/>
          <w:szCs w:val="20"/>
        </w:rPr>
        <w:t>Docket No. 160121-GU</w:t>
      </w:r>
    </w:p>
    <w:p w:rsidR="003E77FA" w:rsidRPr="003E77FA" w:rsidRDefault="003E77FA" w:rsidP="003E77FA">
      <w:pPr>
        <w:spacing w:line="264" w:lineRule="auto"/>
        <w:jc w:val="both"/>
        <w:rPr>
          <w:sz w:val="20"/>
          <w:szCs w:val="20"/>
        </w:rPr>
      </w:pPr>
      <w:r w:rsidRPr="003E77FA">
        <w:rPr>
          <w:sz w:val="20"/>
          <w:szCs w:val="20"/>
        </w:rPr>
        <w:t>SUMMARY: Rule 25-6.0436, F.A.C., was updated to clarify the types of information to be in included quarterly work order lists and to require the information be sent directly to Commission staff via e-mail.</w:t>
      </w:r>
    </w:p>
    <w:p w:rsidR="003E77FA" w:rsidRPr="003E77FA" w:rsidRDefault="003E77FA" w:rsidP="003E77FA">
      <w:pPr>
        <w:spacing w:line="264" w:lineRule="auto"/>
        <w:jc w:val="both"/>
        <w:rPr>
          <w:sz w:val="20"/>
          <w:szCs w:val="20"/>
        </w:rPr>
      </w:pPr>
      <w:r w:rsidRPr="003E77FA">
        <w:rPr>
          <w:sz w:val="20"/>
          <w:szCs w:val="20"/>
        </w:rPr>
        <w:t>Rule 25-12.005, F.A.C. was amended to adopt the latest version of the federal standards that pertain to reporting requirements, safety standards, and drug and alcohol employee reporting standards and requirements for certain employees of gas pipeline operators and emergency response persons. Rule 25-12.008, F.A.C., was amended to adopt the latest federal standards and to clarify the visual inspection, testing and active corrosion procedures.</w:t>
      </w:r>
    </w:p>
    <w:p w:rsidR="003E77FA" w:rsidRPr="003E77FA" w:rsidRDefault="003E77FA" w:rsidP="003E77FA">
      <w:pPr>
        <w:spacing w:line="264" w:lineRule="auto"/>
        <w:jc w:val="both"/>
        <w:rPr>
          <w:sz w:val="20"/>
          <w:szCs w:val="20"/>
        </w:rPr>
      </w:pPr>
      <w:r w:rsidRPr="003E77FA">
        <w:rPr>
          <w:sz w:val="20"/>
          <w:szCs w:val="20"/>
        </w:rPr>
        <w:t>Rule 25-12.022, F.A.C., was amended to clarify the valves used to close off system sections in an emergency and provide clarification on the procedure for valve identification.</w:t>
      </w:r>
    </w:p>
    <w:p w:rsidR="003E77FA" w:rsidRPr="003E77FA" w:rsidRDefault="003E77FA" w:rsidP="003E77FA">
      <w:pPr>
        <w:spacing w:line="264" w:lineRule="auto"/>
        <w:jc w:val="both"/>
        <w:rPr>
          <w:sz w:val="20"/>
          <w:szCs w:val="20"/>
        </w:rPr>
      </w:pPr>
      <w:r w:rsidRPr="003E77FA">
        <w:rPr>
          <w:sz w:val="20"/>
          <w:szCs w:val="20"/>
        </w:rPr>
        <w:t xml:space="preserve">Rule 25-12.027, F.A.C., was amended to correct a scrivener’s error in the current rule, to clarify the appropriate American Petroleum Institute standards for welder qualification, and to adopt the latest version of the federal standards. </w:t>
      </w:r>
    </w:p>
    <w:p w:rsidR="003E77FA" w:rsidRPr="003E77FA" w:rsidRDefault="003E77FA" w:rsidP="003E77FA">
      <w:pPr>
        <w:spacing w:line="264" w:lineRule="auto"/>
        <w:jc w:val="both"/>
        <w:rPr>
          <w:sz w:val="20"/>
          <w:szCs w:val="20"/>
        </w:rPr>
      </w:pPr>
      <w:r w:rsidRPr="003E77FA">
        <w:rPr>
          <w:sz w:val="20"/>
          <w:szCs w:val="20"/>
        </w:rPr>
        <w:t>Rule 25-12.040, F.A.C., was amended to provide clarification on leak detection surveys, inspections and monitoring.</w:t>
      </w:r>
    </w:p>
    <w:p w:rsidR="003E77FA" w:rsidRPr="003E77FA" w:rsidRDefault="003E77FA" w:rsidP="003E77FA">
      <w:pPr>
        <w:spacing w:line="264" w:lineRule="auto"/>
        <w:jc w:val="both"/>
        <w:rPr>
          <w:sz w:val="20"/>
          <w:szCs w:val="20"/>
        </w:rPr>
      </w:pPr>
      <w:r w:rsidRPr="003E77FA">
        <w:rPr>
          <w:sz w:val="20"/>
          <w:szCs w:val="20"/>
        </w:rPr>
        <w:t>Rule 25-12.085, F.A.C., was amended to incorporate the most recent versions of the appropriate federal forms and to delete a redundant section of the rule.</w:t>
      </w:r>
    </w:p>
    <w:p w:rsidR="003E77FA" w:rsidRPr="003E77FA" w:rsidRDefault="003E77FA" w:rsidP="003E77FA">
      <w:pPr>
        <w:spacing w:line="264" w:lineRule="auto"/>
        <w:jc w:val="both"/>
        <w:rPr>
          <w:sz w:val="20"/>
          <w:szCs w:val="20"/>
        </w:rPr>
      </w:pPr>
      <w:r w:rsidRPr="003E77FA">
        <w:rPr>
          <w:sz w:val="20"/>
          <w:szCs w:val="20"/>
        </w:rPr>
        <w:t xml:space="preserve">SUMMARY OF STATEMENT OF ESTIMATED REGULATORY COSTS AND LEGISLATIVE RATIFICATION: </w:t>
      </w:r>
    </w:p>
    <w:p w:rsidR="003E77FA" w:rsidRPr="003E77FA" w:rsidRDefault="003E77FA" w:rsidP="003E77FA">
      <w:pPr>
        <w:spacing w:line="264" w:lineRule="auto"/>
        <w:jc w:val="both"/>
        <w:rPr>
          <w:sz w:val="20"/>
          <w:szCs w:val="20"/>
        </w:rPr>
      </w:pPr>
      <w:r w:rsidRPr="003E77FA">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3E77FA" w:rsidRPr="003E77FA" w:rsidRDefault="003E77FA" w:rsidP="003E77FA">
      <w:pPr>
        <w:spacing w:line="264" w:lineRule="auto"/>
        <w:jc w:val="both"/>
        <w:rPr>
          <w:sz w:val="20"/>
          <w:szCs w:val="20"/>
        </w:rPr>
      </w:pPr>
      <w:r w:rsidRPr="003E77FA">
        <w:rPr>
          <w:sz w:val="20"/>
          <w:szCs w:val="20"/>
        </w:rPr>
        <w:t>The SERC examined the factors required by Section 120.541(2), FS, and concluded that the rule amendment will not have an adverse impact on economic growth, business competitiveness, or small business.</w:t>
      </w:r>
    </w:p>
    <w:p w:rsidR="003E77FA" w:rsidRPr="003E77FA" w:rsidRDefault="003E77FA" w:rsidP="003E77FA">
      <w:pPr>
        <w:spacing w:line="264" w:lineRule="auto"/>
        <w:jc w:val="both"/>
        <w:rPr>
          <w:sz w:val="20"/>
          <w:szCs w:val="20"/>
        </w:rPr>
      </w:pPr>
      <w:r w:rsidRPr="003E77FA">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3E77FA" w:rsidRPr="003E77FA" w:rsidRDefault="003E77FA" w:rsidP="003E77FA">
      <w:pPr>
        <w:spacing w:line="264" w:lineRule="auto"/>
        <w:jc w:val="both"/>
        <w:rPr>
          <w:sz w:val="20"/>
          <w:szCs w:val="20"/>
        </w:rPr>
      </w:pPr>
      <w:r w:rsidRPr="003E77FA">
        <w:rPr>
          <w:sz w:val="20"/>
          <w:szCs w:val="20"/>
        </w:rPr>
        <w:t>Any person who wishes to provide information regarding a statement of estimated regulatory costs, or provide a proposal for a lower cost regulatory alternative must do so in writing within 21 days of this notice.</w:t>
      </w:r>
    </w:p>
    <w:p w:rsidR="003E77FA" w:rsidRPr="003E77FA" w:rsidRDefault="003E77FA" w:rsidP="003E77FA">
      <w:pPr>
        <w:spacing w:line="264" w:lineRule="auto"/>
        <w:jc w:val="both"/>
        <w:rPr>
          <w:sz w:val="20"/>
          <w:szCs w:val="20"/>
        </w:rPr>
      </w:pPr>
      <w:r w:rsidRPr="003E77FA">
        <w:rPr>
          <w:sz w:val="20"/>
          <w:szCs w:val="20"/>
        </w:rPr>
        <w:t xml:space="preserve">RULEMAKING AUTHORITY: </w:t>
      </w:r>
      <w:hyperlink r:id="rId21" w:tgtFrame="statute" w:history="1">
        <w:r w:rsidRPr="003E77FA">
          <w:rPr>
            <w:sz w:val="20"/>
            <w:szCs w:val="20"/>
          </w:rPr>
          <w:t>350.127(2)</w:t>
        </w:r>
      </w:hyperlink>
      <w:r w:rsidRPr="003E77FA">
        <w:rPr>
          <w:sz w:val="20"/>
          <w:szCs w:val="20"/>
        </w:rPr>
        <w:t xml:space="preserve">, </w:t>
      </w:r>
      <w:hyperlink r:id="rId22" w:tgtFrame="statute" w:history="1">
        <w:r w:rsidRPr="003E77FA">
          <w:rPr>
            <w:sz w:val="20"/>
            <w:szCs w:val="20"/>
          </w:rPr>
          <w:t>368.03</w:t>
        </w:r>
      </w:hyperlink>
      <w:r w:rsidRPr="003E77FA">
        <w:rPr>
          <w:sz w:val="20"/>
          <w:szCs w:val="20"/>
        </w:rPr>
        <w:t xml:space="preserve">, </w:t>
      </w:r>
      <w:hyperlink r:id="rId23" w:tgtFrame="statute" w:history="1">
        <w:r w:rsidRPr="003E77FA">
          <w:rPr>
            <w:sz w:val="20"/>
            <w:szCs w:val="20"/>
          </w:rPr>
          <w:t>366.05(1)</w:t>
        </w:r>
      </w:hyperlink>
      <w:r w:rsidRPr="003E77FA">
        <w:rPr>
          <w:sz w:val="20"/>
          <w:szCs w:val="20"/>
        </w:rPr>
        <w:t xml:space="preserve">, </w:t>
      </w:r>
      <w:hyperlink r:id="rId24" w:tgtFrame="statute" w:history="1">
        <w:r w:rsidRPr="003E77FA">
          <w:rPr>
            <w:sz w:val="20"/>
            <w:szCs w:val="20"/>
          </w:rPr>
          <w:t>368.05(2)</w:t>
        </w:r>
      </w:hyperlink>
      <w:r w:rsidRPr="003E77FA">
        <w:rPr>
          <w:sz w:val="20"/>
          <w:szCs w:val="20"/>
        </w:rPr>
        <w:t>, FS.</w:t>
      </w:r>
    </w:p>
    <w:p w:rsidR="003E77FA" w:rsidRPr="003E77FA" w:rsidRDefault="003E77FA" w:rsidP="003E77FA">
      <w:pPr>
        <w:spacing w:line="264" w:lineRule="auto"/>
        <w:jc w:val="both"/>
        <w:rPr>
          <w:sz w:val="20"/>
          <w:szCs w:val="20"/>
        </w:rPr>
      </w:pPr>
      <w:r w:rsidRPr="003E77FA">
        <w:rPr>
          <w:sz w:val="20"/>
          <w:szCs w:val="20"/>
        </w:rPr>
        <w:t xml:space="preserve">LAW IMPLEMENTED: </w:t>
      </w:r>
      <w:hyperlink r:id="rId25" w:tgtFrame="statute" w:history="1">
        <w:r w:rsidRPr="003E77FA">
          <w:rPr>
            <w:sz w:val="20"/>
            <w:szCs w:val="20"/>
          </w:rPr>
          <w:t>366.04(2)(f)</w:t>
        </w:r>
      </w:hyperlink>
      <w:r w:rsidRPr="003E77FA">
        <w:rPr>
          <w:sz w:val="20"/>
          <w:szCs w:val="20"/>
        </w:rPr>
        <w:t xml:space="preserve">, </w:t>
      </w:r>
      <w:hyperlink r:id="rId26" w:tgtFrame="statute" w:history="1">
        <w:r w:rsidRPr="003E77FA">
          <w:rPr>
            <w:sz w:val="20"/>
            <w:szCs w:val="20"/>
          </w:rPr>
          <w:t>366.05(1)</w:t>
        </w:r>
      </w:hyperlink>
      <w:r w:rsidRPr="003E77FA">
        <w:rPr>
          <w:sz w:val="20"/>
          <w:szCs w:val="20"/>
        </w:rPr>
        <w:t xml:space="preserve">, </w:t>
      </w:r>
      <w:hyperlink r:id="rId27" w:tgtFrame="statute" w:history="1">
        <w:r w:rsidRPr="003E77FA">
          <w:rPr>
            <w:sz w:val="20"/>
            <w:szCs w:val="20"/>
          </w:rPr>
          <w:t>368.03</w:t>
        </w:r>
      </w:hyperlink>
      <w:r w:rsidRPr="003E77FA">
        <w:rPr>
          <w:sz w:val="20"/>
          <w:szCs w:val="20"/>
        </w:rPr>
        <w:t xml:space="preserve">, </w:t>
      </w:r>
      <w:hyperlink r:id="rId28" w:tgtFrame="statute" w:history="1">
        <w:r w:rsidRPr="003E77FA">
          <w:rPr>
            <w:sz w:val="20"/>
            <w:szCs w:val="20"/>
          </w:rPr>
          <w:t>368.05</w:t>
        </w:r>
      </w:hyperlink>
      <w:r w:rsidRPr="003E77FA">
        <w:rPr>
          <w:sz w:val="20"/>
          <w:szCs w:val="20"/>
        </w:rPr>
        <w:t xml:space="preserve">, </w:t>
      </w:r>
      <w:hyperlink r:id="rId29" w:tgtFrame="statute" w:history="1">
        <w:r w:rsidRPr="003E77FA">
          <w:rPr>
            <w:sz w:val="20"/>
            <w:szCs w:val="20"/>
          </w:rPr>
          <w:t>368.05(2)</w:t>
        </w:r>
      </w:hyperlink>
      <w:r w:rsidRPr="003E77FA">
        <w:rPr>
          <w:sz w:val="20"/>
          <w:szCs w:val="20"/>
        </w:rPr>
        <w:t>, FS.</w:t>
      </w:r>
    </w:p>
    <w:p w:rsidR="003E77FA" w:rsidRPr="003E77FA" w:rsidRDefault="003E77FA" w:rsidP="003E77FA">
      <w:pPr>
        <w:spacing w:line="264" w:lineRule="auto"/>
        <w:jc w:val="both"/>
        <w:rPr>
          <w:sz w:val="20"/>
          <w:szCs w:val="20"/>
        </w:rPr>
      </w:pPr>
      <w:r w:rsidRPr="003E77FA">
        <w:rPr>
          <w:sz w:val="20"/>
          <w:szCs w:val="20"/>
        </w:rPr>
        <w:t>IF REQUESTED WITHIN 21 DAYS OF THE DATE OF THIS NOTICE, A HEARING WILL BE SCHEDULED AND ANNOUNCED IN THE FAR.</w:t>
      </w:r>
    </w:p>
    <w:p w:rsidR="003E77FA" w:rsidRPr="003E77FA" w:rsidRDefault="003E77FA" w:rsidP="003E77FA">
      <w:pPr>
        <w:spacing w:line="264" w:lineRule="auto"/>
        <w:jc w:val="both"/>
        <w:rPr>
          <w:sz w:val="20"/>
          <w:szCs w:val="20"/>
        </w:rPr>
      </w:pPr>
      <w:r w:rsidRPr="003E77FA">
        <w:rPr>
          <w:sz w:val="20"/>
          <w:szCs w:val="20"/>
        </w:rPr>
        <w:t>THE PERSON TO BE CONTACTED REGARDING THE PROPOSED RULE IS: Adria Harper, Office of General Counsel, 2540 Shumard Oak Blvd., Tallahassee, FL 32399-0850, (850)413-6082, aharper@psc.state.fl.us</w:t>
      </w:r>
    </w:p>
    <w:p w:rsidR="003E77FA" w:rsidRPr="003E77FA" w:rsidRDefault="003E77FA" w:rsidP="003E77FA">
      <w:pPr>
        <w:spacing w:line="264" w:lineRule="auto"/>
        <w:jc w:val="both"/>
        <w:rPr>
          <w:sz w:val="20"/>
          <w:szCs w:val="20"/>
        </w:rPr>
      </w:pPr>
    </w:p>
    <w:p w:rsidR="003E77FA" w:rsidRPr="003E77FA" w:rsidRDefault="003E77FA" w:rsidP="003E77FA">
      <w:pPr>
        <w:spacing w:line="264" w:lineRule="auto"/>
        <w:jc w:val="both"/>
        <w:rPr>
          <w:sz w:val="20"/>
          <w:szCs w:val="20"/>
        </w:rPr>
      </w:pPr>
      <w:r w:rsidRPr="003E77FA">
        <w:rPr>
          <w:sz w:val="20"/>
          <w:szCs w:val="20"/>
        </w:rPr>
        <w:lastRenderedPageBreak/>
        <w:t>THE FULL TEXT OF THE PROPOSED RULE IS:</w:t>
      </w:r>
    </w:p>
    <w:p w:rsidR="003E77FA" w:rsidRPr="003E77FA" w:rsidRDefault="003E77FA" w:rsidP="003E77FA">
      <w:pPr>
        <w:spacing w:line="264" w:lineRule="auto"/>
        <w:jc w:val="both"/>
        <w:rPr>
          <w:sz w:val="20"/>
          <w:szCs w:val="20"/>
        </w:rPr>
      </w:pPr>
    </w:p>
    <w:p w:rsidR="003E77FA" w:rsidRPr="003E77FA" w:rsidRDefault="003E77FA" w:rsidP="003E77FA">
      <w:pPr>
        <w:widowControl w:val="0"/>
        <w:spacing w:line="264" w:lineRule="auto"/>
        <w:ind w:firstLine="360"/>
        <w:jc w:val="both"/>
        <w:rPr>
          <w:sz w:val="20"/>
          <w:szCs w:val="20"/>
        </w:rPr>
      </w:pPr>
      <w:r w:rsidRPr="003E77FA">
        <w:rPr>
          <w:sz w:val="20"/>
          <w:szCs w:val="20"/>
        </w:rPr>
        <w:t>25-12.005 Codes and Standards Adopted.</w:t>
      </w:r>
    </w:p>
    <w:p w:rsidR="003E77FA" w:rsidRPr="003E77FA" w:rsidRDefault="003E77FA" w:rsidP="003E77FA">
      <w:pPr>
        <w:widowControl w:val="0"/>
        <w:spacing w:line="264" w:lineRule="auto"/>
        <w:jc w:val="both"/>
        <w:rPr>
          <w:sz w:val="20"/>
          <w:szCs w:val="20"/>
        </w:rPr>
      </w:pPr>
      <w:r w:rsidRPr="003E77FA">
        <w:rPr>
          <w:sz w:val="20"/>
          <w:szCs w:val="20"/>
        </w:rPr>
        <w:t xml:space="preserve">The Minimum Federal Safety Standards and reporting requirements for pipeline facilities and transportation of gas prescribed by the Pipeline and Hazardous Materials Safety Administration in 49 C.F.R. 191 and 192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are adopted and incorporated by reference as part of these rules. 49 C.F.R. 191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may be accessed at </w:t>
      </w:r>
      <w:r w:rsidRPr="003E77FA">
        <w:rPr>
          <w:sz w:val="20"/>
          <w:szCs w:val="20"/>
          <w:u w:val="single"/>
        </w:rPr>
        <w:t>[Dept. of State hyperlink]</w:t>
      </w:r>
      <w:r w:rsidRPr="003E77FA">
        <w:rPr>
          <w:sz w:val="20"/>
          <w:szCs w:val="20"/>
        </w:rPr>
        <w:t xml:space="preserve"> </w:t>
      </w:r>
      <w:hyperlink r:id="rId30" w:history="1">
        <w:r w:rsidRPr="003E77FA">
          <w:rPr>
            <w:strike/>
            <w:sz w:val="20"/>
            <w:szCs w:val="20"/>
            <w:u w:val="single"/>
          </w:rPr>
          <w:t>http://www.flrules.org/Gateway/reference.asp?No=Ref-01534</w:t>
        </w:r>
      </w:hyperlink>
      <w:r w:rsidRPr="003E77FA">
        <w:rPr>
          <w:sz w:val="20"/>
          <w:szCs w:val="20"/>
        </w:rPr>
        <w:t xml:space="preserve">. 49 C.F.R. 192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may be accessed at </w:t>
      </w:r>
      <w:r w:rsidRPr="003E77FA">
        <w:rPr>
          <w:sz w:val="20"/>
          <w:szCs w:val="20"/>
          <w:u w:val="single"/>
        </w:rPr>
        <w:t>[Dept. of State hyperlink]</w:t>
      </w:r>
      <w:r w:rsidRPr="003E77FA">
        <w:rPr>
          <w:sz w:val="20"/>
          <w:szCs w:val="20"/>
        </w:rPr>
        <w:t xml:space="preserve">  </w:t>
      </w:r>
      <w:hyperlink r:id="rId31" w:history="1">
        <w:r w:rsidRPr="003E77FA">
          <w:rPr>
            <w:strike/>
            <w:sz w:val="20"/>
            <w:szCs w:val="20"/>
            <w:u w:val="single"/>
          </w:rPr>
          <w:t>http://www.flrules.org/Gateway/reference.asp?No=Ref-01535</w:t>
        </w:r>
      </w:hyperlink>
      <w:r w:rsidRPr="003E77FA">
        <w:rPr>
          <w:sz w:val="20"/>
          <w:szCs w:val="20"/>
        </w:rPr>
        <w:t xml:space="preserve">. 49 C.F.R. 199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 49 C.F.R. 199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may be accessed at </w:t>
      </w:r>
      <w:r w:rsidRPr="003E77FA">
        <w:rPr>
          <w:sz w:val="20"/>
          <w:szCs w:val="20"/>
          <w:u w:val="single"/>
        </w:rPr>
        <w:t>[Dept. of State hyperlink]</w:t>
      </w:r>
      <w:r w:rsidRPr="003E77FA">
        <w:rPr>
          <w:sz w:val="20"/>
          <w:szCs w:val="20"/>
        </w:rPr>
        <w:t xml:space="preserve"> </w:t>
      </w:r>
      <w:hyperlink r:id="rId32" w:history="1">
        <w:r w:rsidRPr="003E77FA">
          <w:rPr>
            <w:strike/>
            <w:sz w:val="20"/>
            <w:szCs w:val="20"/>
          </w:rPr>
          <w:t>http://www.flrules.org/Gateway/reference.asp?No=Ref-01537</w:t>
        </w:r>
      </w:hyperlink>
      <w:r w:rsidRPr="003E77FA">
        <w:rPr>
          <w:sz w:val="20"/>
          <w:szCs w:val="20"/>
        </w:rPr>
        <w:t>. Part 199 also is adopted to prescribe standards for use of employees who do not meet the requirements of the regulations.</w:t>
      </w:r>
    </w:p>
    <w:p w:rsidR="003E77FA" w:rsidRPr="003E77FA" w:rsidRDefault="003E77FA" w:rsidP="003E77FA">
      <w:pPr>
        <w:widowControl w:val="0"/>
        <w:spacing w:line="264" w:lineRule="auto"/>
        <w:jc w:val="both"/>
        <w:rPr>
          <w:sz w:val="18"/>
          <w:szCs w:val="20"/>
        </w:rPr>
      </w:pPr>
      <w:r w:rsidRPr="003E77FA">
        <w:rPr>
          <w:i/>
          <w:sz w:val="18"/>
          <w:szCs w:val="20"/>
        </w:rPr>
        <w:t>Rulemaking Authority 368.03, 368.05(2), 350.127(2) FS. Law Implemented 368.03, 368.05 FS. History–New 11-14-70, Amended 9-24-71, 9-21-74, 10-7-75, 11-30-82, 10-2-84, Formerly 25-12.05, Amended 8-8-89, 1-7-92, 5-13-99, 4-26-01, 12-15-09, 10-11-12</w:t>
      </w:r>
      <w:r w:rsidRPr="003E77FA">
        <w:rPr>
          <w:i/>
          <w:sz w:val="18"/>
          <w:szCs w:val="20"/>
          <w:u w:val="single"/>
        </w:rPr>
        <w:t>,_</w:t>
      </w:r>
      <w:r w:rsidRPr="003E77FA">
        <w:rPr>
          <w:i/>
          <w:sz w:val="18"/>
          <w:szCs w:val="20"/>
        </w:rPr>
        <w:t>________.</w:t>
      </w:r>
    </w:p>
    <w:p w:rsidR="003E77FA" w:rsidRPr="003E77FA" w:rsidRDefault="003E77FA" w:rsidP="003E77FA">
      <w:pPr>
        <w:widowControl w:val="0"/>
        <w:spacing w:line="264" w:lineRule="auto"/>
        <w:jc w:val="both"/>
        <w:rPr>
          <w:sz w:val="20"/>
          <w:szCs w:val="20"/>
        </w:rPr>
      </w:pPr>
      <w:r w:rsidRPr="003E77FA">
        <w:rPr>
          <w:sz w:val="20"/>
          <w:szCs w:val="20"/>
        </w:rPr>
        <w:t> </w:t>
      </w:r>
    </w:p>
    <w:p w:rsidR="003E77FA" w:rsidRPr="003E77FA" w:rsidRDefault="003E77FA" w:rsidP="003E77FA">
      <w:pPr>
        <w:spacing w:line="264" w:lineRule="auto"/>
        <w:ind w:firstLine="360"/>
        <w:jc w:val="both"/>
        <w:rPr>
          <w:sz w:val="20"/>
          <w:szCs w:val="20"/>
        </w:rPr>
      </w:pPr>
      <w:r w:rsidRPr="003E77FA">
        <w:rPr>
          <w:sz w:val="20"/>
          <w:szCs w:val="20"/>
        </w:rPr>
        <w:t>25-12.008 New, Reconstructed or Converted Facilities.</w:t>
      </w:r>
    </w:p>
    <w:p w:rsidR="003E77FA" w:rsidRPr="003E77FA" w:rsidRDefault="003E77FA" w:rsidP="003E77FA">
      <w:pPr>
        <w:spacing w:line="264" w:lineRule="auto"/>
        <w:ind w:firstLine="360"/>
        <w:jc w:val="both"/>
        <w:rPr>
          <w:sz w:val="20"/>
          <w:szCs w:val="20"/>
        </w:rPr>
      </w:pPr>
      <w:r w:rsidRPr="003E77FA">
        <w:rPr>
          <w:sz w:val="20"/>
          <w:szCs w:val="20"/>
        </w:rPr>
        <w:t>(1) No change.</w:t>
      </w:r>
    </w:p>
    <w:p w:rsidR="003E77FA" w:rsidRPr="003E77FA" w:rsidRDefault="003E77FA" w:rsidP="003E77FA">
      <w:pPr>
        <w:spacing w:line="264" w:lineRule="auto"/>
        <w:ind w:firstLine="360"/>
        <w:jc w:val="both"/>
        <w:rPr>
          <w:sz w:val="20"/>
          <w:szCs w:val="20"/>
        </w:rPr>
      </w:pPr>
      <w:r w:rsidRPr="003E77FA">
        <w:rPr>
          <w:sz w:val="20"/>
          <w:szCs w:val="20"/>
        </w:rPr>
        <w:t>(2) No change.</w:t>
      </w:r>
    </w:p>
    <w:p w:rsidR="003E77FA" w:rsidRPr="003E77FA" w:rsidRDefault="003E77FA" w:rsidP="003E77FA">
      <w:pPr>
        <w:spacing w:line="264" w:lineRule="auto"/>
        <w:ind w:firstLine="360"/>
        <w:jc w:val="both"/>
        <w:rPr>
          <w:sz w:val="20"/>
          <w:szCs w:val="20"/>
        </w:rPr>
      </w:pPr>
      <w:r w:rsidRPr="003E77FA">
        <w:rPr>
          <w:sz w:val="20"/>
          <w:szCs w:val="20"/>
        </w:rPr>
        <w:t xml:space="preserve">(c) Have </w:t>
      </w:r>
      <w:r w:rsidRPr="003E77FA">
        <w:rPr>
          <w:strike/>
          <w:sz w:val="20"/>
          <w:szCs w:val="20"/>
        </w:rPr>
        <w:t>sufficient</w:t>
      </w:r>
      <w:r w:rsidRPr="003E77FA">
        <w:rPr>
          <w:sz w:val="20"/>
          <w:szCs w:val="20"/>
        </w:rPr>
        <w:t xml:space="preserve"> inspections performed of the pipeline to assure that it was constructed in accordance with standards applicable at the time of installation. Visual inspection of the underground facilities </w:t>
      </w:r>
      <w:r w:rsidRPr="003E77FA">
        <w:rPr>
          <w:strike/>
          <w:sz w:val="20"/>
          <w:szCs w:val="20"/>
        </w:rPr>
        <w:t>may</w:t>
      </w:r>
      <w:r w:rsidRPr="003E77FA">
        <w:rPr>
          <w:sz w:val="20"/>
          <w:szCs w:val="20"/>
        </w:rPr>
        <w:t xml:space="preserve"> </w:t>
      </w:r>
      <w:r w:rsidRPr="003E77FA">
        <w:rPr>
          <w:sz w:val="20"/>
          <w:szCs w:val="20"/>
          <w:u w:val="single"/>
        </w:rPr>
        <w:t>will</w:t>
      </w:r>
      <w:r w:rsidRPr="003E77FA">
        <w:rPr>
          <w:sz w:val="20"/>
          <w:szCs w:val="20"/>
        </w:rPr>
        <w:t xml:space="preserve"> not be required if </w:t>
      </w:r>
      <w:r w:rsidRPr="003E77FA">
        <w:rPr>
          <w:strike/>
          <w:sz w:val="20"/>
          <w:szCs w:val="20"/>
        </w:rPr>
        <w:t>adequate</w:t>
      </w:r>
      <w:r w:rsidRPr="003E77FA">
        <w:rPr>
          <w:sz w:val="20"/>
          <w:szCs w:val="20"/>
        </w:rPr>
        <w:t xml:space="preserve"> construction and testing records have been maintained.</w:t>
      </w:r>
    </w:p>
    <w:p w:rsidR="003E77FA" w:rsidRPr="003E77FA" w:rsidRDefault="003E77FA" w:rsidP="003E77FA">
      <w:pPr>
        <w:spacing w:line="264" w:lineRule="auto"/>
        <w:ind w:firstLine="360"/>
        <w:jc w:val="both"/>
        <w:rPr>
          <w:sz w:val="20"/>
          <w:szCs w:val="20"/>
        </w:rPr>
      </w:pPr>
      <w:r w:rsidRPr="003E77FA">
        <w:rPr>
          <w:sz w:val="20"/>
          <w:szCs w:val="20"/>
        </w:rPr>
        <w:t>(d) No change.</w:t>
      </w:r>
    </w:p>
    <w:p w:rsidR="003E77FA" w:rsidRPr="003E77FA" w:rsidRDefault="003E77FA" w:rsidP="003E77FA">
      <w:pPr>
        <w:spacing w:line="264" w:lineRule="auto"/>
        <w:ind w:firstLine="360"/>
        <w:jc w:val="both"/>
        <w:rPr>
          <w:sz w:val="20"/>
          <w:szCs w:val="20"/>
        </w:rPr>
      </w:pPr>
      <w:r w:rsidRPr="003E77FA">
        <w:rPr>
          <w:sz w:val="20"/>
          <w:szCs w:val="20"/>
        </w:rPr>
        <w:t xml:space="preserve">(e) Establish the maximum allowable operating pressure no greater than the highest sustained operating pressure during the 5 years prior to conversion unless it was tested or uprated after July 1, 1970 in accordance with the Subparts J or K of 49 C.F.R. 192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w:t>
      </w:r>
      <w:r w:rsidRPr="003E77FA">
        <w:rPr>
          <w:sz w:val="20"/>
          <w:szCs w:val="20"/>
          <w:u w:val="single"/>
        </w:rPr>
        <w:t>as adopted in Rule 25-12.005, F.A.C</w:t>
      </w:r>
      <w:r w:rsidRPr="003E77FA">
        <w:rPr>
          <w:sz w:val="20"/>
          <w:szCs w:val="20"/>
        </w:rPr>
        <w:t>.</w:t>
      </w:r>
    </w:p>
    <w:p w:rsidR="003E77FA" w:rsidRPr="003E77FA" w:rsidRDefault="003E77FA" w:rsidP="003E77FA">
      <w:pPr>
        <w:spacing w:line="264" w:lineRule="auto"/>
        <w:ind w:firstLine="360"/>
        <w:jc w:val="both"/>
        <w:rPr>
          <w:sz w:val="20"/>
          <w:szCs w:val="20"/>
        </w:rPr>
      </w:pPr>
      <w:r w:rsidRPr="003E77FA">
        <w:rPr>
          <w:sz w:val="20"/>
          <w:szCs w:val="20"/>
        </w:rPr>
        <w:t>(f) No change.</w:t>
      </w:r>
    </w:p>
    <w:p w:rsidR="003E77FA" w:rsidRPr="003E77FA" w:rsidRDefault="003E77FA" w:rsidP="003E77FA">
      <w:pPr>
        <w:spacing w:line="264" w:lineRule="auto"/>
        <w:ind w:firstLine="360"/>
        <w:jc w:val="both"/>
        <w:rPr>
          <w:sz w:val="20"/>
          <w:szCs w:val="20"/>
        </w:rPr>
      </w:pPr>
      <w:r w:rsidRPr="003E77FA">
        <w:rPr>
          <w:sz w:val="20"/>
          <w:szCs w:val="20"/>
        </w:rPr>
        <w:t xml:space="preserve">(g) Determine areas of active corrosion as required by </w:t>
      </w:r>
      <w:r w:rsidRPr="003E77FA">
        <w:rPr>
          <w:sz w:val="20"/>
          <w:szCs w:val="20"/>
          <w:u w:val="single"/>
        </w:rPr>
        <w:t>Subpart I of</w:t>
      </w:r>
      <w:r w:rsidRPr="003E77FA">
        <w:rPr>
          <w:sz w:val="20"/>
          <w:szCs w:val="20"/>
        </w:rPr>
        <w:t xml:space="preserve"> 49 C.F.R. 192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and these rules. Required cathodic protection must be accomplished within 1 year after the date of conversion except that buried steel tubing must be protected prior to placing the system into operation.</w:t>
      </w:r>
    </w:p>
    <w:p w:rsidR="003E77FA" w:rsidRPr="003E77FA" w:rsidRDefault="003E77FA" w:rsidP="003E77FA">
      <w:pPr>
        <w:spacing w:line="264" w:lineRule="auto"/>
        <w:jc w:val="both"/>
        <w:rPr>
          <w:sz w:val="18"/>
          <w:szCs w:val="20"/>
        </w:rPr>
      </w:pPr>
      <w:r w:rsidRPr="003E77FA">
        <w:rPr>
          <w:i/>
          <w:sz w:val="18"/>
          <w:szCs w:val="20"/>
        </w:rPr>
        <w:t>Rulemaking Authority 350.127(2), 368.03, 368.05(2) FS. Law Implemented 368.03, 368.05(2) FS. History–New 11-14-70, Amended 9-21-74, 10-7-75, 10-2-84, Formerly 25-12.08, Amended 12-15-09, 10-11-12, ___________.</w:t>
      </w:r>
    </w:p>
    <w:p w:rsidR="003E77FA" w:rsidRPr="003E77FA" w:rsidRDefault="003E77FA" w:rsidP="003E77FA">
      <w:pPr>
        <w:spacing w:line="264" w:lineRule="auto"/>
        <w:jc w:val="both"/>
        <w:rPr>
          <w:sz w:val="20"/>
          <w:szCs w:val="20"/>
        </w:rPr>
      </w:pPr>
      <w:r w:rsidRPr="003E77FA">
        <w:rPr>
          <w:sz w:val="20"/>
          <w:szCs w:val="20"/>
        </w:rPr>
        <w:t> </w:t>
      </w:r>
    </w:p>
    <w:p w:rsidR="003E77FA" w:rsidRPr="003E77FA" w:rsidRDefault="003E77FA" w:rsidP="003E77FA">
      <w:pPr>
        <w:spacing w:line="264" w:lineRule="auto"/>
        <w:ind w:firstLine="360"/>
        <w:jc w:val="both"/>
        <w:rPr>
          <w:sz w:val="20"/>
          <w:szCs w:val="20"/>
        </w:rPr>
      </w:pPr>
      <w:r w:rsidRPr="003E77FA">
        <w:rPr>
          <w:sz w:val="20"/>
          <w:szCs w:val="20"/>
        </w:rPr>
        <w:t>25-12.022 Requirements for Distribution System Valves.</w:t>
      </w:r>
    </w:p>
    <w:p w:rsidR="003E77FA" w:rsidRPr="003E77FA" w:rsidRDefault="003E77FA" w:rsidP="003E77FA">
      <w:pPr>
        <w:spacing w:line="264" w:lineRule="auto"/>
        <w:ind w:firstLine="360"/>
        <w:jc w:val="both"/>
        <w:rPr>
          <w:sz w:val="20"/>
          <w:szCs w:val="20"/>
        </w:rPr>
      </w:pPr>
      <w:r w:rsidRPr="003E77FA">
        <w:rPr>
          <w:sz w:val="20"/>
          <w:szCs w:val="20"/>
        </w:rPr>
        <w:t>(1) No change.</w:t>
      </w:r>
    </w:p>
    <w:p w:rsidR="003E77FA" w:rsidRPr="003E77FA" w:rsidRDefault="003E77FA" w:rsidP="003E77FA">
      <w:pPr>
        <w:spacing w:line="264" w:lineRule="auto"/>
        <w:ind w:firstLine="360"/>
        <w:jc w:val="both"/>
        <w:rPr>
          <w:sz w:val="20"/>
          <w:szCs w:val="20"/>
        </w:rPr>
      </w:pPr>
      <w:r w:rsidRPr="003E77FA">
        <w:rPr>
          <w:sz w:val="20"/>
          <w:szCs w:val="20"/>
        </w:rPr>
        <w:t>(2) No change.</w:t>
      </w:r>
    </w:p>
    <w:p w:rsidR="003E77FA" w:rsidRPr="003E77FA" w:rsidRDefault="003E77FA" w:rsidP="003E77FA">
      <w:pPr>
        <w:spacing w:line="264" w:lineRule="auto"/>
        <w:ind w:firstLine="360"/>
        <w:jc w:val="both"/>
        <w:rPr>
          <w:sz w:val="20"/>
          <w:szCs w:val="20"/>
        </w:rPr>
      </w:pPr>
      <w:r w:rsidRPr="003E77FA">
        <w:rPr>
          <w:sz w:val="20"/>
          <w:szCs w:val="20"/>
        </w:rPr>
        <w:t>(a) No change.</w:t>
      </w:r>
    </w:p>
    <w:p w:rsidR="003E77FA" w:rsidRPr="003E77FA" w:rsidRDefault="003E77FA" w:rsidP="003E77FA">
      <w:pPr>
        <w:spacing w:line="264" w:lineRule="auto"/>
        <w:ind w:firstLine="360"/>
        <w:jc w:val="both"/>
        <w:rPr>
          <w:sz w:val="20"/>
          <w:szCs w:val="20"/>
        </w:rPr>
      </w:pPr>
      <w:r w:rsidRPr="003E77FA">
        <w:rPr>
          <w:sz w:val="20"/>
          <w:szCs w:val="20"/>
        </w:rPr>
        <w:t xml:space="preserve">(b) Size of area and population density between valves required to isolate the area </w:t>
      </w:r>
      <w:r w:rsidRPr="003E77FA">
        <w:rPr>
          <w:sz w:val="20"/>
          <w:szCs w:val="20"/>
          <w:u w:val="single"/>
        </w:rPr>
        <w:t>and</w:t>
      </w:r>
      <w:r w:rsidRPr="003E77FA">
        <w:rPr>
          <w:sz w:val="20"/>
          <w:szCs w:val="20"/>
        </w:rPr>
        <w:t xml:space="preserve"> </w:t>
      </w:r>
      <w:r w:rsidRPr="003E77FA">
        <w:rPr>
          <w:strike/>
          <w:sz w:val="20"/>
          <w:szCs w:val="20"/>
        </w:rPr>
        <w:t>as well as</w:t>
      </w:r>
      <w:r w:rsidRPr="003E77FA">
        <w:rPr>
          <w:sz w:val="20"/>
          <w:szCs w:val="20"/>
        </w:rPr>
        <w:t xml:space="preserve"> the accessibility of the required valves.</w:t>
      </w:r>
    </w:p>
    <w:p w:rsidR="003E77FA" w:rsidRPr="003E77FA" w:rsidRDefault="003E77FA" w:rsidP="003E77FA">
      <w:pPr>
        <w:spacing w:line="264" w:lineRule="auto"/>
        <w:ind w:firstLine="360"/>
        <w:jc w:val="both"/>
        <w:rPr>
          <w:sz w:val="20"/>
          <w:szCs w:val="20"/>
        </w:rPr>
      </w:pPr>
      <w:r w:rsidRPr="003E77FA">
        <w:rPr>
          <w:sz w:val="20"/>
          <w:szCs w:val="20"/>
        </w:rPr>
        <w:t>(c) through (d) No change.</w:t>
      </w:r>
    </w:p>
    <w:p w:rsidR="003E77FA" w:rsidRPr="003E77FA" w:rsidRDefault="003E77FA" w:rsidP="003E77FA">
      <w:pPr>
        <w:spacing w:line="264" w:lineRule="auto"/>
        <w:ind w:firstLine="360"/>
        <w:jc w:val="both"/>
        <w:rPr>
          <w:sz w:val="20"/>
          <w:szCs w:val="20"/>
        </w:rPr>
      </w:pPr>
      <w:r w:rsidRPr="003E77FA">
        <w:rPr>
          <w:sz w:val="20"/>
          <w:szCs w:val="20"/>
        </w:rPr>
        <w:t>(e) The number and type of customers, such as hospitals, schools, commercial, and industrial loads</w:t>
      </w:r>
      <w:r w:rsidRPr="003E77FA">
        <w:rPr>
          <w:strike/>
          <w:sz w:val="20"/>
          <w:szCs w:val="20"/>
        </w:rPr>
        <w:t>, etc.,</w:t>
      </w:r>
      <w:r w:rsidRPr="003E77FA">
        <w:rPr>
          <w:sz w:val="20"/>
          <w:szCs w:val="20"/>
        </w:rPr>
        <w:t xml:space="preserve"> that will be affected.</w:t>
      </w:r>
    </w:p>
    <w:p w:rsidR="003E77FA" w:rsidRPr="003E77FA" w:rsidRDefault="003E77FA" w:rsidP="003E77FA">
      <w:pPr>
        <w:spacing w:line="264" w:lineRule="auto"/>
        <w:ind w:firstLine="360"/>
        <w:jc w:val="both"/>
        <w:rPr>
          <w:sz w:val="20"/>
          <w:szCs w:val="20"/>
        </w:rPr>
      </w:pPr>
      <w:r w:rsidRPr="003E77FA">
        <w:rPr>
          <w:sz w:val="20"/>
          <w:szCs w:val="20"/>
        </w:rPr>
        <w:t xml:space="preserve">(3) Identification – </w:t>
      </w:r>
      <w:r w:rsidRPr="003E77FA">
        <w:rPr>
          <w:sz w:val="20"/>
          <w:szCs w:val="20"/>
          <w:u w:val="single"/>
        </w:rPr>
        <w:t>Emergency or s</w:t>
      </w:r>
      <w:r w:rsidRPr="003E77FA">
        <w:rPr>
          <w:strike/>
          <w:sz w:val="20"/>
          <w:szCs w:val="20"/>
        </w:rPr>
        <w:t>S</w:t>
      </w:r>
      <w:r w:rsidRPr="003E77FA">
        <w:rPr>
          <w:sz w:val="20"/>
          <w:szCs w:val="20"/>
        </w:rPr>
        <w:t xml:space="preserve">ectionalizing and other critical valves shall be designated on appropriate records, drawings or maps used by the operator and shall be referenced to “permanent” aboveground structures or other field ties so the valves can be readily located. </w:t>
      </w:r>
      <w:r w:rsidRPr="003E77FA">
        <w:rPr>
          <w:sz w:val="20"/>
          <w:szCs w:val="20"/>
          <w:u w:val="single"/>
        </w:rPr>
        <w:t>The centerline of the road or highway, property line, or right-of-way may be used as one of the referenced structures.</w:t>
      </w:r>
      <w:r w:rsidRPr="003E77FA">
        <w:rPr>
          <w:sz w:val="20"/>
          <w:szCs w:val="20"/>
        </w:rPr>
        <w:t xml:space="preserve"> The valve installation and all records showing these valves </w:t>
      </w:r>
      <w:r w:rsidRPr="003E77FA">
        <w:rPr>
          <w:sz w:val="20"/>
          <w:szCs w:val="20"/>
        </w:rPr>
        <w:lastRenderedPageBreak/>
        <w:t>must be marked for prompt identification using any logical designating system. The valve marking must be accomplished using a durable tag or other equivalent means located as follows:</w:t>
      </w:r>
    </w:p>
    <w:p w:rsidR="003E77FA" w:rsidRPr="003E77FA" w:rsidRDefault="003E77FA" w:rsidP="003E77FA">
      <w:pPr>
        <w:spacing w:line="264" w:lineRule="auto"/>
        <w:ind w:firstLine="360"/>
        <w:jc w:val="both"/>
        <w:rPr>
          <w:sz w:val="20"/>
          <w:szCs w:val="20"/>
        </w:rPr>
      </w:pPr>
      <w:r w:rsidRPr="003E77FA">
        <w:rPr>
          <w:sz w:val="20"/>
          <w:szCs w:val="20"/>
        </w:rPr>
        <w:t>(a) No change.</w:t>
      </w:r>
    </w:p>
    <w:p w:rsidR="003E77FA" w:rsidRPr="003E77FA" w:rsidRDefault="003E77FA" w:rsidP="003E77FA">
      <w:pPr>
        <w:spacing w:line="264" w:lineRule="auto"/>
        <w:ind w:firstLine="360"/>
        <w:jc w:val="both"/>
        <w:rPr>
          <w:sz w:val="20"/>
          <w:szCs w:val="20"/>
        </w:rPr>
      </w:pPr>
      <w:r w:rsidRPr="003E77FA">
        <w:rPr>
          <w:sz w:val="20"/>
          <w:szCs w:val="20"/>
        </w:rPr>
        <w:t xml:space="preserve">(b) For buried valves or valves operated by a key wrench, the marking shall </w:t>
      </w:r>
      <w:r w:rsidRPr="003E77FA">
        <w:rPr>
          <w:sz w:val="20"/>
          <w:szCs w:val="20"/>
          <w:u w:val="single"/>
        </w:rPr>
        <w:t>be legible and may be on any type of permanent material placed</w:t>
      </w:r>
      <w:r w:rsidRPr="003E77FA">
        <w:rPr>
          <w:sz w:val="20"/>
          <w:szCs w:val="20"/>
        </w:rPr>
        <w:t xml:space="preserve"> </w:t>
      </w:r>
      <w:r w:rsidRPr="003E77FA">
        <w:rPr>
          <w:strike/>
          <w:sz w:val="20"/>
          <w:szCs w:val="20"/>
        </w:rPr>
        <w:t>appear</w:t>
      </w:r>
      <w:r w:rsidRPr="003E77FA">
        <w:rPr>
          <w:sz w:val="20"/>
          <w:szCs w:val="20"/>
        </w:rPr>
        <w:t xml:space="preserve"> in a visible location </w:t>
      </w:r>
      <w:r w:rsidRPr="003E77FA">
        <w:rPr>
          <w:strike/>
          <w:sz w:val="20"/>
          <w:szCs w:val="20"/>
        </w:rPr>
        <w:t>on the</w:t>
      </w:r>
      <w:r w:rsidRPr="003E77FA">
        <w:rPr>
          <w:sz w:val="20"/>
          <w:szCs w:val="20"/>
        </w:rPr>
        <w:t xml:space="preserve"> inside of the curb box or standpipe where the cover will not abrade the marking. </w:t>
      </w:r>
      <w:r w:rsidRPr="003E77FA">
        <w:rPr>
          <w:sz w:val="20"/>
          <w:szCs w:val="20"/>
          <w:u w:val="single"/>
        </w:rPr>
        <w:t>Marking the cover only is not acceptable.</w:t>
      </w:r>
    </w:p>
    <w:p w:rsidR="003E77FA" w:rsidRPr="003E77FA" w:rsidRDefault="003E77FA" w:rsidP="003E77FA">
      <w:pPr>
        <w:spacing w:line="264" w:lineRule="auto"/>
        <w:ind w:firstLine="360"/>
        <w:jc w:val="both"/>
        <w:rPr>
          <w:sz w:val="20"/>
          <w:szCs w:val="20"/>
        </w:rPr>
      </w:pPr>
      <w:r w:rsidRPr="003E77FA">
        <w:rPr>
          <w:sz w:val="20"/>
          <w:szCs w:val="20"/>
        </w:rPr>
        <w:t>(4) No change.</w:t>
      </w:r>
    </w:p>
    <w:p w:rsidR="003E77FA" w:rsidRPr="003E77FA" w:rsidRDefault="003E77FA" w:rsidP="003E77FA">
      <w:pPr>
        <w:spacing w:line="264" w:lineRule="auto"/>
        <w:ind w:firstLine="360"/>
        <w:jc w:val="both"/>
        <w:rPr>
          <w:sz w:val="20"/>
          <w:szCs w:val="20"/>
        </w:rPr>
      </w:pPr>
      <w:r w:rsidRPr="003E77FA">
        <w:rPr>
          <w:sz w:val="20"/>
          <w:szCs w:val="20"/>
        </w:rPr>
        <w:t>(a) through (c) No change.</w:t>
      </w:r>
    </w:p>
    <w:p w:rsidR="003E77FA" w:rsidRPr="003E77FA" w:rsidRDefault="003E77FA" w:rsidP="003E77FA">
      <w:pPr>
        <w:spacing w:line="264" w:lineRule="auto"/>
        <w:ind w:firstLine="360"/>
        <w:jc w:val="both"/>
        <w:rPr>
          <w:sz w:val="20"/>
          <w:szCs w:val="20"/>
        </w:rPr>
      </w:pPr>
      <w:r w:rsidRPr="003E77FA">
        <w:rPr>
          <w:sz w:val="20"/>
          <w:szCs w:val="20"/>
        </w:rPr>
        <w:t xml:space="preserve">(5) All the sectionalizing </w:t>
      </w:r>
      <w:r w:rsidRPr="003E77FA">
        <w:rPr>
          <w:sz w:val="20"/>
          <w:szCs w:val="20"/>
          <w:u w:val="single"/>
        </w:rPr>
        <w:t>or emergency</w:t>
      </w:r>
      <w:r w:rsidRPr="003E77FA">
        <w:rPr>
          <w:sz w:val="20"/>
          <w:szCs w:val="20"/>
        </w:rPr>
        <w:t xml:space="preserve"> valves which may be necessary for the safe operation of the system must be inspected and maintenance performed to assure location, access and operating ability at intervals not exceeding 15 months but at least each calendar year.</w:t>
      </w:r>
    </w:p>
    <w:p w:rsidR="003E77FA" w:rsidRPr="003E77FA" w:rsidRDefault="003E77FA" w:rsidP="003E77FA">
      <w:pPr>
        <w:spacing w:line="264" w:lineRule="auto"/>
        <w:jc w:val="both"/>
        <w:rPr>
          <w:sz w:val="18"/>
          <w:szCs w:val="20"/>
        </w:rPr>
      </w:pPr>
      <w:r w:rsidRPr="003E77FA">
        <w:rPr>
          <w:i/>
          <w:sz w:val="18"/>
          <w:szCs w:val="20"/>
        </w:rPr>
        <w:t>Rulemaking Authority 368.05(2) FS. Law Implemented 368.05(2) FS. History–New 9-21-74, Amended 10-7-75, 10-2-84, Formerly 25-12.22, Amended 12-15-09,_________.</w:t>
      </w:r>
    </w:p>
    <w:p w:rsidR="003E77FA" w:rsidRPr="003E77FA" w:rsidRDefault="003E77FA" w:rsidP="003E77FA">
      <w:pPr>
        <w:spacing w:line="264" w:lineRule="auto"/>
        <w:jc w:val="both"/>
        <w:rPr>
          <w:sz w:val="20"/>
          <w:szCs w:val="20"/>
        </w:rPr>
      </w:pPr>
      <w:r w:rsidRPr="003E77FA">
        <w:rPr>
          <w:i/>
          <w:sz w:val="20"/>
          <w:szCs w:val="20"/>
        </w:rPr>
        <w:t> </w:t>
      </w:r>
    </w:p>
    <w:p w:rsidR="003E77FA" w:rsidRPr="003E77FA" w:rsidRDefault="003E77FA" w:rsidP="003E77FA">
      <w:pPr>
        <w:spacing w:line="264" w:lineRule="auto"/>
        <w:ind w:firstLine="360"/>
        <w:jc w:val="both"/>
        <w:rPr>
          <w:sz w:val="20"/>
          <w:szCs w:val="20"/>
        </w:rPr>
      </w:pPr>
      <w:r w:rsidRPr="003E77FA">
        <w:rPr>
          <w:sz w:val="20"/>
          <w:szCs w:val="20"/>
        </w:rPr>
        <w:t>25-12.027 Welder Qualification.</w:t>
      </w:r>
    </w:p>
    <w:p w:rsidR="003E77FA" w:rsidRPr="003E77FA" w:rsidRDefault="003E77FA" w:rsidP="003E77FA">
      <w:pPr>
        <w:spacing w:line="264" w:lineRule="auto"/>
        <w:ind w:firstLine="360"/>
        <w:jc w:val="both"/>
        <w:rPr>
          <w:sz w:val="20"/>
          <w:szCs w:val="20"/>
        </w:rPr>
      </w:pPr>
      <w:r w:rsidRPr="003E77FA">
        <w:rPr>
          <w:sz w:val="20"/>
          <w:szCs w:val="20"/>
        </w:rPr>
        <w:t xml:space="preserve">(1) No welder shall make any pipeline weld unless the welder has qualified in accordance with Section </w:t>
      </w:r>
      <w:r w:rsidRPr="003E77FA">
        <w:rPr>
          <w:sz w:val="20"/>
          <w:szCs w:val="20"/>
          <w:u w:val="single"/>
        </w:rPr>
        <w:t>6</w:t>
      </w:r>
      <w:r w:rsidRPr="003E77FA">
        <w:rPr>
          <w:strike/>
          <w:sz w:val="20"/>
          <w:szCs w:val="20"/>
        </w:rPr>
        <w:t>3</w:t>
      </w:r>
      <w:r w:rsidRPr="003E77FA">
        <w:rPr>
          <w:sz w:val="20"/>
          <w:szCs w:val="20"/>
          <w:u w:val="single"/>
        </w:rPr>
        <w:t>, or section 12 for automatic welding,</w:t>
      </w:r>
      <w:r w:rsidRPr="003E77FA">
        <w:rPr>
          <w:sz w:val="20"/>
          <w:szCs w:val="20"/>
        </w:rPr>
        <w:t xml:space="preserve"> of American Petroleum Institute Standard 1104, Welding of Pipelines and Related Facilities, </w:t>
      </w:r>
      <w:r w:rsidRPr="003E77FA">
        <w:rPr>
          <w:sz w:val="20"/>
          <w:szCs w:val="20"/>
          <w:u w:val="single"/>
        </w:rPr>
        <w:t>21st</w:t>
      </w:r>
      <w:r w:rsidRPr="003E77FA">
        <w:rPr>
          <w:sz w:val="20"/>
          <w:szCs w:val="20"/>
        </w:rPr>
        <w:t xml:space="preserve"> </w:t>
      </w:r>
      <w:r w:rsidRPr="003E77FA">
        <w:rPr>
          <w:strike/>
          <w:sz w:val="20"/>
          <w:szCs w:val="20"/>
        </w:rPr>
        <w:t>20th</w:t>
      </w:r>
      <w:r w:rsidRPr="003E77FA">
        <w:rPr>
          <w:sz w:val="20"/>
          <w:szCs w:val="20"/>
        </w:rPr>
        <w:t xml:space="preserve"> edition, </w:t>
      </w:r>
      <w:r w:rsidRPr="003E77FA">
        <w:rPr>
          <w:sz w:val="20"/>
          <w:szCs w:val="20"/>
          <w:u w:val="single"/>
        </w:rPr>
        <w:t>September 2013</w:t>
      </w:r>
      <w:r w:rsidRPr="003E77FA">
        <w:rPr>
          <w:sz w:val="20"/>
          <w:szCs w:val="20"/>
        </w:rPr>
        <w:t xml:space="preserve"> </w:t>
      </w:r>
      <w:r w:rsidRPr="003E77FA">
        <w:rPr>
          <w:strike/>
          <w:sz w:val="20"/>
          <w:szCs w:val="20"/>
        </w:rPr>
        <w:t>October 2005 including Errata/Addendum July 2007 and Errata 2 (2008)</w:t>
      </w:r>
      <w:r w:rsidRPr="003E77FA">
        <w:rPr>
          <w:sz w:val="20"/>
          <w:szCs w:val="20"/>
        </w:rPr>
        <w:t xml:space="preserve">, incorporated by reference herein, or Appendix C of 49 C.F.R. 192 </w:t>
      </w:r>
      <w:r w:rsidRPr="003E77FA">
        <w:rPr>
          <w:sz w:val="20"/>
          <w:szCs w:val="20"/>
          <w:u w:val="single"/>
        </w:rPr>
        <w:t>(2016)</w:t>
      </w:r>
      <w:r w:rsidRPr="003E77FA">
        <w:rPr>
          <w:sz w:val="20"/>
          <w:szCs w:val="20"/>
        </w:rPr>
        <w:t xml:space="preserve"> </w:t>
      </w:r>
      <w:r w:rsidRPr="003E77FA">
        <w:rPr>
          <w:strike/>
          <w:sz w:val="20"/>
          <w:szCs w:val="20"/>
        </w:rPr>
        <w:t>(2011)</w:t>
      </w:r>
      <w:r w:rsidRPr="003E77FA">
        <w:rPr>
          <w:sz w:val="20"/>
          <w:szCs w:val="20"/>
        </w:rPr>
        <w:t xml:space="preserve"> </w:t>
      </w:r>
      <w:r w:rsidRPr="003E77FA">
        <w:rPr>
          <w:sz w:val="20"/>
          <w:szCs w:val="20"/>
          <w:u w:val="single"/>
        </w:rPr>
        <w:t>as adopted in Rule 25-12.005, F.A.C.</w:t>
      </w:r>
      <w:r w:rsidRPr="003E77FA">
        <w:rPr>
          <w:sz w:val="20"/>
          <w:szCs w:val="20"/>
        </w:rPr>
        <w:t>, within the preceding 15 months, but at least once each calendar year. A copy of API 1104 may be obtained from http://www.api.org/Standards/.</w:t>
      </w:r>
    </w:p>
    <w:p w:rsidR="003E77FA" w:rsidRPr="003E77FA" w:rsidRDefault="003E77FA" w:rsidP="003E77FA">
      <w:pPr>
        <w:spacing w:line="264" w:lineRule="auto"/>
        <w:ind w:firstLine="360"/>
        <w:jc w:val="both"/>
        <w:rPr>
          <w:sz w:val="20"/>
          <w:szCs w:val="20"/>
        </w:rPr>
      </w:pPr>
      <w:r w:rsidRPr="003E77FA">
        <w:rPr>
          <w:sz w:val="20"/>
          <w:szCs w:val="20"/>
        </w:rPr>
        <w:t xml:space="preserve">(2) No welder shall weld with a particular welding process unless the welder has engaged in welding with that process within the preceding six calendar months. A welder who has not engaged in welding with that process within the preceding six calendar months must requalify for that process as set forth in subsection (1) </w:t>
      </w:r>
      <w:r w:rsidRPr="003E77FA">
        <w:rPr>
          <w:sz w:val="20"/>
          <w:szCs w:val="20"/>
          <w:u w:val="single"/>
        </w:rPr>
        <w:t>of this rule</w:t>
      </w:r>
      <w:r w:rsidRPr="003E77FA">
        <w:rPr>
          <w:sz w:val="20"/>
          <w:szCs w:val="20"/>
        </w:rPr>
        <w:t xml:space="preserve"> </w:t>
      </w:r>
      <w:r w:rsidRPr="003E77FA">
        <w:rPr>
          <w:strike/>
          <w:sz w:val="20"/>
          <w:szCs w:val="20"/>
        </w:rPr>
        <w:t>herein</w:t>
      </w:r>
      <w:r w:rsidRPr="003E77FA">
        <w:rPr>
          <w:sz w:val="20"/>
          <w:szCs w:val="20"/>
        </w:rPr>
        <w:t>.</w:t>
      </w:r>
    </w:p>
    <w:p w:rsidR="003E77FA" w:rsidRPr="003E77FA" w:rsidRDefault="003E77FA" w:rsidP="003E77FA">
      <w:pPr>
        <w:spacing w:line="264" w:lineRule="auto"/>
        <w:jc w:val="both"/>
        <w:rPr>
          <w:sz w:val="18"/>
          <w:szCs w:val="20"/>
        </w:rPr>
      </w:pPr>
      <w:r w:rsidRPr="003E77FA">
        <w:rPr>
          <w:i/>
          <w:sz w:val="18"/>
          <w:szCs w:val="20"/>
        </w:rPr>
        <w:t>Rulemaking Authority 350.127(2), 368.03, 368.05(2) FS. Law Implemented 368.03, 368.05 FS. History–New 1-7-92, Amended 12-15-09, 10-11-12</w:t>
      </w:r>
      <w:r w:rsidRPr="003E77FA">
        <w:rPr>
          <w:i/>
          <w:sz w:val="18"/>
          <w:szCs w:val="20"/>
          <w:u w:val="single"/>
        </w:rPr>
        <w:t>,_</w:t>
      </w:r>
      <w:r w:rsidRPr="003E77FA">
        <w:rPr>
          <w:i/>
          <w:sz w:val="18"/>
          <w:szCs w:val="20"/>
        </w:rPr>
        <w:t>__________.</w:t>
      </w:r>
    </w:p>
    <w:p w:rsidR="003E77FA" w:rsidRPr="003E77FA" w:rsidRDefault="003E77FA" w:rsidP="003E77FA">
      <w:pPr>
        <w:spacing w:line="264" w:lineRule="auto"/>
        <w:jc w:val="both"/>
        <w:rPr>
          <w:sz w:val="20"/>
          <w:szCs w:val="20"/>
        </w:rPr>
      </w:pPr>
      <w:r w:rsidRPr="003E77FA">
        <w:rPr>
          <w:sz w:val="20"/>
          <w:szCs w:val="20"/>
        </w:rPr>
        <w:t> </w:t>
      </w:r>
    </w:p>
    <w:p w:rsidR="003E77FA" w:rsidRPr="003E77FA" w:rsidRDefault="003E77FA" w:rsidP="003E77FA">
      <w:pPr>
        <w:spacing w:line="264" w:lineRule="auto"/>
        <w:ind w:firstLine="360"/>
        <w:jc w:val="both"/>
        <w:rPr>
          <w:sz w:val="20"/>
          <w:szCs w:val="20"/>
        </w:rPr>
      </w:pPr>
      <w:r w:rsidRPr="003E77FA">
        <w:rPr>
          <w:b/>
          <w:sz w:val="20"/>
          <w:szCs w:val="20"/>
        </w:rPr>
        <w:t>25-12.040</w:t>
      </w:r>
      <w:r w:rsidRPr="003E77FA">
        <w:rPr>
          <w:sz w:val="20"/>
          <w:szCs w:val="20"/>
        </w:rPr>
        <w:t xml:space="preserve"> </w:t>
      </w:r>
      <w:r w:rsidRPr="003E77FA">
        <w:rPr>
          <w:b/>
          <w:sz w:val="20"/>
          <w:szCs w:val="20"/>
        </w:rPr>
        <w:t>Leak Surveys, Procedures and Classification.</w:t>
      </w:r>
    </w:p>
    <w:p w:rsidR="003E77FA" w:rsidRPr="003E77FA" w:rsidRDefault="003E77FA" w:rsidP="003E77FA">
      <w:pPr>
        <w:spacing w:line="264" w:lineRule="auto"/>
        <w:ind w:firstLine="360"/>
        <w:jc w:val="both"/>
        <w:rPr>
          <w:sz w:val="20"/>
          <w:szCs w:val="20"/>
        </w:rPr>
      </w:pPr>
      <w:r w:rsidRPr="003E77FA">
        <w:rPr>
          <w:sz w:val="20"/>
          <w:szCs w:val="20"/>
        </w:rPr>
        <w:t xml:space="preserve">(1) Each operator shall perform periodic leakage surveys in accordance with the following schedule </w:t>
      </w:r>
      <w:r w:rsidRPr="003E77FA">
        <w:rPr>
          <w:strike/>
          <w:sz w:val="20"/>
          <w:szCs w:val="20"/>
        </w:rPr>
        <w:t>as a minimum</w:t>
      </w:r>
      <w:r w:rsidRPr="003E77FA">
        <w:rPr>
          <w:sz w:val="20"/>
          <w:szCs w:val="20"/>
        </w:rPr>
        <w:t>:</w:t>
      </w:r>
    </w:p>
    <w:p w:rsidR="003E77FA" w:rsidRPr="003E77FA" w:rsidRDefault="003E77FA" w:rsidP="003E77FA">
      <w:pPr>
        <w:spacing w:line="264" w:lineRule="auto"/>
        <w:ind w:firstLine="360"/>
        <w:jc w:val="both"/>
        <w:rPr>
          <w:sz w:val="20"/>
          <w:szCs w:val="20"/>
        </w:rPr>
      </w:pPr>
      <w:r w:rsidRPr="003E77FA">
        <w:rPr>
          <w:sz w:val="20"/>
          <w:szCs w:val="20"/>
        </w:rPr>
        <w:t>(a) No change.</w:t>
      </w:r>
    </w:p>
    <w:p w:rsidR="003E77FA" w:rsidRPr="003E77FA" w:rsidRDefault="003E77FA" w:rsidP="003E77FA">
      <w:pPr>
        <w:spacing w:line="264" w:lineRule="auto"/>
        <w:ind w:firstLine="360"/>
        <w:jc w:val="both"/>
        <w:rPr>
          <w:sz w:val="20"/>
          <w:szCs w:val="20"/>
        </w:rPr>
      </w:pPr>
      <w:r w:rsidRPr="003E77FA">
        <w:rPr>
          <w:sz w:val="20"/>
          <w:szCs w:val="20"/>
        </w:rPr>
        <w:t>1. through 2. No change.</w:t>
      </w:r>
    </w:p>
    <w:p w:rsidR="003E77FA" w:rsidRPr="003E77FA" w:rsidRDefault="003E77FA" w:rsidP="003E77FA">
      <w:pPr>
        <w:spacing w:line="264" w:lineRule="auto"/>
        <w:ind w:firstLine="360"/>
        <w:jc w:val="both"/>
        <w:rPr>
          <w:sz w:val="20"/>
          <w:szCs w:val="20"/>
        </w:rPr>
      </w:pPr>
      <w:r w:rsidRPr="003E77FA">
        <w:rPr>
          <w:sz w:val="20"/>
          <w:szCs w:val="20"/>
        </w:rPr>
        <w:t xml:space="preserve">(b) A gas detector instrument survey to locate leaks throughout areas not included in subsection (a) above shall be conducted at intervals not exceeding </w:t>
      </w:r>
      <w:r w:rsidRPr="003E77FA">
        <w:rPr>
          <w:strike/>
          <w:sz w:val="20"/>
          <w:szCs w:val="20"/>
        </w:rPr>
        <w:t>three (</w:t>
      </w:r>
      <w:r w:rsidRPr="003E77FA">
        <w:rPr>
          <w:sz w:val="20"/>
          <w:szCs w:val="20"/>
        </w:rPr>
        <w:t>3</w:t>
      </w:r>
      <w:r w:rsidRPr="003E77FA">
        <w:rPr>
          <w:strike/>
          <w:sz w:val="20"/>
          <w:szCs w:val="20"/>
        </w:rPr>
        <w:t>)</w:t>
      </w:r>
      <w:r w:rsidRPr="003E77FA">
        <w:rPr>
          <w:sz w:val="20"/>
          <w:szCs w:val="20"/>
        </w:rPr>
        <w:t xml:space="preserve"> </w:t>
      </w:r>
      <w:r w:rsidRPr="003E77FA">
        <w:rPr>
          <w:sz w:val="20"/>
          <w:szCs w:val="20"/>
          <w:u w:val="single"/>
        </w:rPr>
        <w:t>calendar</w:t>
      </w:r>
      <w:r w:rsidRPr="003E77FA">
        <w:rPr>
          <w:sz w:val="20"/>
          <w:szCs w:val="20"/>
        </w:rPr>
        <w:t xml:space="preserve"> years </w:t>
      </w:r>
      <w:r w:rsidRPr="003E77FA">
        <w:rPr>
          <w:sz w:val="20"/>
          <w:szCs w:val="20"/>
          <w:u w:val="single"/>
        </w:rPr>
        <w:t>at intervals not exceeding 39 months</w:t>
      </w:r>
      <w:r w:rsidRPr="003E77FA">
        <w:rPr>
          <w:sz w:val="20"/>
          <w:szCs w:val="20"/>
        </w:rPr>
        <w:t xml:space="preserve"> on bare metallic, galvanized steel, coated tubing pipelines, and </w:t>
      </w:r>
      <w:r w:rsidRPr="003E77FA">
        <w:rPr>
          <w:strike/>
          <w:sz w:val="20"/>
          <w:szCs w:val="20"/>
        </w:rPr>
        <w:t>five (</w:t>
      </w:r>
      <w:r w:rsidRPr="003E77FA">
        <w:rPr>
          <w:sz w:val="20"/>
          <w:szCs w:val="20"/>
        </w:rPr>
        <w:t>5</w:t>
      </w:r>
      <w:r w:rsidRPr="003E77FA">
        <w:rPr>
          <w:strike/>
          <w:sz w:val="20"/>
          <w:szCs w:val="20"/>
        </w:rPr>
        <w:t>)</w:t>
      </w:r>
      <w:r w:rsidRPr="003E77FA">
        <w:rPr>
          <w:sz w:val="20"/>
          <w:szCs w:val="20"/>
        </w:rPr>
        <w:t xml:space="preserve"> </w:t>
      </w:r>
      <w:r w:rsidRPr="003E77FA">
        <w:rPr>
          <w:sz w:val="20"/>
          <w:szCs w:val="20"/>
          <w:u w:val="single"/>
        </w:rPr>
        <w:t>calendar</w:t>
      </w:r>
      <w:r w:rsidRPr="003E77FA">
        <w:rPr>
          <w:sz w:val="20"/>
          <w:szCs w:val="20"/>
        </w:rPr>
        <w:t xml:space="preserve"> years </w:t>
      </w:r>
      <w:r w:rsidRPr="003E77FA">
        <w:rPr>
          <w:sz w:val="20"/>
          <w:szCs w:val="20"/>
          <w:u w:val="single"/>
        </w:rPr>
        <w:t>at intervals not exceeding 63 months</w:t>
      </w:r>
      <w:r w:rsidRPr="003E77FA">
        <w:rPr>
          <w:sz w:val="20"/>
          <w:szCs w:val="20"/>
        </w:rPr>
        <w:t xml:space="preserve"> on the remaining pipeline system, or more frequently if experience indicates.</w:t>
      </w:r>
    </w:p>
    <w:p w:rsidR="003E77FA" w:rsidRPr="003E77FA" w:rsidRDefault="003E77FA" w:rsidP="003E77FA">
      <w:pPr>
        <w:spacing w:line="264" w:lineRule="auto"/>
        <w:ind w:firstLine="360"/>
        <w:jc w:val="both"/>
        <w:rPr>
          <w:sz w:val="20"/>
          <w:szCs w:val="20"/>
        </w:rPr>
      </w:pPr>
      <w:r w:rsidRPr="003E77FA">
        <w:rPr>
          <w:sz w:val="20"/>
          <w:szCs w:val="20"/>
        </w:rPr>
        <w:t>(2) No change.</w:t>
      </w:r>
    </w:p>
    <w:p w:rsidR="003E77FA" w:rsidRPr="003E77FA" w:rsidRDefault="003E77FA" w:rsidP="003E77FA">
      <w:pPr>
        <w:spacing w:line="264" w:lineRule="auto"/>
        <w:ind w:firstLine="360"/>
        <w:jc w:val="both"/>
        <w:rPr>
          <w:sz w:val="20"/>
          <w:szCs w:val="20"/>
        </w:rPr>
      </w:pPr>
      <w:r w:rsidRPr="003E77FA">
        <w:rPr>
          <w:sz w:val="20"/>
          <w:szCs w:val="20"/>
        </w:rPr>
        <w:t xml:space="preserve">(a) “Grade 1 Leak” – a leak of gas that represents an existing or probable hazard to persons or buildings. </w:t>
      </w:r>
      <w:r w:rsidRPr="003E77FA">
        <w:rPr>
          <w:sz w:val="20"/>
          <w:szCs w:val="20"/>
          <w:u w:val="single"/>
        </w:rPr>
        <w:t>In order</w:t>
      </w:r>
      <w:r w:rsidRPr="003E77FA">
        <w:rPr>
          <w:sz w:val="20"/>
          <w:szCs w:val="20"/>
        </w:rPr>
        <w:t xml:space="preserve"> </w:t>
      </w:r>
      <w:r w:rsidRPr="003E77FA">
        <w:rPr>
          <w:strike/>
          <w:sz w:val="20"/>
          <w:szCs w:val="20"/>
        </w:rPr>
        <w:t>Prompt action</w:t>
      </w:r>
      <w:r w:rsidRPr="003E77FA">
        <w:rPr>
          <w:sz w:val="20"/>
          <w:szCs w:val="20"/>
        </w:rPr>
        <w:t xml:space="preserve"> to protect life and property</w:t>
      </w:r>
      <w:r w:rsidRPr="003E77FA">
        <w:rPr>
          <w:sz w:val="20"/>
          <w:szCs w:val="20"/>
          <w:u w:val="single"/>
        </w:rPr>
        <w:t>, these leaks shall be repaired immediately</w:t>
      </w:r>
      <w:r w:rsidRPr="003E77FA">
        <w:rPr>
          <w:sz w:val="20"/>
          <w:szCs w:val="20"/>
        </w:rPr>
        <w:t xml:space="preserve"> and continuous action </w:t>
      </w:r>
      <w:r w:rsidRPr="003E77FA">
        <w:rPr>
          <w:sz w:val="20"/>
          <w:szCs w:val="20"/>
          <w:u w:val="single"/>
        </w:rPr>
        <w:t>shall be taken</w:t>
      </w:r>
      <w:r w:rsidRPr="003E77FA">
        <w:rPr>
          <w:sz w:val="20"/>
          <w:szCs w:val="20"/>
        </w:rPr>
        <w:t xml:space="preserve"> until conditions are no longer hazardous </w:t>
      </w:r>
      <w:r w:rsidRPr="003E77FA">
        <w:rPr>
          <w:strike/>
          <w:sz w:val="20"/>
          <w:szCs w:val="20"/>
        </w:rPr>
        <w:t>is required</w:t>
      </w:r>
      <w:r w:rsidRPr="003E77FA">
        <w:rPr>
          <w:sz w:val="20"/>
          <w:szCs w:val="20"/>
        </w:rPr>
        <w:t>.</w:t>
      </w:r>
    </w:p>
    <w:p w:rsidR="003E77FA" w:rsidRPr="003E77FA" w:rsidRDefault="003E77FA" w:rsidP="003E77FA">
      <w:pPr>
        <w:spacing w:line="264" w:lineRule="auto"/>
        <w:ind w:firstLine="360"/>
        <w:jc w:val="both"/>
        <w:rPr>
          <w:sz w:val="20"/>
          <w:szCs w:val="20"/>
        </w:rPr>
      </w:pPr>
      <w:r w:rsidRPr="003E77FA">
        <w:rPr>
          <w:sz w:val="20"/>
          <w:szCs w:val="20"/>
        </w:rPr>
        <w:t>(b) No change</w:t>
      </w:r>
    </w:p>
    <w:p w:rsidR="003E77FA" w:rsidRPr="003E77FA" w:rsidRDefault="003E77FA" w:rsidP="003E77FA">
      <w:pPr>
        <w:spacing w:line="264" w:lineRule="auto"/>
        <w:ind w:firstLine="360"/>
        <w:jc w:val="both"/>
        <w:rPr>
          <w:sz w:val="20"/>
          <w:szCs w:val="20"/>
        </w:rPr>
      </w:pPr>
      <w:r w:rsidRPr="003E77FA">
        <w:rPr>
          <w:sz w:val="20"/>
          <w:szCs w:val="20"/>
        </w:rPr>
        <w:t>1. through 4. No change</w:t>
      </w:r>
    </w:p>
    <w:p w:rsidR="003E77FA" w:rsidRPr="003E77FA" w:rsidRDefault="003E77FA" w:rsidP="003E77FA">
      <w:pPr>
        <w:spacing w:line="264" w:lineRule="auto"/>
        <w:ind w:firstLine="360"/>
        <w:jc w:val="both"/>
        <w:rPr>
          <w:sz w:val="20"/>
          <w:szCs w:val="20"/>
        </w:rPr>
      </w:pPr>
      <w:r w:rsidRPr="003E77FA">
        <w:rPr>
          <w:sz w:val="20"/>
          <w:szCs w:val="20"/>
        </w:rPr>
        <w:t>(c) No change.</w:t>
      </w:r>
    </w:p>
    <w:p w:rsidR="003E77FA" w:rsidRPr="003E77FA" w:rsidRDefault="003E77FA" w:rsidP="003E77FA">
      <w:pPr>
        <w:spacing w:line="264" w:lineRule="auto"/>
        <w:ind w:firstLine="360"/>
        <w:jc w:val="both"/>
        <w:rPr>
          <w:sz w:val="20"/>
          <w:szCs w:val="20"/>
        </w:rPr>
      </w:pPr>
      <w:r w:rsidRPr="003E77FA">
        <w:rPr>
          <w:sz w:val="20"/>
          <w:szCs w:val="20"/>
        </w:rPr>
        <w:t xml:space="preserve">(3) </w:t>
      </w:r>
      <w:r w:rsidRPr="003E77FA">
        <w:rPr>
          <w:strike/>
          <w:sz w:val="20"/>
          <w:szCs w:val="20"/>
        </w:rPr>
        <w:t>The adequacy of</w:t>
      </w:r>
      <w:r w:rsidRPr="003E77FA">
        <w:rPr>
          <w:sz w:val="20"/>
          <w:szCs w:val="20"/>
        </w:rPr>
        <w:t xml:space="preserve"> </w:t>
      </w:r>
      <w:r w:rsidRPr="003E77FA">
        <w:rPr>
          <w:sz w:val="20"/>
          <w:szCs w:val="20"/>
          <w:u w:val="single"/>
        </w:rPr>
        <w:t>A</w:t>
      </w:r>
      <w:r w:rsidRPr="003E77FA">
        <w:rPr>
          <w:strike/>
          <w:sz w:val="20"/>
          <w:szCs w:val="20"/>
        </w:rPr>
        <w:t>a</w:t>
      </w:r>
      <w:r w:rsidRPr="003E77FA">
        <w:rPr>
          <w:sz w:val="20"/>
          <w:szCs w:val="20"/>
        </w:rPr>
        <w:t>ll the repairs of leaks shall be checked by appropriate methods immediately after the repairs are completed. Where there is residual gas in the ground, a follow-up inspection using a gas detector instrument must be made as soon as the gas has had an opportunity to dissipate, but no later than one month for Grade 1 leaks and 6 months for Grade 2 leaks. The date and status of recheck shall be recorded on the leak repair records.</w:t>
      </w:r>
    </w:p>
    <w:p w:rsidR="003E77FA" w:rsidRPr="003E77FA" w:rsidRDefault="003E77FA" w:rsidP="003E77FA">
      <w:pPr>
        <w:spacing w:line="264" w:lineRule="auto"/>
        <w:ind w:firstLine="360"/>
        <w:jc w:val="both"/>
        <w:rPr>
          <w:sz w:val="20"/>
          <w:szCs w:val="20"/>
        </w:rPr>
      </w:pPr>
      <w:r w:rsidRPr="003E77FA">
        <w:rPr>
          <w:sz w:val="20"/>
          <w:szCs w:val="20"/>
          <w:u w:val="single"/>
        </w:rPr>
        <w:lastRenderedPageBreak/>
        <w:t>(4) If residual gas is detected on the follow-up inspection, continued monthly monitoring, not to exceed 45 days, and inspections shall be done until gas is no longer detected.</w:t>
      </w:r>
    </w:p>
    <w:p w:rsidR="003E77FA" w:rsidRPr="003E77FA" w:rsidRDefault="003E77FA" w:rsidP="003E77FA">
      <w:pPr>
        <w:spacing w:line="264" w:lineRule="auto"/>
        <w:jc w:val="both"/>
        <w:rPr>
          <w:sz w:val="18"/>
          <w:szCs w:val="20"/>
        </w:rPr>
      </w:pPr>
      <w:r w:rsidRPr="003E77FA">
        <w:rPr>
          <w:i/>
          <w:sz w:val="18"/>
          <w:szCs w:val="20"/>
        </w:rPr>
        <w:t>Rulemaking Authority 368.05(2) FS. Law Implemented 368.05(2) FS. History–New 9-21-74, Repromulgated 10-7-75, Amended 10-2-84, Formerly 25-12.40, Amended 1-7-92, 12-15-09</w:t>
      </w:r>
      <w:r w:rsidRPr="003E77FA">
        <w:rPr>
          <w:i/>
          <w:sz w:val="18"/>
          <w:szCs w:val="20"/>
          <w:u w:val="single"/>
        </w:rPr>
        <w:t>, _</w:t>
      </w:r>
      <w:r w:rsidRPr="003E77FA">
        <w:rPr>
          <w:i/>
          <w:sz w:val="18"/>
          <w:szCs w:val="20"/>
        </w:rPr>
        <w:t>________.</w:t>
      </w:r>
    </w:p>
    <w:p w:rsidR="003E77FA" w:rsidRPr="003E77FA" w:rsidRDefault="003E77FA" w:rsidP="003E77FA">
      <w:pPr>
        <w:spacing w:line="264" w:lineRule="auto"/>
        <w:jc w:val="both"/>
        <w:rPr>
          <w:sz w:val="20"/>
          <w:szCs w:val="20"/>
        </w:rPr>
      </w:pPr>
      <w:r w:rsidRPr="003E77FA">
        <w:rPr>
          <w:sz w:val="20"/>
          <w:szCs w:val="20"/>
        </w:rPr>
        <w:t> </w:t>
      </w:r>
    </w:p>
    <w:p w:rsidR="003E77FA" w:rsidRPr="003E77FA" w:rsidRDefault="003E77FA" w:rsidP="003E77FA">
      <w:pPr>
        <w:spacing w:line="264" w:lineRule="auto"/>
        <w:ind w:firstLine="360"/>
        <w:jc w:val="both"/>
        <w:rPr>
          <w:sz w:val="20"/>
          <w:szCs w:val="20"/>
        </w:rPr>
      </w:pPr>
      <w:r w:rsidRPr="003E77FA">
        <w:rPr>
          <w:sz w:val="20"/>
          <w:szCs w:val="20"/>
        </w:rPr>
        <w:t>25-12.085 Written Annual Reports Required.</w:t>
      </w:r>
    </w:p>
    <w:p w:rsidR="003E77FA" w:rsidRPr="003E77FA" w:rsidRDefault="003E77FA" w:rsidP="003E77FA">
      <w:pPr>
        <w:spacing w:line="264" w:lineRule="auto"/>
        <w:ind w:firstLine="360"/>
        <w:jc w:val="both"/>
        <w:rPr>
          <w:sz w:val="20"/>
          <w:szCs w:val="20"/>
        </w:rPr>
      </w:pPr>
      <w:r w:rsidRPr="003E77FA">
        <w:rPr>
          <w:sz w:val="20"/>
          <w:szCs w:val="20"/>
        </w:rPr>
        <w:t xml:space="preserve">(1) Each operator of a distribution system shall submit an annual report on Pipeline and Hazardous Materials Safety Administration Form PHMSA F 7100.1-1 </w:t>
      </w:r>
      <w:r w:rsidRPr="003E77FA">
        <w:rPr>
          <w:sz w:val="20"/>
          <w:szCs w:val="20"/>
          <w:u w:val="single"/>
        </w:rPr>
        <w:t>(2015)</w:t>
      </w:r>
      <w:r w:rsidRPr="003E77FA">
        <w:rPr>
          <w:sz w:val="20"/>
          <w:szCs w:val="20"/>
        </w:rPr>
        <w:t xml:space="preserve"> </w:t>
      </w:r>
      <w:r w:rsidRPr="003E77FA">
        <w:rPr>
          <w:strike/>
          <w:sz w:val="20"/>
          <w:szCs w:val="20"/>
        </w:rPr>
        <w:t>(12-05)</w:t>
      </w:r>
      <w:r w:rsidRPr="003E77FA">
        <w:rPr>
          <w:sz w:val="20"/>
          <w:szCs w:val="20"/>
        </w:rPr>
        <w:t xml:space="preserve">, entitled “Annual Report for Calendar Year 20____ Gas Distribution System,” </w:t>
      </w:r>
      <w:r w:rsidRPr="003E77FA">
        <w:rPr>
          <w:rFonts w:eastAsia="Calibri"/>
          <w:sz w:val="20"/>
          <w:szCs w:val="20"/>
          <w:u w:val="single"/>
        </w:rPr>
        <w:t>which is incorporated by reference into this rule and is available</w:t>
      </w:r>
      <w:r w:rsidRPr="003E77FA">
        <w:rPr>
          <w:sz w:val="20"/>
          <w:szCs w:val="20"/>
          <w:u w:val="single"/>
        </w:rPr>
        <w:t xml:space="preserve"> at [Department of State hyperlink]</w:t>
      </w:r>
      <w:r w:rsidRPr="003E77FA">
        <w:rPr>
          <w:sz w:val="20"/>
          <w:szCs w:val="20"/>
        </w:rPr>
        <w:t xml:space="preserve"> for each distribution system. In the case of an operator who has more than one distribution system, a combined annual report must be submitted which includes all facilities operated within the State of Florida subject to the Commission’s jurisdiction. </w:t>
      </w:r>
    </w:p>
    <w:p w:rsidR="003E77FA" w:rsidRPr="003E77FA" w:rsidRDefault="003E77FA" w:rsidP="003E77FA">
      <w:pPr>
        <w:spacing w:line="264" w:lineRule="auto"/>
        <w:ind w:firstLine="360"/>
        <w:jc w:val="both"/>
        <w:rPr>
          <w:sz w:val="20"/>
          <w:szCs w:val="20"/>
        </w:rPr>
      </w:pPr>
      <w:r w:rsidRPr="003E77FA">
        <w:rPr>
          <w:strike/>
          <w:sz w:val="20"/>
          <w:szCs w:val="20"/>
        </w:rPr>
        <w:t>(2) Each operator of a distribution system shall, for facilities that operate at 20 percent or more of the specified minimum yield strength, or that are used to convey gas into or out of storage, submit an annual reports for those facilities on Pipeline and Hazardous Materials Safety Administration Form PHMSA F 7100.2-1 (12-05), entitled “Annual Report for Calendar Year 20____ Gas Transmission &amp; Gathering Systems.”</w:t>
      </w:r>
    </w:p>
    <w:p w:rsidR="003E77FA" w:rsidRPr="003E77FA" w:rsidRDefault="003E77FA" w:rsidP="003E77FA">
      <w:pPr>
        <w:spacing w:line="264" w:lineRule="auto"/>
        <w:ind w:firstLine="360"/>
        <w:jc w:val="both"/>
        <w:rPr>
          <w:sz w:val="20"/>
          <w:szCs w:val="20"/>
        </w:rPr>
      </w:pPr>
      <w:r w:rsidRPr="003E77FA">
        <w:rPr>
          <w:sz w:val="20"/>
          <w:szCs w:val="20"/>
          <w:u w:val="single"/>
        </w:rPr>
        <w:t>(2)</w:t>
      </w:r>
      <w:r w:rsidRPr="003E77FA">
        <w:rPr>
          <w:strike/>
          <w:sz w:val="20"/>
          <w:szCs w:val="20"/>
        </w:rPr>
        <w:t>(3)</w:t>
      </w:r>
      <w:r w:rsidRPr="003E77FA">
        <w:rPr>
          <w:sz w:val="20"/>
          <w:szCs w:val="20"/>
        </w:rPr>
        <w:t xml:space="preserve"> Each operator of a transmission system shall submit an annual report on Pipeline and Hazardous Materials Safety Administration Form PHMSA F 7100.2-1 </w:t>
      </w:r>
      <w:r w:rsidRPr="003E77FA">
        <w:rPr>
          <w:sz w:val="20"/>
          <w:szCs w:val="20"/>
          <w:u w:val="single"/>
        </w:rPr>
        <w:t>(2014)</w:t>
      </w:r>
      <w:r w:rsidRPr="003E77FA">
        <w:rPr>
          <w:sz w:val="20"/>
          <w:szCs w:val="20"/>
        </w:rPr>
        <w:t xml:space="preserve"> </w:t>
      </w:r>
      <w:r w:rsidRPr="003E77FA">
        <w:rPr>
          <w:strike/>
          <w:sz w:val="20"/>
          <w:szCs w:val="20"/>
        </w:rPr>
        <w:t>(12-05)</w:t>
      </w:r>
      <w:r w:rsidRPr="003E77FA">
        <w:rPr>
          <w:sz w:val="20"/>
          <w:szCs w:val="20"/>
        </w:rPr>
        <w:t>,</w:t>
      </w:r>
      <w:r w:rsidRPr="003E77FA">
        <w:rPr>
          <w:sz w:val="20"/>
          <w:szCs w:val="20"/>
          <w:u w:val="single"/>
        </w:rPr>
        <w:t xml:space="preserve"> entitled “Annual Report for Calendar Year 20__  Natural and Other Gas Transmission and Gathering Pipeline Systems,” </w:t>
      </w:r>
      <w:r w:rsidRPr="003E77FA">
        <w:rPr>
          <w:rFonts w:eastAsia="Calibri"/>
          <w:sz w:val="20"/>
          <w:szCs w:val="20"/>
          <w:u w:val="single"/>
        </w:rPr>
        <w:t>which is incorporated by reference into this rule and is available</w:t>
      </w:r>
      <w:r w:rsidRPr="003E77FA">
        <w:rPr>
          <w:sz w:val="20"/>
          <w:szCs w:val="20"/>
          <w:u w:val="single"/>
        </w:rPr>
        <w:t xml:space="preserve"> at [Department of State hyperlink]</w:t>
      </w:r>
      <w:r w:rsidRPr="003E77FA">
        <w:rPr>
          <w:sz w:val="20"/>
          <w:szCs w:val="20"/>
        </w:rPr>
        <w:t>.</w:t>
      </w:r>
    </w:p>
    <w:p w:rsidR="003E77FA" w:rsidRPr="003E77FA" w:rsidRDefault="003E77FA" w:rsidP="003E77FA">
      <w:pPr>
        <w:spacing w:line="264" w:lineRule="auto"/>
        <w:jc w:val="both"/>
        <w:rPr>
          <w:sz w:val="20"/>
          <w:szCs w:val="20"/>
        </w:rPr>
      </w:pPr>
      <w:r w:rsidRPr="003E77FA">
        <w:rPr>
          <w:sz w:val="20"/>
          <w:szCs w:val="20"/>
        </w:rPr>
        <w:t>All the above reports must be submitted for the preceding calendar year so as to be received by the Commission no later than March 15th of each year.</w:t>
      </w:r>
    </w:p>
    <w:p w:rsidR="003E77FA" w:rsidRPr="003E77FA" w:rsidRDefault="003E77FA" w:rsidP="003E77FA">
      <w:pPr>
        <w:spacing w:line="264" w:lineRule="auto"/>
        <w:jc w:val="both"/>
        <w:rPr>
          <w:sz w:val="18"/>
          <w:szCs w:val="20"/>
        </w:rPr>
      </w:pPr>
      <w:r w:rsidRPr="003E77FA">
        <w:rPr>
          <w:i/>
          <w:sz w:val="18"/>
          <w:szCs w:val="20"/>
        </w:rPr>
        <w:t>Rulemaking Authority 350.127(2), 368.05(2) FS. Law Implemented 368.03, 368.05(2) FS. History–New 11-14-70, Amended 9-21-74, Repromulgated 10-7-75, Amended 10-2-84, Formerly 25-12.85, Amended 12-15-09</w:t>
      </w:r>
      <w:r w:rsidRPr="003E77FA">
        <w:rPr>
          <w:i/>
          <w:sz w:val="18"/>
          <w:szCs w:val="20"/>
          <w:u w:val="single"/>
        </w:rPr>
        <w:t>, _</w:t>
      </w:r>
      <w:r w:rsidRPr="003E77FA">
        <w:rPr>
          <w:i/>
          <w:sz w:val="18"/>
          <w:szCs w:val="20"/>
        </w:rPr>
        <w:t>________.</w:t>
      </w:r>
    </w:p>
    <w:p w:rsidR="003E77FA" w:rsidRPr="003E77FA" w:rsidRDefault="003E77FA" w:rsidP="003E77FA">
      <w:pPr>
        <w:spacing w:line="264" w:lineRule="auto"/>
        <w:jc w:val="both"/>
        <w:rPr>
          <w:sz w:val="20"/>
          <w:szCs w:val="20"/>
        </w:rPr>
      </w:pPr>
    </w:p>
    <w:p w:rsidR="003E77FA" w:rsidRPr="003E77FA" w:rsidRDefault="003E77FA" w:rsidP="003E77FA">
      <w:pPr>
        <w:spacing w:line="264" w:lineRule="auto"/>
        <w:jc w:val="both"/>
        <w:rPr>
          <w:sz w:val="20"/>
          <w:szCs w:val="20"/>
        </w:rPr>
      </w:pPr>
      <w:r w:rsidRPr="003E77FA">
        <w:rPr>
          <w:sz w:val="20"/>
          <w:szCs w:val="20"/>
        </w:rPr>
        <w:t>NAME OF PERSON ORIGINATING PROPOSED RULE: Rick Moses</w:t>
      </w:r>
    </w:p>
    <w:p w:rsidR="003E77FA" w:rsidRPr="003E77FA" w:rsidRDefault="003E77FA" w:rsidP="003E77FA">
      <w:pPr>
        <w:spacing w:line="264" w:lineRule="auto"/>
        <w:jc w:val="both"/>
        <w:rPr>
          <w:sz w:val="20"/>
          <w:szCs w:val="20"/>
        </w:rPr>
      </w:pPr>
      <w:r w:rsidRPr="003E77FA">
        <w:rPr>
          <w:sz w:val="20"/>
          <w:szCs w:val="20"/>
        </w:rPr>
        <w:t>NAME OF AGENCY HEAD WHO APPROVED THE PROPOSED RULE: Florida Public Service Commission</w:t>
      </w:r>
    </w:p>
    <w:p w:rsidR="003E77FA" w:rsidRPr="003E77FA" w:rsidRDefault="003E77FA" w:rsidP="003E77FA">
      <w:pPr>
        <w:spacing w:line="264" w:lineRule="auto"/>
        <w:jc w:val="both"/>
        <w:rPr>
          <w:sz w:val="20"/>
          <w:szCs w:val="20"/>
        </w:rPr>
      </w:pPr>
      <w:r w:rsidRPr="003E77FA">
        <w:rPr>
          <w:sz w:val="20"/>
          <w:szCs w:val="20"/>
        </w:rPr>
        <w:t>DATE PROPOSED RULE APPROVED BY AGENCY HEAD: December 6, 2016</w:t>
      </w:r>
    </w:p>
    <w:p w:rsidR="003E77FA" w:rsidRPr="003E77FA" w:rsidRDefault="003E77FA" w:rsidP="003E77FA">
      <w:pPr>
        <w:spacing w:line="264" w:lineRule="auto"/>
        <w:jc w:val="both"/>
        <w:rPr>
          <w:sz w:val="20"/>
          <w:szCs w:val="20"/>
        </w:rPr>
      </w:pPr>
      <w:r w:rsidRPr="003E77FA">
        <w:rPr>
          <w:sz w:val="20"/>
          <w:szCs w:val="20"/>
        </w:rPr>
        <w:t>DATE NOTICE OF PROPOSED RULE DEVELOPMENT PUBLISHED IN FAR: Volume 42, Number 77, April 20, 2016.</w:t>
      </w:r>
    </w:p>
    <w:p w:rsidR="003E77FA" w:rsidRPr="00441FF5" w:rsidRDefault="003E77FA"/>
    <w:sectPr w:rsidR="003E77FA" w:rsidRPr="00441FF5">
      <w:headerReference w:type="default" r:id="rId33"/>
      <w:footerReference w:type="first" r:id="rId3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F5" w:rsidRDefault="00441FF5">
      <w:r>
        <w:separator/>
      </w:r>
    </w:p>
  </w:endnote>
  <w:endnote w:type="continuationSeparator" w:id="0">
    <w:p w:rsidR="00441FF5" w:rsidRDefault="0044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F5" w:rsidRDefault="00441FF5">
      <w:r>
        <w:separator/>
      </w:r>
    </w:p>
  </w:footnote>
  <w:footnote w:type="continuationSeparator" w:id="0">
    <w:p w:rsidR="00441FF5" w:rsidRDefault="00441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3 ">
      <w:r w:rsidR="00D400CC">
        <w:t>PSC-16-0553-NOR-GU</w:t>
      </w:r>
    </w:fldSimple>
  </w:p>
  <w:p w:rsidR="00FA6EFD" w:rsidRDefault="00441FF5">
    <w:pPr>
      <w:pStyle w:val="OrderHeader"/>
    </w:pPr>
    <w:bookmarkStart w:id="9" w:name="HeaderDocketNo"/>
    <w:bookmarkEnd w:id="9"/>
    <w:r>
      <w:t>DOCKET NO. 160121-GU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00CC">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1-GU"/>
  </w:docVars>
  <w:rsids>
    <w:rsidRoot w:val="00441FF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E77FA"/>
    <w:rsid w:val="0042527B"/>
    <w:rsid w:val="00441FF5"/>
    <w:rsid w:val="004566F5"/>
    <w:rsid w:val="00457DC7"/>
    <w:rsid w:val="00472BCC"/>
    <w:rsid w:val="00494D79"/>
    <w:rsid w:val="004A25CD"/>
    <w:rsid w:val="004A26CC"/>
    <w:rsid w:val="004B2108"/>
    <w:rsid w:val="004B3A2B"/>
    <w:rsid w:val="004D2D1B"/>
    <w:rsid w:val="004F2DDE"/>
    <w:rsid w:val="0050097F"/>
    <w:rsid w:val="00514B1F"/>
    <w:rsid w:val="00556A10"/>
    <w:rsid w:val="00561E6D"/>
    <w:rsid w:val="005963C2"/>
    <w:rsid w:val="005B45F7"/>
    <w:rsid w:val="005B63EA"/>
    <w:rsid w:val="00660774"/>
    <w:rsid w:val="00665CC7"/>
    <w:rsid w:val="006A0BF3"/>
    <w:rsid w:val="006B0DA6"/>
    <w:rsid w:val="006C547E"/>
    <w:rsid w:val="00704C5D"/>
    <w:rsid w:val="00715275"/>
    <w:rsid w:val="0073237E"/>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00CC"/>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1859"/>
    <w:rsid w:val="00EE17DF"/>
    <w:rsid w:val="00EF3D71"/>
    <w:rsid w:val="00EF4621"/>
    <w:rsid w:val="00F277B6"/>
    <w:rsid w:val="00F54380"/>
    <w:rsid w:val="00F54B47"/>
    <w:rsid w:val="00F654E7"/>
    <w:rsid w:val="00F70E84"/>
    <w:rsid w:val="00F75677"/>
    <w:rsid w:val="00FA6EFD"/>
    <w:rsid w:val="00FB74EA"/>
    <w:rsid w:val="00FC5256"/>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566F5"/>
    <w:rPr>
      <w:rFonts w:ascii="Tahoma" w:hAnsi="Tahoma" w:cs="Tahoma"/>
      <w:sz w:val="16"/>
      <w:szCs w:val="16"/>
    </w:rPr>
  </w:style>
  <w:style w:type="character" w:customStyle="1" w:styleId="BalloonTextChar">
    <w:name w:val="Balloon Text Char"/>
    <w:basedOn w:val="DefaultParagraphFont"/>
    <w:link w:val="BalloonText"/>
    <w:rsid w:val="00456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566F5"/>
    <w:rPr>
      <w:rFonts w:ascii="Tahoma" w:hAnsi="Tahoma" w:cs="Tahoma"/>
      <w:sz w:val="16"/>
      <w:szCs w:val="16"/>
    </w:rPr>
  </w:style>
  <w:style w:type="character" w:customStyle="1" w:styleId="BalloonTextChar">
    <w:name w:val="Balloon Text Char"/>
    <w:basedOn w:val="DefaultParagraphFont"/>
    <w:link w:val="BalloonText"/>
    <w:rsid w:val="00456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0504">
      <w:bodyDiv w:val="1"/>
      <w:marLeft w:val="0"/>
      <w:marRight w:val="0"/>
      <w:marTop w:val="0"/>
      <w:marBottom w:val="0"/>
      <w:divBdr>
        <w:top w:val="none" w:sz="0" w:space="0" w:color="auto"/>
        <w:left w:val="none" w:sz="0" w:space="0" w:color="auto"/>
        <w:bottom w:val="none" w:sz="0" w:space="0" w:color="auto"/>
        <w:right w:val="none" w:sz="0" w:space="0" w:color="auto"/>
      </w:divBdr>
    </w:div>
    <w:div w:id="1162428308">
      <w:bodyDiv w:val="1"/>
      <w:marLeft w:val="0"/>
      <w:marRight w:val="0"/>
      <w:marTop w:val="0"/>
      <w:marBottom w:val="0"/>
      <w:divBdr>
        <w:top w:val="none" w:sz="0" w:space="0" w:color="auto"/>
        <w:left w:val="none" w:sz="0" w:space="0" w:color="auto"/>
        <w:bottom w:val="none" w:sz="0" w:space="0" w:color="auto"/>
        <w:right w:val="none" w:sz="0" w:space="0" w:color="auto"/>
      </w:divBdr>
    </w:div>
    <w:div w:id="2116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6.0346" TargetMode="External"/><Relationship Id="rId13" Type="http://schemas.openxmlformats.org/officeDocument/2006/relationships/hyperlink" Target="http://www.flrules.org/Gateway/reference.asp?No=Ref-02040" TargetMode="External"/><Relationship Id="rId18" Type="http://schemas.openxmlformats.org/officeDocument/2006/relationships/hyperlink" Target="https://www.flrules.org/gateway/ruleNo.asp?id=25-12.027" TargetMode="External"/><Relationship Id="rId26" Type="http://schemas.openxmlformats.org/officeDocument/2006/relationships/hyperlink" Target="https://www.flrules.org/gateway/statute.asp?id=%20366.05(1)" TargetMode="External"/><Relationship Id="rId3" Type="http://schemas.openxmlformats.org/officeDocument/2006/relationships/settings" Target="settings.xml"/><Relationship Id="rId21" Type="http://schemas.openxmlformats.org/officeDocument/2006/relationships/hyperlink" Target="https://www.flrules.org/gateway/statute.asp?id=350.127(2)" TargetMode="External"/><Relationship Id="rId34" Type="http://schemas.openxmlformats.org/officeDocument/2006/relationships/footer" Target="footer1.xm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66.05(1)" TargetMode="External"/><Relationship Id="rId17" Type="http://schemas.openxmlformats.org/officeDocument/2006/relationships/hyperlink" Target="https://www.flrules.org/gateway/ruleNo.asp?id=25-12.022" TargetMode="External"/><Relationship Id="rId25" Type="http://schemas.openxmlformats.org/officeDocument/2006/relationships/hyperlink" Target="https://www.flrules.org/gateway/statute.asp?id=366.04(2)(f)"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www.flrules.org/gateway/ruleNo.asp?id=25-12.008" TargetMode="External"/><Relationship Id="rId20" Type="http://schemas.openxmlformats.org/officeDocument/2006/relationships/hyperlink" Target="https://www.flrules.org/gateway/ruleNo.asp?id=25-12.085" TargetMode="External"/><Relationship Id="rId29" Type="http://schemas.openxmlformats.org/officeDocument/2006/relationships/hyperlink" Target="https://www.flrules.org/gateway/statute.asp?id=%20368.05(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66.04(2)(f)" TargetMode="External"/><Relationship Id="rId24" Type="http://schemas.openxmlformats.org/officeDocument/2006/relationships/hyperlink" Target="https://www.flrules.org/gateway/statute.asp?id=%20368.05(2)" TargetMode="External"/><Relationship Id="rId32" Type="http://schemas.openxmlformats.org/officeDocument/2006/relationships/hyperlink" Target="http://www.flrules.org/Gateway/reference.asp?No=Ref-01537" TargetMode="External"/><Relationship Id="rId5" Type="http://schemas.openxmlformats.org/officeDocument/2006/relationships/footnotes" Target="footnotes.xml"/><Relationship Id="rId15" Type="http://schemas.openxmlformats.org/officeDocument/2006/relationships/hyperlink" Target="https://www.flrules.org/gateway/ruleNo.asp?id=25-12.005" TargetMode="External"/><Relationship Id="rId23" Type="http://schemas.openxmlformats.org/officeDocument/2006/relationships/hyperlink" Target="https://www.flrules.org/gateway/statute.asp?id=%20366.05(1)" TargetMode="External"/><Relationship Id="rId28" Type="http://schemas.openxmlformats.org/officeDocument/2006/relationships/hyperlink" Target="https://www.flrules.org/gateway/statute.asp?id=%20368.05" TargetMode="External"/><Relationship Id="rId36" Type="http://schemas.openxmlformats.org/officeDocument/2006/relationships/theme" Target="theme/theme1.xml"/><Relationship Id="rId10" Type="http://schemas.openxmlformats.org/officeDocument/2006/relationships/hyperlink" Target="https://www.flrules.org/gateway/statute.asp?id=%20366.05(1)" TargetMode="External"/><Relationship Id="rId19" Type="http://schemas.openxmlformats.org/officeDocument/2006/relationships/hyperlink" Target="https://www.flrules.org/gateway/ruleNo.asp?id=25-12.040" TargetMode="External"/><Relationship Id="rId31" Type="http://schemas.openxmlformats.org/officeDocument/2006/relationships/hyperlink" Target="http://www.flrules.org/Gateway/reference.asp?No=Ref-01535" TargetMode="External"/><Relationship Id="rId4" Type="http://schemas.openxmlformats.org/officeDocument/2006/relationships/webSettings" Target="webSettings.xml"/><Relationship Id="rId9" Type="http://schemas.openxmlformats.org/officeDocument/2006/relationships/hyperlink" Target="https://www.flrules.org/gateway/statute.asp?id=350.127(2)" TargetMode="External"/><Relationship Id="rId14" Type="http://schemas.openxmlformats.org/officeDocument/2006/relationships/hyperlink" Target="https://www.flrules.org/gateway/department.asp?id=25" TargetMode="External"/><Relationship Id="rId22" Type="http://schemas.openxmlformats.org/officeDocument/2006/relationships/hyperlink" Target="https://www.flrules.org/gateway/statute.asp?id=%20368.03" TargetMode="External"/><Relationship Id="rId27" Type="http://schemas.openxmlformats.org/officeDocument/2006/relationships/hyperlink" Target="https://www.flrules.org/gateway/statute.asp?id=%20368.03" TargetMode="External"/><Relationship Id="rId30" Type="http://schemas.openxmlformats.org/officeDocument/2006/relationships/hyperlink" Target="http://www.flrules.org/Gateway/reference.asp?No=Ref-01534"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7</Pages>
  <Words>2749</Words>
  <Characters>17943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2016-12-12T15:03:00Z</dcterms:created>
  <dcterms:modified xsi:type="dcterms:W3CDTF">2016-12-12T15:25:00Z</dcterms:modified>
</cp:coreProperties>
</file>