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49689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96892">
            <w:pPr>
              <w:pStyle w:val="MemoHeading"/>
            </w:pPr>
            <w:bookmarkStart w:id="0" w:name="FilingDate"/>
            <w:r>
              <w:t>December 21,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96892" w:rsidRDefault="00496892">
            <w:pPr>
              <w:pStyle w:val="MemoHeading"/>
            </w:pPr>
            <w:bookmarkStart w:id="1" w:name="From"/>
            <w:r>
              <w:t>Division of Economics (Whitchurch, Guffey, Coston)</w:t>
            </w:r>
          </w:p>
          <w:p w:rsidR="007C0528" w:rsidRDefault="00496892">
            <w:pPr>
              <w:pStyle w:val="MemoHeading"/>
            </w:pPr>
            <w:r>
              <w:t>Office of the General Counsel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96892">
            <w:pPr>
              <w:pStyle w:val="MemoHeadingRe"/>
            </w:pPr>
            <w:bookmarkStart w:id="2" w:name="Re"/>
            <w:r>
              <w:t>Docket No. 160211-EU – Joint petition to approve territorial agreement in Columbia, Lafayette, Suwannee, and Hamilton Counties by Suwannee Valley Electric Cooperative and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96892">
            <w:pPr>
              <w:pStyle w:val="MemoHeading"/>
            </w:pPr>
            <w:bookmarkStart w:id="3" w:name="AgendaDate"/>
            <w:r>
              <w:t>01/05/17</w:t>
            </w:r>
            <w:bookmarkEnd w:id="3"/>
            <w:r w:rsidR="007C0528">
              <w:t xml:space="preserve"> – </w:t>
            </w:r>
            <w:bookmarkStart w:id="4" w:name="PermittedStatus"/>
            <w:r>
              <w:t>Regular Agenda</w:t>
            </w:r>
            <w:r w:rsidR="004D010A">
              <w:t xml:space="preserve"> – Proposed Agency Action</w:t>
            </w:r>
            <w:r>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96892">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96892">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96892">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9689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434C18">
      <w:pPr>
        <w:pStyle w:val="BodyText"/>
      </w:pPr>
      <w:r>
        <w:t xml:space="preserve">On September 14, 2016, Suwannee Valley Electric Cooperative (SVEC) and Duke Energy </w:t>
      </w:r>
      <w:r w:rsidRPr="00D60337">
        <w:t xml:space="preserve">Florida, LLC (DEF) filed a joint petition for approval of an amended territorial agreement (proposed agreement) in Columbia, Lafayette, Suwannee, and Hamilton Counties. </w:t>
      </w:r>
      <w:r w:rsidR="00D60337" w:rsidRPr="00D60337">
        <w:t>The proposed agreement is Attachment 1 to the petition, while the maps and written descriptions delineating the area to be served by the proposed agreement are provided in the petition as Exhibits A and D</w:t>
      </w:r>
      <w:r w:rsidR="004B296C">
        <w:t>,</w:t>
      </w:r>
      <w:r w:rsidR="00D60337" w:rsidRPr="00D60337">
        <w:t xml:space="preserve"> respectively. Due to the volume of the exhibits, they have not been attached to this recommendation</w:t>
      </w:r>
      <w:r w:rsidR="00940E55" w:rsidRPr="00D60337">
        <w:t>.</w:t>
      </w:r>
    </w:p>
    <w:p w:rsidR="007C0528" w:rsidRDefault="00940E55" w:rsidP="005C13F3">
      <w:pPr>
        <w:pStyle w:val="BodyText"/>
      </w:pPr>
      <w:r>
        <w:lastRenderedPageBreak/>
        <w:t>The Commission approved the existing territorial agreement between SVEC and DEF in 1995.</w:t>
      </w:r>
      <w:r w:rsidR="004B296C">
        <w:rPr>
          <w:rStyle w:val="FootnoteReference"/>
        </w:rPr>
        <w:footnoteReference w:id="1"/>
      </w:r>
      <w:r>
        <w:t xml:space="preserve"> The existing agreement was for a term of 20 years and ended Marc</w:t>
      </w:r>
      <w:r w:rsidR="00643BB4">
        <w:t>h 14, 2015. Since then there have</w:t>
      </w:r>
      <w:r>
        <w:t xml:space="preserve"> been two</w:t>
      </w:r>
      <w:r w:rsidR="00643BB4">
        <w:t xml:space="preserve"> Commission-</w:t>
      </w:r>
      <w:r w:rsidR="007F00B8">
        <w:t>approved</w:t>
      </w:r>
      <w:r>
        <w:t xml:space="preserve"> extensions</w:t>
      </w:r>
      <w:r w:rsidR="007F00B8">
        <w:t xml:space="preserve"> to allow </w:t>
      </w:r>
      <w:r w:rsidR="009610FD">
        <w:t xml:space="preserve">the joint </w:t>
      </w:r>
      <w:r w:rsidR="00643BB4">
        <w:t>petitioners</w:t>
      </w:r>
      <w:r w:rsidR="009610FD">
        <w:t xml:space="preserve"> </w:t>
      </w:r>
      <w:r w:rsidR="007F00B8">
        <w:t>time to finalize negotiations. T</w:t>
      </w:r>
      <w:r w:rsidR="009610FD">
        <w:t xml:space="preserve">he first </w:t>
      </w:r>
      <w:r w:rsidR="007A54A4">
        <w:t xml:space="preserve">extension </w:t>
      </w:r>
      <w:r w:rsidR="007F00B8">
        <w:t>expired</w:t>
      </w:r>
      <w:r w:rsidR="009610FD">
        <w:t xml:space="preserve"> March 14, 2016</w:t>
      </w:r>
      <w:r w:rsidR="004B296C">
        <w:t>,</w:t>
      </w:r>
      <w:r w:rsidR="004B296C">
        <w:rPr>
          <w:rStyle w:val="FootnoteReference"/>
        </w:rPr>
        <w:footnoteReference w:id="2"/>
      </w:r>
      <w:r w:rsidR="004B296C">
        <w:t xml:space="preserve"> </w:t>
      </w:r>
      <w:r w:rsidR="009610FD">
        <w:t xml:space="preserve">and the second </w:t>
      </w:r>
      <w:r w:rsidR="007A54A4">
        <w:t xml:space="preserve">extended the agreement </w:t>
      </w:r>
      <w:r w:rsidR="009610FD">
        <w:t>until</w:t>
      </w:r>
      <w:r>
        <w:t xml:space="preserve"> September 14, 2016.</w:t>
      </w:r>
      <w:r w:rsidR="004B296C">
        <w:rPr>
          <w:rStyle w:val="FootnoteReference"/>
        </w:rPr>
        <w:footnoteReference w:id="3"/>
      </w:r>
      <w:r>
        <w:t xml:space="preserve"> The joint petitioners have negotiated the proposed agreement</w:t>
      </w:r>
      <w:r w:rsidR="007F00B8">
        <w:t>, which delineates</w:t>
      </w:r>
      <w:r>
        <w:t xml:space="preserve"> their respective service boundaries in Columbia, Lafayette, Suwannee, and Hamilton Counties</w:t>
      </w:r>
      <w:r w:rsidR="007F00B8">
        <w:t>,</w:t>
      </w:r>
      <w:r>
        <w:t xml:space="preserve"> for a</w:t>
      </w:r>
      <w:r w:rsidR="00643BB4">
        <w:t xml:space="preserve"> 20-</w:t>
      </w:r>
      <w:r w:rsidR="007F00B8">
        <w:t>year term</w:t>
      </w:r>
      <w:r>
        <w:t>. The proposed agreement</w:t>
      </w:r>
      <w:r w:rsidR="00EC605A">
        <w:t xml:space="preserve"> also</w:t>
      </w:r>
      <w:r>
        <w:t xml:space="preserve"> </w:t>
      </w:r>
      <w:r w:rsidR="009610FD">
        <w:t>consolidates</w:t>
      </w:r>
      <w:r>
        <w:t xml:space="preserve"> an expired territori</w:t>
      </w:r>
      <w:r w:rsidR="00643BB4">
        <w:t>al agreement in Hamilton County which was</w:t>
      </w:r>
      <w:r>
        <w:t xml:space="preserve"> issued August 1990 and expired in August 2010.</w:t>
      </w:r>
      <w:r w:rsidR="004B296C">
        <w:rPr>
          <w:rStyle w:val="FootnoteReference"/>
        </w:rPr>
        <w:footnoteReference w:id="4"/>
      </w:r>
      <w:r>
        <w:t xml:space="preserve"> If approved, the agreement will result in the transfer of 29 commercial customers and 102 residential cu</w:t>
      </w:r>
      <w:r w:rsidR="00606CD3">
        <w:t xml:space="preserve">stomers from DEF to SVEC. </w:t>
      </w:r>
      <w:r w:rsidR="00EC605A">
        <w:t>Additionally</w:t>
      </w:r>
      <w:r w:rsidR="009B1D70">
        <w:t>,</w:t>
      </w:r>
      <w:r w:rsidR="00EC605A">
        <w:t xml:space="preserve"> t</w:t>
      </w:r>
      <w:r w:rsidR="00606CD3">
        <w:t>he agreement will result in the transfer of 11 commercial customers</w:t>
      </w:r>
      <w:r w:rsidR="00EC605A">
        <w:t xml:space="preserve"> and 57 residential customers f</w:t>
      </w:r>
      <w:r w:rsidR="00606CD3">
        <w:t>r</w:t>
      </w:r>
      <w:r w:rsidR="00EC605A">
        <w:t>o</w:t>
      </w:r>
      <w:r w:rsidR="00606CD3">
        <w:t>m SVEC to DEF. The transfers will be implemented when it is operationally feasible for both parties t</w:t>
      </w:r>
      <w:r w:rsidR="00EC605A">
        <w:t>o serve the total</w:t>
      </w:r>
      <w:r w:rsidR="00867445">
        <w:t xml:space="preserve"> 199 </w:t>
      </w:r>
      <w:r w:rsidR="00EC605A">
        <w:t xml:space="preserve">impacted </w:t>
      </w:r>
      <w:r w:rsidR="00867445">
        <w:t xml:space="preserve">customers. </w:t>
      </w:r>
      <w:r w:rsidR="00EC605A">
        <w:t>The t</w:t>
      </w:r>
      <w:r w:rsidR="00867445">
        <w:t>ransfers will be implemented</w:t>
      </w:r>
      <w:r w:rsidR="00606CD3">
        <w:t xml:space="preserve"> no later than 36 months after </w:t>
      </w:r>
      <w:r w:rsidR="009B1D70">
        <w:t xml:space="preserve">the </w:t>
      </w:r>
      <w:r w:rsidR="00EC605A">
        <w:t>Commission’s</w:t>
      </w:r>
      <w:r w:rsidR="00606CD3">
        <w:t xml:space="preserve"> approval. The Commission has jurisdiction over this matter pursuant to Section 366.04, Florida Statutes (F.S.).</w:t>
      </w:r>
    </w:p>
    <w:p w:rsidR="00916363" w:rsidRDefault="00916363" w:rsidP="005C13F3">
      <w:pPr>
        <w:pStyle w:val="BodyText"/>
        <w:sectPr w:rsidR="00916363" w:rsidSect="00C27AED">
          <w:footerReference w:type="default" r:id="rId10"/>
          <w:pgSz w:w="12240" w:h="15840" w:code="1"/>
          <w:pgMar w:top="1584" w:right="1440" w:bottom="1440" w:left="1440" w:header="720" w:footer="720" w:gutter="0"/>
          <w:cols w:space="720"/>
          <w:formProt w:val="0"/>
          <w:titlePg/>
          <w:docGrid w:linePitch="360"/>
        </w:sectPr>
      </w:pPr>
    </w:p>
    <w:p w:rsidR="00916363" w:rsidRDefault="00916363" w:rsidP="005C13F3">
      <w:pPr>
        <w:pStyle w:val="BodyText"/>
      </w:pPr>
    </w:p>
    <w:p w:rsidR="007C0528" w:rsidRDefault="007C0528">
      <w:pPr>
        <w:pStyle w:val="RecommendationMajorSectionHeading"/>
      </w:pPr>
      <w:bookmarkStart w:id="13" w:name="DiscussionOfIssues"/>
      <w:bookmarkEnd w:id="11"/>
      <w:r>
        <w:t>Discussion of Issues</w:t>
      </w:r>
    </w:p>
    <w:bookmarkEnd w:id="13"/>
    <w:p w:rsidR="00E06484" w:rsidRDefault="005C13F3" w:rsidP="00E275D8">
      <w:pPr>
        <w:pStyle w:val="BodyText"/>
      </w:pPr>
      <w:r w:rsidRPr="005C13F3">
        <w:rPr>
          <w:rFonts w:ascii="Arial" w:hAnsi="Arial" w:cs="Arial"/>
          <w:b/>
          <w:i/>
        </w:rPr>
        <w:t>Issue 1:</w:t>
      </w:r>
      <w:r>
        <w:rPr>
          <w:rFonts w:ascii="Arial" w:hAnsi="Arial" w:cs="Arial"/>
          <w:b/>
          <w:i/>
        </w:rPr>
        <w:t xml:space="preserve"> </w:t>
      </w:r>
      <w:r>
        <w:t xml:space="preserve">Should the Commission approve the proposed territorial agreement between SVEC and DEF? </w:t>
      </w:r>
    </w:p>
    <w:p w:rsidR="005C13F3" w:rsidRPr="005C13F3" w:rsidRDefault="005C13F3" w:rsidP="00E275D8">
      <w:pPr>
        <w:pStyle w:val="BodyText"/>
      </w:pPr>
      <w:r w:rsidRPr="005C13F3">
        <w:rPr>
          <w:rFonts w:ascii="Arial" w:hAnsi="Arial" w:cs="Arial"/>
          <w:b/>
          <w:i/>
        </w:rPr>
        <w:t>Recommendation:</w:t>
      </w:r>
      <w:r>
        <w:rPr>
          <w:rFonts w:ascii="Arial" w:hAnsi="Arial" w:cs="Arial"/>
          <w:b/>
          <w:i/>
        </w:rPr>
        <w:t xml:space="preserve"> </w:t>
      </w:r>
      <w:r w:rsidR="0075518C">
        <w:t>Yes. The proposed agreement is an extension of the existing agreement set to expire in 2016</w:t>
      </w:r>
      <w:r w:rsidR="00515EF8">
        <w:t>,</w:t>
      </w:r>
      <w:r w:rsidR="0075518C">
        <w:t xml:space="preserve"> and</w:t>
      </w:r>
      <w:r w:rsidR="00643BB4">
        <w:t xml:space="preserve"> consolidates</w:t>
      </w:r>
      <w:r w:rsidR="0075518C">
        <w:t xml:space="preserve"> </w:t>
      </w:r>
      <w:r w:rsidR="00515EF8">
        <w:t xml:space="preserve">the </w:t>
      </w:r>
      <w:r w:rsidR="0075518C">
        <w:t>previously expired agreement</w:t>
      </w:r>
      <w:r w:rsidR="00515EF8">
        <w:t xml:space="preserve"> for Hamilton County.</w:t>
      </w:r>
      <w:r w:rsidR="0075518C">
        <w:t xml:space="preserve"> It is in the public interest and will enable SVEC and DEF to better serve their current and future customers.</w:t>
      </w:r>
      <w:r w:rsidR="00D60337">
        <w:t xml:space="preserve"> (Whitchurch, Guffey, Coston)</w:t>
      </w:r>
    </w:p>
    <w:p w:rsidR="005C13F3" w:rsidRDefault="005C13F3" w:rsidP="00E275D8">
      <w:pPr>
        <w:pStyle w:val="BodyText"/>
      </w:pPr>
      <w:r w:rsidRPr="005C13F3">
        <w:rPr>
          <w:rFonts w:ascii="Arial" w:hAnsi="Arial" w:cs="Arial"/>
          <w:b/>
          <w:i/>
        </w:rPr>
        <w:t>Staff Analysis:</w:t>
      </w:r>
      <w:r>
        <w:rPr>
          <w:rFonts w:ascii="Arial" w:hAnsi="Arial" w:cs="Arial"/>
          <w:b/>
          <w:i/>
        </w:rPr>
        <w:t xml:space="preserve"> </w:t>
      </w:r>
      <w:r w:rsidR="005F714D">
        <w:t>Pursuan</w:t>
      </w:r>
      <w:r w:rsidR="00D60337">
        <w:t>t to Section 366.04(2</w:t>
      </w:r>
      <w:proofErr w:type="gramStart"/>
      <w:r w:rsidR="00D60337">
        <w:t>)(</w:t>
      </w:r>
      <w:proofErr w:type="gramEnd"/>
      <w:r w:rsidR="00D60337">
        <w:t>d), F.S.</w:t>
      </w:r>
      <w:r w:rsidR="005F714D">
        <w:t xml:space="preserve"> and Rule 25-6.0440(2), Florida Administrative Code (F.A.C.), the Commission has jurisdiction to approve territorial agreements between, and among, rural electric cooperatives, municipal electric utilities, and investor-owned utilities. Unless the Commission determines that the agreement will cause a detriment to the public interest, the agreement should be approved</w:t>
      </w:r>
      <w:r w:rsidR="004B296C">
        <w:t>.</w:t>
      </w:r>
      <w:r w:rsidR="00D60337">
        <w:rPr>
          <w:rStyle w:val="FootnoteReference"/>
        </w:rPr>
        <w:footnoteReference w:id="5"/>
      </w:r>
      <w:r w:rsidR="005F714D">
        <w:t xml:space="preserve"> </w:t>
      </w:r>
    </w:p>
    <w:p w:rsidR="00B017FD" w:rsidRPr="00B017FD" w:rsidRDefault="005F714D" w:rsidP="00E275D8">
      <w:pPr>
        <w:pStyle w:val="BodyText"/>
      </w:pPr>
      <w:r w:rsidRPr="00B017FD">
        <w:t xml:space="preserve">Through the proposed agreement, the joint petitioners desire to continue </w:t>
      </w:r>
      <w:r w:rsidR="00515EF8">
        <w:t>and consolidate two</w:t>
      </w:r>
      <w:r w:rsidRPr="00B017FD">
        <w:t xml:space="preserve"> existing agreement</w:t>
      </w:r>
      <w:r w:rsidR="00515EF8">
        <w:t>s and clarify</w:t>
      </w:r>
      <w:r w:rsidRPr="00B017FD">
        <w:t xml:space="preserve"> the territorial boundaries within </w:t>
      </w:r>
      <w:r w:rsidR="004F55BA" w:rsidRPr="00B017FD">
        <w:t>Columbia, Lafayette, Suwannee</w:t>
      </w:r>
      <w:r w:rsidR="00375B5F">
        <w:t>, and Hamilton Counties</w:t>
      </w:r>
      <w:r w:rsidR="00515EF8">
        <w:t xml:space="preserve">.  </w:t>
      </w:r>
      <w:r w:rsidR="00375B5F">
        <w:t xml:space="preserve">This will allow the petitioners to </w:t>
      </w:r>
      <w:r w:rsidR="00515EF8">
        <w:t>more</w:t>
      </w:r>
      <w:r w:rsidRPr="00B017FD">
        <w:t xml:space="preserve"> </w:t>
      </w:r>
      <w:r w:rsidR="00515EF8" w:rsidRPr="00B017FD">
        <w:t xml:space="preserve">reliably and economically </w:t>
      </w:r>
      <w:r w:rsidRPr="00B017FD">
        <w:t>serve customers. The proposed agreement modifies the territorial boundaries to eliminate split parcels</w:t>
      </w:r>
      <w:r w:rsidR="00375B5F">
        <w:t xml:space="preserve">, </w:t>
      </w:r>
      <w:r w:rsidR="00515EF8">
        <w:t>which</w:t>
      </w:r>
      <w:r w:rsidR="00375B5F">
        <w:t xml:space="preserve"> results in the transfer of</w:t>
      </w:r>
      <w:r w:rsidRPr="00B017FD">
        <w:t xml:space="preserve"> </w:t>
      </w:r>
      <w:r w:rsidR="004F55BA" w:rsidRPr="00B017FD">
        <w:t>199</w:t>
      </w:r>
      <w:r w:rsidR="00375B5F">
        <w:t xml:space="preserve"> customers</w:t>
      </w:r>
      <w:r w:rsidR="00515EF8">
        <w:t xml:space="preserve"> between the utilities</w:t>
      </w:r>
      <w:r w:rsidR="00375B5F">
        <w:t xml:space="preserve">. </w:t>
      </w:r>
      <w:r w:rsidR="00B94F59">
        <w:t>Madison County has been removed from this proposed agreement due to the fact that DEF does not share any territorial boundaries with SVEC in the county.</w:t>
      </w:r>
    </w:p>
    <w:p w:rsidR="005F714D" w:rsidRDefault="005F714D" w:rsidP="00E275D8">
      <w:pPr>
        <w:pStyle w:val="BodyText"/>
      </w:pPr>
      <w:r w:rsidRPr="00B017FD">
        <w:t>The petitioners negotiated the proposed agreement for a 20-year term wi</w:t>
      </w:r>
      <w:r>
        <w:t>th the condition that after the expiration date, the agreement will remain in effect until and unless either par</w:t>
      </w:r>
      <w:r w:rsidR="00515EF8">
        <w:t xml:space="preserve">ty provides a written notice </w:t>
      </w:r>
      <w:r>
        <w:t>at least 12 months prior to term</w:t>
      </w:r>
      <w:r w:rsidR="00D60337">
        <w:t>ination. Pursuant to Section 1.9</w:t>
      </w:r>
      <w:r>
        <w:t xml:space="preserve"> of the proposed agreement, the effective date of the agreement will be the date on which a final Order is issued by the Commission, provided no timely protests are filed. </w:t>
      </w:r>
    </w:p>
    <w:p w:rsidR="00643BB4" w:rsidRDefault="005F714D" w:rsidP="00E275D8">
      <w:pPr>
        <w:pStyle w:val="BodyText"/>
      </w:pPr>
      <w:r>
        <w:t>In accordance with Rule 25-6.0440(1</w:t>
      </w:r>
      <w:proofErr w:type="gramStart"/>
      <w:r>
        <w:t>)(</w:t>
      </w:r>
      <w:proofErr w:type="gramEnd"/>
      <w:r>
        <w:t xml:space="preserve">d), F.A.C., the petitioners state that the </w:t>
      </w:r>
      <w:r w:rsidR="00515EF8">
        <w:t xml:space="preserve">199 </w:t>
      </w:r>
      <w:r>
        <w:t>impacted customers pursuant to the proposed agreement were notified by mail of the transfer and provided a description of the difference in rates between DEF and SVEC</w:t>
      </w:r>
      <w:r w:rsidR="004B296C">
        <w:t>.</w:t>
      </w:r>
      <w:r w:rsidR="00D60337">
        <w:rPr>
          <w:rStyle w:val="FootnoteReference"/>
        </w:rPr>
        <w:footnoteReference w:id="6"/>
      </w:r>
      <w:r w:rsidR="00215936">
        <w:t xml:space="preserve"> As of </w:t>
      </w:r>
      <w:r w:rsidR="009F7017">
        <w:t>August</w:t>
      </w:r>
      <w:r w:rsidR="00215936">
        <w:t xml:space="preserve"> 2016, the rate comparison for </w:t>
      </w:r>
      <w:r w:rsidR="00643BB4">
        <w:t>a</w:t>
      </w:r>
      <w:r w:rsidR="00215936">
        <w:t xml:space="preserve"> non-demand commercial customer, u</w:t>
      </w:r>
      <w:r w:rsidR="009F7017">
        <w:t>sing 1,500 kilowatt-hours, was $171.22 for DEF and $180.00 for SVEC. As of August</w:t>
      </w:r>
      <w:r w:rsidR="00215936">
        <w:t xml:space="preserve"> 2016, the rate comparison for </w:t>
      </w:r>
      <w:r w:rsidR="00643BB4">
        <w:t>a</w:t>
      </w:r>
      <w:r w:rsidR="00215936">
        <w:t xml:space="preserve"> residential customer, u</w:t>
      </w:r>
      <w:r w:rsidR="009F7017">
        <w:t>sing 1,000 kilowatt-hours, was $108.48 for DEF and $121.00</w:t>
      </w:r>
      <w:r w:rsidR="00215936">
        <w:t xml:space="preserve"> for SVEC. </w:t>
      </w:r>
      <w:r w:rsidR="009610FD">
        <w:t>Both parties</w:t>
      </w:r>
      <w:r w:rsidR="00215936">
        <w:t xml:space="preserve"> </w:t>
      </w:r>
      <w:r w:rsidR="009F7017">
        <w:t xml:space="preserve">will apply any deposits of the </w:t>
      </w:r>
      <w:r w:rsidR="00515EF8">
        <w:t>impacted</w:t>
      </w:r>
      <w:r w:rsidR="00215936">
        <w:t xml:space="preserve"> customers to their last electric bill and will directly refund any surplus. The joint petitioners expect that the customer transfers will be completed within 36 months of the</w:t>
      </w:r>
      <w:r w:rsidR="00515EF8">
        <w:t xml:space="preserve"> agreement’s</w:t>
      </w:r>
      <w:r w:rsidR="00215936">
        <w:t xml:space="preserve"> effective date and will notify the Commission </w:t>
      </w:r>
      <w:r w:rsidR="00643BB4">
        <w:t>in writing if additional time is</w:t>
      </w:r>
      <w:r w:rsidR="00215936">
        <w:t xml:space="preserve"> needed.</w:t>
      </w:r>
      <w:r w:rsidR="00643BB4" w:rsidRPr="00643BB4">
        <w:t xml:space="preserve"> </w:t>
      </w:r>
    </w:p>
    <w:p w:rsidR="005F714D" w:rsidRDefault="0059283C" w:rsidP="00E275D8">
      <w:pPr>
        <w:pStyle w:val="BodyText"/>
      </w:pPr>
      <w:r>
        <w:lastRenderedPageBreak/>
        <w:t>After the notification of transfer and rate changes are sent, customer feedback is encouraged and expected. With regard to this proposed agreement, t</w:t>
      </w:r>
      <w:r w:rsidR="00643BB4">
        <w:t xml:space="preserve">he petitioners state that SVEC has not received any feedback, questions, or concerns from the customers and DEF has received feedback from three customers. </w:t>
      </w:r>
      <w:r w:rsidR="00A20020">
        <w:t>All three c</w:t>
      </w:r>
      <w:r w:rsidR="00B94F59">
        <w:t xml:space="preserve">ustomers desired to remain with DEF and raised concerns about reliability of service, higher rates, vegetation management, and comparative restoration times </w:t>
      </w:r>
      <w:r w:rsidR="00A20020">
        <w:t xml:space="preserve">with SVEC </w:t>
      </w:r>
      <w:r w:rsidR="00B94F59">
        <w:t xml:space="preserve">during Hurricane Hermine. </w:t>
      </w:r>
      <w:r>
        <w:t>DEF has personally contacted all three c</w:t>
      </w:r>
      <w:r w:rsidR="00B94F59">
        <w:t xml:space="preserve">ustomers </w:t>
      </w:r>
      <w:r>
        <w:t>and provid</w:t>
      </w:r>
      <w:r w:rsidR="00B94F59">
        <w:t>ed info</w:t>
      </w:r>
      <w:bookmarkStart w:id="14" w:name="_GoBack"/>
      <w:bookmarkEnd w:id="14"/>
      <w:r w:rsidR="00B94F59">
        <w:t>rmation on how to submit</w:t>
      </w:r>
      <w:r>
        <w:t xml:space="preserve"> comments to the Public Service Commission. The Commission has </w:t>
      </w:r>
      <w:r w:rsidR="00643BB4">
        <w:t>received feedback from one customer</w:t>
      </w:r>
      <w:r>
        <w:t xml:space="preserve"> on November 8, 2016</w:t>
      </w:r>
      <w:r w:rsidR="00B94F59">
        <w:t>.</w:t>
      </w:r>
      <w:r w:rsidR="00B94F59">
        <w:rPr>
          <w:rStyle w:val="FootnoteReference"/>
        </w:rPr>
        <w:footnoteReference w:id="7"/>
      </w:r>
      <w:r w:rsidR="00B94F59">
        <w:t xml:space="preserve"> </w:t>
      </w:r>
      <w:r w:rsidR="00A20020">
        <w:t>This customer</w:t>
      </w:r>
      <w:r w:rsidR="00B94F59">
        <w:t xml:space="preserve"> also cited reliability of service and higher rates as concerns with the proposed agreement. </w:t>
      </w:r>
      <w:r w:rsidR="00643BB4">
        <w:t xml:space="preserve"> </w:t>
      </w:r>
    </w:p>
    <w:p w:rsidR="009F7017" w:rsidRDefault="0059283C" w:rsidP="00E275D8">
      <w:pPr>
        <w:pStyle w:val="BodyText"/>
      </w:pPr>
      <w:r>
        <w:t>S</w:t>
      </w:r>
      <w:r w:rsidR="00D60337">
        <w:t>ection 3.4 (Compensation for Transferred C</w:t>
      </w:r>
      <w:r w:rsidR="00F30BCC">
        <w:t xml:space="preserve">ustomers) of the </w:t>
      </w:r>
      <w:r w:rsidR="004B296C">
        <w:t>proposed agreement</w:t>
      </w:r>
      <w:r>
        <w:t xml:space="preserve"> allows for the compensation of lost revenue</w:t>
      </w:r>
      <w:r w:rsidR="004B296C">
        <w:t xml:space="preserve"> due to the transfer of customers</w:t>
      </w:r>
      <w:r>
        <w:t>.</w:t>
      </w:r>
      <w:r w:rsidR="00F30BCC">
        <w:t xml:space="preserve"> </w:t>
      </w:r>
      <w:r>
        <w:t>C</w:t>
      </w:r>
      <w:r w:rsidR="004D1741">
        <w:t xml:space="preserve">ompensation only applies to </w:t>
      </w:r>
      <w:r w:rsidR="00B96F23">
        <w:t xml:space="preserve">the number of </w:t>
      </w:r>
      <w:r w:rsidR="004D1741">
        <w:t>customers affected by modification</w:t>
      </w:r>
      <w:r>
        <w:t>s to the territorial boundaries, and the party losing the customers will be compensated for the loss of revenue by the receiving party.</w:t>
      </w:r>
      <w:r w:rsidR="00B96F23">
        <w:t xml:space="preserve"> In total</w:t>
      </w:r>
      <w:r w:rsidR="007333F3">
        <w:t xml:space="preserve"> SVEC</w:t>
      </w:r>
      <w:r w:rsidR="004D1741">
        <w:t xml:space="preserve"> </w:t>
      </w:r>
      <w:r w:rsidR="007333F3">
        <w:t xml:space="preserve">is </w:t>
      </w:r>
      <w:r w:rsidR="004D1741">
        <w:t xml:space="preserve">estimated </w:t>
      </w:r>
      <w:r w:rsidR="007333F3">
        <w:t xml:space="preserve">to pay DEF </w:t>
      </w:r>
      <w:r w:rsidR="00E17F3D">
        <w:t>approximately $260,412</w:t>
      </w:r>
      <w:r>
        <w:t xml:space="preserve"> in lost revenue</w:t>
      </w:r>
      <w:r w:rsidR="007333F3">
        <w:t xml:space="preserve"> and DEF is estimated </w:t>
      </w:r>
      <w:r w:rsidR="007A54A4">
        <w:t xml:space="preserve">to pay </w:t>
      </w:r>
      <w:r w:rsidR="007333F3">
        <w:t>SVEC</w:t>
      </w:r>
      <w:r w:rsidR="00E17F3D">
        <w:t xml:space="preserve"> approximately</w:t>
      </w:r>
      <w:r w:rsidR="007333F3">
        <w:t xml:space="preserve"> $111,535</w:t>
      </w:r>
      <w:r w:rsidR="004D1741">
        <w:t>.</w:t>
      </w:r>
      <w:r w:rsidR="007333F3">
        <w:t xml:space="preserve"> </w:t>
      </w:r>
      <w:r w:rsidR="001E5668">
        <w:t>These estimates are reaso</w:t>
      </w:r>
      <w:r w:rsidR="00E17F3D">
        <w:t>nable in light of current rates. However, the</w:t>
      </w:r>
      <w:r w:rsidR="001E5668">
        <w:t xml:space="preserve"> final compensation amounts will depend on </w:t>
      </w:r>
      <w:r w:rsidR="007A54A4">
        <w:t xml:space="preserve">the </w:t>
      </w:r>
      <w:r w:rsidR="001E5668">
        <w:t xml:space="preserve">approval </w:t>
      </w:r>
      <w:r w:rsidR="007A54A4">
        <w:t xml:space="preserve">date </w:t>
      </w:r>
      <w:r w:rsidR="001E5668">
        <w:t xml:space="preserve">of this agreement. </w:t>
      </w:r>
      <w:r w:rsidR="004D1741">
        <w:t xml:space="preserve">Compensation is intended to be provided within 60 days of the provided invoice. </w:t>
      </w:r>
    </w:p>
    <w:p w:rsidR="00215936" w:rsidRDefault="009610FD" w:rsidP="00E275D8">
      <w:pPr>
        <w:pStyle w:val="BodyText"/>
      </w:pPr>
      <w:r>
        <w:t>In accordance with</w:t>
      </w:r>
      <w:r w:rsidR="009F7017">
        <w:t xml:space="preserve"> section 3.5</w:t>
      </w:r>
      <w:r w:rsidR="00215936">
        <w:t xml:space="preserve"> (</w:t>
      </w:r>
      <w:r w:rsidR="00D60337">
        <w:t>Compensation for Transferred Facilities</w:t>
      </w:r>
      <w:r w:rsidR="00215936">
        <w:t xml:space="preserve">) of the proposed agreement, SVEC may elect to purchase electric distribution facilities used exclusively for providing electric service to the transferred customers. To determine the facilities’ value, DEF will use a </w:t>
      </w:r>
      <w:r w:rsidR="00D60337">
        <w:t>common engineering cost estimation methodology such as the Handy</w:t>
      </w:r>
      <w:r w:rsidR="00215936">
        <w:t xml:space="preserve">-Whitman index. In response to staff’s data request, joint petitioners </w:t>
      </w:r>
      <w:r w:rsidR="007333F3">
        <w:t>believe that the net purchase of</w:t>
      </w:r>
      <w:r w:rsidR="00215936">
        <w:t xml:space="preserve"> </w:t>
      </w:r>
      <w:r>
        <w:t>facili</w:t>
      </w:r>
      <w:r w:rsidR="007333F3">
        <w:t xml:space="preserve">ties to be transferred </w:t>
      </w:r>
      <w:r w:rsidR="007A54A4">
        <w:t>will</w:t>
      </w:r>
      <w:r w:rsidR="007333F3">
        <w:t xml:space="preserve"> not exceed $100,000. The actual </w:t>
      </w:r>
      <w:r w:rsidR="00867445">
        <w:t xml:space="preserve">amount </w:t>
      </w:r>
      <w:r>
        <w:t xml:space="preserve">will </w:t>
      </w:r>
      <w:r w:rsidR="001E5668">
        <w:t>depend on approval of this</w:t>
      </w:r>
      <w:r>
        <w:t xml:space="preserve"> agreement.   </w:t>
      </w:r>
    </w:p>
    <w:p w:rsidR="00215936" w:rsidRPr="005C13F3" w:rsidRDefault="00215936" w:rsidP="00E275D8">
      <w:pPr>
        <w:pStyle w:val="BodyText"/>
      </w:pPr>
      <w:r>
        <w:t>The joint petitioners assert that the proposed agreement will avoid duplication of services and wasteful expenditures and will protect the public health and safety from potentially hazardous conditions. The joint petitioners believe and represent that the Commission’s approval of the proposed agreement is in the public interest.</w:t>
      </w:r>
    </w:p>
    <w:p w:rsidR="005C13F3" w:rsidRPr="005C13F3" w:rsidRDefault="005C13F3" w:rsidP="00E275D8">
      <w:pPr>
        <w:pStyle w:val="BodyText"/>
      </w:pPr>
      <w:r w:rsidRPr="005C13F3">
        <w:rPr>
          <w:rFonts w:ascii="Arial" w:hAnsi="Arial" w:cs="Arial"/>
          <w:b/>
          <w:i/>
        </w:rPr>
        <w:t>Conclusion:</w:t>
      </w:r>
      <w:r>
        <w:rPr>
          <w:rFonts w:ascii="Arial" w:hAnsi="Arial" w:cs="Arial"/>
          <w:b/>
          <w:i/>
        </w:rPr>
        <w:t xml:space="preserve"> </w:t>
      </w:r>
      <w:r w:rsidR="00215936">
        <w:t>After review of the petition, the proposed agreement, and responses to staff’s data request, staff believes that the proposed agreement is in the public interest and will enable</w:t>
      </w:r>
      <w:r w:rsidR="00DD351C">
        <w:t xml:space="preserve"> SVEC and DEF to better serve their current and future customers. </w:t>
      </w:r>
      <w:r w:rsidR="001E5668">
        <w:t xml:space="preserve">Merging the two </w:t>
      </w:r>
      <w:r w:rsidR="00E17F3D">
        <w:t>prior agreements,</w:t>
      </w:r>
      <w:r w:rsidR="001E5668">
        <w:t xml:space="preserve"> </w:t>
      </w:r>
      <w:r w:rsidR="00B96F23">
        <w:t xml:space="preserve">clarifying boundary lines, </w:t>
      </w:r>
      <w:r w:rsidR="001E5668">
        <w:t xml:space="preserve">and </w:t>
      </w:r>
      <w:r w:rsidR="00E17F3D">
        <w:t xml:space="preserve">removing </w:t>
      </w:r>
      <w:r w:rsidR="001E5668">
        <w:t>Madison County</w:t>
      </w:r>
      <w:r w:rsidR="00E17F3D">
        <w:t xml:space="preserve"> from the language,</w:t>
      </w:r>
      <w:r w:rsidR="001E5668">
        <w:t xml:space="preserve"> allows the</w:t>
      </w:r>
      <w:r w:rsidR="00E17F3D">
        <w:t xml:space="preserve"> proposed agreement</w:t>
      </w:r>
      <w:r w:rsidR="001E5668">
        <w:t xml:space="preserve"> to be used more efficiently and to better serve customers</w:t>
      </w:r>
      <w:r w:rsidR="00643BB4">
        <w:t>’</w:t>
      </w:r>
      <w:r w:rsidR="001E5668">
        <w:t xml:space="preserve"> interest</w:t>
      </w:r>
      <w:r w:rsidR="00643BB4">
        <w:t>s</w:t>
      </w:r>
      <w:r w:rsidR="001E5668">
        <w:t>. T</w:t>
      </w:r>
      <w:r w:rsidR="00DD351C">
        <w:t xml:space="preserve">he proposed agreement eliminates any potential uneconomic duplication of facilities and will not cause a decrease in the reliability of electric service. </w:t>
      </w:r>
      <w:r w:rsidR="00CA58C3">
        <w:t>Despite concerns</w:t>
      </w:r>
      <w:r w:rsidR="00B96F23">
        <w:t xml:space="preserve"> of cost and service issues</w:t>
      </w:r>
      <w:r w:rsidR="001E5668">
        <w:t xml:space="preserve"> raised by </w:t>
      </w:r>
      <w:r w:rsidR="00643BB4">
        <w:t>individual</w:t>
      </w:r>
      <w:r w:rsidR="001E5668">
        <w:t xml:space="preserve"> customers</w:t>
      </w:r>
      <w:r w:rsidR="00CA58C3">
        <w:t>,</w:t>
      </w:r>
      <w:r w:rsidR="001E5668">
        <w:t xml:space="preserve"> </w:t>
      </w:r>
      <w:r w:rsidR="007D040E">
        <w:t xml:space="preserve">customers </w:t>
      </w:r>
      <w:r w:rsidR="00643BB4">
        <w:t xml:space="preserve">as a whole </w:t>
      </w:r>
      <w:r w:rsidR="007D040E">
        <w:t>will benefit</w:t>
      </w:r>
      <w:r w:rsidR="00B96F23">
        <w:t xml:space="preserve"> overall by these transfers</w:t>
      </w:r>
      <w:r w:rsidR="007D040E">
        <w:t xml:space="preserve">. </w:t>
      </w:r>
      <w:r w:rsidR="001E5668">
        <w:t>The transfer of 199 customers helps avoid the</w:t>
      </w:r>
      <w:r w:rsidR="00CA58C3">
        <w:t xml:space="preserve"> duplication of services</w:t>
      </w:r>
      <w:r w:rsidR="001E5668">
        <w:t>,</w:t>
      </w:r>
      <w:r w:rsidR="00CA58C3">
        <w:t xml:space="preserve"> ma</w:t>
      </w:r>
      <w:r w:rsidR="001E5668">
        <w:t>intain lower rates,</w:t>
      </w:r>
      <w:r w:rsidR="00B96F23">
        <w:t xml:space="preserve"> </w:t>
      </w:r>
      <w:r w:rsidR="001E5668">
        <w:t>enhance</w:t>
      </w:r>
      <w:r w:rsidR="00CA58C3">
        <w:t xml:space="preserve"> saf</w:t>
      </w:r>
      <w:r w:rsidR="001E5668">
        <w:t>ety and reliability, and reduce</w:t>
      </w:r>
      <w:r w:rsidR="00CA58C3">
        <w:t xml:space="preserve"> restoration times</w:t>
      </w:r>
      <w:r w:rsidR="00B96F23">
        <w:t>.</w:t>
      </w:r>
      <w:r w:rsidR="00CA58C3">
        <w:t xml:space="preserve"> </w:t>
      </w:r>
      <w:r w:rsidR="00DD351C">
        <w:t xml:space="preserve">As such, staff recommends that the Commission should approve the proposed territorial agreement between SVEC and DEF. </w:t>
      </w:r>
      <w:r w:rsidR="00215936">
        <w:t xml:space="preserve"> </w:t>
      </w:r>
    </w:p>
    <w:p w:rsidR="00916363" w:rsidRDefault="00916363" w:rsidP="005C13F3">
      <w:pPr>
        <w:pStyle w:val="BodyText"/>
        <w:rPr>
          <w:rFonts w:ascii="Arial" w:hAnsi="Arial" w:cs="Arial"/>
          <w:b/>
          <w:i/>
        </w:rPr>
        <w:sectPr w:rsidR="00916363" w:rsidSect="0068481F">
          <w:headerReference w:type="default" r:id="rId11"/>
          <w:pgSz w:w="12240" w:h="15840" w:code="1"/>
          <w:pgMar w:top="1584" w:right="1440" w:bottom="1440" w:left="1440" w:header="720" w:footer="720" w:gutter="0"/>
          <w:cols w:space="720"/>
          <w:formProt w:val="0"/>
          <w:docGrid w:linePitch="360"/>
        </w:sectPr>
      </w:pPr>
    </w:p>
    <w:p w:rsidR="005C13F3" w:rsidRDefault="005C13F3" w:rsidP="005C13F3">
      <w:pPr>
        <w:pStyle w:val="BodyText"/>
        <w:rPr>
          <w:rFonts w:ascii="Arial" w:hAnsi="Arial" w:cs="Arial"/>
          <w:b/>
          <w:i/>
        </w:rPr>
      </w:pPr>
    </w:p>
    <w:p w:rsidR="005C13F3" w:rsidRDefault="005C13F3" w:rsidP="005C13F3">
      <w:pPr>
        <w:pStyle w:val="BodyText"/>
      </w:pPr>
      <w:r>
        <w:rPr>
          <w:rFonts w:ascii="Arial" w:hAnsi="Arial" w:cs="Arial"/>
          <w:b/>
          <w:i/>
        </w:rPr>
        <w:t>Issue 2</w:t>
      </w:r>
      <w:r w:rsidRPr="005C13F3">
        <w:rPr>
          <w:rFonts w:ascii="Arial" w:hAnsi="Arial" w:cs="Arial"/>
          <w:b/>
          <w:i/>
        </w:rPr>
        <w:t>:</w:t>
      </w:r>
      <w:r>
        <w:rPr>
          <w:rFonts w:ascii="Arial" w:hAnsi="Arial" w:cs="Arial"/>
          <w:b/>
          <w:i/>
        </w:rPr>
        <w:t xml:space="preserve"> </w:t>
      </w:r>
      <w:r>
        <w:t>Should this docket be closed?</w:t>
      </w:r>
    </w:p>
    <w:p w:rsidR="005C13F3" w:rsidRPr="005C13F3" w:rsidRDefault="005C13F3" w:rsidP="005C13F3">
      <w:pPr>
        <w:pStyle w:val="BodyText"/>
      </w:pPr>
      <w:r w:rsidRPr="005C13F3">
        <w:rPr>
          <w:rFonts w:ascii="Arial" w:hAnsi="Arial" w:cs="Arial"/>
          <w:b/>
          <w:i/>
        </w:rPr>
        <w:t>Recommendation:</w:t>
      </w:r>
      <w:r>
        <w:rPr>
          <w:rFonts w:ascii="Arial" w:hAnsi="Arial" w:cs="Arial"/>
          <w:b/>
          <w:i/>
        </w:rPr>
        <w:t xml:space="preserve"> </w:t>
      </w:r>
      <w:r>
        <w:t xml:space="preserve">If no protest is filed by a person whose substantial interests are affected within 21 days of the issuance of the Order, this docket should be closed upon the issuance of a Consummating Order. </w:t>
      </w:r>
      <w:r w:rsidR="00D60337">
        <w:t>(Trierweiler)</w:t>
      </w:r>
    </w:p>
    <w:p w:rsidR="005C13F3" w:rsidRPr="005C13F3" w:rsidRDefault="005C13F3" w:rsidP="005C13F3">
      <w:pPr>
        <w:pStyle w:val="BodyText"/>
      </w:pPr>
      <w:r w:rsidRPr="005C13F3">
        <w:rPr>
          <w:rFonts w:ascii="Arial" w:hAnsi="Arial" w:cs="Arial"/>
          <w:b/>
          <w:i/>
        </w:rPr>
        <w:t>Staff Analysis:</w:t>
      </w:r>
      <w:r>
        <w:rPr>
          <w:rFonts w:ascii="Arial" w:hAnsi="Arial" w:cs="Arial"/>
          <w:b/>
          <w:i/>
        </w:rPr>
        <w:t xml:space="preserve"> </w:t>
      </w:r>
      <w:r>
        <w:t xml:space="preserve">If no protest is filed by a person whose substantial interests are affected within 21 days of the issuance of the Order, this docket should be closed upon the issuance of a Consummating Order. </w:t>
      </w:r>
    </w:p>
    <w:p w:rsidR="005C13F3" w:rsidRPr="005C13F3" w:rsidRDefault="005C13F3" w:rsidP="00E275D8">
      <w:pPr>
        <w:pStyle w:val="BodyText"/>
      </w:pPr>
    </w:p>
    <w:sectPr w:rsidR="005C13F3" w:rsidRPr="005C13F3" w:rsidSect="0068481F">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92" w:rsidRDefault="00496892">
      <w:r>
        <w:separator/>
      </w:r>
    </w:p>
  </w:endnote>
  <w:endnote w:type="continuationSeparator" w:id="0">
    <w:p w:rsidR="00496892" w:rsidRDefault="0049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ED" w:rsidRDefault="00C27AED" w:rsidP="00C27AED">
    <w:pPr>
      <w:pStyle w:val="Footer"/>
      <w:jc w:val="center"/>
    </w:pPr>
    <w:r>
      <w:t xml:space="preserve">- </w:t>
    </w:r>
    <w:sdt>
      <w:sdtPr>
        <w:id w:val="-1040397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0020">
          <w:rPr>
            <w:noProof/>
          </w:rPr>
          <w:t>4</w:t>
        </w:r>
        <w:r>
          <w:rPr>
            <w:noProof/>
          </w:rPr>
          <w:fldChar w:fldCharType="end"/>
        </w:r>
        <w:r>
          <w:rPr>
            <w:noProof/>
          </w:rPr>
          <w:t xml:space="preserve"> -</w:t>
        </w:r>
      </w:sdtContent>
    </w:sdt>
  </w:p>
  <w:p w:rsidR="00C27AED" w:rsidRDefault="00C27AED" w:rsidP="00C27AE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92" w:rsidRDefault="00496892">
      <w:r>
        <w:separator/>
      </w:r>
    </w:p>
  </w:footnote>
  <w:footnote w:type="continuationSeparator" w:id="0">
    <w:p w:rsidR="00496892" w:rsidRDefault="00496892">
      <w:r>
        <w:continuationSeparator/>
      </w:r>
    </w:p>
  </w:footnote>
  <w:footnote w:id="1">
    <w:p w:rsidR="004B296C" w:rsidRPr="00D60337" w:rsidRDefault="004B296C" w:rsidP="004B296C">
      <w:pPr>
        <w:pStyle w:val="FootnoteText"/>
        <w:rPr>
          <w:i/>
        </w:rPr>
      </w:pPr>
      <w:r>
        <w:rPr>
          <w:rStyle w:val="FootnoteReference"/>
        </w:rPr>
        <w:footnoteRef/>
      </w:r>
      <w:r>
        <w:t xml:space="preserve"> </w:t>
      </w:r>
      <w:proofErr w:type="gramStart"/>
      <w:r>
        <w:t>Order No.</w:t>
      </w:r>
      <w:proofErr w:type="gramEnd"/>
      <w:r>
        <w:t xml:space="preserve"> PSC-95-0351-FOF</w:t>
      </w:r>
      <w:r w:rsidR="009B1D70">
        <w:t>-EU, issued March 14, 1995, in D</w:t>
      </w:r>
      <w:r>
        <w:t xml:space="preserve">ocket No. 940331-EU, </w:t>
      </w:r>
      <w:r>
        <w:rPr>
          <w:i/>
        </w:rPr>
        <w:t>In re: Petition to resolve territorial dispute with Florida Power Corporation.</w:t>
      </w:r>
    </w:p>
  </w:footnote>
  <w:footnote w:id="2">
    <w:p w:rsidR="004B296C" w:rsidRPr="00D60337" w:rsidRDefault="004B296C" w:rsidP="004B296C">
      <w:pPr>
        <w:pStyle w:val="FootnoteText"/>
        <w:rPr>
          <w:i/>
        </w:rPr>
      </w:pPr>
      <w:r>
        <w:rPr>
          <w:rStyle w:val="FootnoteReference"/>
        </w:rPr>
        <w:footnoteRef/>
      </w:r>
      <w:r>
        <w:t xml:space="preserve"> </w:t>
      </w:r>
      <w:proofErr w:type="gramStart"/>
      <w:r>
        <w:t>Order No.</w:t>
      </w:r>
      <w:proofErr w:type="gramEnd"/>
      <w:r>
        <w:t xml:space="preserve"> PSC-15-0128-PAA</w:t>
      </w:r>
      <w:r w:rsidR="009B1D70">
        <w:t>-EU, issued March 20, 2015, in D</w:t>
      </w:r>
      <w:r>
        <w:t xml:space="preserve">ocket No. 150039-EU, </w:t>
      </w:r>
      <w:r>
        <w:rPr>
          <w:i/>
        </w:rPr>
        <w:t>In re: Joint petition to reopen and extend the term of existing territorial agreement in Columbia, Lafayette, Madison, and Suwannee Counties.</w:t>
      </w:r>
    </w:p>
  </w:footnote>
  <w:footnote w:id="3">
    <w:p w:rsidR="004B296C" w:rsidRPr="00226AA7" w:rsidRDefault="004B296C" w:rsidP="004B296C">
      <w:pPr>
        <w:pStyle w:val="FootnoteText"/>
        <w:rPr>
          <w:i/>
        </w:rPr>
      </w:pPr>
      <w:r>
        <w:rPr>
          <w:rStyle w:val="FootnoteReference"/>
        </w:rPr>
        <w:footnoteRef/>
      </w:r>
      <w:r>
        <w:t xml:space="preserve"> </w:t>
      </w:r>
      <w:proofErr w:type="gramStart"/>
      <w:r>
        <w:t>Order No.</w:t>
      </w:r>
      <w:proofErr w:type="gramEnd"/>
      <w:r>
        <w:t xml:space="preserve"> PSC-16-0193-P</w:t>
      </w:r>
      <w:r w:rsidR="009B1D70">
        <w:t>AA-EU, issued May 17, 2016, in D</w:t>
      </w:r>
      <w:r>
        <w:t xml:space="preserve">ocket No. 160056-EU, </w:t>
      </w:r>
      <w:r>
        <w:rPr>
          <w:i/>
        </w:rPr>
        <w:t>In re: Joint petition to reopen and extend the term of existing territorial agreement in Columbia, Lafayette, Madison, and Suwannee Counties.</w:t>
      </w:r>
    </w:p>
  </w:footnote>
  <w:footnote w:id="4">
    <w:p w:rsidR="004B296C" w:rsidRPr="00226AA7" w:rsidRDefault="004B296C" w:rsidP="004B296C">
      <w:pPr>
        <w:pStyle w:val="FootnoteText"/>
        <w:rPr>
          <w:i/>
        </w:rPr>
      </w:pPr>
      <w:r>
        <w:rPr>
          <w:rStyle w:val="FootnoteReference"/>
        </w:rPr>
        <w:footnoteRef/>
      </w:r>
      <w:r>
        <w:t xml:space="preserve"> Order No. 23</w:t>
      </w:r>
      <w:r w:rsidR="009B1D70">
        <w:t>310, issued August 6, 1990, in D</w:t>
      </w:r>
      <w:r>
        <w:t xml:space="preserve">ocket No. 890780-EU, </w:t>
      </w:r>
      <w:r>
        <w:rPr>
          <w:i/>
        </w:rPr>
        <w:t>In re: Petition of Suwannee Valley Electric Cooperative, Inc. to resolve territorial disputes with Florida Power Corporation in Hamilton County.</w:t>
      </w:r>
    </w:p>
  </w:footnote>
  <w:footnote w:id="5">
    <w:p w:rsidR="00D60337" w:rsidRPr="00226AA7" w:rsidRDefault="00D60337">
      <w:pPr>
        <w:pStyle w:val="FootnoteText"/>
      </w:pPr>
      <w:r>
        <w:rPr>
          <w:rStyle w:val="FootnoteReference"/>
        </w:rPr>
        <w:footnoteRef/>
      </w:r>
      <w:r>
        <w:t xml:space="preserve"> </w:t>
      </w:r>
      <w:r w:rsidR="00226AA7">
        <w:rPr>
          <w:u w:val="single"/>
        </w:rPr>
        <w:t>Utilities Commission of the City of New Smyma Beach v. Florida Public Service Commission</w:t>
      </w:r>
      <w:r w:rsidR="00226AA7">
        <w:t>, 469 So. 2d 731 (Fla. 1985).</w:t>
      </w:r>
    </w:p>
  </w:footnote>
  <w:footnote w:id="6">
    <w:p w:rsidR="00D60337" w:rsidRDefault="00D60337">
      <w:pPr>
        <w:pStyle w:val="FootnoteText"/>
      </w:pPr>
      <w:r>
        <w:rPr>
          <w:rStyle w:val="FootnoteReference"/>
        </w:rPr>
        <w:footnoteRef/>
      </w:r>
      <w:r>
        <w:t xml:space="preserve"> </w:t>
      </w:r>
      <w:r w:rsidR="00226AA7">
        <w:t>Petition Exhibit E</w:t>
      </w:r>
      <w:r w:rsidR="004B296C">
        <w:t>.</w:t>
      </w:r>
    </w:p>
  </w:footnote>
  <w:footnote w:id="7">
    <w:p w:rsidR="00B94F59" w:rsidRDefault="00B94F59">
      <w:pPr>
        <w:pStyle w:val="FootnoteText"/>
      </w:pPr>
      <w:r>
        <w:rPr>
          <w:rStyle w:val="FootnoteReference"/>
        </w:rPr>
        <w:footnoteRef/>
      </w:r>
      <w:r>
        <w:t xml:space="preserve"> Document No. 08730-</w:t>
      </w:r>
      <w:r w:rsidR="009B1D70">
        <w:t>16, filed November 8, 2016, in D</w:t>
      </w:r>
      <w:r>
        <w:t xml:space="preserve">ocket 160211-EU, </w:t>
      </w:r>
      <w:r>
        <w:rPr>
          <w:i/>
        </w:rPr>
        <w:t>In re: Joint petition to approve territorial agreement in Columbia, Lafayette, Suwannee, and Hamilton Counties.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63" w:rsidRDefault="001D270F" w:rsidP="00220732">
    <w:pPr>
      <w:pStyle w:val="Header"/>
      <w:tabs>
        <w:tab w:val="clear" w:pos="4320"/>
        <w:tab w:val="clear" w:pos="8640"/>
        <w:tab w:val="right" w:pos="9360"/>
      </w:tabs>
    </w:pPr>
    <w:r>
      <w:t>Docket No. 160211-EU</w:t>
    </w:r>
    <w:r w:rsidR="00916363">
      <w:tab/>
      <w:t>Issue 1</w:t>
    </w:r>
  </w:p>
  <w:p w:rsidR="00916363" w:rsidRDefault="00916363">
    <w:pPr>
      <w:pStyle w:val="Header"/>
    </w:pPr>
    <w:r>
      <w:t xml:space="preserve">Date: </w:t>
    </w:r>
    <w:r w:rsidR="00A20020">
      <w:fldChar w:fldCharType="begin"/>
    </w:r>
    <w:r w:rsidR="00A20020">
      <w:instrText xml:space="preserve"> REF FilingDate </w:instrText>
    </w:r>
    <w:r w:rsidR="00A20020">
      <w:fldChar w:fldCharType="separate"/>
    </w:r>
    <w:r w:rsidR="00A20020">
      <w:t>December 21, 2016</w:t>
    </w:r>
    <w:r w:rsidR="00A2002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63" w:rsidRDefault="001D270F" w:rsidP="00220732">
    <w:pPr>
      <w:pStyle w:val="Header"/>
      <w:tabs>
        <w:tab w:val="clear" w:pos="4320"/>
        <w:tab w:val="clear" w:pos="8640"/>
        <w:tab w:val="right" w:pos="9360"/>
      </w:tabs>
    </w:pPr>
    <w:r>
      <w:t>Docket No. 160221-EU</w:t>
    </w:r>
    <w:r w:rsidR="00916363">
      <w:tab/>
      <w:t>Issue 2</w:t>
    </w:r>
  </w:p>
  <w:p w:rsidR="00916363" w:rsidRDefault="00916363">
    <w:pPr>
      <w:pStyle w:val="Header"/>
    </w:pPr>
    <w:r>
      <w:t xml:space="preserve">Date: </w:t>
    </w:r>
    <w:r w:rsidR="00A20020">
      <w:fldChar w:fldCharType="begin"/>
    </w:r>
    <w:r w:rsidR="00A20020">
      <w:instrText xml:space="preserve"> REF FilingDate </w:instrText>
    </w:r>
    <w:r w:rsidR="00A20020">
      <w:fldChar w:fldCharType="separate"/>
    </w:r>
    <w:r w:rsidR="00A20020">
      <w:t>December 21, 2016</w:t>
    </w:r>
    <w:r w:rsidR="00A2002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44235D9"/>
    <w:multiLevelType w:val="hybridMultilevel"/>
    <w:tmpl w:val="36B05384"/>
    <w:lvl w:ilvl="0" w:tplc="7D7C6A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96892"/>
    <w:rsid w:val="00010E37"/>
    <w:rsid w:val="0002001C"/>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270F"/>
    <w:rsid w:val="001E5668"/>
    <w:rsid w:val="001F2245"/>
    <w:rsid w:val="001F6DA1"/>
    <w:rsid w:val="002044E6"/>
    <w:rsid w:val="00205C82"/>
    <w:rsid w:val="00205DC2"/>
    <w:rsid w:val="00212B17"/>
    <w:rsid w:val="00215936"/>
    <w:rsid w:val="002163B6"/>
    <w:rsid w:val="00220732"/>
    <w:rsid w:val="00221D32"/>
    <w:rsid w:val="00225C3F"/>
    <w:rsid w:val="00226AA7"/>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75B5F"/>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4C18"/>
    <w:rsid w:val="004426B8"/>
    <w:rsid w:val="00444432"/>
    <w:rsid w:val="00471860"/>
    <w:rsid w:val="00496892"/>
    <w:rsid w:val="004B296C"/>
    <w:rsid w:val="004B60BD"/>
    <w:rsid w:val="004C3150"/>
    <w:rsid w:val="004C3641"/>
    <w:rsid w:val="004C4390"/>
    <w:rsid w:val="004C4AF7"/>
    <w:rsid w:val="004D010A"/>
    <w:rsid w:val="004D1741"/>
    <w:rsid w:val="004D2881"/>
    <w:rsid w:val="004D385F"/>
    <w:rsid w:val="004D5B39"/>
    <w:rsid w:val="004E330D"/>
    <w:rsid w:val="004E5147"/>
    <w:rsid w:val="004F55BA"/>
    <w:rsid w:val="0050652D"/>
    <w:rsid w:val="00506C03"/>
    <w:rsid w:val="00515EF8"/>
    <w:rsid w:val="00516496"/>
    <w:rsid w:val="0052572A"/>
    <w:rsid w:val="00543CB3"/>
    <w:rsid w:val="0054704F"/>
    <w:rsid w:val="00560FF0"/>
    <w:rsid w:val="005614BD"/>
    <w:rsid w:val="0057154F"/>
    <w:rsid w:val="0058071D"/>
    <w:rsid w:val="00581CA3"/>
    <w:rsid w:val="00587A44"/>
    <w:rsid w:val="0059283C"/>
    <w:rsid w:val="00597730"/>
    <w:rsid w:val="005977EC"/>
    <w:rsid w:val="00597DE7"/>
    <w:rsid w:val="005A4AA2"/>
    <w:rsid w:val="005B34B6"/>
    <w:rsid w:val="005B6C8F"/>
    <w:rsid w:val="005C13F3"/>
    <w:rsid w:val="005D0F74"/>
    <w:rsid w:val="005D2E7D"/>
    <w:rsid w:val="005D4A8F"/>
    <w:rsid w:val="005D561B"/>
    <w:rsid w:val="005F468D"/>
    <w:rsid w:val="005F69A3"/>
    <w:rsid w:val="005F714D"/>
    <w:rsid w:val="00606CD3"/>
    <w:rsid w:val="00615423"/>
    <w:rsid w:val="006165B2"/>
    <w:rsid w:val="00617276"/>
    <w:rsid w:val="00625D97"/>
    <w:rsid w:val="00625F1C"/>
    <w:rsid w:val="00630CEB"/>
    <w:rsid w:val="00632264"/>
    <w:rsid w:val="00643BB4"/>
    <w:rsid w:val="006470BC"/>
    <w:rsid w:val="00667036"/>
    <w:rsid w:val="00673BDB"/>
    <w:rsid w:val="006771B8"/>
    <w:rsid w:val="006843B6"/>
    <w:rsid w:val="0068481F"/>
    <w:rsid w:val="00696F5D"/>
    <w:rsid w:val="00697249"/>
    <w:rsid w:val="006B3947"/>
    <w:rsid w:val="006B4293"/>
    <w:rsid w:val="006B624F"/>
    <w:rsid w:val="006C2D2F"/>
    <w:rsid w:val="006C31E3"/>
    <w:rsid w:val="006D18D3"/>
    <w:rsid w:val="006E08CB"/>
    <w:rsid w:val="006E598D"/>
    <w:rsid w:val="0070437D"/>
    <w:rsid w:val="00705B04"/>
    <w:rsid w:val="007333F3"/>
    <w:rsid w:val="00734820"/>
    <w:rsid w:val="007349DC"/>
    <w:rsid w:val="0074365E"/>
    <w:rsid w:val="007515FD"/>
    <w:rsid w:val="0075518C"/>
    <w:rsid w:val="00760D80"/>
    <w:rsid w:val="00780C09"/>
    <w:rsid w:val="00780DDF"/>
    <w:rsid w:val="007834E9"/>
    <w:rsid w:val="00787DBC"/>
    <w:rsid w:val="00792935"/>
    <w:rsid w:val="007A04A1"/>
    <w:rsid w:val="007A1840"/>
    <w:rsid w:val="007A54A4"/>
    <w:rsid w:val="007C0528"/>
    <w:rsid w:val="007C3D38"/>
    <w:rsid w:val="007D040E"/>
    <w:rsid w:val="007D0F35"/>
    <w:rsid w:val="007D498A"/>
    <w:rsid w:val="007D4FEB"/>
    <w:rsid w:val="007D6146"/>
    <w:rsid w:val="007E0CE7"/>
    <w:rsid w:val="007F00B8"/>
    <w:rsid w:val="007F1193"/>
    <w:rsid w:val="007F417F"/>
    <w:rsid w:val="008042BD"/>
    <w:rsid w:val="00816624"/>
    <w:rsid w:val="00822427"/>
    <w:rsid w:val="00822562"/>
    <w:rsid w:val="00823663"/>
    <w:rsid w:val="00832DDC"/>
    <w:rsid w:val="00850BAC"/>
    <w:rsid w:val="00854A3E"/>
    <w:rsid w:val="00855D08"/>
    <w:rsid w:val="00867445"/>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16363"/>
    <w:rsid w:val="00920E64"/>
    <w:rsid w:val="00922002"/>
    <w:rsid w:val="00924020"/>
    <w:rsid w:val="009271A7"/>
    <w:rsid w:val="0093658B"/>
    <w:rsid w:val="00940E55"/>
    <w:rsid w:val="009429FF"/>
    <w:rsid w:val="00945BD6"/>
    <w:rsid w:val="009479FB"/>
    <w:rsid w:val="00951C45"/>
    <w:rsid w:val="009610FD"/>
    <w:rsid w:val="009656F2"/>
    <w:rsid w:val="00966A08"/>
    <w:rsid w:val="00971207"/>
    <w:rsid w:val="00975CB4"/>
    <w:rsid w:val="009863B0"/>
    <w:rsid w:val="00987DE1"/>
    <w:rsid w:val="00990571"/>
    <w:rsid w:val="0099673A"/>
    <w:rsid w:val="009A3330"/>
    <w:rsid w:val="009A7C96"/>
    <w:rsid w:val="009B1D58"/>
    <w:rsid w:val="009B1D70"/>
    <w:rsid w:val="009C3DB9"/>
    <w:rsid w:val="009D46E5"/>
    <w:rsid w:val="009D568A"/>
    <w:rsid w:val="009F04EC"/>
    <w:rsid w:val="009F3B36"/>
    <w:rsid w:val="009F7017"/>
    <w:rsid w:val="00A019B9"/>
    <w:rsid w:val="00A12508"/>
    <w:rsid w:val="00A1282B"/>
    <w:rsid w:val="00A13A27"/>
    <w:rsid w:val="00A175B6"/>
    <w:rsid w:val="00A20020"/>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17FD"/>
    <w:rsid w:val="00B05B51"/>
    <w:rsid w:val="00B14E5A"/>
    <w:rsid w:val="00B15370"/>
    <w:rsid w:val="00B17BEB"/>
    <w:rsid w:val="00B21A3C"/>
    <w:rsid w:val="00B223C0"/>
    <w:rsid w:val="00B234ED"/>
    <w:rsid w:val="00B249B2"/>
    <w:rsid w:val="00B25CA3"/>
    <w:rsid w:val="00B57A6A"/>
    <w:rsid w:val="00B760F1"/>
    <w:rsid w:val="00B7669E"/>
    <w:rsid w:val="00B77DA1"/>
    <w:rsid w:val="00B94F59"/>
    <w:rsid w:val="00B96F23"/>
    <w:rsid w:val="00BA0D55"/>
    <w:rsid w:val="00BA37B3"/>
    <w:rsid w:val="00BA4CC6"/>
    <w:rsid w:val="00BB3493"/>
    <w:rsid w:val="00BB7468"/>
    <w:rsid w:val="00BC188A"/>
    <w:rsid w:val="00BF5010"/>
    <w:rsid w:val="00C13791"/>
    <w:rsid w:val="00C27AED"/>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A58C3"/>
    <w:rsid w:val="00CB1777"/>
    <w:rsid w:val="00CB33E9"/>
    <w:rsid w:val="00CC10A9"/>
    <w:rsid w:val="00CE2BF8"/>
    <w:rsid w:val="00CE484E"/>
    <w:rsid w:val="00CF0DA8"/>
    <w:rsid w:val="00CF2E25"/>
    <w:rsid w:val="00CF4453"/>
    <w:rsid w:val="00CF5D94"/>
    <w:rsid w:val="00D034D7"/>
    <w:rsid w:val="00D04BE4"/>
    <w:rsid w:val="00D12565"/>
    <w:rsid w:val="00D14127"/>
    <w:rsid w:val="00D6033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351C"/>
    <w:rsid w:val="00DD5025"/>
    <w:rsid w:val="00DF1510"/>
    <w:rsid w:val="00E06484"/>
    <w:rsid w:val="00E17F3D"/>
    <w:rsid w:val="00E20A7D"/>
    <w:rsid w:val="00E275D8"/>
    <w:rsid w:val="00E375CA"/>
    <w:rsid w:val="00E567E8"/>
    <w:rsid w:val="00E64679"/>
    <w:rsid w:val="00E65EBC"/>
    <w:rsid w:val="00E73432"/>
    <w:rsid w:val="00E74740"/>
    <w:rsid w:val="00E77B0C"/>
    <w:rsid w:val="00E77FB8"/>
    <w:rsid w:val="00E838B0"/>
    <w:rsid w:val="00E86A7C"/>
    <w:rsid w:val="00E878E1"/>
    <w:rsid w:val="00E87F2C"/>
    <w:rsid w:val="00E95278"/>
    <w:rsid w:val="00EA2273"/>
    <w:rsid w:val="00EB2DB3"/>
    <w:rsid w:val="00EC3FBB"/>
    <w:rsid w:val="00EC605A"/>
    <w:rsid w:val="00EC6B7A"/>
    <w:rsid w:val="00ED3A87"/>
    <w:rsid w:val="00ED5B67"/>
    <w:rsid w:val="00EF264C"/>
    <w:rsid w:val="00EF3FEE"/>
    <w:rsid w:val="00F04B59"/>
    <w:rsid w:val="00F11741"/>
    <w:rsid w:val="00F12B1C"/>
    <w:rsid w:val="00F13CF8"/>
    <w:rsid w:val="00F15855"/>
    <w:rsid w:val="00F30BCC"/>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rsid w:val="00515EF8"/>
    <w:rPr>
      <w:sz w:val="16"/>
      <w:szCs w:val="16"/>
    </w:rPr>
  </w:style>
  <w:style w:type="character" w:customStyle="1" w:styleId="FooterChar">
    <w:name w:val="Footer Char"/>
    <w:basedOn w:val="DefaultParagraphFont"/>
    <w:link w:val="Footer"/>
    <w:uiPriority w:val="99"/>
    <w:rsid w:val="00C27AED"/>
    <w:rPr>
      <w:sz w:val="24"/>
      <w:szCs w:val="24"/>
    </w:rPr>
  </w:style>
  <w:style w:type="character" w:styleId="FootnoteReference">
    <w:name w:val="footnote reference"/>
    <w:basedOn w:val="DefaultParagraphFont"/>
    <w:rsid w:val="00D603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rsid w:val="00515EF8"/>
    <w:rPr>
      <w:sz w:val="16"/>
      <w:szCs w:val="16"/>
    </w:rPr>
  </w:style>
  <w:style w:type="character" w:customStyle="1" w:styleId="FooterChar">
    <w:name w:val="Footer Char"/>
    <w:basedOn w:val="DefaultParagraphFont"/>
    <w:link w:val="Footer"/>
    <w:uiPriority w:val="99"/>
    <w:rsid w:val="00C27AED"/>
    <w:rPr>
      <w:sz w:val="24"/>
      <w:szCs w:val="24"/>
    </w:rPr>
  </w:style>
  <w:style w:type="character" w:styleId="FootnoteReference">
    <w:name w:val="footnote reference"/>
    <w:basedOn w:val="DefaultParagraphFont"/>
    <w:rsid w:val="00D60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E71D-0E22-4672-9C79-84A32BF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1237</TotalTime>
  <Pages>5</Pages>
  <Words>1392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Nathan Whitchurch</dc:creator>
  <cp:lastModifiedBy>Nathan Whitchurch</cp:lastModifiedBy>
  <cp:revision>26</cp:revision>
  <cp:lastPrinted>2016-12-21T13:22:00Z</cp:lastPrinted>
  <dcterms:created xsi:type="dcterms:W3CDTF">2016-11-22T14:31:00Z</dcterms:created>
  <dcterms:modified xsi:type="dcterms:W3CDTF">2016-12-21T13:22:00Z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160211-EU</vt:lpwstr>
  </property>
  <property fmtid="{D5CDD505-2E9C-101B-9397-08002B2CF9AE}" pid="3" name="MasterDocument">
    <vt:bool>false</vt:bool>
  </property>
</Properties>
</file>