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D038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D0380" w:rsidP="00A92AC5">
            <w:pPr>
              <w:pStyle w:val="MemoHeading"/>
            </w:pPr>
            <w:bookmarkStart w:id="1" w:name="FilingDate"/>
            <w:r>
              <w:t>February 2</w:t>
            </w:r>
            <w:r w:rsidR="00A92AC5">
              <w:t>3</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D0380" w:rsidRDefault="002D0380">
            <w:pPr>
              <w:pStyle w:val="MemoHeading"/>
            </w:pPr>
            <w:bookmarkStart w:id="2" w:name="From"/>
            <w:r>
              <w:t>Division of Engineering (Lee)</w:t>
            </w:r>
          </w:p>
          <w:p w:rsidR="002D0380" w:rsidRDefault="002D0380">
            <w:pPr>
              <w:pStyle w:val="MemoHeading"/>
            </w:pPr>
            <w:r>
              <w:t xml:space="preserve">Division of Accounting and Finance (Passett, </w:t>
            </w:r>
            <w:r w:rsidR="00352F7A">
              <w:t xml:space="preserve">D. </w:t>
            </w:r>
            <w:r>
              <w:t>Smith)</w:t>
            </w:r>
          </w:p>
          <w:p w:rsidR="002D0380" w:rsidRDefault="002D0380">
            <w:pPr>
              <w:pStyle w:val="MemoHeading"/>
            </w:pPr>
            <w:r>
              <w:t>Division of Economics (Guffey)</w:t>
            </w:r>
          </w:p>
          <w:p w:rsidR="007C0528" w:rsidRDefault="002D0380">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D0380">
            <w:pPr>
              <w:pStyle w:val="MemoHeadingRe"/>
            </w:pPr>
            <w:bookmarkStart w:id="3" w:name="Re"/>
            <w:r>
              <w:t>Docket No. 170030-EI – Petition for limited proceeding for approval to include in base rates the revenue requirement for the Hines chillers uprate project,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D0380">
            <w:pPr>
              <w:pStyle w:val="MemoHeading"/>
            </w:pPr>
            <w:bookmarkStart w:id="4" w:name="AgendaDate"/>
            <w:r>
              <w:t>03/07/17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D038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D0380">
            <w:pPr>
              <w:pStyle w:val="MemoHeading"/>
            </w:pPr>
            <w:bookmarkStart w:id="7" w:name="PrehearingOfficer"/>
            <w:r>
              <w:t>Graham</w:t>
            </w:r>
            <w:bookmarkEnd w:id="7"/>
          </w:p>
        </w:tc>
      </w:tr>
      <w:tr w:rsidR="007C0528" w:rsidTr="003C1610">
        <w:trPr>
          <w:trHeight w:val="288"/>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D0380">
            <w:pPr>
              <w:pStyle w:val="MemoHeading"/>
            </w:pPr>
            <w:bookmarkStart w:id="9" w:name="CriticalDates"/>
            <w:r>
              <w:t>04/03/17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D038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62A3D" w:rsidRDefault="00962A3D" w:rsidP="00962A3D">
      <w:pPr>
        <w:pStyle w:val="BodyText"/>
      </w:pPr>
      <w:r w:rsidRPr="003D1416">
        <w:t>By Order No. PSC-13-0598-FOF-EI, the Commission approved the Revised and Restated Stipulation and Settlement Agreement (RRSSA).</w:t>
      </w:r>
      <w:r w:rsidRPr="003D1416">
        <w:rPr>
          <w:rStyle w:val="FootnoteReference"/>
        </w:rPr>
        <w:footnoteReference w:id="1"/>
      </w:r>
      <w:r>
        <w:t xml:space="preserve"> Paragraph 16(a) of the RRSSA includes </w:t>
      </w:r>
      <w:r>
        <w:lastRenderedPageBreak/>
        <w:t>provisions for Duke Energy Florida, LLC (DEF) to seek recovery of the prudently incurred revenue requirement of power uprates to existing DEF units, which may be placed in-service prior to year-end 2017, through a separate base rate increase at the time each unit is placed in service.</w:t>
      </w:r>
    </w:p>
    <w:p w:rsidR="00962A3D" w:rsidRDefault="00962A3D" w:rsidP="00962A3D">
      <w:pPr>
        <w:pStyle w:val="BodyText"/>
      </w:pPr>
      <w:r w:rsidRPr="00090AE8">
        <w:t xml:space="preserve">On May 20, 2016, </w:t>
      </w:r>
      <w:r>
        <w:t>DEF</w:t>
      </w:r>
      <w:r w:rsidRPr="00090AE8">
        <w:t xml:space="preserve"> filed a petition for approval to include in base rates the revenue requirement for the Hines Chillers Uprate Project (Hines Project)</w:t>
      </w:r>
      <w:r>
        <w:t xml:space="preserve"> in Docket</w:t>
      </w:r>
      <w:r w:rsidR="008A6868">
        <w:t xml:space="preserve"> No.</w:t>
      </w:r>
      <w:r>
        <w:t xml:space="preserve"> 160128-EI</w:t>
      </w:r>
      <w:r w:rsidR="00573DBC">
        <w:t>,</w:t>
      </w:r>
      <w:r w:rsidR="00573DBC" w:rsidRPr="00573DBC">
        <w:t xml:space="preserve"> pursuant to Paragraph 16(a) of the RRSSA</w:t>
      </w:r>
      <w:r>
        <w:t xml:space="preserve">. </w:t>
      </w:r>
      <w:r w:rsidRPr="00090AE8">
        <w:t>The Hines Project consists of installation of chiller modules for the existing Hines Energy Center power block units, a large chilled water storage tank, an auxiliary power system, pumps and chilled water supply</w:t>
      </w:r>
      <w:r w:rsidR="006B49AB">
        <w:t>,</w:t>
      </w:r>
      <w:r w:rsidRPr="00090AE8">
        <w:t xml:space="preserve"> return piping, and gas turbine air inlet chiller coils. The installation of the chiller system on the existing Hines Energy Center power block units (Hines Units </w:t>
      </w:r>
      <w:r w:rsidR="002D39DB">
        <w:t>1-4</w:t>
      </w:r>
      <w:r w:rsidRPr="00090AE8">
        <w:t xml:space="preserve">) is designed to cool the gas turbine inlet air, thus increasing the capacity of each power block while maintaining fuel efficiency. Hines Units </w:t>
      </w:r>
      <w:r w:rsidR="002D39DB">
        <w:t xml:space="preserve">1-4 </w:t>
      </w:r>
      <w:r w:rsidRPr="00090AE8">
        <w:t>have a total installed capacity of approximately 1,900 megawatts (MW). The project is expected to increase the summer capacity of those units by approximately 220 MW to meet the summer peak demand, which DEF projected to grow to 9,439 MW by the summer of 2018.</w:t>
      </w:r>
    </w:p>
    <w:p w:rsidR="00C954E0" w:rsidRDefault="00962A3D" w:rsidP="00962A3D">
      <w:pPr>
        <w:pStyle w:val="BodyText"/>
      </w:pPr>
      <w:r>
        <w:t xml:space="preserve">The </w:t>
      </w:r>
      <w:r w:rsidRPr="002A12AB">
        <w:t xml:space="preserve">Hines Project </w:t>
      </w:r>
      <w:r>
        <w:t>was granted</w:t>
      </w:r>
      <w:r w:rsidRPr="003D1416">
        <w:t xml:space="preserve"> a determination of need</w:t>
      </w:r>
      <w:r>
        <w:t xml:space="preserve"> in 2014</w:t>
      </w:r>
      <w:r w:rsidRPr="003D1416">
        <w:t>.</w:t>
      </w:r>
      <w:r w:rsidRPr="003D1416">
        <w:rPr>
          <w:rStyle w:val="FootnoteReference"/>
        </w:rPr>
        <w:footnoteReference w:id="2"/>
      </w:r>
      <w:r>
        <w:t xml:space="preserve"> The estimated cost of the project was </w:t>
      </w:r>
      <w:r w:rsidRPr="002A12AB">
        <w:t>determined</w:t>
      </w:r>
      <w:r>
        <w:t xml:space="preserve"> to</w:t>
      </w:r>
      <w:r w:rsidRPr="002A12AB">
        <w:t xml:space="preserve"> be reasonable</w:t>
      </w:r>
      <w:r>
        <w:t xml:space="preserve"> </w:t>
      </w:r>
      <w:r w:rsidRPr="00F0759B">
        <w:t xml:space="preserve">by </w:t>
      </w:r>
      <w:r w:rsidRPr="00182E5E">
        <w:t>Order No. PSC-16-0362-TRF-EI</w:t>
      </w:r>
      <w:r w:rsidR="008A6868">
        <w:t>,</w:t>
      </w:r>
      <w:r w:rsidRPr="003D1416">
        <w:rPr>
          <w:rStyle w:val="FootnoteReference"/>
        </w:rPr>
        <w:footnoteReference w:id="3"/>
      </w:r>
      <w:r>
        <w:t xml:space="preserve"> </w:t>
      </w:r>
      <w:r w:rsidR="008A6868">
        <w:t xml:space="preserve">and </w:t>
      </w:r>
      <w:r>
        <w:t>was to be implemented in two phases</w:t>
      </w:r>
      <w:r w:rsidR="008A6868">
        <w:t xml:space="preserve">. </w:t>
      </w:r>
      <w:r w:rsidR="00CF33AD">
        <w:t>T</w:t>
      </w:r>
      <w:r>
        <w:t>ariff sheets reflecting rate in</w:t>
      </w:r>
      <w:r w:rsidR="008A6868">
        <w:t>creases associated with Phase 1 were approved</w:t>
      </w:r>
      <w:r>
        <w:t xml:space="preserve"> to be effective with the first billing cycle of November 2016. Phase 2 wa</w:t>
      </w:r>
      <w:r w:rsidRPr="00356FFE">
        <w:t>s expected to be completed in January 2017</w:t>
      </w:r>
      <w:r w:rsidR="008A6868">
        <w:t xml:space="preserve">. </w:t>
      </w:r>
      <w:r>
        <w:t xml:space="preserve">However, </w:t>
      </w:r>
      <w:r w:rsidRPr="001A79AA">
        <w:t>DEF delay</w:t>
      </w:r>
      <w:r>
        <w:t>ed the in-service date of the p</w:t>
      </w:r>
      <w:r w:rsidRPr="001A79AA">
        <w:t>roject</w:t>
      </w:r>
      <w:r>
        <w:t xml:space="preserve"> after it discovered a leak in</w:t>
      </w:r>
      <w:r w:rsidR="002D39DB">
        <w:t xml:space="preserve"> a water</w:t>
      </w:r>
      <w:r>
        <w:t xml:space="preserve"> tank that is part of the common equipment. On October 18, 2016, DEF filed a motion requesting withdrawal of the approved tariffs, which was approved by Order No. PSC-16-0521-TRF-EI</w:t>
      </w:r>
      <w:r w:rsidR="00FF2E12">
        <w:t>.</w:t>
      </w:r>
      <w:r w:rsidR="00C954E0" w:rsidRPr="003D1416">
        <w:rPr>
          <w:rStyle w:val="FootnoteReference"/>
        </w:rPr>
        <w:footnoteReference w:id="4"/>
      </w:r>
    </w:p>
    <w:p w:rsidR="00962A3D" w:rsidRDefault="00C954E0" w:rsidP="00962A3D">
      <w:pPr>
        <w:pStyle w:val="BodyText"/>
      </w:pPr>
      <w:r>
        <w:t>Due to</w:t>
      </w:r>
      <w:r w:rsidR="00962A3D">
        <w:t xml:space="preserve"> the delay of </w:t>
      </w:r>
      <w:r w:rsidR="00962A3D" w:rsidRPr="00C70823">
        <w:t>the</w:t>
      </w:r>
      <w:r w:rsidR="00962A3D">
        <w:t xml:space="preserve"> in-service date of the project, DEF has</w:t>
      </w:r>
      <w:r w:rsidR="00962A3D" w:rsidRPr="00C70823">
        <w:t xml:space="preserve"> continue</w:t>
      </w:r>
      <w:r w:rsidR="00962A3D">
        <w:t>d</w:t>
      </w:r>
      <w:r w:rsidR="00962A3D" w:rsidRPr="00C70823">
        <w:t xml:space="preserve"> billing customers consistent with the tariffs that </w:t>
      </w:r>
      <w:r w:rsidR="008A6868">
        <w:t>were in effect. This is</w:t>
      </w:r>
      <w:r w:rsidR="00962A3D" w:rsidRPr="00C70823">
        <w:t xml:space="preserve"> consistent with provision under Paragraph 16(a) of the </w:t>
      </w:r>
      <w:r w:rsidR="00962A3D" w:rsidRPr="00FB3315">
        <w:t>RRSSA,</w:t>
      </w:r>
      <w:r w:rsidR="00962A3D" w:rsidRPr="00C70823">
        <w:t xml:space="preserve"> which contemplates that customers would not be charged for the project cost until such project is placed into service.</w:t>
      </w:r>
    </w:p>
    <w:p w:rsidR="00962A3D" w:rsidRDefault="00962A3D" w:rsidP="00962A3D">
      <w:pPr>
        <w:autoSpaceDE w:val="0"/>
        <w:autoSpaceDN w:val="0"/>
        <w:adjustRightInd w:val="0"/>
        <w:jc w:val="both"/>
      </w:pPr>
      <w:r>
        <w:t>On February 2, 2017, DEF filed the instant petition for approval to include in base rates the revenue requirement associated with the Hines Project, after the</w:t>
      </w:r>
      <w:r w:rsidRPr="00612F01">
        <w:t xml:space="preserve"> </w:t>
      </w:r>
      <w:r>
        <w:t>work to resolve the tank leak</w:t>
      </w:r>
      <w:r w:rsidRPr="00612F01">
        <w:t xml:space="preserve"> issue </w:t>
      </w:r>
      <w:r w:rsidRPr="00720D3A">
        <w:t>had been substantially completed</w:t>
      </w:r>
      <w:r w:rsidRPr="00612F01">
        <w:t>.</w:t>
      </w:r>
      <w:r>
        <w:t xml:space="preserve"> DEF states that the Hines Project will no longer be completed in two phases; rather</w:t>
      </w:r>
      <w:r w:rsidR="00AD2874">
        <w:t>,</w:t>
      </w:r>
      <w:r>
        <w:t xml:space="preserve"> the entire project will now be completed at the same time. DEF currently estimates that the Hines Project will be completed and placed into commercial service by March 2017. </w:t>
      </w:r>
    </w:p>
    <w:p w:rsidR="00962A3D" w:rsidRDefault="00962A3D" w:rsidP="00962A3D">
      <w:pPr>
        <w:autoSpaceDE w:val="0"/>
        <w:autoSpaceDN w:val="0"/>
        <w:adjustRightInd w:val="0"/>
        <w:jc w:val="both"/>
      </w:pPr>
    </w:p>
    <w:p w:rsidR="00962A3D" w:rsidRDefault="00962A3D" w:rsidP="00962A3D">
      <w:pPr>
        <w:pStyle w:val="BodyText"/>
      </w:pPr>
      <w:r>
        <w:t>The Commission has jurisdiction pursuant to Section 366.06, Florida Statutes</w:t>
      </w:r>
      <w:r w:rsidR="00C954E0">
        <w:t xml:space="preserve"> (F.S.)</w:t>
      </w:r>
      <w:r>
        <w:t>.</w:t>
      </w:r>
    </w:p>
    <w:bookmarkEnd w:id="12"/>
    <w:p w:rsidR="00EA2273" w:rsidRDefault="00EA2273" w:rsidP="00962A3D">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62A3D" w:rsidRDefault="00962A3D">
      <w:pPr>
        <w:pStyle w:val="IssueHeading"/>
        <w:rPr>
          <w:vanish/>
          <w:specVanish/>
        </w:rPr>
      </w:pPr>
      <w:r w:rsidRPr="004C3641">
        <w:t xml:space="preserve">Issue </w:t>
      </w:r>
      <w:fldSimple w:instr=" SEQ Issue \* MERGEFORMAT ">
        <w:r w:rsidR="00C14B4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14B4B">
        <w:rPr>
          <w:noProof/>
        </w:rPr>
        <w:instrText>1</w:instrText>
      </w:r>
      <w:r>
        <w:fldChar w:fldCharType="end"/>
      </w:r>
      <w:r>
        <w:tab/>
        <w:instrText xml:space="preserve">" \l 1 </w:instrText>
      </w:r>
      <w:r>
        <w:fldChar w:fldCharType="end"/>
      </w:r>
      <w:r>
        <w:t> </w:t>
      </w:r>
    </w:p>
    <w:p w:rsidR="00962A3D" w:rsidRDefault="00962A3D">
      <w:pPr>
        <w:pStyle w:val="BodyText"/>
      </w:pPr>
      <w:r>
        <w:t> </w:t>
      </w:r>
      <w:r w:rsidRPr="00962A3D">
        <w:t xml:space="preserve">Should the Commission approve DEF’s </w:t>
      </w:r>
      <w:r w:rsidR="00983BAB" w:rsidRPr="00983BAB">
        <w:t>petition to include in base rates the revenue requirement associated with the Hines Project</w:t>
      </w:r>
      <w:r w:rsidRPr="00962A3D">
        <w:t>?</w:t>
      </w:r>
    </w:p>
    <w:p w:rsidR="00962A3D" w:rsidRPr="004C3641" w:rsidRDefault="00962A3D">
      <w:pPr>
        <w:pStyle w:val="IssueSubsectionHeading"/>
        <w:rPr>
          <w:vanish/>
          <w:specVanish/>
        </w:rPr>
      </w:pPr>
      <w:r w:rsidRPr="004C3641">
        <w:t>Recommendation: </w:t>
      </w:r>
    </w:p>
    <w:p w:rsidR="00962A3D" w:rsidRDefault="00962A3D">
      <w:pPr>
        <w:pStyle w:val="BodyText"/>
      </w:pPr>
      <w:r>
        <w:t> </w:t>
      </w:r>
      <w:r w:rsidR="00983BAB">
        <w:t>Yes</w:t>
      </w:r>
      <w:r w:rsidR="000868D9">
        <w:t xml:space="preserve">. </w:t>
      </w:r>
      <w:r w:rsidR="00FB3315" w:rsidRPr="00FB3315">
        <w:t>Staff recommends that the $19,335,560 revenue requirement</w:t>
      </w:r>
      <w:r w:rsidR="000868D9">
        <w:t>,</w:t>
      </w:r>
      <w:r w:rsidR="00FB3315" w:rsidRPr="00FB3315">
        <w:t xml:space="preserve"> based on the most recently available </w:t>
      </w:r>
      <w:r w:rsidR="000868D9" w:rsidRPr="000868D9">
        <w:t>Earnings Surveillance Report</w:t>
      </w:r>
      <w:r w:rsidR="007445C0">
        <w:t xml:space="preserve"> (ESR)</w:t>
      </w:r>
      <w:r w:rsidR="000868D9">
        <w:t>,</w:t>
      </w:r>
      <w:r w:rsidR="00FB3315" w:rsidRPr="00FB3315">
        <w:t xml:space="preserve"> is the appropriate amount</w:t>
      </w:r>
      <w:r w:rsidR="00FB3315">
        <w:t>.</w:t>
      </w:r>
      <w:r w:rsidRPr="00962A3D">
        <w:t xml:space="preserve"> (Lee, </w:t>
      </w:r>
      <w:r w:rsidR="00352F7A">
        <w:t xml:space="preserve">D. </w:t>
      </w:r>
      <w:r w:rsidRPr="00962A3D">
        <w:t>Smith, Passett)</w:t>
      </w:r>
      <w:r>
        <w:t xml:space="preserve"> </w:t>
      </w:r>
    </w:p>
    <w:p w:rsidR="00962A3D" w:rsidRPr="004C3641" w:rsidRDefault="00962A3D">
      <w:pPr>
        <w:pStyle w:val="IssueSubsectionHeading"/>
        <w:rPr>
          <w:vanish/>
          <w:specVanish/>
        </w:rPr>
      </w:pPr>
      <w:r w:rsidRPr="004C3641">
        <w:t>Staff Analysis: </w:t>
      </w:r>
    </w:p>
    <w:p w:rsidR="00962A3D" w:rsidRDefault="00962A3D" w:rsidP="00962A3D">
      <w:pPr>
        <w:pStyle w:val="BodyText"/>
      </w:pPr>
      <w:r>
        <w:t> </w:t>
      </w:r>
      <w:r w:rsidRPr="00074AAF">
        <w:t xml:space="preserve">DEF </w:t>
      </w:r>
      <w:r>
        <w:t xml:space="preserve">is seeking to recover </w:t>
      </w:r>
      <w:r w:rsidR="000868D9">
        <w:t>its</w:t>
      </w:r>
      <w:r w:rsidRPr="00ED489F">
        <w:t xml:space="preserve"> </w:t>
      </w:r>
      <w:r>
        <w:t>estimated</w:t>
      </w:r>
      <w:r w:rsidRPr="00074AAF">
        <w:t xml:space="preserve"> </w:t>
      </w:r>
      <w:r>
        <w:t xml:space="preserve">revenue requirement of </w:t>
      </w:r>
      <w:r w:rsidRPr="00ED489F">
        <w:t>$19,363,385</w:t>
      </w:r>
      <w:r>
        <w:t xml:space="preserve"> for </w:t>
      </w:r>
      <w:r w:rsidRPr="00A66A87">
        <w:t xml:space="preserve">the </w:t>
      </w:r>
      <w:r w:rsidRPr="00683B03">
        <w:t>Hines Project</w:t>
      </w:r>
      <w:r w:rsidRPr="00ED489F">
        <w:t xml:space="preserve"> pursuant </w:t>
      </w:r>
      <w:r>
        <w:t>to Paragraph 16(a) of the RRSSA.</w:t>
      </w:r>
      <w:r w:rsidRPr="00ED489F">
        <w:t xml:space="preserve"> </w:t>
      </w:r>
      <w:r>
        <w:t xml:space="preserve">As discussed earlier, </w:t>
      </w:r>
      <w:r w:rsidRPr="008B6124">
        <w:t>the Hines Project wil</w:t>
      </w:r>
      <w:r>
        <w:t>l no longer be completed in phases. Therefore,</w:t>
      </w:r>
      <w:r w:rsidRPr="008B6124">
        <w:t xml:space="preserve"> </w:t>
      </w:r>
      <w:r>
        <w:t>DEF is requesting that the Commission approve the revenue requirement and rate increase for the whole project.</w:t>
      </w:r>
      <w:r w:rsidRPr="00A66A87">
        <w:t xml:space="preserve"> </w:t>
      </w:r>
    </w:p>
    <w:p w:rsidR="00962A3D" w:rsidRDefault="00962A3D" w:rsidP="00962A3D">
      <w:pPr>
        <w:jc w:val="both"/>
        <w:rPr>
          <w:rFonts w:ascii="Arial" w:hAnsi="Arial" w:cs="Arial"/>
          <w:b/>
        </w:rPr>
      </w:pPr>
      <w:r>
        <w:rPr>
          <w:rFonts w:ascii="Arial" w:hAnsi="Arial" w:cs="Arial"/>
          <w:b/>
        </w:rPr>
        <w:t xml:space="preserve">Cost Estimates for </w:t>
      </w:r>
      <w:r w:rsidRPr="00D04EDB">
        <w:rPr>
          <w:rFonts w:ascii="Arial" w:hAnsi="Arial" w:cs="Arial"/>
          <w:b/>
        </w:rPr>
        <w:t xml:space="preserve">Hines </w:t>
      </w:r>
      <w:r>
        <w:rPr>
          <w:rFonts w:ascii="Arial" w:hAnsi="Arial" w:cs="Arial"/>
          <w:b/>
        </w:rPr>
        <w:t>P</w:t>
      </w:r>
      <w:r w:rsidRPr="00D04EDB">
        <w:rPr>
          <w:rFonts w:ascii="Arial" w:hAnsi="Arial" w:cs="Arial"/>
          <w:b/>
        </w:rPr>
        <w:t>roject</w:t>
      </w:r>
      <w:r>
        <w:rPr>
          <w:rFonts w:ascii="Arial" w:hAnsi="Arial" w:cs="Arial"/>
          <w:b/>
        </w:rPr>
        <w:t xml:space="preserve"> </w:t>
      </w:r>
    </w:p>
    <w:p w:rsidR="00962A3D" w:rsidRDefault="00962A3D" w:rsidP="00962A3D">
      <w:pPr>
        <w:pStyle w:val="BodyText"/>
      </w:pPr>
      <w:r>
        <w:t xml:space="preserve">In Docket </w:t>
      </w:r>
      <w:r w:rsidR="007445C0">
        <w:t xml:space="preserve">No. </w:t>
      </w:r>
      <w:r>
        <w:t>160128-E</w:t>
      </w:r>
      <w:r w:rsidR="00093198">
        <w:t>I</w:t>
      </w:r>
      <w:r>
        <w:t xml:space="preserve">, DEF’s construction cost estimate for the Hines Project was </w:t>
      </w:r>
      <w:r w:rsidR="005C3D1D">
        <w:t xml:space="preserve">$150.6 </w:t>
      </w:r>
      <w:r>
        <w:t xml:space="preserve">million, which was </w:t>
      </w:r>
      <w:r w:rsidR="005C3D1D" w:rsidRPr="005C3D1D">
        <w:t xml:space="preserve">approximately </w:t>
      </w:r>
      <w:r w:rsidRPr="00846C77">
        <w:t xml:space="preserve">$9 million less than the $160 million estimate provided in </w:t>
      </w:r>
      <w:r>
        <w:t xml:space="preserve">the need </w:t>
      </w:r>
      <w:r w:rsidRPr="00846C77">
        <w:t xml:space="preserve">determination </w:t>
      </w:r>
      <w:r>
        <w:t xml:space="preserve">proceeding in </w:t>
      </w:r>
      <w:r w:rsidRPr="00846C77">
        <w:t xml:space="preserve">Docket No. 140111-EI. In that proceeding, </w:t>
      </w:r>
      <w:r>
        <w:t xml:space="preserve">the Commission </w:t>
      </w:r>
      <w:r w:rsidRPr="00846C77">
        <w:t>found the construction cost estimate comparable to a similar project.</w:t>
      </w:r>
      <w:r>
        <w:t xml:space="preserve"> In addition, DEF entered into an Engineering Procurement Construction (EPC) contract with an experienced third party contractor. Each piece of equipment must meet all applicable tests before DEF will accept the equipment as complete from the EPC contractor. </w:t>
      </w:r>
      <w:r w:rsidRPr="00C31F58">
        <w:t>The</w:t>
      </w:r>
      <w:r w:rsidR="00573DBC">
        <w:t xml:space="preserve"> Commission </w:t>
      </w:r>
      <w:r w:rsidR="00573DBC" w:rsidRPr="00573DBC">
        <w:t>determined</w:t>
      </w:r>
      <w:r w:rsidR="00573DBC">
        <w:t xml:space="preserve"> the</w:t>
      </w:r>
      <w:r w:rsidRPr="00C31F58">
        <w:t xml:space="preserve"> es</w:t>
      </w:r>
      <w:r w:rsidR="00573DBC">
        <w:t xml:space="preserve">timated cost of the project </w:t>
      </w:r>
      <w:r w:rsidRPr="00C31F58">
        <w:t>to be reasonable by</w:t>
      </w:r>
      <w:r w:rsidR="00573DBC">
        <w:t xml:space="preserve"> Order No. PSC-16-0362-TRF-EI, issued</w:t>
      </w:r>
      <w:r w:rsidRPr="00C31F58">
        <w:t xml:space="preserve"> August 29, 2016.</w:t>
      </w:r>
      <w:r w:rsidR="005F2630" w:rsidRPr="003D1416">
        <w:rPr>
          <w:rStyle w:val="FootnoteReference"/>
        </w:rPr>
        <w:footnoteReference w:id="5"/>
      </w:r>
    </w:p>
    <w:p w:rsidR="006B4E33" w:rsidRDefault="006B4E33" w:rsidP="00962A3D">
      <w:pPr>
        <w:pStyle w:val="BodyText"/>
      </w:pPr>
      <w:r>
        <w:t xml:space="preserve">Based on information </w:t>
      </w:r>
      <w:r w:rsidR="00962A3D" w:rsidRPr="0061145E">
        <w:t xml:space="preserve">DEF filed in this docket, the updated construction cost estimate is approximately $150.6 million, </w:t>
      </w:r>
      <w:r w:rsidR="007445C0">
        <w:t>which is the same as</w:t>
      </w:r>
      <w:r w:rsidR="00C46B49">
        <w:t xml:space="preserve"> the</w:t>
      </w:r>
      <w:r w:rsidR="00962A3D" w:rsidRPr="0061145E">
        <w:t xml:space="preserve"> estimate DEF provided in Docket </w:t>
      </w:r>
      <w:r w:rsidR="007445C0">
        <w:t xml:space="preserve">No. </w:t>
      </w:r>
      <w:r w:rsidR="00962A3D" w:rsidRPr="0061145E">
        <w:t>160128-EI.</w:t>
      </w:r>
      <w:r w:rsidR="00962A3D">
        <w:t xml:space="preserve"> DEF achieved several major project milestones. Specifically, the station service transformer, cooling tower, chiller modules, thermal energy storage tank, secondary pump, battery building, all interconnect piping and electrical equipment, chiller coils and ductwork to support chiller operation </w:t>
      </w:r>
      <w:r w:rsidR="005C3D1D">
        <w:t xml:space="preserve">have been installed and tested. </w:t>
      </w:r>
    </w:p>
    <w:p w:rsidR="00962A3D" w:rsidRDefault="006B4E33" w:rsidP="00962A3D">
      <w:pPr>
        <w:pStyle w:val="BodyText"/>
      </w:pPr>
      <w:r>
        <w:t xml:space="preserve">As discussed earlier, </w:t>
      </w:r>
      <w:r w:rsidRPr="006B4E33">
        <w:t xml:space="preserve">DEF delayed the in-service date of the project </w:t>
      </w:r>
      <w:r>
        <w:t xml:space="preserve">due to </w:t>
      </w:r>
      <w:r w:rsidRPr="006B4E33">
        <w:t xml:space="preserve">the tank </w:t>
      </w:r>
      <w:r>
        <w:t>leak issue</w:t>
      </w:r>
      <w:r w:rsidRPr="006B4E33">
        <w:t xml:space="preserve">. </w:t>
      </w:r>
      <w:r w:rsidR="005C3D1D" w:rsidRPr="005C3D1D">
        <w:t xml:space="preserve">To ensure that the issue with the tank </w:t>
      </w:r>
      <w:r w:rsidR="007445C0">
        <w:t xml:space="preserve">leak </w:t>
      </w:r>
      <w:r w:rsidR="005C3D1D" w:rsidRPr="005C3D1D">
        <w:t>was fully resolved, DEF and its contractor decided to drain the tank, apply a monolithic seal inside the tank, and then completely re-fill the tank to test for additional leaks.</w:t>
      </w:r>
      <w:r w:rsidR="005C3D1D">
        <w:t xml:space="preserve"> </w:t>
      </w:r>
      <w:r>
        <w:t>T</w:t>
      </w:r>
      <w:r w:rsidRPr="006B4E33">
        <w:t>he work to</w:t>
      </w:r>
      <w:r>
        <w:t xml:space="preserve"> resolve the tank leak issue has</w:t>
      </w:r>
      <w:r w:rsidRPr="006B4E33">
        <w:t xml:space="preserve"> been substantially completed. </w:t>
      </w:r>
      <w:r w:rsidR="00962A3D">
        <w:t xml:space="preserve">Before the project can be completed, DEF must operate the entire system at full capacity to confirm that the equipment meets the performance standard requirements set forth in the contract. Based on DEF’s actions and </w:t>
      </w:r>
      <w:r w:rsidR="007445C0">
        <w:t xml:space="preserve">the </w:t>
      </w:r>
      <w:r w:rsidR="00962A3D">
        <w:t xml:space="preserve">Commission’s prior decision on the reasonableness of the estimated cost, staff recommends that </w:t>
      </w:r>
      <w:r w:rsidR="00962A3D" w:rsidRPr="00037EF8">
        <w:t xml:space="preserve">the construction cost estimate </w:t>
      </w:r>
      <w:r w:rsidR="00962A3D">
        <w:t>be considered</w:t>
      </w:r>
      <w:r w:rsidR="00962A3D" w:rsidRPr="00037EF8">
        <w:t xml:space="preserve"> reasonable</w:t>
      </w:r>
      <w:r w:rsidR="00962A3D">
        <w:t>.</w:t>
      </w:r>
    </w:p>
    <w:p w:rsidR="009729B8" w:rsidRDefault="00962A3D" w:rsidP="00962A3D">
      <w:pPr>
        <w:pStyle w:val="BodyText"/>
      </w:pPr>
      <w:r>
        <w:t xml:space="preserve">While doing the final check of the remaining common equipment, DEF and its contractor discovered an issue with the condensate system. DEF currently anticipates that the project may </w:t>
      </w:r>
      <w:r>
        <w:lastRenderedPageBreak/>
        <w:t>come on-line by the end of March 2017. However, this in-service date may be pushed back if the issue with the condensate system cannot be resolved by the end of March. The impact of the potential delay of this</w:t>
      </w:r>
      <w:r w:rsidRPr="00CD68D0">
        <w:t xml:space="preserve"> in-service date</w:t>
      </w:r>
      <w:r>
        <w:t xml:space="preserve"> to the effective date of the tariff is discussed in Issue 2. </w:t>
      </w:r>
    </w:p>
    <w:p w:rsidR="009729B8" w:rsidRDefault="00962A3D" w:rsidP="00FB3315">
      <w:pPr>
        <w:jc w:val="both"/>
        <w:outlineLvl w:val="0"/>
      </w:pPr>
      <w:r>
        <w:rPr>
          <w:rFonts w:ascii="Arial" w:hAnsi="Arial" w:cs="Arial"/>
          <w:b/>
        </w:rPr>
        <w:t>Revenue Requirement</w:t>
      </w:r>
    </w:p>
    <w:p w:rsidR="00FB3315" w:rsidRDefault="00FB3315" w:rsidP="00FB3315">
      <w:pPr>
        <w:jc w:val="both"/>
        <w:rPr>
          <w:rFonts w:eastAsiaTheme="minorHAnsi"/>
        </w:rPr>
      </w:pPr>
      <w:r>
        <w:t>Based on the estimated cost of the Hines Project, DEF calculated a revenue requirement of $19,363,385.</w:t>
      </w:r>
      <w:r>
        <w:rPr>
          <w:rStyle w:val="FootnoteReference"/>
        </w:rPr>
        <w:footnoteReference w:id="6"/>
      </w:r>
      <w:r>
        <w:t xml:space="preserve"> In accordance with </w:t>
      </w:r>
      <w:r w:rsidR="00BB4B87">
        <w:t>P</w:t>
      </w:r>
      <w:r>
        <w:t xml:space="preserve">aragraph 16(a) of the RRSSA, DEF utilized the capital structure from its November 2016 </w:t>
      </w:r>
      <w:r w:rsidR="007445C0">
        <w:t>ESR</w:t>
      </w:r>
      <w:r>
        <w:t>, its most recent actual available at the time of its filing, and a 10.50 percent return of equity to calculate the revenue requirement.</w:t>
      </w:r>
      <w:r>
        <w:rPr>
          <w:rStyle w:val="FootnoteReference"/>
        </w:rPr>
        <w:footnoteReference w:id="7"/>
      </w:r>
      <w:r>
        <w:t xml:space="preserve"> The revenue requirement calculation also includes the recovery of O&amp;M expenses, depreciation expense, property insurance, property tax, and income tax. Subsequent to the filing of its petition using the November 2016 ESR, DEF submitted its most recent ESR for December 2016. Staff has calculated a revised revenue requirement of </w:t>
      </w:r>
      <w:r>
        <w:rPr>
          <w:color w:val="000000"/>
          <w:sz w:val="22"/>
          <w:szCs w:val="22"/>
        </w:rPr>
        <w:t xml:space="preserve">$19,335,560 </w:t>
      </w:r>
      <w:r>
        <w:t xml:space="preserve">based on the capital structure provided in the December 2016 ESR. This represents a $27,825 revenue requirement reduction. </w:t>
      </w:r>
      <w:r w:rsidRPr="00FB3315">
        <w:t>Staff recommends that the $19,335,560 revenue requirement based on the most recently available ESR is the appropriate amount as shown on Attachment A</w:t>
      </w:r>
      <w:r w:rsidRPr="00FB3315">
        <w:rPr>
          <w:rFonts w:eastAsiaTheme="minorHAnsi"/>
        </w:rPr>
        <w:t>.</w:t>
      </w:r>
    </w:p>
    <w:p w:rsidR="00FB3315" w:rsidRPr="0068088A" w:rsidRDefault="00FB3315">
      <w:pPr>
        <w:jc w:val="both"/>
        <w:rPr>
          <w:rFonts w:ascii="Arial" w:hAnsi="Arial" w:cs="Arial"/>
          <w:b/>
        </w:rPr>
      </w:pPr>
    </w:p>
    <w:p w:rsidR="00962A3D" w:rsidRPr="0068088A" w:rsidRDefault="00962A3D" w:rsidP="00962A3D">
      <w:pPr>
        <w:jc w:val="both"/>
        <w:rPr>
          <w:rFonts w:ascii="Arial" w:hAnsi="Arial" w:cs="Arial"/>
          <w:b/>
        </w:rPr>
      </w:pPr>
      <w:r w:rsidRPr="0068088A">
        <w:rPr>
          <w:rFonts w:ascii="Arial" w:hAnsi="Arial" w:cs="Arial"/>
          <w:b/>
        </w:rPr>
        <w:t>Conclusion</w:t>
      </w:r>
    </w:p>
    <w:p w:rsidR="00962A3D" w:rsidRDefault="00FB3315" w:rsidP="00962A3D">
      <w:pPr>
        <w:pStyle w:val="BodyText"/>
      </w:pPr>
      <w:r w:rsidRPr="00FB3315">
        <w:t>Staff recommends that the $19,335,560 revenue requirement based on the most recently available ESR is the appropriate amount as shown on Attachment A</w:t>
      </w:r>
      <w:r w:rsidR="00962A3D" w:rsidRPr="00037EF8">
        <w:t>.</w:t>
      </w:r>
    </w:p>
    <w:p w:rsidR="00547B15" w:rsidRDefault="00547B15">
      <w:pPr>
        <w:pStyle w:val="IssueHeading"/>
        <w:rPr>
          <w:vanish/>
          <w:specVanish/>
        </w:rPr>
      </w:pPr>
      <w:r w:rsidRPr="004C3641">
        <w:rPr>
          <w:b w:val="0"/>
          <w:i w:val="0"/>
        </w:rPr>
        <w:br w:type="page"/>
      </w:r>
      <w:r w:rsidRPr="004C3641">
        <w:lastRenderedPageBreak/>
        <w:t xml:space="preserve">Issue </w:t>
      </w:r>
      <w:fldSimple w:instr=" SEQ Issue \* MERGEFORMAT ">
        <w:r w:rsidR="00C14B4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14B4B">
        <w:rPr>
          <w:noProof/>
        </w:rPr>
        <w:instrText>2</w:instrText>
      </w:r>
      <w:r>
        <w:fldChar w:fldCharType="end"/>
      </w:r>
      <w:r w:rsidR="00456E61">
        <w:instrText xml:space="preserve"> Tariffs &amp; Associated Charges</w:instrText>
      </w:r>
      <w:r>
        <w:tab/>
        <w:instrText xml:space="preserve">" \l 1 </w:instrText>
      </w:r>
      <w:r>
        <w:fldChar w:fldCharType="end"/>
      </w:r>
      <w:r>
        <w:t> </w:t>
      </w:r>
    </w:p>
    <w:p w:rsidR="00547B15" w:rsidRDefault="00547B15">
      <w:pPr>
        <w:pStyle w:val="BodyText"/>
      </w:pPr>
      <w:r>
        <w:t> </w:t>
      </w:r>
      <w:r w:rsidRPr="00547B15">
        <w:t>Should the Commission approve DEF’s proposed tariffs and associated charges?</w:t>
      </w:r>
    </w:p>
    <w:p w:rsidR="00547B15" w:rsidRPr="004C3641" w:rsidRDefault="00547B15">
      <w:pPr>
        <w:pStyle w:val="IssueSubsectionHeading"/>
        <w:rPr>
          <w:vanish/>
          <w:specVanish/>
        </w:rPr>
      </w:pPr>
      <w:r w:rsidRPr="004C3641">
        <w:t>Recommendation: </w:t>
      </w:r>
    </w:p>
    <w:p w:rsidR="00547B15" w:rsidRDefault="00547B15">
      <w:pPr>
        <w:pStyle w:val="BodyText"/>
      </w:pPr>
      <w:r>
        <w:t> </w:t>
      </w:r>
      <w:r w:rsidR="003B6CB3" w:rsidRPr="003B6CB3">
        <w:t xml:space="preserve">Yes. </w:t>
      </w:r>
      <w:r w:rsidR="004E4DEF">
        <w:t>T</w:t>
      </w:r>
      <w:r w:rsidR="003B6CB3" w:rsidRPr="003B6CB3">
        <w:t>he Commission should give staff administrative authority to approve tariffs and associated charges that implement the Commission vote</w:t>
      </w:r>
      <w:r w:rsidR="004E4DEF">
        <w:t xml:space="preserve"> in Issue 1</w:t>
      </w:r>
      <w:r w:rsidR="003B6CB3" w:rsidRPr="003B6CB3">
        <w:t xml:space="preserve"> regarding the Hines Project. The charges should go in to effect with the first billing cycle in April 2017. If the com</w:t>
      </w:r>
      <w:r w:rsidR="00895FB2">
        <w:t>mercial in-service date of the p</w:t>
      </w:r>
      <w:r w:rsidR="00E83B35">
        <w:t xml:space="preserve">roject is delayed, then </w:t>
      </w:r>
      <w:r w:rsidR="003B6CB3" w:rsidRPr="003B6CB3">
        <w:t>the ta</w:t>
      </w:r>
      <w:r w:rsidR="00E83B35">
        <w:t xml:space="preserve">riffs should become effective after </w:t>
      </w:r>
      <w:r w:rsidR="003B6CB3" w:rsidRPr="003B6CB3">
        <w:t xml:space="preserve">the Hines Project is completed and is in commercial service. </w:t>
      </w:r>
      <w:r w:rsidR="00E83B35">
        <w:t xml:space="preserve">DEF should notify staff before the delayed implementation. </w:t>
      </w:r>
      <w:r w:rsidR="003B6CB3" w:rsidRPr="003B6CB3">
        <w:t>(Guffey)</w:t>
      </w:r>
    </w:p>
    <w:p w:rsidR="00547B15" w:rsidRPr="004C3641" w:rsidRDefault="00547B15">
      <w:pPr>
        <w:pStyle w:val="IssueSubsectionHeading"/>
        <w:rPr>
          <w:vanish/>
          <w:specVanish/>
        </w:rPr>
      </w:pPr>
      <w:r w:rsidRPr="004C3641">
        <w:t>Staff Analysis: </w:t>
      </w:r>
    </w:p>
    <w:p w:rsidR="00AA2E04" w:rsidRDefault="00547B15" w:rsidP="00AA2E04">
      <w:pPr>
        <w:pStyle w:val="IssueSubsectionHeading"/>
        <w:rPr>
          <w:vanish/>
          <w:specVanish/>
        </w:rPr>
      </w:pPr>
      <w:r>
        <w:t> </w:t>
      </w:r>
      <w:r w:rsidR="00AA2E04">
        <w:t> </w:t>
      </w:r>
    </w:p>
    <w:p w:rsidR="00AA2E04" w:rsidRDefault="003B6CB3" w:rsidP="00AA2E04">
      <w:pPr>
        <w:pStyle w:val="BodyText"/>
      </w:pPr>
      <w:r w:rsidRPr="003B6CB3">
        <w:t xml:space="preserve">As discussed in Issue 1, staff is recommending a reduction in the revenue requirement for the Hines </w:t>
      </w:r>
      <w:r w:rsidR="004E4DEF">
        <w:t>P</w:t>
      </w:r>
      <w:r w:rsidRPr="003B6CB3">
        <w:t>rojec</w:t>
      </w:r>
      <w:r w:rsidR="00E83B35">
        <w:t>t. DEF provided Exhibit D in its</w:t>
      </w:r>
      <w:r w:rsidRPr="003B6CB3">
        <w:t xml:space="preserve"> petition showing the allocation of DEF’s proposed revenue requirement to all its rate classes as a uniform percentage (1.10 percent) consistent with the terms of the RRSSA. Under DEF’s proposal, a residential customer who uses 1,000 kilowatt-hours will see a $0.56 increase on the monthly bill (excluding Gross Receipt Tax). DEF’s current and proposed base rate comparisons are shown in Exhibit E to the petition and proposed tariffs are shown in Exhibit F to the petition. DEF requested that the tariffs become effective with the first billing cycle of April 2017. If the commercial in-service date of the Hines Project is delayed, then the tariffs should become effective with the</w:t>
      </w:r>
      <w:r w:rsidR="00895FB2">
        <w:t xml:space="preserve"> first billing cycle after the p</w:t>
      </w:r>
      <w:r w:rsidRPr="003B6CB3">
        <w:t>roject is completed and placed in commercial service.</w:t>
      </w:r>
      <w:r w:rsidR="00E83B35" w:rsidRPr="00E83B35">
        <w:t xml:space="preserve"> DEF should notify staff before the delayed implementation.</w:t>
      </w:r>
    </w:p>
    <w:p w:rsidR="00AA2E04" w:rsidRDefault="00AA2E04" w:rsidP="00AA2E04">
      <w:pPr>
        <w:pStyle w:val="BodyText"/>
        <w:spacing w:after="0"/>
        <w:rPr>
          <w:rFonts w:ascii="Arial" w:hAnsi="Arial" w:cs="Arial"/>
          <w:b/>
        </w:rPr>
      </w:pPr>
      <w:r>
        <w:rPr>
          <w:rFonts w:ascii="Arial" w:hAnsi="Arial" w:cs="Arial"/>
          <w:b/>
        </w:rPr>
        <w:t>Customer Notification</w:t>
      </w:r>
    </w:p>
    <w:p w:rsidR="00AA2E04" w:rsidRDefault="0021762C" w:rsidP="00AA2E04">
      <w:pPr>
        <w:pStyle w:val="BodyText"/>
        <w:spacing w:after="0"/>
      </w:pPr>
      <w:r w:rsidRPr="0021762C">
        <w:t>In its March bill inserts</w:t>
      </w:r>
      <w:r w:rsidR="004E4DEF">
        <w:t>,</w:t>
      </w:r>
      <w:r w:rsidRPr="0021762C">
        <w:t xml:space="preserve"> DEF will notify customers of </w:t>
      </w:r>
      <w:r w:rsidR="004E4DEF">
        <w:t xml:space="preserve">the request to increase rates associated with </w:t>
      </w:r>
      <w:r w:rsidRPr="0021762C">
        <w:t xml:space="preserve">the Hines </w:t>
      </w:r>
      <w:r w:rsidR="004E4DEF">
        <w:t xml:space="preserve">Project </w:t>
      </w:r>
      <w:r w:rsidRPr="0021762C">
        <w:t>to be effective in April. DEF will include a second bill insert in April bills showing all Commission-approved base rates, for all rate classes</w:t>
      </w:r>
      <w:r>
        <w:t xml:space="preserve"> that are effective April 2017</w:t>
      </w:r>
      <w:r w:rsidR="00AA2E04">
        <w:t>.</w:t>
      </w:r>
      <w:r w:rsidR="00504AD5">
        <w:t xml:space="preserve"> </w:t>
      </w:r>
      <w:r w:rsidR="00504AD5" w:rsidRPr="00504AD5">
        <w:t xml:space="preserve">If the commercial in-service date of the Hines Project is delayed, </w:t>
      </w:r>
      <w:r w:rsidR="00504AD5">
        <w:t xml:space="preserve">then </w:t>
      </w:r>
      <w:r w:rsidR="00504AD5" w:rsidRPr="00504AD5">
        <w:t>DEF should notify staff before the delayed implementation</w:t>
      </w:r>
      <w:r w:rsidR="00504AD5">
        <w:t xml:space="preserve"> to see if another notice is needed</w:t>
      </w:r>
      <w:r w:rsidR="00504AD5" w:rsidRPr="00504AD5">
        <w:t>.</w:t>
      </w:r>
    </w:p>
    <w:p w:rsidR="00AA2E04" w:rsidRDefault="00AA2E04" w:rsidP="00AA2E04">
      <w:pPr>
        <w:pStyle w:val="BodyText"/>
        <w:spacing w:after="0"/>
      </w:pPr>
    </w:p>
    <w:p w:rsidR="00AA2E04" w:rsidRDefault="00AA2E04" w:rsidP="00AA2E04">
      <w:pPr>
        <w:pStyle w:val="BodyText"/>
        <w:spacing w:after="0"/>
        <w:rPr>
          <w:rFonts w:ascii="Arial" w:hAnsi="Arial" w:cs="Arial"/>
          <w:b/>
        </w:rPr>
      </w:pPr>
      <w:r>
        <w:rPr>
          <w:rFonts w:ascii="Arial" w:hAnsi="Arial" w:cs="Arial"/>
          <w:b/>
        </w:rPr>
        <w:t>Conclusion</w:t>
      </w:r>
    </w:p>
    <w:p w:rsidR="00547B15" w:rsidRDefault="004E4DEF" w:rsidP="00AA2E04">
      <w:pPr>
        <w:pStyle w:val="BodyText"/>
      </w:pPr>
      <w:r>
        <w:t xml:space="preserve">Based on </w:t>
      </w:r>
      <w:r w:rsidRPr="004E4DEF">
        <w:t>the Commission vote in Issue 1</w:t>
      </w:r>
      <w:r w:rsidR="0021762C" w:rsidRPr="0021762C">
        <w:t>, DEF should recalculate th</w:t>
      </w:r>
      <w:r>
        <w:t xml:space="preserve">e rates and associated charges </w:t>
      </w:r>
      <w:r w:rsidR="0021762C" w:rsidRPr="0021762C">
        <w:t xml:space="preserve">and file revised tariff sheets (if DEF’s proposed rates are affected by the </w:t>
      </w:r>
      <w:r>
        <w:t>change</w:t>
      </w:r>
      <w:r w:rsidR="0021762C" w:rsidRPr="0021762C">
        <w:t xml:space="preserve"> in the revenue requirements approved in Issue 1) for administrative approval by staff. The proposed tariffs and associated charges should go into effect with the first billing cycle of April 2017. If the commercial in-service date of the </w:t>
      </w:r>
      <w:r w:rsidR="00CF33AD">
        <w:t>p</w:t>
      </w:r>
      <w:r w:rsidR="0021762C" w:rsidRPr="0021762C">
        <w:t>roject is delayed, then the tariffs and associated charges should become effective at the time the Hines Project is completed and is in commercial service</w:t>
      </w:r>
      <w:r w:rsidR="00AE561F">
        <w:t xml:space="preserve">, consistent with </w:t>
      </w:r>
      <w:r w:rsidR="00C94901">
        <w:t>P</w:t>
      </w:r>
      <w:r w:rsidR="00AE561F">
        <w:t>aragraph 16(a) of the RRSSA, which contemplates that customers would not be charged for the project cost until such project is placed into service</w:t>
      </w:r>
      <w:r w:rsidR="0021762C" w:rsidRPr="0021762C">
        <w:t xml:space="preserve">. </w:t>
      </w:r>
    </w:p>
    <w:p w:rsidR="00547B15" w:rsidRDefault="00547B15">
      <w:pPr>
        <w:pStyle w:val="IssueHeading"/>
        <w:rPr>
          <w:vanish/>
          <w:specVanish/>
        </w:rPr>
      </w:pPr>
      <w:r w:rsidRPr="004C3641">
        <w:rPr>
          <w:b w:val="0"/>
          <w:i w:val="0"/>
        </w:rPr>
        <w:br w:type="page"/>
      </w:r>
      <w:r w:rsidRPr="004C3641">
        <w:lastRenderedPageBreak/>
        <w:t xml:space="preserve">Issue </w:t>
      </w:r>
      <w:fldSimple w:instr=" SEQ Issue \* MERGEFORMAT ">
        <w:r w:rsidR="00C14B4B">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C14B4B">
        <w:rPr>
          <w:noProof/>
        </w:rPr>
        <w:instrText>3</w:instrText>
      </w:r>
      <w:r>
        <w:fldChar w:fldCharType="end"/>
      </w:r>
      <w:r>
        <w:tab/>
        <w:instrText xml:space="preserve">" \l 1 </w:instrText>
      </w:r>
      <w:r>
        <w:fldChar w:fldCharType="end"/>
      </w:r>
      <w:r>
        <w:t> </w:t>
      </w:r>
    </w:p>
    <w:p w:rsidR="00547B15" w:rsidRDefault="00547B15">
      <w:pPr>
        <w:pStyle w:val="BodyText"/>
      </w:pPr>
      <w:r>
        <w:t> Should this docket be closed?</w:t>
      </w:r>
    </w:p>
    <w:p w:rsidR="00547B15" w:rsidRPr="004C3641" w:rsidRDefault="00547B15">
      <w:pPr>
        <w:pStyle w:val="IssueSubsectionHeading"/>
        <w:rPr>
          <w:vanish/>
          <w:specVanish/>
        </w:rPr>
      </w:pPr>
      <w:r w:rsidRPr="004C3641">
        <w:t>Recommendation: </w:t>
      </w:r>
    </w:p>
    <w:p w:rsidR="00547B15" w:rsidRDefault="00547B15">
      <w:pPr>
        <w:pStyle w:val="BodyText"/>
      </w:pPr>
      <w:r>
        <w:t> </w:t>
      </w:r>
      <w:bookmarkStart w:id="17" w:name="IssueRecommendation"/>
      <w:r w:rsidRPr="00547B15">
        <w:t xml:space="preserve">If Issues 1 and 2 are approved, the tariff should go into effect with </w:t>
      </w:r>
      <w:r w:rsidR="00A62354">
        <w:t>the first billing cycle in April</w:t>
      </w:r>
      <w:r w:rsidRPr="00547B15">
        <w:t xml:space="preserve"> 2017</w:t>
      </w:r>
      <w:r w:rsidR="007C013F">
        <w:t>, or later if the</w:t>
      </w:r>
      <w:r w:rsidR="007C013F" w:rsidRPr="007C013F">
        <w:t xml:space="preserve"> commercial in-service date is</w:t>
      </w:r>
      <w:r w:rsidR="007C013F">
        <w:t xml:space="preserve"> delayed</w:t>
      </w:r>
      <w:r w:rsidRPr="00547B15">
        <w:t xml:space="preserve">. If a protest is filed within 21 days of the issuance of the order, the tariff should remain in effect, with any revenues held subject to refund, pending resolution of the protest. If no timely protest is filed, this docket should be closed upon the issuance of a consummating order. (Janjic) </w:t>
      </w:r>
      <w:bookmarkEnd w:id="17"/>
    </w:p>
    <w:p w:rsidR="00547B15" w:rsidRPr="004C3641" w:rsidRDefault="00547B15">
      <w:pPr>
        <w:pStyle w:val="IssueSubsectionHeading"/>
        <w:rPr>
          <w:vanish/>
          <w:specVanish/>
        </w:rPr>
      </w:pPr>
      <w:r w:rsidRPr="004C3641">
        <w:t>Staff Analysis: </w:t>
      </w:r>
    </w:p>
    <w:p w:rsidR="00547B15" w:rsidRDefault="00547B15">
      <w:pPr>
        <w:pStyle w:val="BodyText"/>
      </w:pPr>
      <w:r>
        <w:t> </w:t>
      </w:r>
      <w:r w:rsidR="00E74C0B" w:rsidRPr="00E74C0B">
        <w:t xml:space="preserve">If Issues 1 and 2 are approved, the tariff should go into effect with </w:t>
      </w:r>
      <w:r w:rsidR="00A62354">
        <w:t>the first billing cycle in April</w:t>
      </w:r>
      <w:r w:rsidR="00E74C0B" w:rsidRPr="00E74C0B">
        <w:t xml:space="preserve"> 2017</w:t>
      </w:r>
      <w:r w:rsidR="00C14B4F">
        <w:t>,</w:t>
      </w:r>
      <w:r w:rsidR="00C14B4F" w:rsidRPr="00C14B4F">
        <w:t xml:space="preserve"> or later if the commercial in-service date is delayed</w:t>
      </w:r>
      <w:r w:rsidR="00E74C0B" w:rsidRPr="00E74C0B">
        <w:t>. If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3C1610" w:rsidRDefault="003C1610" w:rsidP="00E275D8">
      <w:pPr>
        <w:pStyle w:val="BodyText"/>
        <w:sectPr w:rsidR="003C1610"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9390" w:type="dxa"/>
        <w:tblLayout w:type="fixed"/>
        <w:tblCellMar>
          <w:left w:w="30" w:type="dxa"/>
          <w:right w:w="30" w:type="dxa"/>
        </w:tblCellMar>
        <w:tblLook w:val="04A0" w:firstRow="1" w:lastRow="0" w:firstColumn="1" w:lastColumn="0" w:noHBand="0" w:noVBand="1"/>
      </w:tblPr>
      <w:tblGrid>
        <w:gridCol w:w="15"/>
        <w:gridCol w:w="484"/>
        <w:gridCol w:w="4256"/>
        <w:gridCol w:w="495"/>
        <w:gridCol w:w="1045"/>
        <w:gridCol w:w="665"/>
        <w:gridCol w:w="35"/>
        <w:gridCol w:w="1045"/>
        <w:gridCol w:w="360"/>
        <w:gridCol w:w="990"/>
      </w:tblGrid>
      <w:tr w:rsidR="00E33916" w:rsidTr="00E33916">
        <w:trPr>
          <w:trHeight w:val="300"/>
        </w:trPr>
        <w:tc>
          <w:tcPr>
            <w:tcW w:w="499" w:type="dxa"/>
            <w:gridSpan w:val="2"/>
          </w:tcPr>
          <w:p w:rsidR="00E33916" w:rsidRDefault="00E33916">
            <w:pPr>
              <w:autoSpaceDE w:val="0"/>
              <w:autoSpaceDN w:val="0"/>
              <w:adjustRightInd w:val="0"/>
              <w:spacing w:line="276" w:lineRule="auto"/>
              <w:jc w:val="right"/>
              <w:rPr>
                <w:color w:val="000000"/>
                <w:sz w:val="22"/>
                <w:szCs w:val="22"/>
              </w:rPr>
            </w:pPr>
          </w:p>
        </w:tc>
        <w:tc>
          <w:tcPr>
            <w:tcW w:w="8891" w:type="dxa"/>
            <w:gridSpan w:val="8"/>
            <w:vMerge w:val="restart"/>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DUKE ENERGY FLORIDA, LLC</w:t>
            </w:r>
          </w:p>
          <w:p w:rsidR="00E33916" w:rsidRDefault="00E33916">
            <w:pPr>
              <w:autoSpaceDE w:val="0"/>
              <w:autoSpaceDN w:val="0"/>
              <w:adjustRightInd w:val="0"/>
              <w:spacing w:line="276" w:lineRule="auto"/>
              <w:jc w:val="center"/>
              <w:rPr>
                <w:color w:val="000000"/>
                <w:sz w:val="22"/>
                <w:szCs w:val="22"/>
              </w:rPr>
            </w:pPr>
            <w:r>
              <w:rPr>
                <w:color w:val="000000"/>
                <w:sz w:val="22"/>
                <w:szCs w:val="22"/>
              </w:rPr>
              <w:t>DOCKET NO. 170030-EI</w:t>
            </w:r>
          </w:p>
          <w:p w:rsidR="00E33916" w:rsidRDefault="00E33916">
            <w:pPr>
              <w:autoSpaceDE w:val="0"/>
              <w:autoSpaceDN w:val="0"/>
              <w:adjustRightInd w:val="0"/>
              <w:spacing w:line="276" w:lineRule="auto"/>
              <w:jc w:val="center"/>
              <w:rPr>
                <w:color w:val="000000"/>
                <w:sz w:val="22"/>
                <w:szCs w:val="22"/>
              </w:rPr>
            </w:pPr>
            <w:r>
              <w:rPr>
                <w:color w:val="000000"/>
                <w:sz w:val="22"/>
                <w:szCs w:val="22"/>
                <w:u w:val="single"/>
              </w:rPr>
              <w:t>HINES PROJECT REVENUE REQUIREMENT CALCULATION</w:t>
            </w:r>
          </w:p>
        </w:tc>
      </w:tr>
      <w:tr w:rsidR="00E33916" w:rsidTr="00DD4ECB">
        <w:trPr>
          <w:trHeight w:val="333"/>
        </w:trPr>
        <w:tc>
          <w:tcPr>
            <w:tcW w:w="499" w:type="dxa"/>
            <w:gridSpan w:val="2"/>
          </w:tcPr>
          <w:p w:rsidR="00E33916" w:rsidRDefault="00E33916">
            <w:pPr>
              <w:autoSpaceDE w:val="0"/>
              <w:autoSpaceDN w:val="0"/>
              <w:adjustRightInd w:val="0"/>
              <w:spacing w:line="276" w:lineRule="auto"/>
              <w:jc w:val="right"/>
              <w:rPr>
                <w:color w:val="000000"/>
                <w:sz w:val="22"/>
                <w:szCs w:val="22"/>
              </w:rPr>
            </w:pPr>
          </w:p>
        </w:tc>
        <w:tc>
          <w:tcPr>
            <w:tcW w:w="8891" w:type="dxa"/>
            <w:gridSpan w:val="8"/>
            <w:vMerge/>
            <w:vAlign w:val="center"/>
            <w:hideMark/>
          </w:tcPr>
          <w:p w:rsidR="00E33916" w:rsidRDefault="00E33916">
            <w:pPr>
              <w:rPr>
                <w:color w:val="000000"/>
                <w:sz w:val="22"/>
                <w:szCs w:val="22"/>
              </w:rPr>
            </w:pPr>
          </w:p>
        </w:tc>
      </w:tr>
      <w:tr w:rsidR="00E33916" w:rsidTr="00DD4ECB">
        <w:trPr>
          <w:trHeight w:val="300"/>
        </w:trPr>
        <w:tc>
          <w:tcPr>
            <w:tcW w:w="499" w:type="dxa"/>
            <w:gridSpan w:val="2"/>
          </w:tcPr>
          <w:p w:rsidR="00E33916" w:rsidRDefault="00E33916">
            <w:pPr>
              <w:autoSpaceDE w:val="0"/>
              <w:autoSpaceDN w:val="0"/>
              <w:adjustRightInd w:val="0"/>
              <w:spacing w:line="276" w:lineRule="auto"/>
              <w:jc w:val="right"/>
              <w:rPr>
                <w:color w:val="000000"/>
                <w:sz w:val="22"/>
                <w:szCs w:val="22"/>
              </w:rPr>
            </w:pPr>
          </w:p>
        </w:tc>
        <w:tc>
          <w:tcPr>
            <w:tcW w:w="8891" w:type="dxa"/>
            <w:gridSpan w:val="8"/>
            <w:vMerge/>
            <w:vAlign w:val="center"/>
            <w:hideMark/>
          </w:tcPr>
          <w:p w:rsidR="00E33916" w:rsidRDefault="00E33916">
            <w:pPr>
              <w:rPr>
                <w:color w:val="000000"/>
                <w:sz w:val="22"/>
                <w:szCs w:val="22"/>
              </w:rPr>
            </w:pPr>
          </w:p>
        </w:tc>
      </w:tr>
      <w:tr w:rsidR="00E33916" w:rsidTr="00E33916">
        <w:trPr>
          <w:trHeight w:val="324"/>
        </w:trPr>
        <w:tc>
          <w:tcPr>
            <w:tcW w:w="499" w:type="dxa"/>
            <w:gridSpan w:val="2"/>
          </w:tcPr>
          <w:p w:rsidR="00E33916" w:rsidRDefault="00E33916">
            <w:pPr>
              <w:autoSpaceDE w:val="0"/>
              <w:autoSpaceDN w:val="0"/>
              <w:adjustRightInd w:val="0"/>
              <w:spacing w:line="276" w:lineRule="auto"/>
              <w:jc w:val="right"/>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Pr>
          <w:p w:rsidR="00E33916" w:rsidRDefault="00E33916">
            <w:pPr>
              <w:autoSpaceDE w:val="0"/>
              <w:autoSpaceDN w:val="0"/>
              <w:adjustRightInd w:val="0"/>
              <w:spacing w:line="276" w:lineRule="auto"/>
              <w:jc w:val="right"/>
              <w:rPr>
                <w:color w:val="000000"/>
                <w:sz w:val="22"/>
                <w:szCs w:val="22"/>
              </w:rPr>
            </w:pPr>
          </w:p>
        </w:tc>
      </w:tr>
      <w:tr w:rsidR="00E33916" w:rsidTr="00E33916">
        <w:trPr>
          <w:trHeight w:val="300"/>
        </w:trPr>
        <w:tc>
          <w:tcPr>
            <w:tcW w:w="499" w:type="dxa"/>
            <w:gridSpan w:val="2"/>
          </w:tcPr>
          <w:p w:rsidR="00E33916" w:rsidRDefault="00E33916">
            <w:pPr>
              <w:autoSpaceDE w:val="0"/>
              <w:autoSpaceDN w:val="0"/>
              <w:adjustRightInd w:val="0"/>
              <w:spacing w:line="276" w:lineRule="auto"/>
              <w:jc w:val="right"/>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4140" w:type="dxa"/>
            <w:gridSpan w:val="6"/>
            <w:tcBorders>
              <w:top w:val="nil"/>
              <w:left w:val="nil"/>
              <w:bottom w:val="single" w:sz="6" w:space="0" w:color="auto"/>
              <w:right w:val="nil"/>
            </w:tcBorders>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HINES PROJECT</w:t>
            </w:r>
          </w:p>
        </w:tc>
      </w:tr>
      <w:tr w:rsidR="00E33916" w:rsidTr="00E33916">
        <w:trPr>
          <w:trHeight w:val="300"/>
        </w:trPr>
        <w:tc>
          <w:tcPr>
            <w:tcW w:w="499" w:type="dxa"/>
            <w:gridSpan w:val="2"/>
          </w:tcPr>
          <w:p w:rsidR="00E33916" w:rsidRDefault="00E33916">
            <w:pPr>
              <w:autoSpaceDE w:val="0"/>
              <w:autoSpaceDN w:val="0"/>
              <w:adjustRightInd w:val="0"/>
              <w:spacing w:line="276" w:lineRule="auto"/>
              <w:jc w:val="right"/>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DEF</w:t>
            </w:r>
          </w:p>
        </w:tc>
        <w:tc>
          <w:tcPr>
            <w:tcW w:w="1080" w:type="dxa"/>
            <w:gridSpan w:val="2"/>
          </w:tcPr>
          <w:p w:rsidR="00E33916" w:rsidRDefault="00E33916">
            <w:pPr>
              <w:autoSpaceDE w:val="0"/>
              <w:autoSpaceDN w:val="0"/>
              <w:adjustRightInd w:val="0"/>
              <w:spacing w:line="276" w:lineRule="auto"/>
              <w:jc w:val="center"/>
              <w:rPr>
                <w:color w:val="000000"/>
                <w:sz w:val="22"/>
                <w:szCs w:val="22"/>
              </w:rPr>
            </w:pPr>
          </w:p>
        </w:tc>
        <w:tc>
          <w:tcPr>
            <w:tcW w:w="1350"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Commission</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Line</w:t>
            </w: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ESR</w:t>
            </w:r>
          </w:p>
        </w:tc>
        <w:tc>
          <w:tcPr>
            <w:tcW w:w="1080" w:type="dxa"/>
            <w:gridSpan w:val="2"/>
          </w:tcPr>
          <w:p w:rsidR="00E33916" w:rsidRDefault="00E33916">
            <w:pPr>
              <w:autoSpaceDE w:val="0"/>
              <w:autoSpaceDN w:val="0"/>
              <w:adjustRightInd w:val="0"/>
              <w:spacing w:line="276" w:lineRule="auto"/>
              <w:jc w:val="center"/>
              <w:rPr>
                <w:color w:val="000000"/>
                <w:sz w:val="22"/>
                <w:szCs w:val="22"/>
              </w:rPr>
            </w:pPr>
          </w:p>
        </w:tc>
        <w:tc>
          <w:tcPr>
            <w:tcW w:w="1350"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ESR</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rPr>
                <w:color w:val="000000"/>
                <w:sz w:val="22"/>
                <w:szCs w:val="22"/>
                <w:u w:val="single"/>
              </w:rPr>
            </w:pPr>
            <w:r>
              <w:rPr>
                <w:color w:val="000000"/>
                <w:sz w:val="22"/>
                <w:szCs w:val="22"/>
                <w:u w:val="single"/>
              </w:rPr>
              <w:t>No.</w:t>
            </w: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hideMark/>
          </w:tcPr>
          <w:p w:rsidR="00E33916" w:rsidRDefault="00E33916">
            <w:pPr>
              <w:autoSpaceDE w:val="0"/>
              <w:autoSpaceDN w:val="0"/>
              <w:adjustRightInd w:val="0"/>
              <w:spacing w:line="276" w:lineRule="auto"/>
              <w:jc w:val="center"/>
              <w:rPr>
                <w:color w:val="000000"/>
                <w:sz w:val="22"/>
                <w:szCs w:val="22"/>
                <w:u w:val="single"/>
              </w:rPr>
            </w:pPr>
            <w:r>
              <w:rPr>
                <w:color w:val="000000"/>
                <w:sz w:val="22"/>
                <w:szCs w:val="22"/>
                <w:u w:val="single"/>
              </w:rPr>
              <w:t>Nov 2016</w:t>
            </w:r>
          </w:p>
        </w:tc>
        <w:tc>
          <w:tcPr>
            <w:tcW w:w="1080" w:type="dxa"/>
            <w:gridSpan w:val="2"/>
          </w:tcPr>
          <w:p w:rsidR="00E33916" w:rsidRDefault="00E33916">
            <w:pPr>
              <w:autoSpaceDE w:val="0"/>
              <w:autoSpaceDN w:val="0"/>
              <w:adjustRightInd w:val="0"/>
              <w:spacing w:line="276" w:lineRule="auto"/>
              <w:jc w:val="center"/>
              <w:rPr>
                <w:color w:val="000000"/>
                <w:sz w:val="22"/>
                <w:szCs w:val="22"/>
                <w:u w:val="single"/>
              </w:rPr>
            </w:pPr>
          </w:p>
        </w:tc>
        <w:tc>
          <w:tcPr>
            <w:tcW w:w="1350" w:type="dxa"/>
            <w:gridSpan w:val="2"/>
            <w:hideMark/>
          </w:tcPr>
          <w:p w:rsidR="00E33916" w:rsidRDefault="00E33916">
            <w:pPr>
              <w:autoSpaceDE w:val="0"/>
              <w:autoSpaceDN w:val="0"/>
              <w:adjustRightInd w:val="0"/>
              <w:spacing w:line="276" w:lineRule="auto"/>
              <w:jc w:val="center"/>
              <w:rPr>
                <w:color w:val="000000"/>
                <w:sz w:val="22"/>
                <w:szCs w:val="22"/>
                <w:u w:val="single"/>
              </w:rPr>
            </w:pPr>
            <w:r>
              <w:rPr>
                <w:color w:val="000000"/>
                <w:sz w:val="22"/>
                <w:szCs w:val="22"/>
                <w:u w:val="single"/>
              </w:rPr>
              <w:t>Dec 2016</w:t>
            </w:r>
          </w:p>
        </w:tc>
      </w:tr>
      <w:tr w:rsidR="00E33916" w:rsidTr="00E33916">
        <w:trPr>
          <w:trHeight w:val="300"/>
        </w:trPr>
        <w:tc>
          <w:tcPr>
            <w:tcW w:w="499" w:type="dxa"/>
            <w:gridSpan w:val="2"/>
          </w:tcPr>
          <w:p w:rsidR="00E33916" w:rsidRDefault="00E33916">
            <w:pPr>
              <w:autoSpaceDE w:val="0"/>
              <w:autoSpaceDN w:val="0"/>
              <w:adjustRightInd w:val="0"/>
              <w:spacing w:line="276" w:lineRule="auto"/>
              <w:jc w:val="right"/>
              <w:rPr>
                <w:color w:val="000000"/>
                <w:sz w:val="22"/>
                <w:szCs w:val="22"/>
              </w:rPr>
            </w:pPr>
          </w:p>
        </w:tc>
        <w:tc>
          <w:tcPr>
            <w:tcW w:w="4751" w:type="dxa"/>
            <w:gridSpan w:val="2"/>
            <w:hideMark/>
          </w:tcPr>
          <w:p w:rsidR="00E33916" w:rsidRDefault="00E33916">
            <w:pPr>
              <w:autoSpaceDE w:val="0"/>
              <w:autoSpaceDN w:val="0"/>
              <w:adjustRightInd w:val="0"/>
              <w:spacing w:line="276" w:lineRule="auto"/>
              <w:rPr>
                <w:color w:val="000000"/>
                <w:sz w:val="22"/>
                <w:szCs w:val="22"/>
                <w:u w:val="single"/>
              </w:rPr>
            </w:pPr>
            <w:r>
              <w:rPr>
                <w:color w:val="000000"/>
                <w:sz w:val="22"/>
                <w:szCs w:val="22"/>
                <w:u w:val="single"/>
              </w:rPr>
              <w:t>Capital Structure Weighted Cost: (a)</w:t>
            </w: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Pr>
          <w:p w:rsidR="00E33916" w:rsidRDefault="00E33916">
            <w:pPr>
              <w:autoSpaceDE w:val="0"/>
              <w:autoSpaceDN w:val="0"/>
              <w:adjustRightInd w:val="0"/>
              <w:spacing w:line="276" w:lineRule="auto"/>
              <w:jc w:val="right"/>
              <w:rPr>
                <w:color w:val="000000"/>
                <w:sz w:val="22"/>
                <w:szCs w:val="22"/>
              </w:rPr>
            </w:pP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Long Term Debt</w:t>
            </w:r>
          </w:p>
        </w:tc>
        <w:tc>
          <w:tcPr>
            <w:tcW w:w="1710"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1.80%</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rsidP="008A4B6A">
            <w:pPr>
              <w:autoSpaceDE w:val="0"/>
              <w:autoSpaceDN w:val="0"/>
              <w:adjustRightInd w:val="0"/>
              <w:spacing w:line="276" w:lineRule="auto"/>
              <w:jc w:val="center"/>
              <w:rPr>
                <w:color w:val="000000"/>
                <w:sz w:val="22"/>
                <w:szCs w:val="22"/>
              </w:rPr>
            </w:pPr>
            <w:r>
              <w:rPr>
                <w:color w:val="000000"/>
                <w:sz w:val="22"/>
                <w:szCs w:val="22"/>
              </w:rPr>
              <w:t>1.81%</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2</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Short Term Debt</w:t>
            </w:r>
          </w:p>
        </w:tc>
        <w:tc>
          <w:tcPr>
            <w:tcW w:w="1710"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0.02%</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0.02%</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3</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Customer Deposits</w:t>
            </w:r>
          </w:p>
        </w:tc>
        <w:tc>
          <w:tcPr>
            <w:tcW w:w="1710" w:type="dxa"/>
            <w:gridSpan w:val="2"/>
            <w:hideMark/>
          </w:tcPr>
          <w:p w:rsidR="00E33916" w:rsidRDefault="00E33916">
            <w:pPr>
              <w:autoSpaceDE w:val="0"/>
              <w:autoSpaceDN w:val="0"/>
              <w:adjustRightInd w:val="0"/>
              <w:spacing w:line="276" w:lineRule="auto"/>
              <w:jc w:val="center"/>
              <w:rPr>
                <w:color w:val="000000"/>
                <w:sz w:val="22"/>
                <w:szCs w:val="22"/>
                <w:u w:val="single"/>
              </w:rPr>
            </w:pPr>
            <w:r>
              <w:rPr>
                <w:color w:val="000000"/>
                <w:sz w:val="22"/>
                <w:szCs w:val="22"/>
                <w:u w:val="single"/>
              </w:rPr>
              <w:t>0.04%</w:t>
            </w:r>
          </w:p>
        </w:tc>
        <w:tc>
          <w:tcPr>
            <w:tcW w:w="1080" w:type="dxa"/>
            <w:gridSpan w:val="2"/>
          </w:tcPr>
          <w:p w:rsidR="00E33916" w:rsidRDefault="00E33916">
            <w:pPr>
              <w:autoSpaceDE w:val="0"/>
              <w:autoSpaceDN w:val="0"/>
              <w:adjustRightInd w:val="0"/>
              <w:spacing w:line="276" w:lineRule="auto"/>
              <w:jc w:val="right"/>
              <w:rPr>
                <w:color w:val="000000"/>
                <w:sz w:val="22"/>
                <w:szCs w:val="22"/>
                <w:u w:val="single"/>
              </w:rPr>
            </w:pPr>
          </w:p>
        </w:tc>
        <w:tc>
          <w:tcPr>
            <w:tcW w:w="1350" w:type="dxa"/>
            <w:gridSpan w:val="2"/>
            <w:hideMark/>
          </w:tcPr>
          <w:p w:rsidR="00E33916" w:rsidRDefault="00E33916">
            <w:pPr>
              <w:autoSpaceDE w:val="0"/>
              <w:autoSpaceDN w:val="0"/>
              <w:adjustRightInd w:val="0"/>
              <w:spacing w:line="276" w:lineRule="auto"/>
              <w:jc w:val="center"/>
              <w:rPr>
                <w:color w:val="000000"/>
                <w:sz w:val="22"/>
                <w:szCs w:val="22"/>
                <w:u w:val="single"/>
              </w:rPr>
            </w:pPr>
            <w:r>
              <w:rPr>
                <w:color w:val="000000"/>
                <w:sz w:val="22"/>
                <w:szCs w:val="22"/>
                <w:u w:val="single"/>
              </w:rPr>
              <w:t>0.04%</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4</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Total (L1 + L2 + L3)</w:t>
            </w:r>
          </w:p>
        </w:tc>
        <w:tc>
          <w:tcPr>
            <w:tcW w:w="1710" w:type="dxa"/>
            <w:gridSpan w:val="2"/>
            <w:hideMark/>
          </w:tcPr>
          <w:p w:rsidR="00E33916" w:rsidRDefault="00E33916">
            <w:pPr>
              <w:autoSpaceDE w:val="0"/>
              <w:autoSpaceDN w:val="0"/>
              <w:adjustRightInd w:val="0"/>
              <w:spacing w:line="276" w:lineRule="auto"/>
              <w:jc w:val="center"/>
              <w:rPr>
                <w:color w:val="000000"/>
                <w:sz w:val="22"/>
                <w:szCs w:val="22"/>
                <w:u w:val="double"/>
              </w:rPr>
            </w:pPr>
            <w:r>
              <w:rPr>
                <w:color w:val="000000"/>
                <w:sz w:val="22"/>
                <w:szCs w:val="22"/>
                <w:u w:val="double"/>
              </w:rPr>
              <w:t>1.86%</w:t>
            </w:r>
          </w:p>
        </w:tc>
        <w:tc>
          <w:tcPr>
            <w:tcW w:w="1080" w:type="dxa"/>
            <w:gridSpan w:val="2"/>
          </w:tcPr>
          <w:p w:rsidR="00E33916" w:rsidRDefault="00E33916">
            <w:pPr>
              <w:autoSpaceDE w:val="0"/>
              <w:autoSpaceDN w:val="0"/>
              <w:adjustRightInd w:val="0"/>
              <w:spacing w:line="276" w:lineRule="auto"/>
              <w:jc w:val="right"/>
              <w:rPr>
                <w:color w:val="000000"/>
                <w:sz w:val="22"/>
                <w:szCs w:val="22"/>
                <w:u w:val="double"/>
              </w:rPr>
            </w:pPr>
          </w:p>
        </w:tc>
        <w:tc>
          <w:tcPr>
            <w:tcW w:w="1350" w:type="dxa"/>
            <w:gridSpan w:val="2"/>
            <w:hideMark/>
          </w:tcPr>
          <w:p w:rsidR="00E33916" w:rsidRDefault="00E33916">
            <w:pPr>
              <w:autoSpaceDE w:val="0"/>
              <w:autoSpaceDN w:val="0"/>
              <w:adjustRightInd w:val="0"/>
              <w:spacing w:line="276" w:lineRule="auto"/>
              <w:jc w:val="center"/>
              <w:rPr>
                <w:color w:val="000000"/>
                <w:sz w:val="22"/>
                <w:szCs w:val="22"/>
                <w:u w:val="double"/>
              </w:rPr>
            </w:pPr>
            <w:r>
              <w:rPr>
                <w:color w:val="000000"/>
                <w:sz w:val="22"/>
                <w:szCs w:val="22"/>
                <w:u w:val="double"/>
              </w:rPr>
              <w:t>1.87%</w:t>
            </w:r>
          </w:p>
        </w:tc>
      </w:tr>
      <w:tr w:rsidR="00E33916" w:rsidTr="00E33916">
        <w:trPr>
          <w:trHeight w:val="300"/>
        </w:trPr>
        <w:tc>
          <w:tcPr>
            <w:tcW w:w="499" w:type="dxa"/>
            <w:gridSpan w:val="2"/>
          </w:tcPr>
          <w:p w:rsidR="00E33916" w:rsidRDefault="00E33916">
            <w:pPr>
              <w:autoSpaceDE w:val="0"/>
              <w:autoSpaceDN w:val="0"/>
              <w:adjustRightInd w:val="0"/>
              <w:spacing w:line="276" w:lineRule="auto"/>
              <w:jc w:val="center"/>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tcPr>
          <w:p w:rsidR="00E33916" w:rsidRDefault="00E33916">
            <w:pPr>
              <w:autoSpaceDE w:val="0"/>
              <w:autoSpaceDN w:val="0"/>
              <w:adjustRightInd w:val="0"/>
              <w:spacing w:line="276" w:lineRule="auto"/>
              <w:jc w:val="center"/>
              <w:rPr>
                <w:color w:val="000000"/>
                <w:sz w:val="22"/>
                <w:szCs w:val="22"/>
                <w:u w:val="double"/>
              </w:rPr>
            </w:pPr>
          </w:p>
        </w:tc>
        <w:tc>
          <w:tcPr>
            <w:tcW w:w="1080" w:type="dxa"/>
            <w:gridSpan w:val="2"/>
          </w:tcPr>
          <w:p w:rsidR="00E33916" w:rsidRDefault="00E33916">
            <w:pPr>
              <w:autoSpaceDE w:val="0"/>
              <w:autoSpaceDN w:val="0"/>
              <w:adjustRightInd w:val="0"/>
              <w:spacing w:line="276" w:lineRule="auto"/>
              <w:jc w:val="right"/>
              <w:rPr>
                <w:color w:val="000000"/>
                <w:sz w:val="22"/>
                <w:szCs w:val="22"/>
                <w:u w:val="double"/>
              </w:rPr>
            </w:pPr>
          </w:p>
        </w:tc>
        <w:tc>
          <w:tcPr>
            <w:tcW w:w="1350" w:type="dxa"/>
            <w:gridSpan w:val="2"/>
          </w:tcPr>
          <w:p w:rsidR="00E33916" w:rsidRDefault="00E33916">
            <w:pPr>
              <w:autoSpaceDE w:val="0"/>
              <w:autoSpaceDN w:val="0"/>
              <w:adjustRightInd w:val="0"/>
              <w:spacing w:line="276" w:lineRule="auto"/>
              <w:jc w:val="center"/>
              <w:rPr>
                <w:color w:val="000000"/>
                <w:sz w:val="22"/>
                <w:szCs w:val="22"/>
                <w:u w:val="double"/>
              </w:rPr>
            </w:pP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5</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Overall Rate of Return (a)</w:t>
            </w:r>
          </w:p>
        </w:tc>
        <w:tc>
          <w:tcPr>
            <w:tcW w:w="1710" w:type="dxa"/>
            <w:gridSpan w:val="2"/>
            <w:hideMark/>
          </w:tcPr>
          <w:p w:rsidR="00E33916" w:rsidRDefault="00E33916">
            <w:pPr>
              <w:autoSpaceDE w:val="0"/>
              <w:autoSpaceDN w:val="0"/>
              <w:adjustRightInd w:val="0"/>
              <w:spacing w:line="276" w:lineRule="auto"/>
              <w:jc w:val="center"/>
              <w:rPr>
                <w:color w:val="000000"/>
                <w:sz w:val="22"/>
                <w:szCs w:val="22"/>
                <w:u w:val="double"/>
              </w:rPr>
            </w:pPr>
            <w:r>
              <w:rPr>
                <w:color w:val="000000"/>
                <w:sz w:val="22"/>
                <w:szCs w:val="22"/>
                <w:u w:val="double"/>
              </w:rPr>
              <w:t>6.66%</w:t>
            </w:r>
          </w:p>
        </w:tc>
        <w:tc>
          <w:tcPr>
            <w:tcW w:w="1080" w:type="dxa"/>
            <w:gridSpan w:val="2"/>
          </w:tcPr>
          <w:p w:rsidR="00E33916" w:rsidRDefault="00E33916">
            <w:pPr>
              <w:autoSpaceDE w:val="0"/>
              <w:autoSpaceDN w:val="0"/>
              <w:adjustRightInd w:val="0"/>
              <w:spacing w:line="276" w:lineRule="auto"/>
              <w:jc w:val="right"/>
              <w:rPr>
                <w:color w:val="000000"/>
                <w:sz w:val="22"/>
                <w:szCs w:val="22"/>
                <w:u w:val="double"/>
              </w:rPr>
            </w:pPr>
          </w:p>
        </w:tc>
        <w:tc>
          <w:tcPr>
            <w:tcW w:w="1350" w:type="dxa"/>
            <w:gridSpan w:val="2"/>
            <w:hideMark/>
          </w:tcPr>
          <w:p w:rsidR="00E33916" w:rsidRDefault="00E33916">
            <w:pPr>
              <w:autoSpaceDE w:val="0"/>
              <w:autoSpaceDN w:val="0"/>
              <w:adjustRightInd w:val="0"/>
              <w:spacing w:line="276" w:lineRule="auto"/>
              <w:jc w:val="center"/>
              <w:rPr>
                <w:color w:val="000000"/>
                <w:sz w:val="22"/>
                <w:szCs w:val="22"/>
                <w:u w:val="double"/>
              </w:rPr>
            </w:pPr>
            <w:r>
              <w:rPr>
                <w:color w:val="000000"/>
                <w:sz w:val="22"/>
                <w:szCs w:val="22"/>
                <w:u w:val="double"/>
              </w:rPr>
              <w:t>6.65%</w:t>
            </w:r>
          </w:p>
        </w:tc>
      </w:tr>
      <w:tr w:rsidR="00E33916" w:rsidTr="00E33916">
        <w:trPr>
          <w:trHeight w:val="300"/>
        </w:trPr>
        <w:tc>
          <w:tcPr>
            <w:tcW w:w="499" w:type="dxa"/>
            <w:gridSpan w:val="2"/>
          </w:tcPr>
          <w:p w:rsidR="00E33916" w:rsidRDefault="00E33916">
            <w:pPr>
              <w:autoSpaceDE w:val="0"/>
              <w:autoSpaceDN w:val="0"/>
              <w:adjustRightInd w:val="0"/>
              <w:spacing w:line="276" w:lineRule="auto"/>
              <w:jc w:val="center"/>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Pr>
          <w:p w:rsidR="00E33916" w:rsidRDefault="00E33916">
            <w:pPr>
              <w:autoSpaceDE w:val="0"/>
              <w:autoSpaceDN w:val="0"/>
              <w:adjustRightInd w:val="0"/>
              <w:spacing w:line="276" w:lineRule="auto"/>
              <w:jc w:val="right"/>
              <w:rPr>
                <w:color w:val="000000"/>
                <w:sz w:val="22"/>
                <w:szCs w:val="22"/>
              </w:rPr>
            </w:pP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6</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Average Jurisdictional Rate Base</w:t>
            </w:r>
          </w:p>
        </w:tc>
        <w:tc>
          <w:tcPr>
            <w:tcW w:w="171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$135,234,000 </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$135,234,000 </w:t>
            </w:r>
          </w:p>
        </w:tc>
      </w:tr>
      <w:tr w:rsidR="00E33916" w:rsidTr="00E33916">
        <w:trPr>
          <w:trHeight w:val="300"/>
        </w:trPr>
        <w:tc>
          <w:tcPr>
            <w:tcW w:w="499" w:type="dxa"/>
            <w:gridSpan w:val="2"/>
          </w:tcPr>
          <w:p w:rsidR="00E33916" w:rsidRDefault="00E33916">
            <w:pPr>
              <w:autoSpaceDE w:val="0"/>
              <w:autoSpaceDN w:val="0"/>
              <w:adjustRightInd w:val="0"/>
              <w:spacing w:line="276" w:lineRule="auto"/>
              <w:jc w:val="center"/>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Pr>
          <w:p w:rsidR="00E33916" w:rsidRDefault="00E33916">
            <w:pPr>
              <w:autoSpaceDE w:val="0"/>
              <w:autoSpaceDN w:val="0"/>
              <w:adjustRightInd w:val="0"/>
              <w:spacing w:line="276" w:lineRule="auto"/>
              <w:jc w:val="right"/>
              <w:rPr>
                <w:color w:val="000000"/>
                <w:sz w:val="22"/>
                <w:szCs w:val="22"/>
              </w:rPr>
            </w:pP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7</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Interest Expense (L4 x L6)</w:t>
            </w:r>
          </w:p>
        </w:tc>
        <w:tc>
          <w:tcPr>
            <w:tcW w:w="171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$2,515,352 </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$2,528,876 </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8</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Interest Income Tax (L7 x 38.575%)</w:t>
            </w:r>
          </w:p>
        </w:tc>
        <w:tc>
          <w:tcPr>
            <w:tcW w:w="171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($970,297)</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($975,514)</w:t>
            </w:r>
          </w:p>
        </w:tc>
      </w:tr>
      <w:tr w:rsidR="00E33916" w:rsidTr="00E33916">
        <w:trPr>
          <w:trHeight w:val="300"/>
        </w:trPr>
        <w:tc>
          <w:tcPr>
            <w:tcW w:w="499" w:type="dxa"/>
            <w:gridSpan w:val="2"/>
          </w:tcPr>
          <w:p w:rsidR="00E33916" w:rsidRDefault="00E33916">
            <w:pPr>
              <w:autoSpaceDE w:val="0"/>
              <w:autoSpaceDN w:val="0"/>
              <w:adjustRightInd w:val="0"/>
              <w:spacing w:line="276" w:lineRule="auto"/>
              <w:jc w:val="center"/>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Pr>
          <w:p w:rsidR="00E33916" w:rsidRDefault="00E33916">
            <w:pPr>
              <w:autoSpaceDE w:val="0"/>
              <w:autoSpaceDN w:val="0"/>
              <w:adjustRightInd w:val="0"/>
              <w:spacing w:line="276" w:lineRule="auto"/>
              <w:jc w:val="right"/>
              <w:rPr>
                <w:color w:val="000000"/>
                <w:sz w:val="22"/>
                <w:szCs w:val="22"/>
              </w:rPr>
            </w:pP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9</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Operating Expenses</w:t>
            </w:r>
          </w:p>
        </w:tc>
        <w:tc>
          <w:tcPr>
            <w:tcW w:w="171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($6,212,000)</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($6,212,000)</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10</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Operating Expenses Income Tax (L9 x 38.575%)</w:t>
            </w:r>
          </w:p>
        </w:tc>
        <w:tc>
          <w:tcPr>
            <w:tcW w:w="171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2,396,279 </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2,396,279 </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11</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Interest Income Tax (L8)</w:t>
            </w:r>
          </w:p>
        </w:tc>
        <w:tc>
          <w:tcPr>
            <w:tcW w:w="1710" w:type="dxa"/>
            <w:gridSpan w:val="2"/>
            <w:tcBorders>
              <w:top w:val="nil"/>
              <w:left w:val="nil"/>
              <w:bottom w:val="sing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970,297 </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Borders>
              <w:top w:val="nil"/>
              <w:left w:val="nil"/>
              <w:bottom w:val="sing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975,514 </w:t>
            </w:r>
          </w:p>
        </w:tc>
      </w:tr>
      <w:tr w:rsidR="00E33916" w:rsidTr="00E33916">
        <w:trPr>
          <w:trHeight w:val="312"/>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12</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Net Operating Income Loss (L9 + L10 + L11)</w:t>
            </w:r>
          </w:p>
        </w:tc>
        <w:tc>
          <w:tcPr>
            <w:tcW w:w="1710" w:type="dxa"/>
            <w:gridSpan w:val="2"/>
            <w:tcBorders>
              <w:top w:val="single" w:sz="6" w:space="0" w:color="auto"/>
              <w:left w:val="nil"/>
              <w:bottom w:val="doub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($2,845,424)</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Borders>
              <w:top w:val="single" w:sz="6" w:space="0" w:color="auto"/>
              <w:left w:val="nil"/>
              <w:bottom w:val="doub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($2,840,207)</w:t>
            </w:r>
          </w:p>
        </w:tc>
      </w:tr>
      <w:tr w:rsidR="00E33916" w:rsidTr="00E33916">
        <w:trPr>
          <w:trHeight w:val="312"/>
        </w:trPr>
        <w:tc>
          <w:tcPr>
            <w:tcW w:w="499" w:type="dxa"/>
            <w:gridSpan w:val="2"/>
          </w:tcPr>
          <w:p w:rsidR="00E33916" w:rsidRDefault="00E33916">
            <w:pPr>
              <w:autoSpaceDE w:val="0"/>
              <w:autoSpaceDN w:val="0"/>
              <w:adjustRightInd w:val="0"/>
              <w:spacing w:line="276" w:lineRule="auto"/>
              <w:jc w:val="center"/>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Pr>
          <w:p w:rsidR="00E33916" w:rsidRDefault="00E33916">
            <w:pPr>
              <w:autoSpaceDE w:val="0"/>
              <w:autoSpaceDN w:val="0"/>
              <w:adjustRightInd w:val="0"/>
              <w:spacing w:line="276" w:lineRule="auto"/>
              <w:jc w:val="right"/>
              <w:rPr>
                <w:color w:val="000000"/>
                <w:sz w:val="22"/>
                <w:szCs w:val="22"/>
              </w:rPr>
            </w:pPr>
          </w:p>
        </w:tc>
      </w:tr>
      <w:tr w:rsidR="00E33916" w:rsidTr="00E33916">
        <w:trPr>
          <w:trHeight w:val="300"/>
        </w:trPr>
        <w:tc>
          <w:tcPr>
            <w:tcW w:w="499" w:type="dxa"/>
            <w:gridSpan w:val="2"/>
          </w:tcPr>
          <w:p w:rsidR="00E33916" w:rsidRDefault="00E33916">
            <w:pPr>
              <w:autoSpaceDE w:val="0"/>
              <w:autoSpaceDN w:val="0"/>
              <w:adjustRightInd w:val="0"/>
              <w:spacing w:line="276" w:lineRule="auto"/>
              <w:jc w:val="center"/>
              <w:rPr>
                <w:color w:val="000000"/>
                <w:sz w:val="22"/>
                <w:szCs w:val="22"/>
              </w:rPr>
            </w:pPr>
          </w:p>
        </w:tc>
        <w:tc>
          <w:tcPr>
            <w:tcW w:w="4751" w:type="dxa"/>
            <w:gridSpan w:val="2"/>
            <w:hideMark/>
          </w:tcPr>
          <w:p w:rsidR="00E33916" w:rsidRDefault="00E33916">
            <w:pPr>
              <w:autoSpaceDE w:val="0"/>
              <w:autoSpaceDN w:val="0"/>
              <w:adjustRightInd w:val="0"/>
              <w:spacing w:line="276" w:lineRule="auto"/>
              <w:rPr>
                <w:color w:val="000000"/>
                <w:sz w:val="22"/>
                <w:szCs w:val="22"/>
                <w:u w:val="single"/>
              </w:rPr>
            </w:pPr>
            <w:r>
              <w:rPr>
                <w:color w:val="000000"/>
                <w:sz w:val="22"/>
                <w:szCs w:val="22"/>
                <w:u w:val="single"/>
              </w:rPr>
              <w:t>Revenue Requirement Calculation</w:t>
            </w: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Pr>
          <w:p w:rsidR="00E33916" w:rsidRDefault="00E33916">
            <w:pPr>
              <w:autoSpaceDE w:val="0"/>
              <w:autoSpaceDN w:val="0"/>
              <w:adjustRightInd w:val="0"/>
              <w:spacing w:line="276" w:lineRule="auto"/>
              <w:jc w:val="right"/>
              <w:rPr>
                <w:color w:val="000000"/>
                <w:sz w:val="22"/>
                <w:szCs w:val="22"/>
              </w:rPr>
            </w:pP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13</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Average Jurisdictional Rate Base (L6)</w:t>
            </w:r>
          </w:p>
        </w:tc>
        <w:tc>
          <w:tcPr>
            <w:tcW w:w="171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$135,234,000</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$135,234,000</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14</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Rate of Return (L5)</w:t>
            </w:r>
          </w:p>
        </w:tc>
        <w:tc>
          <w:tcPr>
            <w:tcW w:w="1710" w:type="dxa"/>
            <w:gridSpan w:val="2"/>
            <w:tcBorders>
              <w:top w:val="nil"/>
              <w:left w:val="nil"/>
              <w:bottom w:val="sing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6.66%</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Borders>
              <w:top w:val="nil"/>
              <w:left w:val="nil"/>
              <w:bottom w:val="sing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6.65%</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15</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Required Return (L13 x L14)</w:t>
            </w:r>
          </w:p>
        </w:tc>
        <w:tc>
          <w:tcPr>
            <w:tcW w:w="171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9,006,584 </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8,993,061 </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16</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Net Operating Income Loss (L12)</w:t>
            </w:r>
          </w:p>
        </w:tc>
        <w:tc>
          <w:tcPr>
            <w:tcW w:w="1710" w:type="dxa"/>
            <w:gridSpan w:val="2"/>
            <w:tcBorders>
              <w:top w:val="nil"/>
              <w:left w:val="nil"/>
              <w:bottom w:val="sing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(2,845,424)</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Borders>
              <w:top w:val="nil"/>
              <w:left w:val="nil"/>
              <w:bottom w:val="sing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(2,840,207)</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17</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Net Operating Income Deficiency (L15 + L16)</w:t>
            </w:r>
          </w:p>
        </w:tc>
        <w:tc>
          <w:tcPr>
            <w:tcW w:w="171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11,852,008 </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 xml:space="preserve">     11,833,268 </w:t>
            </w:r>
          </w:p>
        </w:tc>
      </w:tr>
      <w:tr w:rsidR="00E33916" w:rsidTr="00E33916">
        <w:trPr>
          <w:trHeight w:val="300"/>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18</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Net Operating Income Multiplier</w:t>
            </w:r>
          </w:p>
        </w:tc>
        <w:tc>
          <w:tcPr>
            <w:tcW w:w="1710" w:type="dxa"/>
            <w:gridSpan w:val="2"/>
            <w:tcBorders>
              <w:top w:val="nil"/>
              <w:left w:val="nil"/>
              <w:bottom w:val="sing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1.634</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Borders>
              <w:top w:val="nil"/>
              <w:left w:val="nil"/>
              <w:bottom w:val="sing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1.634</w:t>
            </w:r>
          </w:p>
        </w:tc>
      </w:tr>
      <w:tr w:rsidR="00E33916" w:rsidTr="00E33916">
        <w:trPr>
          <w:trHeight w:val="312"/>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19</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Revenue Requirement (L17 x L18)</w:t>
            </w:r>
          </w:p>
        </w:tc>
        <w:tc>
          <w:tcPr>
            <w:tcW w:w="1710" w:type="dxa"/>
            <w:gridSpan w:val="2"/>
            <w:tcBorders>
              <w:top w:val="single" w:sz="6" w:space="0" w:color="auto"/>
              <w:left w:val="nil"/>
              <w:bottom w:val="doub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$19,363,385</w:t>
            </w: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Borders>
              <w:top w:val="single" w:sz="6" w:space="0" w:color="auto"/>
              <w:left w:val="nil"/>
              <w:bottom w:val="doub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$19,335,560</w:t>
            </w:r>
          </w:p>
        </w:tc>
      </w:tr>
      <w:tr w:rsidR="00E33916" w:rsidTr="00E33916">
        <w:trPr>
          <w:trHeight w:val="312"/>
        </w:trPr>
        <w:tc>
          <w:tcPr>
            <w:tcW w:w="499" w:type="dxa"/>
            <w:gridSpan w:val="2"/>
          </w:tcPr>
          <w:p w:rsidR="00E33916" w:rsidRDefault="00E33916">
            <w:pPr>
              <w:autoSpaceDE w:val="0"/>
              <w:autoSpaceDN w:val="0"/>
              <w:adjustRightInd w:val="0"/>
              <w:spacing w:line="276" w:lineRule="auto"/>
              <w:jc w:val="center"/>
              <w:rPr>
                <w:color w:val="000000"/>
                <w:sz w:val="22"/>
                <w:szCs w:val="22"/>
              </w:rPr>
            </w:pPr>
          </w:p>
        </w:tc>
        <w:tc>
          <w:tcPr>
            <w:tcW w:w="4751" w:type="dxa"/>
            <w:gridSpan w:val="2"/>
          </w:tcPr>
          <w:p w:rsidR="00E33916" w:rsidRDefault="00E33916">
            <w:pPr>
              <w:autoSpaceDE w:val="0"/>
              <w:autoSpaceDN w:val="0"/>
              <w:adjustRightInd w:val="0"/>
              <w:spacing w:line="276" w:lineRule="auto"/>
              <w:jc w:val="right"/>
              <w:rPr>
                <w:color w:val="000000"/>
                <w:sz w:val="22"/>
                <w:szCs w:val="22"/>
              </w:rPr>
            </w:pP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Pr>
          <w:p w:rsidR="00E33916" w:rsidRDefault="00E33916">
            <w:pPr>
              <w:autoSpaceDE w:val="0"/>
              <w:autoSpaceDN w:val="0"/>
              <w:adjustRightInd w:val="0"/>
              <w:spacing w:line="276" w:lineRule="auto"/>
              <w:jc w:val="right"/>
              <w:rPr>
                <w:color w:val="000000"/>
                <w:sz w:val="22"/>
                <w:szCs w:val="22"/>
              </w:rPr>
            </w:pPr>
          </w:p>
        </w:tc>
      </w:tr>
      <w:tr w:rsidR="00E33916" w:rsidTr="00E33916">
        <w:trPr>
          <w:trHeight w:val="312"/>
        </w:trPr>
        <w:tc>
          <w:tcPr>
            <w:tcW w:w="499" w:type="dxa"/>
            <w:gridSpan w:val="2"/>
            <w:hideMark/>
          </w:tcPr>
          <w:p w:rsidR="00E33916" w:rsidRDefault="00E33916">
            <w:pPr>
              <w:autoSpaceDE w:val="0"/>
              <w:autoSpaceDN w:val="0"/>
              <w:adjustRightInd w:val="0"/>
              <w:spacing w:line="276" w:lineRule="auto"/>
              <w:jc w:val="center"/>
              <w:rPr>
                <w:color w:val="000000"/>
                <w:sz w:val="22"/>
                <w:szCs w:val="22"/>
              </w:rPr>
            </w:pPr>
            <w:r>
              <w:rPr>
                <w:color w:val="000000"/>
                <w:sz w:val="22"/>
                <w:szCs w:val="22"/>
              </w:rPr>
              <w:t>20</w:t>
            </w:r>
          </w:p>
        </w:tc>
        <w:tc>
          <w:tcPr>
            <w:tcW w:w="4751" w:type="dxa"/>
            <w:gridSpan w:val="2"/>
            <w:hideMark/>
          </w:tcPr>
          <w:p w:rsidR="00E33916" w:rsidRDefault="00E33916">
            <w:pPr>
              <w:autoSpaceDE w:val="0"/>
              <w:autoSpaceDN w:val="0"/>
              <w:adjustRightInd w:val="0"/>
              <w:spacing w:line="276" w:lineRule="auto"/>
              <w:rPr>
                <w:color w:val="000000"/>
                <w:sz w:val="22"/>
                <w:szCs w:val="22"/>
              </w:rPr>
            </w:pPr>
            <w:r>
              <w:rPr>
                <w:color w:val="000000"/>
                <w:sz w:val="22"/>
                <w:szCs w:val="22"/>
              </w:rPr>
              <w:t>Difference</w:t>
            </w:r>
          </w:p>
        </w:tc>
        <w:tc>
          <w:tcPr>
            <w:tcW w:w="1710" w:type="dxa"/>
            <w:gridSpan w:val="2"/>
          </w:tcPr>
          <w:p w:rsidR="00E33916" w:rsidRDefault="00E33916">
            <w:pPr>
              <w:autoSpaceDE w:val="0"/>
              <w:autoSpaceDN w:val="0"/>
              <w:adjustRightInd w:val="0"/>
              <w:spacing w:line="276" w:lineRule="auto"/>
              <w:jc w:val="right"/>
              <w:rPr>
                <w:color w:val="000000"/>
                <w:sz w:val="22"/>
                <w:szCs w:val="22"/>
              </w:rPr>
            </w:pPr>
          </w:p>
        </w:tc>
        <w:tc>
          <w:tcPr>
            <w:tcW w:w="1080" w:type="dxa"/>
            <w:gridSpan w:val="2"/>
          </w:tcPr>
          <w:p w:rsidR="00E33916" w:rsidRDefault="00E33916">
            <w:pPr>
              <w:autoSpaceDE w:val="0"/>
              <w:autoSpaceDN w:val="0"/>
              <w:adjustRightInd w:val="0"/>
              <w:spacing w:line="276" w:lineRule="auto"/>
              <w:jc w:val="right"/>
              <w:rPr>
                <w:color w:val="000000"/>
                <w:sz w:val="22"/>
                <w:szCs w:val="22"/>
              </w:rPr>
            </w:pPr>
          </w:p>
        </w:tc>
        <w:tc>
          <w:tcPr>
            <w:tcW w:w="1350" w:type="dxa"/>
            <w:gridSpan w:val="2"/>
            <w:tcBorders>
              <w:top w:val="nil"/>
              <w:left w:val="nil"/>
              <w:bottom w:val="double" w:sz="6" w:space="0" w:color="auto"/>
              <w:right w:val="nil"/>
            </w:tcBorders>
            <w:hideMark/>
          </w:tcPr>
          <w:p w:rsidR="00E33916" w:rsidRDefault="00E33916">
            <w:pPr>
              <w:autoSpaceDE w:val="0"/>
              <w:autoSpaceDN w:val="0"/>
              <w:adjustRightInd w:val="0"/>
              <w:spacing w:line="276" w:lineRule="auto"/>
              <w:jc w:val="right"/>
              <w:rPr>
                <w:color w:val="000000"/>
                <w:sz w:val="22"/>
                <w:szCs w:val="22"/>
              </w:rPr>
            </w:pPr>
            <w:r>
              <w:rPr>
                <w:color w:val="000000"/>
                <w:sz w:val="22"/>
                <w:szCs w:val="22"/>
              </w:rPr>
              <w:t>($27,825)</w:t>
            </w:r>
          </w:p>
        </w:tc>
      </w:tr>
      <w:tr w:rsidR="00E33916" w:rsidTr="00E33916">
        <w:trPr>
          <w:gridBefore w:val="1"/>
          <w:gridAfter w:val="1"/>
          <w:wBefore w:w="15" w:type="dxa"/>
          <w:wAfter w:w="990" w:type="dxa"/>
          <w:trHeight w:val="315"/>
        </w:trPr>
        <w:tc>
          <w:tcPr>
            <w:tcW w:w="4740" w:type="dxa"/>
            <w:gridSpan w:val="2"/>
            <w:noWrap/>
            <w:tcMar>
              <w:top w:w="0" w:type="dxa"/>
              <w:left w:w="108" w:type="dxa"/>
              <w:bottom w:w="0" w:type="dxa"/>
              <w:right w:w="108" w:type="dxa"/>
            </w:tcMar>
            <w:vAlign w:val="bottom"/>
            <w:hideMark/>
          </w:tcPr>
          <w:p w:rsidR="00E33916" w:rsidRDefault="00E33916">
            <w:pPr>
              <w:spacing w:line="276" w:lineRule="auto"/>
              <w:rPr>
                <w:color w:val="000000"/>
              </w:rPr>
            </w:pPr>
            <w:r>
              <w:rPr>
                <w:color w:val="000000"/>
                <w:u w:val="single"/>
              </w:rPr>
              <w:t>Note</w:t>
            </w:r>
            <w:r>
              <w:rPr>
                <w:color w:val="000000"/>
              </w:rPr>
              <w:t xml:space="preserve">: </w:t>
            </w:r>
          </w:p>
        </w:tc>
        <w:tc>
          <w:tcPr>
            <w:tcW w:w="1540" w:type="dxa"/>
            <w:gridSpan w:val="2"/>
            <w:noWrap/>
            <w:tcMar>
              <w:top w:w="0" w:type="dxa"/>
              <w:left w:w="108" w:type="dxa"/>
              <w:bottom w:w="0" w:type="dxa"/>
              <w:right w:w="108" w:type="dxa"/>
            </w:tcMar>
            <w:vAlign w:val="bottom"/>
            <w:hideMark/>
          </w:tcPr>
          <w:p w:rsidR="00E33916" w:rsidRDefault="00E33916">
            <w:pPr>
              <w:spacing w:line="276" w:lineRule="auto"/>
              <w:rPr>
                <w:rFonts w:asciiTheme="minorHAnsi" w:eastAsiaTheme="minorHAnsi" w:hAnsiTheme="minorHAnsi"/>
                <w:sz w:val="22"/>
                <w:szCs w:val="22"/>
              </w:rPr>
            </w:pPr>
          </w:p>
        </w:tc>
        <w:tc>
          <w:tcPr>
            <w:tcW w:w="700" w:type="dxa"/>
            <w:gridSpan w:val="2"/>
            <w:noWrap/>
            <w:tcMar>
              <w:top w:w="0" w:type="dxa"/>
              <w:left w:w="108" w:type="dxa"/>
              <w:bottom w:w="0" w:type="dxa"/>
              <w:right w:w="108" w:type="dxa"/>
            </w:tcMar>
            <w:vAlign w:val="bottom"/>
            <w:hideMark/>
          </w:tcPr>
          <w:p w:rsidR="00E33916" w:rsidRDefault="00E33916">
            <w:pPr>
              <w:spacing w:line="276" w:lineRule="auto"/>
              <w:rPr>
                <w:rFonts w:asciiTheme="minorHAnsi" w:eastAsiaTheme="minorHAnsi" w:hAnsiTheme="minorHAnsi"/>
                <w:sz w:val="22"/>
                <w:szCs w:val="22"/>
              </w:rPr>
            </w:pPr>
          </w:p>
        </w:tc>
        <w:tc>
          <w:tcPr>
            <w:tcW w:w="1405" w:type="dxa"/>
            <w:gridSpan w:val="2"/>
            <w:noWrap/>
            <w:tcMar>
              <w:top w:w="0" w:type="dxa"/>
              <w:left w:w="108" w:type="dxa"/>
              <w:bottom w:w="0" w:type="dxa"/>
              <w:right w:w="108" w:type="dxa"/>
            </w:tcMar>
            <w:vAlign w:val="bottom"/>
            <w:hideMark/>
          </w:tcPr>
          <w:p w:rsidR="00E33916" w:rsidRDefault="00E33916">
            <w:pPr>
              <w:spacing w:line="276" w:lineRule="auto"/>
              <w:rPr>
                <w:rFonts w:asciiTheme="minorHAnsi" w:eastAsiaTheme="minorHAnsi" w:hAnsiTheme="minorHAnsi"/>
                <w:sz w:val="22"/>
                <w:szCs w:val="22"/>
              </w:rPr>
            </w:pPr>
          </w:p>
        </w:tc>
      </w:tr>
      <w:tr w:rsidR="00E33916" w:rsidTr="00DD4ECB">
        <w:trPr>
          <w:gridBefore w:val="1"/>
          <w:wBefore w:w="15" w:type="dxa"/>
          <w:trHeight w:val="315"/>
        </w:trPr>
        <w:tc>
          <w:tcPr>
            <w:tcW w:w="9375" w:type="dxa"/>
            <w:gridSpan w:val="9"/>
            <w:noWrap/>
            <w:tcMar>
              <w:top w:w="0" w:type="dxa"/>
              <w:left w:w="108" w:type="dxa"/>
              <w:bottom w:w="0" w:type="dxa"/>
              <w:right w:w="108" w:type="dxa"/>
            </w:tcMar>
            <w:vAlign w:val="bottom"/>
            <w:hideMark/>
          </w:tcPr>
          <w:p w:rsidR="00E33916" w:rsidRDefault="00E33916">
            <w:pPr>
              <w:spacing w:line="276" w:lineRule="auto"/>
              <w:rPr>
                <w:color w:val="000000"/>
              </w:rPr>
            </w:pPr>
            <w:r>
              <w:rPr>
                <w:color w:val="000000"/>
              </w:rPr>
              <w:t>(a) Source - November 2016 ESR and December 2016 ESR, Schedule 4, Page 3 of 4.</w:t>
            </w:r>
          </w:p>
        </w:tc>
      </w:tr>
      <w:tr w:rsidR="00E33916" w:rsidTr="00DD4ECB">
        <w:trPr>
          <w:gridBefore w:val="1"/>
          <w:wBefore w:w="15" w:type="dxa"/>
          <w:trHeight w:val="300"/>
        </w:trPr>
        <w:tc>
          <w:tcPr>
            <w:tcW w:w="4740" w:type="dxa"/>
            <w:gridSpan w:val="2"/>
            <w:noWrap/>
            <w:tcMar>
              <w:top w:w="0" w:type="dxa"/>
              <w:left w:w="108" w:type="dxa"/>
              <w:bottom w:w="0" w:type="dxa"/>
              <w:right w:w="108" w:type="dxa"/>
            </w:tcMar>
            <w:vAlign w:val="bottom"/>
            <w:hideMark/>
          </w:tcPr>
          <w:p w:rsidR="00E33916" w:rsidRDefault="00E33916">
            <w:pPr>
              <w:spacing w:line="276" w:lineRule="auto"/>
              <w:rPr>
                <w:rFonts w:asciiTheme="minorHAnsi" w:eastAsiaTheme="minorHAnsi" w:hAnsiTheme="minorHAnsi"/>
                <w:sz w:val="22"/>
                <w:szCs w:val="22"/>
              </w:rPr>
            </w:pPr>
          </w:p>
        </w:tc>
        <w:tc>
          <w:tcPr>
            <w:tcW w:w="1540" w:type="dxa"/>
            <w:gridSpan w:val="2"/>
            <w:noWrap/>
            <w:tcMar>
              <w:top w:w="0" w:type="dxa"/>
              <w:left w:w="108" w:type="dxa"/>
              <w:bottom w:w="0" w:type="dxa"/>
              <w:right w:w="108" w:type="dxa"/>
            </w:tcMar>
            <w:vAlign w:val="bottom"/>
            <w:hideMark/>
          </w:tcPr>
          <w:p w:rsidR="00E33916" w:rsidRDefault="00E33916">
            <w:pPr>
              <w:spacing w:line="276" w:lineRule="auto"/>
              <w:rPr>
                <w:rFonts w:asciiTheme="minorHAnsi" w:eastAsiaTheme="minorHAnsi" w:hAnsiTheme="minorHAnsi"/>
                <w:sz w:val="22"/>
                <w:szCs w:val="22"/>
              </w:rPr>
            </w:pPr>
          </w:p>
        </w:tc>
        <w:tc>
          <w:tcPr>
            <w:tcW w:w="700" w:type="dxa"/>
            <w:gridSpan w:val="2"/>
            <w:noWrap/>
            <w:tcMar>
              <w:top w:w="0" w:type="dxa"/>
              <w:left w:w="108" w:type="dxa"/>
              <w:bottom w:w="0" w:type="dxa"/>
              <w:right w:w="108" w:type="dxa"/>
            </w:tcMar>
            <w:vAlign w:val="bottom"/>
            <w:hideMark/>
          </w:tcPr>
          <w:p w:rsidR="00E33916" w:rsidRDefault="00E33916">
            <w:pPr>
              <w:spacing w:line="276" w:lineRule="auto"/>
              <w:rPr>
                <w:rFonts w:asciiTheme="minorHAnsi" w:eastAsiaTheme="minorHAnsi" w:hAnsiTheme="minorHAnsi"/>
                <w:sz w:val="22"/>
                <w:szCs w:val="22"/>
              </w:rPr>
            </w:pPr>
          </w:p>
        </w:tc>
        <w:tc>
          <w:tcPr>
            <w:tcW w:w="2395" w:type="dxa"/>
            <w:gridSpan w:val="3"/>
            <w:noWrap/>
            <w:tcMar>
              <w:top w:w="0" w:type="dxa"/>
              <w:left w:w="108" w:type="dxa"/>
              <w:bottom w:w="0" w:type="dxa"/>
              <w:right w:w="108" w:type="dxa"/>
            </w:tcMar>
            <w:vAlign w:val="bottom"/>
            <w:hideMark/>
          </w:tcPr>
          <w:p w:rsidR="00E33916" w:rsidRDefault="00E33916">
            <w:pPr>
              <w:spacing w:line="276" w:lineRule="auto"/>
              <w:rPr>
                <w:rFonts w:asciiTheme="minorHAnsi" w:eastAsiaTheme="minorHAnsi" w:hAnsiTheme="minorHAnsi"/>
                <w:sz w:val="22"/>
                <w:szCs w:val="22"/>
              </w:rPr>
            </w:pPr>
          </w:p>
        </w:tc>
      </w:tr>
    </w:tbl>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380" w:rsidRDefault="002D0380">
      <w:r>
        <w:separator/>
      </w:r>
    </w:p>
  </w:endnote>
  <w:endnote w:type="continuationSeparator" w:id="0">
    <w:p w:rsidR="002D0380" w:rsidRDefault="002D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B3FA7">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380" w:rsidRDefault="002D0380">
      <w:r>
        <w:separator/>
      </w:r>
    </w:p>
  </w:footnote>
  <w:footnote w:type="continuationSeparator" w:id="0">
    <w:p w:rsidR="002D0380" w:rsidRDefault="002D0380">
      <w:r>
        <w:continuationSeparator/>
      </w:r>
    </w:p>
  </w:footnote>
  <w:footnote w:id="1">
    <w:p w:rsidR="00EC7244" w:rsidRPr="00107ED7" w:rsidRDefault="00962A3D" w:rsidP="00962A3D">
      <w:pPr>
        <w:pStyle w:val="FootnoteText"/>
      </w:pPr>
      <w:r>
        <w:rPr>
          <w:rStyle w:val="FootnoteReference"/>
        </w:rPr>
        <w:footnoteRef/>
      </w:r>
      <w:r>
        <w:t xml:space="preserve">Order No. PSC-13-0598-FOF-EI, issued November 12, 2013, in Docket No. 130208-EI, </w:t>
      </w:r>
      <w:r w:rsidRPr="00107ED7">
        <w:rPr>
          <w:i/>
        </w:rPr>
        <w:t>In re: Petition for limited proceeding to approve revised and restated stipulation and settlement agreement by Duke Energy Florida, Inc. d/b/a Duke Energ</w:t>
      </w:r>
      <w:r w:rsidRPr="00107ED7">
        <w:t>y.</w:t>
      </w:r>
      <w:r w:rsidR="00EC7244">
        <w:t xml:space="preserve"> </w:t>
      </w:r>
      <w:r w:rsidR="00EC7244" w:rsidRPr="00EC7244">
        <w:t>The Revised and Restated Agreement resolves outstanding issues in existing, continuing, and prospective Commission dockets, including Docket No. 100437-EI, which involves the examination of the outage and replacement fuel/power costs associated with DEF’s Crystal River Unit 3 (CR3) steam generator replacement; Docket No. 130009-EI, the Commission’s ongoing Nuclear Cost Recovery Clause; Docket No. 130001-EI, the Fuel and Purchased Power Cost Recovery Clause; Docket No. 130007-EI, the Environmental  Cost Recovery Clause; and Docket No. 130091-EI, which involves DEF’s petition for approval of a regulatory asset and associated amortization schedule for costs associated with DEF’s Commission-approved thermal discharge compliance project.</w:t>
      </w:r>
    </w:p>
  </w:footnote>
  <w:footnote w:id="2">
    <w:p w:rsidR="00962A3D" w:rsidRPr="001C05AB" w:rsidRDefault="00962A3D" w:rsidP="00CA18A4">
      <w:pPr>
        <w:pStyle w:val="FootnoteText"/>
        <w:rPr>
          <w:i/>
        </w:rPr>
      </w:pPr>
      <w:r>
        <w:rPr>
          <w:rStyle w:val="FootnoteReference"/>
        </w:rPr>
        <w:footnoteRef/>
      </w:r>
      <w:r>
        <w:t xml:space="preserve">Order No. PSC-14-0590-FOF-EI, issued October 21, 2014, in Docket No. 140111-EI, </w:t>
      </w:r>
      <w:r w:rsidRPr="001C05AB">
        <w:rPr>
          <w:i/>
        </w:rPr>
        <w:t>In re: Petition for determination of cost effective generation alternative to meet need prior to 2018, by Duke Energy Florida, Inc.</w:t>
      </w:r>
    </w:p>
  </w:footnote>
  <w:footnote w:id="3">
    <w:p w:rsidR="00962A3D" w:rsidRPr="001C05AB" w:rsidRDefault="00962A3D" w:rsidP="00CA18A4">
      <w:pPr>
        <w:pStyle w:val="FootnoteText"/>
        <w:rPr>
          <w:i/>
        </w:rPr>
      </w:pPr>
      <w:r>
        <w:rPr>
          <w:rStyle w:val="FootnoteReference"/>
        </w:rPr>
        <w:footnoteRef/>
      </w:r>
      <w:r>
        <w:t>Order No. PSC-</w:t>
      </w:r>
      <w:r w:rsidRPr="009A1E38">
        <w:t>16-0362-TRF</w:t>
      </w:r>
      <w:r>
        <w:t xml:space="preserve">-EI, issued </w:t>
      </w:r>
      <w:r w:rsidRPr="009A1E38">
        <w:t>August 29, 2016</w:t>
      </w:r>
      <w:r>
        <w:t xml:space="preserve">, in Docket No. 160128-EI, </w:t>
      </w:r>
      <w:r w:rsidRPr="001C05AB">
        <w:rPr>
          <w:i/>
        </w:rPr>
        <w:t xml:space="preserve">In re: </w:t>
      </w:r>
      <w:r w:rsidRPr="00A603DF">
        <w:rPr>
          <w:i/>
        </w:rPr>
        <w:t>Petition for approval to include in base rates the revenue requirement for the Hines Chillers Uprate Project, by Duke Energy Florida, LLC</w:t>
      </w:r>
      <w:r w:rsidRPr="001C05AB">
        <w:rPr>
          <w:i/>
        </w:rPr>
        <w:t>.</w:t>
      </w:r>
    </w:p>
  </w:footnote>
  <w:footnote w:id="4">
    <w:p w:rsidR="00C954E0" w:rsidRPr="001C05AB" w:rsidRDefault="00C954E0" w:rsidP="00CA18A4">
      <w:pPr>
        <w:pStyle w:val="FootnoteText"/>
        <w:rPr>
          <w:i/>
        </w:rPr>
      </w:pPr>
      <w:r>
        <w:rPr>
          <w:rStyle w:val="FootnoteReference"/>
        </w:rPr>
        <w:footnoteRef/>
      </w:r>
      <w:r w:rsidR="007B62F1">
        <w:t>I</w:t>
      </w:r>
      <w:r>
        <w:t xml:space="preserve">ssued </w:t>
      </w:r>
      <w:r w:rsidR="007B62F1">
        <w:t>November 21</w:t>
      </w:r>
      <w:r w:rsidRPr="009A1E38">
        <w:t>, 2016</w:t>
      </w:r>
      <w:r>
        <w:t xml:space="preserve">, in Docket No. 160128-EI, </w:t>
      </w:r>
      <w:r w:rsidRPr="001C05AB">
        <w:rPr>
          <w:i/>
        </w:rPr>
        <w:t xml:space="preserve">In re: </w:t>
      </w:r>
      <w:r w:rsidRPr="00A603DF">
        <w:rPr>
          <w:i/>
        </w:rPr>
        <w:t>Petition for approval to include in base rates the revenue requirement for the Hines Chillers Uprate Project, by Duke Energy Florida, LLC</w:t>
      </w:r>
      <w:r w:rsidRPr="001C05AB">
        <w:rPr>
          <w:i/>
        </w:rPr>
        <w:t>.</w:t>
      </w:r>
    </w:p>
  </w:footnote>
  <w:footnote w:id="5">
    <w:p w:rsidR="005F2630" w:rsidRPr="001C05AB" w:rsidRDefault="005F2630" w:rsidP="005F2630">
      <w:pPr>
        <w:pStyle w:val="FootnoteText"/>
        <w:rPr>
          <w:i/>
        </w:rPr>
      </w:pPr>
      <w:r>
        <w:rPr>
          <w:rStyle w:val="FootnoteReference"/>
        </w:rPr>
        <w:footnoteRef/>
      </w:r>
      <w:r>
        <w:t>Order No. PSC-</w:t>
      </w:r>
      <w:r w:rsidRPr="009A1E38">
        <w:t>16-0362-TRF</w:t>
      </w:r>
      <w:r>
        <w:t xml:space="preserve">-EI, issued </w:t>
      </w:r>
      <w:r w:rsidRPr="009A1E38">
        <w:t>August 29, 2016</w:t>
      </w:r>
      <w:r>
        <w:t xml:space="preserve">, in Docket No. 160128-EI, </w:t>
      </w:r>
      <w:r w:rsidRPr="001C05AB">
        <w:rPr>
          <w:i/>
        </w:rPr>
        <w:t xml:space="preserve">In re: </w:t>
      </w:r>
      <w:r w:rsidRPr="00A603DF">
        <w:rPr>
          <w:i/>
        </w:rPr>
        <w:t>Petition for approval to include in base rates the revenue requirement for the Hines Chillers Uprate Project, by Duke Energy Florida, LLC</w:t>
      </w:r>
      <w:r w:rsidRPr="001C05AB">
        <w:rPr>
          <w:i/>
        </w:rPr>
        <w:t>.</w:t>
      </w:r>
      <w:r w:rsidR="00030F69">
        <w:rPr>
          <w:i/>
        </w:rPr>
        <w:t xml:space="preserve"> </w:t>
      </w:r>
      <w:r w:rsidR="00030F69" w:rsidRPr="002D39DB">
        <w:t>The order also recognized that costs will be reset in DEF’s next general base rate case proceeding if actual costs differ from what was approved in Docket No. 160128-EI.</w:t>
      </w:r>
    </w:p>
  </w:footnote>
  <w:footnote w:id="6">
    <w:p w:rsidR="00FB3315" w:rsidRDefault="00FB3315" w:rsidP="00FB3315">
      <w:pPr>
        <w:pStyle w:val="FootnoteText"/>
      </w:pPr>
      <w:r>
        <w:rPr>
          <w:rStyle w:val="FootnoteReference"/>
        </w:rPr>
        <w:footnoteRef/>
      </w:r>
      <w:r>
        <w:t>Exhibit C, p. 1 of 2, of Document No. 01331-17</w:t>
      </w:r>
      <w:r w:rsidR="00154331">
        <w:t xml:space="preserve"> </w:t>
      </w:r>
      <w:r>
        <w:t>(DEF’s Petition).</w:t>
      </w:r>
    </w:p>
  </w:footnote>
  <w:footnote w:id="7">
    <w:p w:rsidR="00FB3315" w:rsidRDefault="00FB3315" w:rsidP="00FB3315">
      <w:pPr>
        <w:pStyle w:val="FootnoteText"/>
      </w:pPr>
      <w:r>
        <w:rPr>
          <w:rStyle w:val="FootnoteReference"/>
        </w:rPr>
        <w:footnoteRef/>
      </w:r>
      <w:r>
        <w:t xml:space="preserve">November 2016 Earnings Surveillance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D0380"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170030-EI</w:t>
    </w:r>
    <w:bookmarkEnd w:id="15"/>
  </w:p>
  <w:p w:rsidR="00212B17" w:rsidRDefault="00212B17">
    <w:pPr>
      <w:pStyle w:val="Header"/>
    </w:pPr>
    <w:r>
      <w:t xml:space="preserve">Date: </w:t>
    </w:r>
    <w:fldSimple w:instr=" REF FilingDate ">
      <w:r w:rsidR="00C14B4B">
        <w:t>February 23,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C14B4B">
      <w:t>Docket No.</w:t>
    </w:r>
    <w:r>
      <w:fldChar w:fldCharType="end"/>
    </w:r>
    <w:r>
      <w:t xml:space="preserve"> </w:t>
    </w:r>
    <w:r>
      <w:fldChar w:fldCharType="begin"/>
    </w:r>
    <w:r>
      <w:instrText xml:space="preserve"> REF DocketList</w:instrText>
    </w:r>
    <w:r>
      <w:fldChar w:fldCharType="separate"/>
    </w:r>
    <w:r w:rsidR="00C14B4B">
      <w:t>170030-EI</w:t>
    </w:r>
    <w:r>
      <w:fldChar w:fldCharType="end"/>
    </w:r>
    <w:r>
      <w:tab/>
      <w:t xml:space="preserve">Issue </w:t>
    </w:r>
    <w:fldSimple w:instr=" Seq Issue \c \* Arabic ">
      <w:r w:rsidR="00AB3FA7">
        <w:rPr>
          <w:noProof/>
        </w:rPr>
        <w:t>3</w:t>
      </w:r>
    </w:fldSimple>
  </w:p>
  <w:p w:rsidR="00212B17" w:rsidRDefault="00212B17">
    <w:pPr>
      <w:pStyle w:val="Header"/>
    </w:pPr>
    <w:r>
      <w:t xml:space="preserve">Date: </w:t>
    </w:r>
    <w:fldSimple w:instr=" REF FilingDate ">
      <w:r w:rsidR="00C14B4B">
        <w:t>February 23,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610" w:rsidRDefault="003C1610" w:rsidP="00220732">
    <w:pPr>
      <w:pStyle w:val="Header"/>
      <w:tabs>
        <w:tab w:val="clear" w:pos="4320"/>
        <w:tab w:val="clear" w:pos="8640"/>
        <w:tab w:val="right" w:pos="9360"/>
      </w:tabs>
    </w:pPr>
    <w:r>
      <w:fldChar w:fldCharType="begin"/>
    </w:r>
    <w:r>
      <w:instrText xml:space="preserve"> REF DocketLabel</w:instrText>
    </w:r>
    <w:r>
      <w:fldChar w:fldCharType="separate"/>
    </w:r>
    <w:r w:rsidR="00C14B4B">
      <w:t>Docket No.</w:t>
    </w:r>
    <w:r>
      <w:fldChar w:fldCharType="end"/>
    </w:r>
    <w:r>
      <w:t xml:space="preserve"> </w:t>
    </w:r>
    <w:r>
      <w:fldChar w:fldCharType="begin"/>
    </w:r>
    <w:r>
      <w:instrText xml:space="preserve"> REF DocketList</w:instrText>
    </w:r>
    <w:r>
      <w:fldChar w:fldCharType="separate"/>
    </w:r>
    <w:r w:rsidR="00C14B4B">
      <w:t>170030-EI</w:t>
    </w:r>
    <w:r>
      <w:fldChar w:fldCharType="end"/>
    </w:r>
    <w:r>
      <w:tab/>
      <w:t>Attachment A</w:t>
    </w:r>
  </w:p>
  <w:p w:rsidR="003C1610" w:rsidRDefault="003C1610" w:rsidP="006A1585">
    <w:pPr>
      <w:pStyle w:val="Header"/>
      <w:tabs>
        <w:tab w:val="clear" w:pos="8640"/>
        <w:tab w:val="right" w:pos="9360"/>
      </w:tabs>
    </w:pPr>
    <w:r>
      <w:t xml:space="preserve">Date: </w:t>
    </w:r>
    <w:fldSimple w:instr=" REF FilingDate ">
      <w:r w:rsidR="00C14B4B">
        <w:t>February 23, 2017</w:t>
      </w:r>
    </w:fldSimple>
    <w:r w:rsidR="006A1585">
      <w:tab/>
    </w:r>
    <w:r w:rsidR="006A1585">
      <w:tab/>
      <w:t xml:space="preserve">                    Page </w:t>
    </w:r>
    <w:r w:rsidR="006A1585">
      <w:fldChar w:fldCharType="begin"/>
    </w:r>
    <w:r w:rsidR="006A1585">
      <w:instrText xml:space="preserve"> =</w:instrText>
    </w:r>
    <w:r w:rsidR="006A1585">
      <w:fldChar w:fldCharType="begin"/>
    </w:r>
    <w:r w:rsidR="006A1585">
      <w:instrText xml:space="preserve">  page</w:instrText>
    </w:r>
    <w:r w:rsidR="006A1585">
      <w:fldChar w:fldCharType="separate"/>
    </w:r>
    <w:r w:rsidR="00AB3FA7">
      <w:rPr>
        <w:noProof/>
      </w:rPr>
      <w:instrText>7</w:instrText>
    </w:r>
    <w:r w:rsidR="006A1585">
      <w:fldChar w:fldCharType="end"/>
    </w:r>
    <w:r w:rsidR="006A1585">
      <w:instrText xml:space="preserve">-6 </w:instrText>
    </w:r>
    <w:r w:rsidR="006A1585">
      <w:fldChar w:fldCharType="separate"/>
    </w:r>
    <w:r w:rsidR="00AB3FA7">
      <w:rPr>
        <w:noProof/>
      </w:rPr>
      <w:t>1</w:t>
    </w:r>
    <w:r w:rsidR="006A1585">
      <w:fldChar w:fldCharType="end"/>
    </w:r>
    <w:r w:rsidR="006A1585">
      <w:t xml:space="preserve"> of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D0380"/>
    <w:rsid w:val="000043D5"/>
    <w:rsid w:val="00010E37"/>
    <w:rsid w:val="000172DA"/>
    <w:rsid w:val="000247C5"/>
    <w:rsid w:val="000277C2"/>
    <w:rsid w:val="00030F69"/>
    <w:rsid w:val="00035B48"/>
    <w:rsid w:val="00036CE2"/>
    <w:rsid w:val="000437FE"/>
    <w:rsid w:val="000513BE"/>
    <w:rsid w:val="00065A06"/>
    <w:rsid w:val="000666F3"/>
    <w:rsid w:val="00070DCB"/>
    <w:rsid w:val="00073120"/>
    <w:rsid w:val="000764D0"/>
    <w:rsid w:val="000828D3"/>
    <w:rsid w:val="00082FFC"/>
    <w:rsid w:val="000868D9"/>
    <w:rsid w:val="00093198"/>
    <w:rsid w:val="000A2B57"/>
    <w:rsid w:val="000A418B"/>
    <w:rsid w:val="000B5BBE"/>
    <w:rsid w:val="000C4431"/>
    <w:rsid w:val="000D1C06"/>
    <w:rsid w:val="000D4319"/>
    <w:rsid w:val="000F374A"/>
    <w:rsid w:val="00117C8C"/>
    <w:rsid w:val="00124E2E"/>
    <w:rsid w:val="00125ED4"/>
    <w:rsid w:val="001305E9"/>
    <w:rsid w:val="001307AF"/>
    <w:rsid w:val="00135687"/>
    <w:rsid w:val="00154331"/>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63B6"/>
    <w:rsid w:val="0021762C"/>
    <w:rsid w:val="00220732"/>
    <w:rsid w:val="00221D32"/>
    <w:rsid w:val="00223966"/>
    <w:rsid w:val="00225C3F"/>
    <w:rsid w:val="002574BF"/>
    <w:rsid w:val="00263D44"/>
    <w:rsid w:val="002702AD"/>
    <w:rsid w:val="00292D82"/>
    <w:rsid w:val="002963CB"/>
    <w:rsid w:val="002D0380"/>
    <w:rsid w:val="002D226D"/>
    <w:rsid w:val="002D39DB"/>
    <w:rsid w:val="002F6030"/>
    <w:rsid w:val="003037E1"/>
    <w:rsid w:val="00307E51"/>
    <w:rsid w:val="003103EC"/>
    <w:rsid w:val="003136AE"/>
    <w:rsid w:val="003144EF"/>
    <w:rsid w:val="00322F74"/>
    <w:rsid w:val="00340073"/>
    <w:rsid w:val="00352F7A"/>
    <w:rsid w:val="00372805"/>
    <w:rsid w:val="00373180"/>
    <w:rsid w:val="00375AB9"/>
    <w:rsid w:val="003821A0"/>
    <w:rsid w:val="00385B04"/>
    <w:rsid w:val="003864CF"/>
    <w:rsid w:val="003A22A6"/>
    <w:rsid w:val="003A5494"/>
    <w:rsid w:val="003B05AF"/>
    <w:rsid w:val="003B2510"/>
    <w:rsid w:val="003B6CB3"/>
    <w:rsid w:val="003C1610"/>
    <w:rsid w:val="003C2CC4"/>
    <w:rsid w:val="003E0EFC"/>
    <w:rsid w:val="003E4A2B"/>
    <w:rsid w:val="003E76C2"/>
    <w:rsid w:val="003F1679"/>
    <w:rsid w:val="003F4A35"/>
    <w:rsid w:val="003F7FDD"/>
    <w:rsid w:val="00402481"/>
    <w:rsid w:val="004042B4"/>
    <w:rsid w:val="004111F8"/>
    <w:rsid w:val="00412DAE"/>
    <w:rsid w:val="00431598"/>
    <w:rsid w:val="004319AD"/>
    <w:rsid w:val="004426B8"/>
    <w:rsid w:val="00443872"/>
    <w:rsid w:val="00444432"/>
    <w:rsid w:val="00456E61"/>
    <w:rsid w:val="004651B9"/>
    <w:rsid w:val="00471860"/>
    <w:rsid w:val="004B60BD"/>
    <w:rsid w:val="004C3150"/>
    <w:rsid w:val="004C3641"/>
    <w:rsid w:val="004C4390"/>
    <w:rsid w:val="004C4AF7"/>
    <w:rsid w:val="004D2881"/>
    <w:rsid w:val="004D385F"/>
    <w:rsid w:val="004D5B39"/>
    <w:rsid w:val="004E330D"/>
    <w:rsid w:val="004E4DEF"/>
    <w:rsid w:val="004E5147"/>
    <w:rsid w:val="004F5C43"/>
    <w:rsid w:val="00504AD5"/>
    <w:rsid w:val="0050652D"/>
    <w:rsid w:val="00506C03"/>
    <w:rsid w:val="00511A11"/>
    <w:rsid w:val="00516496"/>
    <w:rsid w:val="0052025E"/>
    <w:rsid w:val="0052572A"/>
    <w:rsid w:val="00543CB3"/>
    <w:rsid w:val="00547B15"/>
    <w:rsid w:val="00560FF0"/>
    <w:rsid w:val="005614BD"/>
    <w:rsid w:val="00567CA9"/>
    <w:rsid w:val="0057154F"/>
    <w:rsid w:val="00573DBC"/>
    <w:rsid w:val="00581CA3"/>
    <w:rsid w:val="00587A44"/>
    <w:rsid w:val="00591E90"/>
    <w:rsid w:val="00597730"/>
    <w:rsid w:val="005977EC"/>
    <w:rsid w:val="00597DE7"/>
    <w:rsid w:val="005A2230"/>
    <w:rsid w:val="005A4AA2"/>
    <w:rsid w:val="005B34B6"/>
    <w:rsid w:val="005B6C8F"/>
    <w:rsid w:val="005B6EC3"/>
    <w:rsid w:val="005C3D1D"/>
    <w:rsid w:val="005D0F74"/>
    <w:rsid w:val="005D2E7D"/>
    <w:rsid w:val="005D4A8F"/>
    <w:rsid w:val="005D561B"/>
    <w:rsid w:val="005D5ECF"/>
    <w:rsid w:val="005F2630"/>
    <w:rsid w:val="005F468D"/>
    <w:rsid w:val="005F69A3"/>
    <w:rsid w:val="00604CC7"/>
    <w:rsid w:val="00615423"/>
    <w:rsid w:val="006165B2"/>
    <w:rsid w:val="00617276"/>
    <w:rsid w:val="0062527B"/>
    <w:rsid w:val="00625D97"/>
    <w:rsid w:val="00625E8F"/>
    <w:rsid w:val="00625F1C"/>
    <w:rsid w:val="006279E1"/>
    <w:rsid w:val="00630CEB"/>
    <w:rsid w:val="00632264"/>
    <w:rsid w:val="006470BC"/>
    <w:rsid w:val="006554D3"/>
    <w:rsid w:val="006650B1"/>
    <w:rsid w:val="00667036"/>
    <w:rsid w:val="00673BDB"/>
    <w:rsid w:val="006771B8"/>
    <w:rsid w:val="006843B6"/>
    <w:rsid w:val="0068481F"/>
    <w:rsid w:val="00696F5D"/>
    <w:rsid w:val="00697249"/>
    <w:rsid w:val="006A1585"/>
    <w:rsid w:val="006B3947"/>
    <w:rsid w:val="006B4293"/>
    <w:rsid w:val="006B49AB"/>
    <w:rsid w:val="006B4E33"/>
    <w:rsid w:val="006B624F"/>
    <w:rsid w:val="006C31E3"/>
    <w:rsid w:val="006C4642"/>
    <w:rsid w:val="006D18D3"/>
    <w:rsid w:val="006E08CB"/>
    <w:rsid w:val="006E598D"/>
    <w:rsid w:val="0070437D"/>
    <w:rsid w:val="00704CF1"/>
    <w:rsid w:val="00705B04"/>
    <w:rsid w:val="00734820"/>
    <w:rsid w:val="007349DC"/>
    <w:rsid w:val="0074365E"/>
    <w:rsid w:val="007445C0"/>
    <w:rsid w:val="007515FD"/>
    <w:rsid w:val="00760D80"/>
    <w:rsid w:val="00780C09"/>
    <w:rsid w:val="00780DDF"/>
    <w:rsid w:val="007834E9"/>
    <w:rsid w:val="00787DBC"/>
    <w:rsid w:val="0079019A"/>
    <w:rsid w:val="00792935"/>
    <w:rsid w:val="007A04A1"/>
    <w:rsid w:val="007A1840"/>
    <w:rsid w:val="007B58F3"/>
    <w:rsid w:val="007B62F1"/>
    <w:rsid w:val="007C013F"/>
    <w:rsid w:val="007C0528"/>
    <w:rsid w:val="007C3D38"/>
    <w:rsid w:val="007D0F35"/>
    <w:rsid w:val="007D4FEB"/>
    <w:rsid w:val="007D6146"/>
    <w:rsid w:val="007E0CE7"/>
    <w:rsid w:val="007F1193"/>
    <w:rsid w:val="007F417F"/>
    <w:rsid w:val="008042BD"/>
    <w:rsid w:val="00816624"/>
    <w:rsid w:val="008174E0"/>
    <w:rsid w:val="00822427"/>
    <w:rsid w:val="00822562"/>
    <w:rsid w:val="00823663"/>
    <w:rsid w:val="00832DDC"/>
    <w:rsid w:val="00835555"/>
    <w:rsid w:val="00836732"/>
    <w:rsid w:val="00850BAC"/>
    <w:rsid w:val="00854A3E"/>
    <w:rsid w:val="00855D08"/>
    <w:rsid w:val="0086638D"/>
    <w:rsid w:val="00873DA0"/>
    <w:rsid w:val="00874344"/>
    <w:rsid w:val="00882155"/>
    <w:rsid w:val="0088233B"/>
    <w:rsid w:val="0088599E"/>
    <w:rsid w:val="00886C37"/>
    <w:rsid w:val="00892D99"/>
    <w:rsid w:val="00895FB2"/>
    <w:rsid w:val="008A4B6A"/>
    <w:rsid w:val="008A6868"/>
    <w:rsid w:val="008B62AE"/>
    <w:rsid w:val="008C04B5"/>
    <w:rsid w:val="008C14FA"/>
    <w:rsid w:val="008D4057"/>
    <w:rsid w:val="008E0C91"/>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73A6"/>
    <w:rsid w:val="00962A3D"/>
    <w:rsid w:val="009656F2"/>
    <w:rsid w:val="00966A08"/>
    <w:rsid w:val="00971207"/>
    <w:rsid w:val="009729B8"/>
    <w:rsid w:val="00975CB4"/>
    <w:rsid w:val="00983BAB"/>
    <w:rsid w:val="009863B0"/>
    <w:rsid w:val="00987DE1"/>
    <w:rsid w:val="00990571"/>
    <w:rsid w:val="0099673A"/>
    <w:rsid w:val="009A3330"/>
    <w:rsid w:val="009A7C96"/>
    <w:rsid w:val="009C3DB9"/>
    <w:rsid w:val="009D46E5"/>
    <w:rsid w:val="009D568A"/>
    <w:rsid w:val="009E5F75"/>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4771"/>
    <w:rsid w:val="00A47927"/>
    <w:rsid w:val="00A47FFC"/>
    <w:rsid w:val="00A5442F"/>
    <w:rsid w:val="00A54FF9"/>
    <w:rsid w:val="00A56765"/>
    <w:rsid w:val="00A62354"/>
    <w:rsid w:val="00A675AC"/>
    <w:rsid w:val="00A7581F"/>
    <w:rsid w:val="00A75850"/>
    <w:rsid w:val="00A87797"/>
    <w:rsid w:val="00A92AC5"/>
    <w:rsid w:val="00A92FB1"/>
    <w:rsid w:val="00A95A0C"/>
    <w:rsid w:val="00AA2765"/>
    <w:rsid w:val="00AA2E04"/>
    <w:rsid w:val="00AA77B5"/>
    <w:rsid w:val="00AB3FA7"/>
    <w:rsid w:val="00AB6C5D"/>
    <w:rsid w:val="00AC51A7"/>
    <w:rsid w:val="00AD2874"/>
    <w:rsid w:val="00AD444B"/>
    <w:rsid w:val="00AD6C78"/>
    <w:rsid w:val="00AE2EAB"/>
    <w:rsid w:val="00AE561F"/>
    <w:rsid w:val="00AE766A"/>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5232"/>
    <w:rsid w:val="00B96250"/>
    <w:rsid w:val="00BA0D55"/>
    <w:rsid w:val="00BA37B3"/>
    <w:rsid w:val="00BA4CC6"/>
    <w:rsid w:val="00BB3493"/>
    <w:rsid w:val="00BB4B87"/>
    <w:rsid w:val="00BB7468"/>
    <w:rsid w:val="00BC188A"/>
    <w:rsid w:val="00BD0F48"/>
    <w:rsid w:val="00BF5010"/>
    <w:rsid w:val="00C03D5F"/>
    <w:rsid w:val="00C13791"/>
    <w:rsid w:val="00C14B4B"/>
    <w:rsid w:val="00C14B4F"/>
    <w:rsid w:val="00C31BB3"/>
    <w:rsid w:val="00C36977"/>
    <w:rsid w:val="00C467DA"/>
    <w:rsid w:val="00C46B49"/>
    <w:rsid w:val="00C477D9"/>
    <w:rsid w:val="00C60BA3"/>
    <w:rsid w:val="00C623F7"/>
    <w:rsid w:val="00C70F94"/>
    <w:rsid w:val="00C75BC5"/>
    <w:rsid w:val="00C81670"/>
    <w:rsid w:val="00C81773"/>
    <w:rsid w:val="00C82861"/>
    <w:rsid w:val="00C8575A"/>
    <w:rsid w:val="00C86896"/>
    <w:rsid w:val="00C907A8"/>
    <w:rsid w:val="00C93211"/>
    <w:rsid w:val="00C942EC"/>
    <w:rsid w:val="00C94901"/>
    <w:rsid w:val="00C954E0"/>
    <w:rsid w:val="00C96047"/>
    <w:rsid w:val="00C979D0"/>
    <w:rsid w:val="00CA0818"/>
    <w:rsid w:val="00CA18A4"/>
    <w:rsid w:val="00CA2C8F"/>
    <w:rsid w:val="00CA30DA"/>
    <w:rsid w:val="00CA3A24"/>
    <w:rsid w:val="00CB1777"/>
    <w:rsid w:val="00CB33E9"/>
    <w:rsid w:val="00CC10A9"/>
    <w:rsid w:val="00CE2BF8"/>
    <w:rsid w:val="00CE484E"/>
    <w:rsid w:val="00CE656F"/>
    <w:rsid w:val="00CF0DA8"/>
    <w:rsid w:val="00CF2E25"/>
    <w:rsid w:val="00CF33AD"/>
    <w:rsid w:val="00CF4453"/>
    <w:rsid w:val="00CF5D94"/>
    <w:rsid w:val="00CF7E0F"/>
    <w:rsid w:val="00D034D7"/>
    <w:rsid w:val="00D04BE4"/>
    <w:rsid w:val="00D12565"/>
    <w:rsid w:val="00D14127"/>
    <w:rsid w:val="00D37996"/>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4ECB"/>
    <w:rsid w:val="00DD5025"/>
    <w:rsid w:val="00DF1510"/>
    <w:rsid w:val="00E02F1F"/>
    <w:rsid w:val="00E06484"/>
    <w:rsid w:val="00E20A7D"/>
    <w:rsid w:val="00E275D8"/>
    <w:rsid w:val="00E30F6A"/>
    <w:rsid w:val="00E33916"/>
    <w:rsid w:val="00E375CA"/>
    <w:rsid w:val="00E567E8"/>
    <w:rsid w:val="00E64679"/>
    <w:rsid w:val="00E65EBC"/>
    <w:rsid w:val="00E73432"/>
    <w:rsid w:val="00E74C0B"/>
    <w:rsid w:val="00E77B0C"/>
    <w:rsid w:val="00E77FB8"/>
    <w:rsid w:val="00E80238"/>
    <w:rsid w:val="00E838B0"/>
    <w:rsid w:val="00E83B35"/>
    <w:rsid w:val="00E86A7C"/>
    <w:rsid w:val="00E878E1"/>
    <w:rsid w:val="00E87F2C"/>
    <w:rsid w:val="00E95278"/>
    <w:rsid w:val="00EA2273"/>
    <w:rsid w:val="00EB2DB3"/>
    <w:rsid w:val="00EC3FBB"/>
    <w:rsid w:val="00EC6B7A"/>
    <w:rsid w:val="00EC7244"/>
    <w:rsid w:val="00ED3A87"/>
    <w:rsid w:val="00ED5B67"/>
    <w:rsid w:val="00EF264C"/>
    <w:rsid w:val="00EF3FEE"/>
    <w:rsid w:val="00F04B59"/>
    <w:rsid w:val="00F11741"/>
    <w:rsid w:val="00F12B1C"/>
    <w:rsid w:val="00F13CF8"/>
    <w:rsid w:val="00F15855"/>
    <w:rsid w:val="00F16B91"/>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2E2"/>
    <w:rsid w:val="00FA17AC"/>
    <w:rsid w:val="00FA32DE"/>
    <w:rsid w:val="00FA3382"/>
    <w:rsid w:val="00FA59CD"/>
    <w:rsid w:val="00FB1740"/>
    <w:rsid w:val="00FB3315"/>
    <w:rsid w:val="00FC5469"/>
    <w:rsid w:val="00FC6D7D"/>
    <w:rsid w:val="00FD16B0"/>
    <w:rsid w:val="00FD4FED"/>
    <w:rsid w:val="00FE0577"/>
    <w:rsid w:val="00FE59EC"/>
    <w:rsid w:val="00FE5B67"/>
    <w:rsid w:val="00FF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962A3D"/>
  </w:style>
  <w:style w:type="character" w:styleId="FootnoteReference">
    <w:name w:val="footnote reference"/>
    <w:basedOn w:val="DefaultParagraphFont"/>
    <w:uiPriority w:val="99"/>
    <w:rsid w:val="00962A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962A3D"/>
  </w:style>
  <w:style w:type="character" w:styleId="FootnoteReference">
    <w:name w:val="footnote reference"/>
    <w:basedOn w:val="DefaultParagraphFont"/>
    <w:uiPriority w:val="99"/>
    <w:rsid w:val="00962A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8383">
      <w:bodyDiv w:val="1"/>
      <w:marLeft w:val="0"/>
      <w:marRight w:val="0"/>
      <w:marTop w:val="0"/>
      <w:marBottom w:val="0"/>
      <w:divBdr>
        <w:top w:val="none" w:sz="0" w:space="0" w:color="auto"/>
        <w:left w:val="none" w:sz="0" w:space="0" w:color="auto"/>
        <w:bottom w:val="none" w:sz="0" w:space="0" w:color="auto"/>
        <w:right w:val="none" w:sz="0" w:space="0" w:color="auto"/>
      </w:divBdr>
    </w:div>
    <w:div w:id="1000817069">
      <w:bodyDiv w:val="1"/>
      <w:marLeft w:val="0"/>
      <w:marRight w:val="0"/>
      <w:marTop w:val="0"/>
      <w:marBottom w:val="0"/>
      <w:divBdr>
        <w:top w:val="none" w:sz="0" w:space="0" w:color="auto"/>
        <w:left w:val="none" w:sz="0" w:space="0" w:color="auto"/>
        <w:bottom w:val="none" w:sz="0" w:space="0" w:color="auto"/>
        <w:right w:val="none" w:sz="0" w:space="0" w:color="auto"/>
      </w:divBdr>
    </w:div>
    <w:div w:id="14884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EFC66-7212-4C9A-8F45-63C12B0C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2089</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 Lee</dc:creator>
  <cp:lastModifiedBy>Terri Jones</cp:lastModifiedBy>
  <cp:revision>2</cp:revision>
  <cp:lastPrinted>2017-02-23T14:17:00Z</cp:lastPrinted>
  <dcterms:created xsi:type="dcterms:W3CDTF">2017-02-23T15:00:00Z</dcterms:created>
  <dcterms:modified xsi:type="dcterms:W3CDTF">2017-02-23T15:00:00Z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170030-EI</vt:lpwstr>
  </property>
  <property fmtid="{D5CDD505-2E9C-101B-9397-08002B2CF9AE}" pid="3" name="MasterDocument">
    <vt:bool>false</vt:bool>
  </property>
</Properties>
</file>