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5276" w:rsidRPr="00BB6E5E" w:rsidRDefault="00B97550" w:rsidP="00B97550">
      <w:pPr>
        <w:pStyle w:val="OrderHeading"/>
      </w:pPr>
      <w:r w:rsidRPr="00BB6E5E">
        <w:t>BEFORE THE FLORIDA PUBLIC SERVICE COMMISSION</w:t>
      </w:r>
    </w:p>
    <w:p w:rsidR="00B97550" w:rsidRPr="00BB6E5E" w:rsidRDefault="00B97550" w:rsidP="00B97550">
      <w:pPr>
        <w:pStyle w:val="OrderHeading"/>
      </w:pPr>
    </w:p>
    <w:p w:rsidR="00B97550" w:rsidRPr="00BB6E5E" w:rsidRDefault="00B97550" w:rsidP="00B97550">
      <w:pPr>
        <w:pStyle w:val="OrderBody"/>
      </w:pPr>
    </w:p>
    <w:tbl>
      <w:tblPr>
        <w:tblW w:w="0" w:type="auto"/>
        <w:tblBorders>
          <w:insideV w:val="double" w:sz="4" w:space="0" w:color="auto"/>
        </w:tblBorders>
        <w:tblLook w:val="01E0" w:firstRow="1" w:lastRow="1" w:firstColumn="1" w:lastColumn="1" w:noHBand="0" w:noVBand="0"/>
      </w:tblPr>
      <w:tblGrid>
        <w:gridCol w:w="4788"/>
        <w:gridCol w:w="4788"/>
      </w:tblGrid>
      <w:tr w:rsidR="00BB6E5E" w:rsidRPr="00BB6E5E" w:rsidTr="00C63FCF">
        <w:trPr>
          <w:trHeight w:val="828"/>
        </w:trPr>
        <w:tc>
          <w:tcPr>
            <w:tcW w:w="4788" w:type="dxa"/>
            <w:tcBorders>
              <w:bottom w:val="nil"/>
              <w:right w:val="double" w:sz="6" w:space="0" w:color="auto"/>
            </w:tcBorders>
            <w:shd w:val="clear" w:color="auto" w:fill="auto"/>
          </w:tcPr>
          <w:p w:rsidR="00B97550" w:rsidRPr="00BB6E5E" w:rsidRDefault="00B97550" w:rsidP="00C63FCF">
            <w:pPr>
              <w:pStyle w:val="OrderBody"/>
              <w:tabs>
                <w:tab w:val="center" w:pos="4320"/>
                <w:tab w:val="right" w:pos="8640"/>
              </w:tabs>
              <w:jc w:val="left"/>
            </w:pPr>
            <w:r w:rsidRPr="00BB6E5E">
              <w:t xml:space="preserve">In re: </w:t>
            </w:r>
            <w:bookmarkStart w:id="0" w:name="SMInRe"/>
            <w:bookmarkEnd w:id="0"/>
            <w:r w:rsidRPr="00BB6E5E">
              <w:t>Petition for rate increase by Gulf Power Company.</w:t>
            </w:r>
          </w:p>
          <w:p w:rsidR="00B97550" w:rsidRPr="00BB6E5E" w:rsidRDefault="00B97550" w:rsidP="00C63FCF">
            <w:pPr>
              <w:pStyle w:val="OrderBody"/>
              <w:tabs>
                <w:tab w:val="center" w:pos="4320"/>
                <w:tab w:val="right" w:pos="8640"/>
              </w:tabs>
              <w:jc w:val="left"/>
            </w:pPr>
          </w:p>
        </w:tc>
        <w:tc>
          <w:tcPr>
            <w:tcW w:w="4788" w:type="dxa"/>
            <w:tcBorders>
              <w:left w:val="double" w:sz="6" w:space="0" w:color="auto"/>
              <w:bottom w:val="nil"/>
            </w:tcBorders>
            <w:shd w:val="clear" w:color="auto" w:fill="auto"/>
          </w:tcPr>
          <w:p w:rsidR="00B97550" w:rsidRPr="00BB6E5E" w:rsidRDefault="00B97550" w:rsidP="00C63FCF">
            <w:pPr>
              <w:pStyle w:val="OrderBody"/>
              <w:tabs>
                <w:tab w:val="center" w:pos="4320"/>
                <w:tab w:val="right" w:pos="8640"/>
              </w:tabs>
              <w:jc w:val="left"/>
            </w:pPr>
            <w:r w:rsidRPr="00BB6E5E">
              <w:t xml:space="preserve">DOCKET NO. </w:t>
            </w:r>
            <w:bookmarkStart w:id="1" w:name="SMDocketNo"/>
            <w:bookmarkEnd w:id="1"/>
            <w:r w:rsidRPr="00BB6E5E">
              <w:t>160186-EI</w:t>
            </w:r>
          </w:p>
        </w:tc>
      </w:tr>
      <w:tr w:rsidR="00BB6E5E" w:rsidRPr="00BB6E5E" w:rsidTr="00C63FCF">
        <w:trPr>
          <w:trHeight w:val="828"/>
        </w:trPr>
        <w:tc>
          <w:tcPr>
            <w:tcW w:w="4788" w:type="dxa"/>
            <w:tcBorders>
              <w:top w:val="nil"/>
              <w:bottom w:val="single" w:sz="8" w:space="0" w:color="auto"/>
              <w:right w:val="double" w:sz="6" w:space="0" w:color="auto"/>
            </w:tcBorders>
            <w:shd w:val="clear" w:color="auto" w:fill="auto"/>
          </w:tcPr>
          <w:p w:rsidR="00B97550" w:rsidRPr="00BB6E5E" w:rsidRDefault="00B97550" w:rsidP="00C63FCF">
            <w:pPr>
              <w:pStyle w:val="OrderBody"/>
              <w:tabs>
                <w:tab w:val="center" w:pos="4320"/>
                <w:tab w:val="right" w:pos="8640"/>
              </w:tabs>
              <w:jc w:val="left"/>
            </w:pPr>
            <w:r w:rsidRPr="00BB6E5E">
              <w:t>In re: Petition for approval of 2016 depreciation and dismantlement studies, approval of proposed depreciation rates and annual dismantlement accruals and Plant Smith Units 1 and 2 regulatory asset amortization, by Gulf Power Company.</w:t>
            </w:r>
          </w:p>
        </w:tc>
        <w:tc>
          <w:tcPr>
            <w:tcW w:w="4788" w:type="dxa"/>
            <w:tcBorders>
              <w:left w:val="double" w:sz="6" w:space="0" w:color="auto"/>
            </w:tcBorders>
            <w:shd w:val="clear" w:color="auto" w:fill="auto"/>
          </w:tcPr>
          <w:p w:rsidR="00B97550" w:rsidRPr="00BB6E5E" w:rsidRDefault="00B97550" w:rsidP="00B97550">
            <w:pPr>
              <w:pStyle w:val="OrderBody"/>
            </w:pPr>
            <w:r w:rsidRPr="00BB6E5E">
              <w:t xml:space="preserve">DOCKET NO. </w:t>
            </w:r>
            <w:bookmarkStart w:id="2" w:name="SMDocketNo2"/>
            <w:bookmarkEnd w:id="2"/>
            <w:r w:rsidRPr="00BB6E5E">
              <w:t>160170-EI</w:t>
            </w:r>
          </w:p>
          <w:p w:rsidR="00B97550" w:rsidRPr="00BB6E5E" w:rsidRDefault="00B97550" w:rsidP="00C63FCF">
            <w:pPr>
              <w:pStyle w:val="OrderBody"/>
              <w:tabs>
                <w:tab w:val="center" w:pos="4320"/>
                <w:tab w:val="right" w:pos="8640"/>
              </w:tabs>
              <w:jc w:val="left"/>
            </w:pPr>
            <w:r w:rsidRPr="00BB6E5E">
              <w:t xml:space="preserve">ORDER NO. </w:t>
            </w:r>
            <w:bookmarkStart w:id="3" w:name="OrderNo0094"/>
            <w:r w:rsidR="00623CCC">
              <w:t>PSC-17-0094-CFO-EI</w:t>
            </w:r>
            <w:bookmarkEnd w:id="3"/>
          </w:p>
          <w:p w:rsidR="00B97550" w:rsidRPr="00BB6E5E" w:rsidRDefault="00B97550" w:rsidP="00C63FCF">
            <w:pPr>
              <w:pStyle w:val="OrderBody"/>
              <w:tabs>
                <w:tab w:val="center" w:pos="4320"/>
                <w:tab w:val="right" w:pos="8640"/>
              </w:tabs>
              <w:jc w:val="left"/>
            </w:pPr>
            <w:r w:rsidRPr="00BB6E5E">
              <w:t xml:space="preserve">ISSUED: </w:t>
            </w:r>
            <w:r w:rsidR="00623CCC">
              <w:t>March 14, 2017</w:t>
            </w:r>
          </w:p>
          <w:p w:rsidR="00B97550" w:rsidRPr="00BB6E5E" w:rsidRDefault="00B97550" w:rsidP="00C63FCF">
            <w:pPr>
              <w:pStyle w:val="OrderBody"/>
              <w:tabs>
                <w:tab w:val="center" w:pos="4320"/>
                <w:tab w:val="right" w:pos="8640"/>
              </w:tabs>
              <w:jc w:val="left"/>
            </w:pPr>
          </w:p>
        </w:tc>
      </w:tr>
    </w:tbl>
    <w:p w:rsidR="00B97550" w:rsidRDefault="00B97550" w:rsidP="00B97550"/>
    <w:p w:rsidR="005F7CCE" w:rsidRPr="00BB6E5E" w:rsidRDefault="005F7CCE" w:rsidP="00B97550"/>
    <w:p w:rsidR="00000C55" w:rsidRDefault="00000C55" w:rsidP="00B97550">
      <w:pPr>
        <w:pStyle w:val="CenterUnderline"/>
      </w:pPr>
      <w:bookmarkStart w:id="4" w:name="OrderTitle"/>
      <w:r>
        <w:t>TEMPORARY PROTECTIVE ORDER</w:t>
      </w:r>
    </w:p>
    <w:p w:rsidR="00B501A0" w:rsidRPr="00BB6E5E" w:rsidRDefault="00B97550" w:rsidP="00B501A0">
      <w:pPr>
        <w:pStyle w:val="CenterUnderline"/>
      </w:pPr>
      <w:r w:rsidRPr="00BB6E5E">
        <w:t xml:space="preserve">GULF POWER COMPANY’S </w:t>
      </w:r>
      <w:r w:rsidR="00000C55">
        <w:t xml:space="preserve">RESPONSES TO </w:t>
      </w:r>
      <w:r w:rsidR="00B501A0">
        <w:br/>
      </w:r>
      <w:r w:rsidR="00000C55">
        <w:t>DIS</w:t>
      </w:r>
      <w:r w:rsidR="003C183B">
        <w:t>C</w:t>
      </w:r>
      <w:r w:rsidR="00000C55">
        <w:t>OVERY</w:t>
      </w:r>
      <w:r w:rsidR="00B501A0">
        <w:t xml:space="preserve"> REQUESTS OF SIERRA CLUB</w:t>
      </w:r>
    </w:p>
    <w:bookmarkEnd w:id="4"/>
    <w:p w:rsidR="00B97550" w:rsidRDefault="00B97550" w:rsidP="00B97550">
      <w:pPr>
        <w:pStyle w:val="CenterUnderline"/>
      </w:pPr>
    </w:p>
    <w:p w:rsidR="005F7CCE" w:rsidRPr="00BB6E5E" w:rsidRDefault="005F7CCE" w:rsidP="00B97550">
      <w:pPr>
        <w:pStyle w:val="CenterUnderline"/>
      </w:pPr>
    </w:p>
    <w:p w:rsidR="00B97550" w:rsidRPr="00BB6E5E" w:rsidRDefault="00B97550" w:rsidP="00B97550">
      <w:pPr>
        <w:jc w:val="both"/>
      </w:pPr>
      <w:r w:rsidRPr="00BB6E5E">
        <w:tab/>
        <w:t>Pursuant to Section 366.093(3), Florida Statutes (F.S.), and Rule 25-22.006, Florida Administrative Code (F.A.C.), Gulf Power Company (Gulf) filed the following Motions for Tem</w:t>
      </w:r>
      <w:r w:rsidR="00000C55">
        <w:t>porary Protective Orders for confidential information provided in</w:t>
      </w:r>
      <w:r w:rsidRPr="00BB6E5E">
        <w:t xml:space="preserve"> response to</w:t>
      </w:r>
      <w:r w:rsidR="00000C55">
        <w:t xml:space="preserve"> discovery requests propounded by</w:t>
      </w:r>
      <w:r w:rsidRPr="00BB6E5E">
        <w:t xml:space="preserve"> </w:t>
      </w:r>
      <w:r w:rsidR="008005EF">
        <w:t>Sierra Club</w:t>
      </w:r>
      <w:r w:rsidRPr="00BB6E5E">
        <w:t xml:space="preserve"> in the instant docket.</w:t>
      </w:r>
      <w:r w:rsidR="00000C55">
        <w:t xml:space="preserve"> </w:t>
      </w:r>
      <w:r w:rsidR="00000C55">
        <w:rPr>
          <w:color w:val="101010"/>
        </w:rPr>
        <w:t>Gulf seeks protection of the confidential information</w:t>
      </w:r>
      <w:r w:rsidR="00000C55" w:rsidRPr="00BB6E5E">
        <w:t xml:space="preserve"> detailed in the </w:t>
      </w:r>
      <w:r w:rsidR="00F86A52">
        <w:t>table</w:t>
      </w:r>
      <w:r w:rsidR="00000C55" w:rsidRPr="00BB6E5E">
        <w:t xml:space="preserve"> below</w:t>
      </w:r>
      <w:r w:rsidR="00000C55">
        <w:rPr>
          <w:color w:val="101010"/>
        </w:rPr>
        <w:t>, which it shared with the Office of Public Counsel (OPC).</w:t>
      </w:r>
    </w:p>
    <w:p w:rsidR="00B97550" w:rsidRPr="00BB6E5E" w:rsidRDefault="00B97550" w:rsidP="00B97550"/>
    <w:tbl>
      <w:tblPr>
        <w:tblStyle w:val="TableGrid"/>
        <w:tblW w:w="0" w:type="auto"/>
        <w:tblLook w:val="04A0" w:firstRow="1" w:lastRow="0" w:firstColumn="1" w:lastColumn="0" w:noHBand="0" w:noVBand="1"/>
      </w:tblPr>
      <w:tblGrid>
        <w:gridCol w:w="1458"/>
        <w:gridCol w:w="1347"/>
        <w:gridCol w:w="6771"/>
      </w:tblGrid>
      <w:tr w:rsidR="00BB6E5E" w:rsidRPr="00BB6E5E" w:rsidTr="00B97550">
        <w:trPr>
          <w:tblHeader/>
        </w:trPr>
        <w:tc>
          <w:tcPr>
            <w:tcW w:w="1458" w:type="dxa"/>
          </w:tcPr>
          <w:p w:rsidR="00B97550" w:rsidRPr="00BB6E5E" w:rsidRDefault="00B97550" w:rsidP="00B97550">
            <w:pPr>
              <w:jc w:val="center"/>
              <w:rPr>
                <w:b/>
              </w:rPr>
            </w:pPr>
            <w:r w:rsidRPr="00BB6E5E">
              <w:rPr>
                <w:b/>
              </w:rPr>
              <w:t>Document No.</w:t>
            </w:r>
          </w:p>
        </w:tc>
        <w:tc>
          <w:tcPr>
            <w:tcW w:w="1347" w:type="dxa"/>
          </w:tcPr>
          <w:p w:rsidR="00B97550" w:rsidRPr="00BB6E5E" w:rsidRDefault="00B97550" w:rsidP="00B97550">
            <w:pPr>
              <w:jc w:val="center"/>
              <w:rPr>
                <w:b/>
              </w:rPr>
            </w:pPr>
            <w:r w:rsidRPr="00BB6E5E">
              <w:rPr>
                <w:b/>
              </w:rPr>
              <w:t>Date Filed</w:t>
            </w:r>
          </w:p>
        </w:tc>
        <w:tc>
          <w:tcPr>
            <w:tcW w:w="6771" w:type="dxa"/>
          </w:tcPr>
          <w:p w:rsidR="00B97550" w:rsidRPr="00BB6E5E" w:rsidRDefault="00B97550" w:rsidP="00B97550">
            <w:pPr>
              <w:jc w:val="center"/>
              <w:rPr>
                <w:b/>
              </w:rPr>
            </w:pPr>
            <w:r w:rsidRPr="00BB6E5E">
              <w:rPr>
                <w:b/>
              </w:rPr>
              <w:t>Description</w:t>
            </w:r>
          </w:p>
        </w:tc>
      </w:tr>
      <w:tr w:rsidR="008005EF" w:rsidRPr="00BB6E5E" w:rsidTr="00B97550">
        <w:tc>
          <w:tcPr>
            <w:tcW w:w="1458" w:type="dxa"/>
          </w:tcPr>
          <w:p w:rsidR="008005EF" w:rsidRDefault="008005EF" w:rsidP="007B47F3">
            <w:r>
              <w:t>02287-17</w:t>
            </w:r>
          </w:p>
        </w:tc>
        <w:tc>
          <w:tcPr>
            <w:tcW w:w="1347" w:type="dxa"/>
          </w:tcPr>
          <w:p w:rsidR="008005EF" w:rsidRDefault="008005EF" w:rsidP="007B47F3">
            <w:pPr>
              <w:autoSpaceDE w:val="0"/>
              <w:autoSpaceDN w:val="0"/>
              <w:adjustRightInd w:val="0"/>
              <w:rPr>
                <w:color w:val="27282B"/>
                <w:sz w:val="23"/>
                <w:szCs w:val="23"/>
              </w:rPr>
            </w:pPr>
            <w:r>
              <w:rPr>
                <w:color w:val="27282B"/>
                <w:sz w:val="23"/>
                <w:szCs w:val="23"/>
              </w:rPr>
              <w:t>02/27/2017</w:t>
            </w:r>
          </w:p>
        </w:tc>
        <w:tc>
          <w:tcPr>
            <w:tcW w:w="6771" w:type="dxa"/>
          </w:tcPr>
          <w:p w:rsidR="005F7CCE" w:rsidRDefault="005F7CCE" w:rsidP="008A7FE6">
            <w:pPr>
              <w:autoSpaceDE w:val="0"/>
              <w:autoSpaceDN w:val="0"/>
              <w:adjustRightInd w:val="0"/>
              <w:jc w:val="both"/>
              <w:rPr>
                <w:color w:val="202125"/>
                <w:sz w:val="23"/>
                <w:szCs w:val="23"/>
              </w:rPr>
            </w:pPr>
            <w:r>
              <w:rPr>
                <w:color w:val="202125"/>
                <w:sz w:val="23"/>
                <w:szCs w:val="23"/>
              </w:rPr>
              <w:t>Motion for Temporary Protective Order of documents and information produced in response to Sierra Club’s First Set of Requests for Production of Documents (Nos. 1-2)</w:t>
            </w:r>
          </w:p>
          <w:p w:rsidR="008005EF" w:rsidRDefault="008005EF" w:rsidP="008A7FE6">
            <w:pPr>
              <w:pStyle w:val="ListParagraph"/>
              <w:numPr>
                <w:ilvl w:val="0"/>
                <w:numId w:val="3"/>
              </w:numPr>
              <w:autoSpaceDE w:val="0"/>
              <w:autoSpaceDN w:val="0"/>
              <w:adjustRightInd w:val="0"/>
              <w:ind w:left="255" w:hanging="180"/>
              <w:jc w:val="both"/>
            </w:pPr>
            <w:r w:rsidRPr="005F7CCE">
              <w:rPr>
                <w:color w:val="2E2F33"/>
                <w:sz w:val="23"/>
                <w:szCs w:val="23"/>
              </w:rPr>
              <w:t>Gulf’s Response to Sierra Club's Request for Production of Documents Nos. 1 contains confidential financial data as well as confidential customer information.</w:t>
            </w:r>
          </w:p>
        </w:tc>
      </w:tr>
      <w:tr w:rsidR="008005EF" w:rsidRPr="00BB6E5E" w:rsidTr="00B97550">
        <w:tc>
          <w:tcPr>
            <w:tcW w:w="1458" w:type="dxa"/>
          </w:tcPr>
          <w:p w:rsidR="008005EF" w:rsidRDefault="008005EF" w:rsidP="007B47F3">
            <w:r>
              <w:t>02346-17</w:t>
            </w:r>
          </w:p>
        </w:tc>
        <w:tc>
          <w:tcPr>
            <w:tcW w:w="1347" w:type="dxa"/>
          </w:tcPr>
          <w:p w:rsidR="008005EF" w:rsidRDefault="008005EF" w:rsidP="007B47F3">
            <w:pPr>
              <w:autoSpaceDE w:val="0"/>
              <w:autoSpaceDN w:val="0"/>
              <w:adjustRightInd w:val="0"/>
              <w:rPr>
                <w:color w:val="27282B"/>
                <w:sz w:val="23"/>
                <w:szCs w:val="23"/>
              </w:rPr>
            </w:pPr>
            <w:r>
              <w:rPr>
                <w:color w:val="27282B"/>
                <w:sz w:val="23"/>
                <w:szCs w:val="23"/>
              </w:rPr>
              <w:t>02/27/2017</w:t>
            </w:r>
          </w:p>
        </w:tc>
        <w:tc>
          <w:tcPr>
            <w:tcW w:w="6771" w:type="dxa"/>
          </w:tcPr>
          <w:p w:rsidR="005F7CCE" w:rsidRPr="005F7CCE" w:rsidRDefault="005F7CCE" w:rsidP="008A7FE6">
            <w:pPr>
              <w:autoSpaceDE w:val="0"/>
              <w:autoSpaceDN w:val="0"/>
              <w:adjustRightInd w:val="0"/>
              <w:jc w:val="both"/>
              <w:rPr>
                <w:color w:val="202125"/>
                <w:sz w:val="23"/>
                <w:szCs w:val="23"/>
              </w:rPr>
            </w:pPr>
            <w:r w:rsidRPr="005F7CCE">
              <w:rPr>
                <w:color w:val="202125"/>
                <w:sz w:val="23"/>
                <w:szCs w:val="23"/>
              </w:rPr>
              <w:t>Motion for Temporary Protective Order of documents and information produced in response to Sierra Club’s Second Set of  Interrogatories (Nos. 15-28)</w:t>
            </w:r>
          </w:p>
          <w:p w:rsidR="008005EF" w:rsidRPr="005F7CCE" w:rsidRDefault="008005EF" w:rsidP="008A7FE6">
            <w:pPr>
              <w:pStyle w:val="ListParagraph"/>
              <w:numPr>
                <w:ilvl w:val="0"/>
                <w:numId w:val="3"/>
              </w:numPr>
              <w:autoSpaceDE w:val="0"/>
              <w:autoSpaceDN w:val="0"/>
              <w:adjustRightInd w:val="0"/>
              <w:ind w:left="255" w:hanging="180"/>
              <w:jc w:val="both"/>
              <w:rPr>
                <w:color w:val="2E2F33"/>
                <w:sz w:val="23"/>
                <w:szCs w:val="23"/>
              </w:rPr>
            </w:pPr>
            <w:r w:rsidRPr="005F7CCE">
              <w:rPr>
                <w:color w:val="202125"/>
                <w:sz w:val="23"/>
                <w:szCs w:val="23"/>
              </w:rPr>
              <w:t>Gulf’s Response to Sierra Club's Interrogatory No. 16 includes projected environmental control technology costs for Plant Scherer Unit 3.</w:t>
            </w:r>
          </w:p>
        </w:tc>
      </w:tr>
    </w:tbl>
    <w:p w:rsidR="00B97550" w:rsidRPr="00BB6E5E" w:rsidRDefault="00B97550" w:rsidP="00B97550"/>
    <w:p w:rsidR="005F7CCE" w:rsidRDefault="005F7CCE">
      <w:pPr>
        <w:rPr>
          <w:u w:val="single"/>
          <w:lang w:val="en-CA"/>
        </w:rPr>
      </w:pPr>
      <w:r>
        <w:rPr>
          <w:u w:val="single"/>
          <w:lang w:val="en-CA"/>
        </w:rPr>
        <w:br w:type="page"/>
      </w:r>
    </w:p>
    <w:p w:rsidR="00B97550" w:rsidRPr="00BB6E5E" w:rsidRDefault="00B97550" w:rsidP="00B97550">
      <w:pPr>
        <w:jc w:val="both"/>
        <w:rPr>
          <w:u w:val="single"/>
          <w:lang w:val="en-CA"/>
        </w:rPr>
      </w:pPr>
      <w:r w:rsidRPr="00BB6E5E">
        <w:rPr>
          <w:u w:val="single"/>
          <w:lang w:val="en-CA"/>
        </w:rPr>
        <w:lastRenderedPageBreak/>
        <w:t xml:space="preserve">Motions for Temporary Protective Orders </w:t>
      </w:r>
    </w:p>
    <w:p w:rsidR="00B97550" w:rsidRPr="00BB6E5E" w:rsidRDefault="00B97550" w:rsidP="00B97550">
      <w:pPr>
        <w:jc w:val="both"/>
        <w:rPr>
          <w:lang w:val="en-CA"/>
        </w:rPr>
      </w:pPr>
    </w:p>
    <w:p w:rsidR="00B501A0" w:rsidRDefault="00B501A0" w:rsidP="00B97550">
      <w:pPr>
        <w:ind w:firstLine="720"/>
        <w:jc w:val="both"/>
        <w:rPr>
          <w:lang w:val="en-CA"/>
        </w:rPr>
      </w:pPr>
      <w:r>
        <w:rPr>
          <w:lang w:val="en-CA"/>
        </w:rPr>
        <w:t xml:space="preserve">Gulf states that the information provided </w:t>
      </w:r>
      <w:r w:rsidR="005F7CCE">
        <w:rPr>
          <w:lang w:val="en-CA"/>
        </w:rPr>
        <w:t xml:space="preserve">in the responses listed in the table above </w:t>
      </w:r>
      <w:r>
        <w:rPr>
          <w:lang w:val="en-CA"/>
        </w:rPr>
        <w:t xml:space="preserve">is confidential and </w:t>
      </w:r>
      <w:r w:rsidR="00B97550" w:rsidRPr="00BB6E5E">
        <w:rPr>
          <w:lang w:val="en-CA"/>
        </w:rPr>
        <w:t xml:space="preserve">seeks protection of these documents as provided in Section 366.093(3), F.S., and Rule 25-22.006(6)(c), F.A.C., </w:t>
      </w:r>
      <w:r w:rsidR="00000C55" w:rsidRPr="00BB6E5E">
        <w:rPr>
          <w:lang w:val="en-CA"/>
        </w:rPr>
        <w:t xml:space="preserve">while the material is in the possession of </w:t>
      </w:r>
      <w:r w:rsidR="00000C55">
        <w:rPr>
          <w:lang w:val="en-CA"/>
        </w:rPr>
        <w:t>the OPC</w:t>
      </w:r>
      <w:r w:rsidR="00000C55" w:rsidRPr="00BB6E5E">
        <w:rPr>
          <w:lang w:val="en-CA"/>
        </w:rPr>
        <w:t xml:space="preserve">.  </w:t>
      </w:r>
      <w:r w:rsidR="00000C55">
        <w:rPr>
          <w:lang w:val="en-CA"/>
        </w:rPr>
        <w:t xml:space="preserve">Gulf also requests that the protection extend not only to OPC, but also to any consultants or advisors with whom OPC has contracted for purposes of this proceeding.  </w:t>
      </w:r>
    </w:p>
    <w:p w:rsidR="00B501A0" w:rsidRDefault="00B501A0" w:rsidP="00B97550">
      <w:pPr>
        <w:ind w:firstLine="720"/>
        <w:jc w:val="both"/>
        <w:rPr>
          <w:lang w:val="en-CA"/>
        </w:rPr>
      </w:pPr>
    </w:p>
    <w:p w:rsidR="00B97550" w:rsidRPr="00BB6E5E" w:rsidRDefault="00B97550" w:rsidP="00B97550">
      <w:pPr>
        <w:ind w:firstLine="720"/>
        <w:jc w:val="both"/>
        <w:rPr>
          <w:lang w:val="en-CA"/>
        </w:rPr>
      </w:pPr>
      <w:r w:rsidRPr="00BB6E5E">
        <w:rPr>
          <w:lang w:val="en-CA"/>
        </w:rPr>
        <w:t>Section 366.093(2), F.S., directs that all records produced pursuant to a discovery request for which proprietary confidential status is requested shall be treated by any party subject to the public records law as confidential and exempt from the public records law, Section 119.07(1), F.S.  Rule 25-22.006(6), F.A.C., codifies the Commission’s policy regarding the protection of confidential information from public disclosure during the discovery process in a manner that is not overly burdensome to both parties.  Rule 25-22.006(6)(a), F.A.C., in pertinent part, states:</w:t>
      </w:r>
    </w:p>
    <w:p w:rsidR="00B97550" w:rsidRPr="00BB6E5E" w:rsidRDefault="00B97550" w:rsidP="00B97550">
      <w:pPr>
        <w:ind w:firstLine="720"/>
        <w:jc w:val="both"/>
        <w:rPr>
          <w:lang w:val="en-CA"/>
        </w:rPr>
      </w:pPr>
    </w:p>
    <w:p w:rsidR="00B97550" w:rsidRPr="00BB6E5E" w:rsidRDefault="00B97550" w:rsidP="00B97550">
      <w:pPr>
        <w:ind w:left="720" w:right="720"/>
        <w:jc w:val="both"/>
        <w:rPr>
          <w:lang w:val="en-CA"/>
        </w:rPr>
      </w:pPr>
      <w:r w:rsidRPr="00BB6E5E">
        <w:rPr>
          <w:lang w:val="en-CA"/>
        </w:rPr>
        <w:t xml:space="preserve">In any formal proceeding before the Commission, any utility or other person may request a protective order protecting proprietary confidential business information from discovery.  Upon a showing by a utility or other person and a finding by the Commission that the material is entitled to protection, the Commission shall enter a protective order limiting discovery in the manner provided for in Rule 1.280, Florida Rules of Civil Procedure.  </w:t>
      </w:r>
    </w:p>
    <w:p w:rsidR="00B97550" w:rsidRPr="00BB6E5E" w:rsidRDefault="00B97550" w:rsidP="00B97550">
      <w:pPr>
        <w:ind w:firstLine="720"/>
        <w:jc w:val="both"/>
        <w:rPr>
          <w:lang w:val="en-CA"/>
        </w:rPr>
      </w:pPr>
    </w:p>
    <w:p w:rsidR="00B97550" w:rsidRPr="00BB6E5E" w:rsidRDefault="00B97550" w:rsidP="00B97550">
      <w:pPr>
        <w:ind w:firstLine="720"/>
        <w:jc w:val="both"/>
        <w:rPr>
          <w:lang w:val="en-CA"/>
        </w:rPr>
      </w:pPr>
      <w:r w:rsidRPr="00BB6E5E">
        <w:rPr>
          <w:lang w:val="en-CA"/>
        </w:rPr>
        <w:t xml:space="preserve">In addition, Rule 25-22.006(6)(c), F.A.C., states that if a party allows </w:t>
      </w:r>
      <w:r w:rsidR="00000C55">
        <w:rPr>
          <w:lang w:val="en-CA"/>
        </w:rPr>
        <w:t>OPC</w:t>
      </w:r>
      <w:r w:rsidRPr="00BB6E5E">
        <w:rPr>
          <w:lang w:val="en-CA"/>
        </w:rPr>
        <w:t xml:space="preserve"> to inspect or take possession of utility information, then that “utility may request a temporary protective order exempting the information from section 119.07(1), F.S.”</w:t>
      </w:r>
    </w:p>
    <w:p w:rsidR="00B97550" w:rsidRPr="00BB6E5E" w:rsidRDefault="00B97550" w:rsidP="00B97550">
      <w:pPr>
        <w:ind w:firstLine="720"/>
        <w:jc w:val="both"/>
        <w:rPr>
          <w:lang w:val="en-CA"/>
        </w:rPr>
      </w:pPr>
    </w:p>
    <w:p w:rsidR="00B97550" w:rsidRPr="00BB6E5E" w:rsidRDefault="00B97550" w:rsidP="00B97550">
      <w:pPr>
        <w:ind w:firstLine="720"/>
        <w:jc w:val="both"/>
        <w:rPr>
          <w:lang w:val="en-CA"/>
        </w:rPr>
      </w:pPr>
      <w:r w:rsidRPr="00BB6E5E">
        <w:rPr>
          <w:lang w:val="en-CA"/>
        </w:rPr>
        <w:t>Upon consideration</w:t>
      </w:r>
      <w:r w:rsidR="001E3358" w:rsidRPr="00BB6E5E">
        <w:rPr>
          <w:lang w:val="en-CA"/>
        </w:rPr>
        <w:t>,</w:t>
      </w:r>
      <w:r w:rsidRPr="00BB6E5E">
        <w:rPr>
          <w:lang w:val="en-CA"/>
        </w:rPr>
        <w:t xml:space="preserve"> </w:t>
      </w:r>
      <w:r w:rsidR="009D1AA7" w:rsidRPr="00BB6E5E">
        <w:rPr>
          <w:lang w:val="en-CA"/>
        </w:rPr>
        <w:t>Gulf</w:t>
      </w:r>
      <w:r w:rsidRPr="00BB6E5E">
        <w:rPr>
          <w:lang w:val="en-CA"/>
        </w:rPr>
        <w:t xml:space="preserve">’s assertions of the confidential nature of the information contained in its responses to </w:t>
      </w:r>
      <w:r w:rsidR="008005EF">
        <w:t>Sierra Club</w:t>
      </w:r>
      <w:r w:rsidRPr="00BB6E5E">
        <w:t xml:space="preserve">’s </w:t>
      </w:r>
      <w:r w:rsidR="009D1AA7" w:rsidRPr="00BB6E5E">
        <w:t xml:space="preserve">requests as detailed in the chart above </w:t>
      </w:r>
      <w:r w:rsidRPr="00BB6E5E">
        <w:rPr>
          <w:lang w:val="en-CA"/>
        </w:rPr>
        <w:t>are sufficient to grant its Motion</w:t>
      </w:r>
      <w:r w:rsidR="009D1AA7" w:rsidRPr="00BB6E5E">
        <w:rPr>
          <w:lang w:val="en-CA"/>
        </w:rPr>
        <w:t>s</w:t>
      </w:r>
      <w:r w:rsidRPr="00BB6E5E">
        <w:rPr>
          <w:lang w:val="en-CA"/>
        </w:rPr>
        <w:t xml:space="preserve"> for Protective Order</w:t>
      </w:r>
      <w:r w:rsidR="009D1AA7" w:rsidRPr="00BB6E5E">
        <w:rPr>
          <w:lang w:val="en-CA"/>
        </w:rPr>
        <w:t>s</w:t>
      </w:r>
      <w:r w:rsidRPr="00BB6E5E">
        <w:rPr>
          <w:lang w:val="en-CA"/>
        </w:rPr>
        <w:t xml:space="preserve"> for that </w:t>
      </w:r>
      <w:r w:rsidR="001E3358" w:rsidRPr="00BB6E5E">
        <w:rPr>
          <w:lang w:val="en-CA"/>
        </w:rPr>
        <w:t>information</w:t>
      </w:r>
      <w:r w:rsidRPr="00BB6E5E">
        <w:rPr>
          <w:lang w:val="en-CA"/>
        </w:rPr>
        <w:t>.  As a result, all of this information shall be protected from disclosure pursuant to Rule 25-22.006(6)(c), F.A.C.</w:t>
      </w:r>
    </w:p>
    <w:p w:rsidR="00B97550" w:rsidRPr="00BB6E5E" w:rsidRDefault="00B97550" w:rsidP="00B97550">
      <w:pPr>
        <w:ind w:firstLine="720"/>
        <w:jc w:val="both"/>
        <w:rPr>
          <w:lang w:val="en-CA"/>
        </w:rPr>
      </w:pPr>
    </w:p>
    <w:p w:rsidR="00B97550" w:rsidRPr="00BB6E5E" w:rsidRDefault="00B97550" w:rsidP="00B97550">
      <w:r w:rsidRPr="00BB6E5E">
        <w:tab/>
        <w:t>Based on the foregoing, it is hereby</w:t>
      </w:r>
    </w:p>
    <w:p w:rsidR="00B97550" w:rsidRPr="00BB6E5E" w:rsidRDefault="00B97550" w:rsidP="00B97550">
      <w:pPr>
        <w:jc w:val="both"/>
      </w:pPr>
    </w:p>
    <w:p w:rsidR="00000C55" w:rsidRDefault="00B97550" w:rsidP="00000C55">
      <w:pPr>
        <w:jc w:val="both"/>
        <w:rPr>
          <w:lang w:val="en-CA"/>
        </w:rPr>
      </w:pPr>
      <w:r w:rsidRPr="00BB6E5E">
        <w:tab/>
        <w:t xml:space="preserve">ORDERED by Commissioner </w:t>
      </w:r>
      <w:r w:rsidR="009D1AA7" w:rsidRPr="00BB6E5E">
        <w:t>Jimmy Patronis</w:t>
      </w:r>
      <w:r w:rsidRPr="00BB6E5E">
        <w:t xml:space="preserve">, as Prehearing Officer, that </w:t>
      </w:r>
      <w:r w:rsidR="009D1AA7" w:rsidRPr="00BB6E5E">
        <w:t>Gulf</w:t>
      </w:r>
      <w:r w:rsidRPr="00BB6E5E">
        <w:t xml:space="preserve">’s Motions for Temporary Protective Orders </w:t>
      </w:r>
      <w:r w:rsidR="009D1AA7" w:rsidRPr="00BB6E5E">
        <w:t>as detailed herein</w:t>
      </w:r>
      <w:r w:rsidRPr="00BB6E5E">
        <w:t>, are granted.</w:t>
      </w:r>
      <w:r w:rsidR="00000C55">
        <w:t xml:space="preserve">  </w:t>
      </w:r>
      <w:r w:rsidR="00000C55">
        <w:rPr>
          <w:lang w:val="en-CA"/>
        </w:rPr>
        <w:t>It is further,</w:t>
      </w:r>
    </w:p>
    <w:p w:rsidR="00000C55" w:rsidRDefault="00000C55" w:rsidP="00000C55">
      <w:pPr>
        <w:jc w:val="both"/>
        <w:rPr>
          <w:lang w:val="en-CA"/>
        </w:rPr>
      </w:pPr>
    </w:p>
    <w:p w:rsidR="00000C55" w:rsidRDefault="00000C55" w:rsidP="00000C55">
      <w:pPr>
        <w:ind w:firstLine="720"/>
        <w:jc w:val="both"/>
        <w:rPr>
          <w:lang w:val="en-CA"/>
        </w:rPr>
      </w:pPr>
      <w:r>
        <w:rPr>
          <w:lang w:val="en-CA"/>
        </w:rPr>
        <w:t>ORDERED that this Temporary Protective Order shall extend not only to the Office of Public Counsel, but also to any consultants or advisors with wh</w:t>
      </w:r>
      <w:r w:rsidR="003C183B">
        <w:rPr>
          <w:lang w:val="en-CA"/>
        </w:rPr>
        <w:t>om the Office of Public Counsel</w:t>
      </w:r>
      <w:r>
        <w:rPr>
          <w:lang w:val="en-CA"/>
        </w:rPr>
        <w:t xml:space="preserve"> has contracted for purposes of this proceeding. </w:t>
      </w:r>
    </w:p>
    <w:p w:rsidR="00000C55" w:rsidRDefault="00000C55" w:rsidP="00000C55">
      <w:pPr>
        <w:ind w:firstLine="720"/>
        <w:jc w:val="both"/>
      </w:pPr>
    </w:p>
    <w:p w:rsidR="005F7CCE" w:rsidRDefault="005F7CCE">
      <w:r>
        <w:br w:type="page"/>
      </w:r>
    </w:p>
    <w:p w:rsidR="003C183B" w:rsidRDefault="009D1AA7" w:rsidP="00623CCC">
      <w:pPr>
        <w:ind w:firstLine="720"/>
        <w:jc w:val="both"/>
      </w:pPr>
      <w:r w:rsidRPr="00BB6E5E">
        <w:lastRenderedPageBreak/>
        <w:t xml:space="preserve">By ORDER of Commissioner Jimmy Patronis, as Prehearing Officer, this </w:t>
      </w:r>
      <w:bookmarkStart w:id="5" w:name="replaceDate"/>
      <w:bookmarkEnd w:id="5"/>
      <w:r w:rsidR="00623CCC">
        <w:rPr>
          <w:u w:val="single"/>
        </w:rPr>
        <w:t>14th</w:t>
      </w:r>
      <w:r w:rsidR="00623CCC">
        <w:t xml:space="preserve"> day of </w:t>
      </w:r>
      <w:r w:rsidR="00623CCC">
        <w:rPr>
          <w:u w:val="single"/>
        </w:rPr>
        <w:t>March</w:t>
      </w:r>
      <w:r w:rsidR="00623CCC">
        <w:t xml:space="preserve">, </w:t>
      </w:r>
      <w:r w:rsidR="00623CCC">
        <w:rPr>
          <w:u w:val="single"/>
        </w:rPr>
        <w:t>2017</w:t>
      </w:r>
      <w:r w:rsidR="00623CCC">
        <w:t>.</w:t>
      </w:r>
    </w:p>
    <w:p w:rsidR="00623CCC" w:rsidRPr="00623CCC" w:rsidRDefault="00623CCC" w:rsidP="00623CCC">
      <w:pPr>
        <w:ind w:firstLine="720"/>
        <w:jc w:val="both"/>
      </w:pPr>
    </w:p>
    <w:p w:rsidR="003C183B" w:rsidRDefault="003C183B" w:rsidP="003C183B">
      <w:pPr>
        <w:jc w:val="both"/>
      </w:pPr>
    </w:p>
    <w:p w:rsidR="003C183B" w:rsidRPr="00BB6E5E" w:rsidRDefault="003C183B" w:rsidP="00D6578A">
      <w:pPr>
        <w:jc w:val="both"/>
      </w:pPr>
    </w:p>
    <w:tbl>
      <w:tblPr>
        <w:tblW w:w="4720" w:type="dxa"/>
        <w:tblInd w:w="3800" w:type="dxa"/>
        <w:tblLayout w:type="fixed"/>
        <w:tblLook w:val="0000" w:firstRow="0" w:lastRow="0" w:firstColumn="0" w:lastColumn="0" w:noHBand="0" w:noVBand="0"/>
      </w:tblPr>
      <w:tblGrid>
        <w:gridCol w:w="686"/>
        <w:gridCol w:w="4034"/>
      </w:tblGrid>
      <w:tr w:rsidR="00BB6E5E" w:rsidRPr="00BB6E5E" w:rsidTr="009D1AA7">
        <w:tc>
          <w:tcPr>
            <w:tcW w:w="686" w:type="dxa"/>
            <w:shd w:val="clear" w:color="auto" w:fill="auto"/>
          </w:tcPr>
          <w:p w:rsidR="005F7CCE" w:rsidRPr="00BB6E5E" w:rsidRDefault="005F7CCE" w:rsidP="009D1AA7">
            <w:pPr>
              <w:pStyle w:val="OrderBody"/>
              <w:keepNext/>
              <w:keepLines/>
            </w:pPr>
            <w:bookmarkStart w:id="6" w:name="bkmrkSignature" w:colFirst="0" w:colLast="0"/>
          </w:p>
        </w:tc>
        <w:tc>
          <w:tcPr>
            <w:tcW w:w="4034" w:type="dxa"/>
            <w:tcBorders>
              <w:bottom w:val="single" w:sz="4" w:space="0" w:color="auto"/>
            </w:tcBorders>
            <w:shd w:val="clear" w:color="auto" w:fill="auto"/>
          </w:tcPr>
          <w:p w:rsidR="009D1AA7" w:rsidRPr="00BB6E5E" w:rsidRDefault="00623CCC" w:rsidP="00623CCC">
            <w:pPr>
              <w:pStyle w:val="OrderBody"/>
              <w:keepNext/>
              <w:keepLines/>
            </w:pPr>
            <w:r>
              <w:t>/s/ Jimmy Patronis</w:t>
            </w:r>
          </w:p>
        </w:tc>
      </w:tr>
      <w:bookmarkEnd w:id="6"/>
      <w:tr w:rsidR="00BB6E5E" w:rsidRPr="00BB6E5E" w:rsidTr="009D1AA7">
        <w:tc>
          <w:tcPr>
            <w:tcW w:w="686" w:type="dxa"/>
            <w:shd w:val="clear" w:color="auto" w:fill="auto"/>
          </w:tcPr>
          <w:p w:rsidR="009D1AA7" w:rsidRPr="00BB6E5E" w:rsidRDefault="009D1AA7" w:rsidP="009D1AA7">
            <w:pPr>
              <w:pStyle w:val="OrderBody"/>
              <w:keepNext/>
              <w:keepLines/>
            </w:pPr>
          </w:p>
        </w:tc>
        <w:tc>
          <w:tcPr>
            <w:tcW w:w="4034" w:type="dxa"/>
            <w:tcBorders>
              <w:top w:val="single" w:sz="4" w:space="0" w:color="auto"/>
            </w:tcBorders>
            <w:shd w:val="clear" w:color="auto" w:fill="auto"/>
          </w:tcPr>
          <w:p w:rsidR="009D1AA7" w:rsidRPr="00BB6E5E" w:rsidRDefault="009D1AA7" w:rsidP="009D1AA7">
            <w:pPr>
              <w:pStyle w:val="OrderBody"/>
              <w:keepNext/>
              <w:keepLines/>
            </w:pPr>
            <w:r w:rsidRPr="00BB6E5E">
              <w:t>JIMMY PATRONIS</w:t>
            </w:r>
          </w:p>
          <w:p w:rsidR="009D1AA7" w:rsidRPr="00BB6E5E" w:rsidRDefault="009D1AA7" w:rsidP="009D1AA7">
            <w:pPr>
              <w:pStyle w:val="OrderBody"/>
              <w:keepNext/>
              <w:keepLines/>
            </w:pPr>
            <w:r w:rsidRPr="00BB6E5E">
              <w:t>Commissioner and Prehearing Officer</w:t>
            </w:r>
          </w:p>
        </w:tc>
      </w:tr>
    </w:tbl>
    <w:p w:rsidR="009D1AA7" w:rsidRPr="00BB6E5E" w:rsidRDefault="009D1AA7" w:rsidP="009D1AA7">
      <w:pPr>
        <w:pStyle w:val="OrderSigInfo"/>
        <w:keepNext/>
        <w:keepLines/>
        <w:rPr>
          <w:szCs w:val="24"/>
        </w:rPr>
      </w:pPr>
      <w:r w:rsidRPr="00BB6E5E">
        <w:rPr>
          <w:szCs w:val="24"/>
        </w:rPr>
        <w:t>Florida Public Service Commission</w:t>
      </w:r>
    </w:p>
    <w:p w:rsidR="009D1AA7" w:rsidRPr="00BB6E5E" w:rsidRDefault="009D1AA7" w:rsidP="009D1AA7">
      <w:pPr>
        <w:pStyle w:val="OrderSigInfo"/>
        <w:keepNext/>
        <w:keepLines/>
        <w:rPr>
          <w:szCs w:val="24"/>
        </w:rPr>
      </w:pPr>
      <w:r w:rsidRPr="00BB6E5E">
        <w:rPr>
          <w:szCs w:val="24"/>
        </w:rPr>
        <w:t>2540 Shumard Oak Boulevard</w:t>
      </w:r>
    </w:p>
    <w:p w:rsidR="009D1AA7" w:rsidRPr="00BB6E5E" w:rsidRDefault="009D1AA7" w:rsidP="009D1AA7">
      <w:pPr>
        <w:pStyle w:val="OrderSigInfo"/>
        <w:keepNext/>
        <w:keepLines/>
        <w:rPr>
          <w:szCs w:val="24"/>
        </w:rPr>
      </w:pPr>
      <w:r w:rsidRPr="00BB6E5E">
        <w:rPr>
          <w:szCs w:val="24"/>
        </w:rPr>
        <w:t>Tallahassee, Florida  32399</w:t>
      </w:r>
    </w:p>
    <w:p w:rsidR="009D1AA7" w:rsidRPr="00BB6E5E" w:rsidRDefault="009D1AA7" w:rsidP="009D1AA7">
      <w:pPr>
        <w:pStyle w:val="OrderSigInfo"/>
        <w:keepNext/>
        <w:keepLines/>
        <w:rPr>
          <w:szCs w:val="24"/>
        </w:rPr>
      </w:pPr>
      <w:bookmarkStart w:id="7" w:name="_GoBack"/>
      <w:bookmarkEnd w:id="7"/>
      <w:r w:rsidRPr="00BB6E5E">
        <w:rPr>
          <w:szCs w:val="24"/>
        </w:rPr>
        <w:t>(850) 413</w:t>
      </w:r>
      <w:r w:rsidRPr="00BB6E5E">
        <w:rPr>
          <w:szCs w:val="24"/>
        </w:rPr>
        <w:noBreakHyphen/>
        <w:t>6770</w:t>
      </w:r>
    </w:p>
    <w:p w:rsidR="009D1AA7" w:rsidRPr="00BB6E5E" w:rsidRDefault="009D1AA7" w:rsidP="009D1AA7">
      <w:pPr>
        <w:pStyle w:val="OrderSigInfo"/>
        <w:keepNext/>
        <w:keepLines/>
        <w:rPr>
          <w:szCs w:val="24"/>
        </w:rPr>
      </w:pPr>
      <w:r w:rsidRPr="00BB6E5E">
        <w:rPr>
          <w:szCs w:val="24"/>
        </w:rPr>
        <w:t>www.floridapsc.com</w:t>
      </w:r>
    </w:p>
    <w:p w:rsidR="009D1AA7" w:rsidRPr="00BB6E5E" w:rsidRDefault="009D1AA7" w:rsidP="009D1AA7">
      <w:pPr>
        <w:pStyle w:val="OrderSigInfo"/>
        <w:keepNext/>
        <w:keepLines/>
        <w:rPr>
          <w:szCs w:val="24"/>
        </w:rPr>
      </w:pPr>
    </w:p>
    <w:p w:rsidR="009D1AA7" w:rsidRPr="00BB6E5E" w:rsidRDefault="009D1AA7" w:rsidP="009D1AA7">
      <w:pPr>
        <w:pStyle w:val="OrderSigInfo"/>
        <w:keepNext/>
        <w:keepLines/>
        <w:rPr>
          <w:szCs w:val="24"/>
        </w:rPr>
      </w:pPr>
      <w:r w:rsidRPr="00BB6E5E">
        <w:rPr>
          <w:szCs w:val="24"/>
        </w:rPr>
        <w:t>Copies furnished:  A copy of this document is provided to the parties of record at the time of issuance and, if applicable, interested persons.</w:t>
      </w:r>
    </w:p>
    <w:p w:rsidR="009D1AA7" w:rsidRPr="00BB6E5E" w:rsidRDefault="009D1AA7" w:rsidP="009D1AA7">
      <w:pPr>
        <w:pStyle w:val="OrderBody"/>
        <w:keepNext/>
        <w:keepLines/>
      </w:pPr>
    </w:p>
    <w:p w:rsidR="009D1AA7" w:rsidRPr="00BB6E5E" w:rsidRDefault="009D1AA7" w:rsidP="009D1AA7">
      <w:pPr>
        <w:pStyle w:val="OrderBody"/>
        <w:keepNext/>
        <w:keepLines/>
      </w:pPr>
      <w:r w:rsidRPr="00BB6E5E">
        <w:t>KFC</w:t>
      </w:r>
    </w:p>
    <w:p w:rsidR="005F7CCE" w:rsidRDefault="005F7CCE" w:rsidP="005F7CCE"/>
    <w:p w:rsidR="003C183B" w:rsidRPr="00BB6E5E" w:rsidRDefault="003C183B" w:rsidP="005F7CCE"/>
    <w:p w:rsidR="009D1AA7" w:rsidRPr="00BB6E5E" w:rsidRDefault="009D1AA7" w:rsidP="009D1AA7">
      <w:pPr>
        <w:pStyle w:val="CenterUnderline"/>
      </w:pPr>
      <w:r w:rsidRPr="00BB6E5E">
        <w:t>NOTICE OF FURTHER PROCEEDINGS OR JUDICIAL REVIEW</w:t>
      </w:r>
    </w:p>
    <w:p w:rsidR="00D57E57" w:rsidRPr="00BB6E5E" w:rsidRDefault="00D57E57" w:rsidP="009D1AA7">
      <w:pPr>
        <w:pStyle w:val="CenterUnderline"/>
        <w:rPr>
          <w:u w:val="none"/>
        </w:rPr>
      </w:pPr>
    </w:p>
    <w:p w:rsidR="009D1AA7" w:rsidRPr="00BB6E5E" w:rsidRDefault="009D1AA7" w:rsidP="009D1AA7">
      <w:pPr>
        <w:pStyle w:val="OrderBody"/>
      </w:pPr>
      <w:r w:rsidRPr="00BB6E5E">
        <w:tab/>
        <w:t>The Florida Public Service Commission is required by Section 120.569(1), Florida Statutes, to notify parties of any administrative hearing or judicial review of Commission orders that is available under Sections 120.57 or 120.68, Florida Statutes, as well as the procedures and time limits that apply.  This notice should not be construed to mean all requests for an administrative hearing or judicial review will be granted or result in the relief sought.</w:t>
      </w:r>
    </w:p>
    <w:p w:rsidR="009D1AA7" w:rsidRPr="00BB6E5E" w:rsidRDefault="009D1AA7" w:rsidP="009D1AA7">
      <w:pPr>
        <w:pStyle w:val="OrderBody"/>
      </w:pPr>
    </w:p>
    <w:p w:rsidR="009D1AA7" w:rsidRPr="00BB6E5E" w:rsidRDefault="009D1AA7" w:rsidP="009D1AA7">
      <w:pPr>
        <w:pStyle w:val="OrderBody"/>
      </w:pPr>
      <w:r w:rsidRPr="00BB6E5E">
        <w:tab/>
        <w:t>Mediation may be available on a case-by-case basis.  If mediation is conducted, it does not affect a substantially interested person's right to a hearing.</w:t>
      </w:r>
    </w:p>
    <w:p w:rsidR="009D1AA7" w:rsidRPr="00BB6E5E" w:rsidRDefault="009D1AA7" w:rsidP="009D1AA7">
      <w:pPr>
        <w:pStyle w:val="OrderBody"/>
      </w:pPr>
    </w:p>
    <w:p w:rsidR="009D1AA7" w:rsidRPr="00BB6E5E" w:rsidRDefault="009D1AA7" w:rsidP="009D1AA7">
      <w:pPr>
        <w:pStyle w:val="OrderBody"/>
      </w:pPr>
      <w:r w:rsidRPr="00BB6E5E">
        <w:tab/>
        <w:t>Any party adversely affected by this order, which is preliminary, procedural or intermediate in nature, may request: (1) reconsideration within 10 days pursuant to Rule 25-22.0376, Florida Administrative Code; or (2) judicial review by the Florida Supreme Court, in the case of an electric, gas or telephone utility, or the First District Court of Appeal, in the case of a water or wastewater utility.  A motion for reconsideration shall be filed with the Office of Commission Clerk, in the form prescribed by Rule 25-22.0376, Florida Administrative Code.  Judicial review of a preliminary, procedural or intermediate ruling or order is available if review of the final action will not provide an adequate remedy.  Such review may be requested from the appropriate court, as described above, pursuant to Rule 9.100, Florida Rules of Appellate Procedure.</w:t>
      </w:r>
    </w:p>
    <w:p w:rsidR="009D1AA7" w:rsidRPr="00BB6E5E" w:rsidRDefault="009D1AA7" w:rsidP="009D1AA7">
      <w:pPr>
        <w:pStyle w:val="OrderBody"/>
      </w:pPr>
    </w:p>
    <w:sectPr w:rsidR="009D1AA7" w:rsidRPr="00BB6E5E">
      <w:head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97550" w:rsidRDefault="00B97550">
      <w:r>
        <w:separator/>
      </w:r>
    </w:p>
  </w:endnote>
  <w:endnote w:type="continuationSeparator" w:id="0">
    <w:p w:rsidR="00B97550" w:rsidRDefault="00B975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Footer"/>
    </w:pPr>
  </w:p>
  <w:p w:rsidR="00FA6EFD" w:rsidRDefault="00FA6EF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97550" w:rsidRDefault="00B97550">
      <w:r>
        <w:separator/>
      </w:r>
    </w:p>
  </w:footnote>
  <w:footnote w:type="continuationSeparator" w:id="0">
    <w:p w:rsidR="00B97550" w:rsidRDefault="00B9755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A6EFD" w:rsidRDefault="00FA6EFD">
    <w:pPr>
      <w:pStyle w:val="OrderHeader"/>
    </w:pPr>
    <w:r>
      <w:t xml:space="preserve">ORDER NO. </w:t>
    </w:r>
    <w:fldSimple w:instr=" REF OrderNo0094 ">
      <w:r w:rsidR="00623CCC">
        <w:t>PSC-17-0094-CFO-EI</w:t>
      </w:r>
    </w:fldSimple>
  </w:p>
  <w:p w:rsidR="00FA6EFD" w:rsidRDefault="00B97550">
    <w:pPr>
      <w:pStyle w:val="OrderHeader"/>
    </w:pPr>
    <w:bookmarkStart w:id="8" w:name="HeaderDocketNo"/>
    <w:bookmarkEnd w:id="8"/>
    <w:r>
      <w:t>DOCKET NOS. 160186-EI, 160170-EI</w:t>
    </w:r>
  </w:p>
  <w:p w:rsidR="00FA6EFD" w:rsidRDefault="00FA6EFD">
    <w:pPr>
      <w:pStyle w:val="OrderHeader"/>
      <w:rPr>
        <w:rStyle w:val="PageNumber"/>
      </w:rPr>
    </w:pPr>
    <w:r>
      <w:t xml:space="preserve">PAGE </w:t>
    </w:r>
    <w:r>
      <w:rPr>
        <w:rStyle w:val="PageNumber"/>
      </w:rPr>
      <w:fldChar w:fldCharType="begin"/>
    </w:r>
    <w:r>
      <w:rPr>
        <w:rStyle w:val="PageNumber"/>
      </w:rPr>
      <w:instrText xml:space="preserve"> PAGE </w:instrText>
    </w:r>
    <w:r>
      <w:rPr>
        <w:rStyle w:val="PageNumber"/>
      </w:rPr>
      <w:fldChar w:fldCharType="separate"/>
    </w:r>
    <w:r w:rsidR="00623CCC">
      <w:rPr>
        <w:rStyle w:val="PageNumber"/>
        <w:noProof/>
      </w:rPr>
      <w:t>3</w:t>
    </w:r>
    <w:r>
      <w:rPr>
        <w:rStyle w:val="PageNumber"/>
      </w:rPr>
      <w:fldChar w:fldCharType="end"/>
    </w:r>
  </w:p>
  <w:p w:rsidR="00FA6EFD" w:rsidRDefault="00FA6EFD">
    <w:pPr>
      <w:pStyle w:val="Order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206BA5"/>
    <w:multiLevelType w:val="hybridMultilevel"/>
    <w:tmpl w:val="8ACC6070"/>
    <w:lvl w:ilvl="0" w:tplc="8092D344">
      <w:start w:val="2287"/>
      <w:numFmt w:val="bullet"/>
      <w:lvlText w:val="-"/>
      <w:lvlJc w:val="left"/>
      <w:pPr>
        <w:ind w:left="795" w:hanging="360"/>
      </w:pPr>
      <w:rPr>
        <w:rFonts w:ascii="Times New Roman" w:eastAsia="Times New Roman" w:hAnsi="Times New Roman" w:cs="Times New Roman" w:hint="default"/>
        <w:color w:val="2E2F33"/>
        <w:sz w:val="23"/>
      </w:rPr>
    </w:lvl>
    <w:lvl w:ilvl="1" w:tplc="04090003" w:tentative="1">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
    <w:nsid w:val="19103B99"/>
    <w:multiLevelType w:val="hybridMultilevel"/>
    <w:tmpl w:val="E94EF662"/>
    <w:lvl w:ilvl="0" w:tplc="4E6046E4">
      <w:start w:val="2346"/>
      <w:numFmt w:val="bullet"/>
      <w:lvlText w:val=""/>
      <w:lvlJc w:val="left"/>
      <w:pPr>
        <w:ind w:left="720" w:hanging="360"/>
      </w:pPr>
      <w:rPr>
        <w:rFonts w:ascii="Symbol" w:eastAsia="Times New Roman" w:hAnsi="Symbol" w:cs="Times New Roman" w:hint="default"/>
        <w:color w:val="202125"/>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9AD1323"/>
    <w:multiLevelType w:val="hybridMultilevel"/>
    <w:tmpl w:val="E724EF12"/>
    <w:lvl w:ilvl="0" w:tplc="6E12208C">
      <w:start w:val="2346"/>
      <w:numFmt w:val="bullet"/>
      <w:lvlText w:val=""/>
      <w:lvlJc w:val="left"/>
      <w:pPr>
        <w:ind w:left="720" w:hanging="360"/>
      </w:pPr>
      <w:rPr>
        <w:rFonts w:ascii="Symbol" w:eastAsia="Times New Roman" w:hAnsi="Symbol" w:cs="Times New Roman" w:hint="default"/>
        <w:color w:val="2E2F33"/>
        <w:sz w:val="23"/>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removePersonalInformation/>
  <w:removeDateAndTime/>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2602033C-50AE-4923-ACD2-6D1619DC4E4C}"/>
    <w:docVar w:name="dgnword-eventsink" w:val="374508672"/>
    <w:docVar w:name="Dockets" w:val="160186-EI, 160170-EI"/>
  </w:docVars>
  <w:rsids>
    <w:rsidRoot w:val="00B97550"/>
    <w:rsid w:val="00000C55"/>
    <w:rsid w:val="000022B8"/>
    <w:rsid w:val="00053AB9"/>
    <w:rsid w:val="00056229"/>
    <w:rsid w:val="00065FC2"/>
    <w:rsid w:val="00090AFC"/>
    <w:rsid w:val="000D02B8"/>
    <w:rsid w:val="000D06E8"/>
    <w:rsid w:val="000E20F0"/>
    <w:rsid w:val="000E344D"/>
    <w:rsid w:val="000F3B2C"/>
    <w:rsid w:val="000F648A"/>
    <w:rsid w:val="000F7BE3"/>
    <w:rsid w:val="001107B3"/>
    <w:rsid w:val="001114B1"/>
    <w:rsid w:val="00116AD3"/>
    <w:rsid w:val="00121957"/>
    <w:rsid w:val="00126593"/>
    <w:rsid w:val="00142A96"/>
    <w:rsid w:val="00187E32"/>
    <w:rsid w:val="00194E81"/>
    <w:rsid w:val="001A15E7"/>
    <w:rsid w:val="001A33C9"/>
    <w:rsid w:val="001A58F3"/>
    <w:rsid w:val="001D008A"/>
    <w:rsid w:val="001E0FF5"/>
    <w:rsid w:val="001E3358"/>
    <w:rsid w:val="002002ED"/>
    <w:rsid w:val="002170E5"/>
    <w:rsid w:val="0022721A"/>
    <w:rsid w:val="00230BB9"/>
    <w:rsid w:val="00241CEF"/>
    <w:rsid w:val="00252B30"/>
    <w:rsid w:val="0026544B"/>
    <w:rsid w:val="002A11AC"/>
    <w:rsid w:val="002A26C4"/>
    <w:rsid w:val="002A6F30"/>
    <w:rsid w:val="002B3111"/>
    <w:rsid w:val="002C7908"/>
    <w:rsid w:val="002D391B"/>
    <w:rsid w:val="002D7D15"/>
    <w:rsid w:val="002E1B2E"/>
    <w:rsid w:val="002E27EB"/>
    <w:rsid w:val="00303FDE"/>
    <w:rsid w:val="003140E8"/>
    <w:rsid w:val="003231C7"/>
    <w:rsid w:val="003270C4"/>
    <w:rsid w:val="00331ED0"/>
    <w:rsid w:val="00332B0A"/>
    <w:rsid w:val="00333A41"/>
    <w:rsid w:val="0035495B"/>
    <w:rsid w:val="003744F5"/>
    <w:rsid w:val="00390DD8"/>
    <w:rsid w:val="00394DC6"/>
    <w:rsid w:val="00397C3E"/>
    <w:rsid w:val="003C183B"/>
    <w:rsid w:val="003D4CCA"/>
    <w:rsid w:val="003D52A6"/>
    <w:rsid w:val="003D6416"/>
    <w:rsid w:val="003E1D48"/>
    <w:rsid w:val="00411DF2"/>
    <w:rsid w:val="0042527B"/>
    <w:rsid w:val="00457DC7"/>
    <w:rsid w:val="00472BCC"/>
    <w:rsid w:val="004A25CD"/>
    <w:rsid w:val="004A26CC"/>
    <w:rsid w:val="004B2108"/>
    <w:rsid w:val="004B3A2B"/>
    <w:rsid w:val="004B70D3"/>
    <w:rsid w:val="004D2D1B"/>
    <w:rsid w:val="004E469D"/>
    <w:rsid w:val="004F2DDE"/>
    <w:rsid w:val="0050097F"/>
    <w:rsid w:val="00514B1F"/>
    <w:rsid w:val="00525E93"/>
    <w:rsid w:val="0052671D"/>
    <w:rsid w:val="00556A10"/>
    <w:rsid w:val="005963C2"/>
    <w:rsid w:val="005B45F7"/>
    <w:rsid w:val="005B63EA"/>
    <w:rsid w:val="005C1A88"/>
    <w:rsid w:val="005C5033"/>
    <w:rsid w:val="005F7CCE"/>
    <w:rsid w:val="00610E73"/>
    <w:rsid w:val="00623CCC"/>
    <w:rsid w:val="00660774"/>
    <w:rsid w:val="0066389A"/>
    <w:rsid w:val="0066495C"/>
    <w:rsid w:val="00665CC7"/>
    <w:rsid w:val="00672612"/>
    <w:rsid w:val="006A0BF3"/>
    <w:rsid w:val="006B0DA6"/>
    <w:rsid w:val="006C547E"/>
    <w:rsid w:val="00704C5D"/>
    <w:rsid w:val="007072BC"/>
    <w:rsid w:val="00715275"/>
    <w:rsid w:val="00733B6B"/>
    <w:rsid w:val="007467C4"/>
    <w:rsid w:val="0076170F"/>
    <w:rsid w:val="0076669C"/>
    <w:rsid w:val="007865E9"/>
    <w:rsid w:val="00792383"/>
    <w:rsid w:val="007A060F"/>
    <w:rsid w:val="007D3D20"/>
    <w:rsid w:val="007E3AFD"/>
    <w:rsid w:val="008005EF"/>
    <w:rsid w:val="00801DAD"/>
    <w:rsid w:val="00803189"/>
    <w:rsid w:val="00804E7A"/>
    <w:rsid w:val="00805FBB"/>
    <w:rsid w:val="008169A4"/>
    <w:rsid w:val="008278FE"/>
    <w:rsid w:val="00832598"/>
    <w:rsid w:val="0083397E"/>
    <w:rsid w:val="0083534B"/>
    <w:rsid w:val="00842602"/>
    <w:rsid w:val="00863A66"/>
    <w:rsid w:val="00874429"/>
    <w:rsid w:val="00883D9A"/>
    <w:rsid w:val="008919EF"/>
    <w:rsid w:val="008A12EC"/>
    <w:rsid w:val="008A7FE6"/>
    <w:rsid w:val="008C21C8"/>
    <w:rsid w:val="008C6375"/>
    <w:rsid w:val="008C6A5B"/>
    <w:rsid w:val="008E26A5"/>
    <w:rsid w:val="008E42D2"/>
    <w:rsid w:val="009040EE"/>
    <w:rsid w:val="009057FD"/>
    <w:rsid w:val="00906FBA"/>
    <w:rsid w:val="00922A7F"/>
    <w:rsid w:val="00923A5E"/>
    <w:rsid w:val="00931C8C"/>
    <w:rsid w:val="0094504B"/>
    <w:rsid w:val="009924CF"/>
    <w:rsid w:val="00994100"/>
    <w:rsid w:val="009D1AA7"/>
    <w:rsid w:val="009D4C29"/>
    <w:rsid w:val="00A62DAB"/>
    <w:rsid w:val="00A726A6"/>
    <w:rsid w:val="00A97535"/>
    <w:rsid w:val="00AA73F1"/>
    <w:rsid w:val="00AB0E1A"/>
    <w:rsid w:val="00AB1A30"/>
    <w:rsid w:val="00AD1ED3"/>
    <w:rsid w:val="00B0777D"/>
    <w:rsid w:val="00B17DE0"/>
    <w:rsid w:val="00B4057A"/>
    <w:rsid w:val="00B40894"/>
    <w:rsid w:val="00B45E75"/>
    <w:rsid w:val="00B501A0"/>
    <w:rsid w:val="00B50876"/>
    <w:rsid w:val="00B55EE5"/>
    <w:rsid w:val="00B73DE6"/>
    <w:rsid w:val="00B86EF0"/>
    <w:rsid w:val="00B96969"/>
    <w:rsid w:val="00B97550"/>
    <w:rsid w:val="00B97900"/>
    <w:rsid w:val="00BA1229"/>
    <w:rsid w:val="00BA44A8"/>
    <w:rsid w:val="00BB6E5E"/>
    <w:rsid w:val="00BF6691"/>
    <w:rsid w:val="00C028FC"/>
    <w:rsid w:val="00C151A6"/>
    <w:rsid w:val="00C24098"/>
    <w:rsid w:val="00C30A4E"/>
    <w:rsid w:val="00C411F3"/>
    <w:rsid w:val="00C66692"/>
    <w:rsid w:val="00C91123"/>
    <w:rsid w:val="00CA71FF"/>
    <w:rsid w:val="00CB5276"/>
    <w:rsid w:val="00CB68D7"/>
    <w:rsid w:val="00CC7E68"/>
    <w:rsid w:val="00CD7132"/>
    <w:rsid w:val="00CE0E6F"/>
    <w:rsid w:val="00CE5564"/>
    <w:rsid w:val="00CE56FC"/>
    <w:rsid w:val="00CF4CFE"/>
    <w:rsid w:val="00D02E0F"/>
    <w:rsid w:val="00D23FEA"/>
    <w:rsid w:val="00D269CA"/>
    <w:rsid w:val="00D30B48"/>
    <w:rsid w:val="00D46FAA"/>
    <w:rsid w:val="00D47A40"/>
    <w:rsid w:val="00D57BB2"/>
    <w:rsid w:val="00D57E57"/>
    <w:rsid w:val="00D6578A"/>
    <w:rsid w:val="00D8560E"/>
    <w:rsid w:val="00D8758F"/>
    <w:rsid w:val="00DC1D94"/>
    <w:rsid w:val="00DE057F"/>
    <w:rsid w:val="00DE2082"/>
    <w:rsid w:val="00DE2289"/>
    <w:rsid w:val="00E03A76"/>
    <w:rsid w:val="00E04410"/>
    <w:rsid w:val="00E11351"/>
    <w:rsid w:val="00EA172C"/>
    <w:rsid w:val="00EA259B"/>
    <w:rsid w:val="00EA35A3"/>
    <w:rsid w:val="00EA3E6A"/>
    <w:rsid w:val="00EB18EF"/>
    <w:rsid w:val="00EE17DF"/>
    <w:rsid w:val="00EF4621"/>
    <w:rsid w:val="00F234A7"/>
    <w:rsid w:val="00F277B6"/>
    <w:rsid w:val="00F54380"/>
    <w:rsid w:val="00F54B47"/>
    <w:rsid w:val="00F6702E"/>
    <w:rsid w:val="00F70E84"/>
    <w:rsid w:val="00F86A52"/>
    <w:rsid w:val="00FA092B"/>
    <w:rsid w:val="00FA6EFD"/>
    <w:rsid w:val="00FB74EA"/>
    <w:rsid w:val="00FD2C9E"/>
    <w:rsid w:val="00FD4786"/>
    <w:rsid w:val="00FD616C"/>
    <w:rsid w:val="00FE53F2"/>
    <w:rsid w:val="00FF0A00"/>
    <w:rsid w:val="00FF1C57"/>
    <w:rsid w:val="00FF25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5F7CCE"/>
    <w:pPr>
      <w:ind w:left="720"/>
      <w:contextualSpacing/>
    </w:pPr>
  </w:style>
  <w:style w:type="paragraph" w:styleId="BalloonText">
    <w:name w:val="Balloon Text"/>
    <w:basedOn w:val="Normal"/>
    <w:link w:val="BalloonTextChar"/>
    <w:rsid w:val="003C183B"/>
    <w:rPr>
      <w:rFonts w:ascii="Tahoma" w:hAnsi="Tahoma" w:cs="Tahoma"/>
      <w:sz w:val="16"/>
      <w:szCs w:val="16"/>
    </w:rPr>
  </w:style>
  <w:style w:type="character" w:customStyle="1" w:styleId="BalloonTextChar">
    <w:name w:val="Balloon Text Char"/>
    <w:basedOn w:val="DefaultParagraphFont"/>
    <w:link w:val="BalloonText"/>
    <w:rsid w:val="003C183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CD7132"/>
    <w:rPr>
      <w:sz w:val="24"/>
      <w:szCs w:val="24"/>
    </w:rPr>
  </w:style>
  <w:style w:type="paragraph" w:styleId="Heading1">
    <w:name w:val="heading 1"/>
    <w:basedOn w:val="Normal"/>
    <w:next w:val="BodyText"/>
    <w:link w:val="Heading1Char"/>
    <w:qFormat/>
    <w:rsid w:val="00CD7132"/>
    <w:pPr>
      <w:keepNext/>
      <w:spacing w:after="240"/>
      <w:jc w:val="both"/>
      <w:outlineLvl w:val="0"/>
    </w:pPr>
    <w:rPr>
      <w:rFonts w:cs="Arial"/>
      <w:bCs/>
      <w:kern w:val="32"/>
      <w:szCs w:val="32"/>
    </w:rPr>
  </w:style>
  <w:style w:type="paragraph" w:styleId="Heading2">
    <w:name w:val="heading 2"/>
    <w:basedOn w:val="Normal"/>
    <w:next w:val="BodyText"/>
    <w:link w:val="Heading2Char"/>
    <w:qFormat/>
    <w:rsid w:val="00CD7132"/>
    <w:pPr>
      <w:keepNext/>
      <w:spacing w:after="240"/>
      <w:jc w:val="both"/>
      <w:outlineLvl w:val="1"/>
    </w:pPr>
    <w:rPr>
      <w:rFonts w:cs="Arial"/>
      <w:bCs/>
      <w:iCs/>
      <w:szCs w:val="28"/>
    </w:rPr>
  </w:style>
  <w:style w:type="paragraph" w:styleId="Heading3">
    <w:name w:val="heading 3"/>
    <w:basedOn w:val="BodyText"/>
    <w:next w:val="BodyText"/>
    <w:link w:val="Heading3Char"/>
    <w:qFormat/>
    <w:rsid w:val="00CD7132"/>
    <w:pPr>
      <w:spacing w:after="240"/>
      <w:ind w:firstLine="720"/>
      <w:jc w:val="both"/>
      <w:outlineLvl w:val="2"/>
    </w:pPr>
  </w:style>
  <w:style w:type="paragraph" w:styleId="Heading4">
    <w:name w:val="heading 4"/>
    <w:basedOn w:val="Normal"/>
    <w:next w:val="Normal"/>
    <w:link w:val="Heading4Char"/>
    <w:qFormat/>
    <w:rsid w:val="00CD7132"/>
    <w:pPr>
      <w:keepNext/>
      <w:spacing w:before="240" w:after="60"/>
      <w:outlineLvl w:val="3"/>
    </w:pPr>
    <w:rPr>
      <w:b/>
      <w:bCs/>
      <w:sz w:val="28"/>
      <w:szCs w:val="28"/>
    </w:rPr>
  </w:style>
  <w:style w:type="paragraph" w:styleId="Heading5">
    <w:name w:val="heading 5"/>
    <w:basedOn w:val="Normal"/>
    <w:next w:val="Normal"/>
    <w:link w:val="Heading5Char"/>
    <w:qFormat/>
    <w:rsid w:val="00CD7132"/>
    <w:pPr>
      <w:spacing w:before="240" w:after="60"/>
      <w:outlineLvl w:val="4"/>
    </w:pPr>
    <w:rPr>
      <w:b/>
      <w:bCs/>
      <w:i/>
      <w:iCs/>
      <w:sz w:val="26"/>
      <w:szCs w:val="26"/>
    </w:rPr>
  </w:style>
  <w:style w:type="paragraph" w:styleId="Heading6">
    <w:name w:val="heading 6"/>
    <w:basedOn w:val="Normal"/>
    <w:next w:val="Normal"/>
    <w:link w:val="Heading6Char"/>
    <w:qFormat/>
    <w:rsid w:val="00CD7132"/>
    <w:pPr>
      <w:spacing w:before="240" w:after="60"/>
      <w:outlineLvl w:val="5"/>
    </w:pPr>
    <w:rPr>
      <w:b/>
      <w:bCs/>
      <w:sz w:val="22"/>
      <w:szCs w:val="22"/>
    </w:rPr>
  </w:style>
  <w:style w:type="paragraph" w:styleId="Heading7">
    <w:name w:val="heading 7"/>
    <w:basedOn w:val="Normal"/>
    <w:next w:val="Normal"/>
    <w:link w:val="Heading7Char"/>
    <w:qFormat/>
    <w:rsid w:val="00CD7132"/>
    <w:pPr>
      <w:spacing w:before="240" w:after="60"/>
      <w:outlineLvl w:val="6"/>
    </w:pPr>
  </w:style>
  <w:style w:type="paragraph" w:styleId="Heading8">
    <w:name w:val="heading 8"/>
    <w:basedOn w:val="Normal"/>
    <w:next w:val="Normal"/>
    <w:link w:val="Heading8Char"/>
    <w:qFormat/>
    <w:rsid w:val="00CD7132"/>
    <w:pPr>
      <w:spacing w:before="240" w:after="60"/>
      <w:outlineLvl w:val="7"/>
    </w:pPr>
    <w:rPr>
      <w:i/>
      <w:iCs/>
    </w:rPr>
  </w:style>
  <w:style w:type="paragraph" w:styleId="Heading9">
    <w:name w:val="heading 9"/>
    <w:basedOn w:val="Normal"/>
    <w:next w:val="Normal"/>
    <w:link w:val="Heading9Char"/>
    <w:qFormat/>
    <w:rsid w:val="00CD713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CD7132"/>
    <w:pPr>
      <w:tabs>
        <w:tab w:val="center" w:pos="4320"/>
        <w:tab w:val="right" w:pos="8640"/>
      </w:tabs>
    </w:pPr>
  </w:style>
  <w:style w:type="paragraph" w:customStyle="1" w:styleId="OrderBody">
    <w:name w:val="Order Body"/>
    <w:basedOn w:val="Normal"/>
    <w:link w:val="OrderBodyChar"/>
    <w:rsid w:val="00CD7132"/>
    <w:pPr>
      <w:jc w:val="both"/>
    </w:pPr>
  </w:style>
  <w:style w:type="character" w:customStyle="1" w:styleId="OrderBodyChar">
    <w:name w:val="Order Body Char"/>
    <w:link w:val="OrderBody"/>
    <w:rsid w:val="00CD7132"/>
    <w:rPr>
      <w:sz w:val="24"/>
      <w:szCs w:val="24"/>
    </w:rPr>
  </w:style>
  <w:style w:type="paragraph" w:customStyle="1" w:styleId="OrderHeader">
    <w:name w:val="Order Header"/>
    <w:basedOn w:val="Header"/>
    <w:rsid w:val="00CD7132"/>
    <w:pPr>
      <w:jc w:val="both"/>
    </w:pPr>
  </w:style>
  <w:style w:type="character" w:styleId="PageNumber">
    <w:name w:val="page number"/>
    <w:rsid w:val="00CD7132"/>
  </w:style>
  <w:style w:type="paragraph" w:styleId="Header">
    <w:name w:val="header"/>
    <w:basedOn w:val="Normal"/>
    <w:rsid w:val="00CD7132"/>
    <w:pPr>
      <w:tabs>
        <w:tab w:val="center" w:pos="4320"/>
        <w:tab w:val="right" w:pos="8640"/>
      </w:tabs>
    </w:pPr>
  </w:style>
  <w:style w:type="paragraph" w:customStyle="1" w:styleId="CenterUnderline">
    <w:name w:val="CenterUnderline"/>
    <w:basedOn w:val="Normal"/>
    <w:rsid w:val="00CD7132"/>
    <w:pPr>
      <w:jc w:val="center"/>
    </w:pPr>
    <w:rPr>
      <w:u w:val="single"/>
    </w:rPr>
  </w:style>
  <w:style w:type="character" w:styleId="FootnoteReference">
    <w:name w:val="footnote reference"/>
    <w:semiHidden/>
    <w:rsid w:val="00CD7132"/>
    <w:rPr>
      <w:vertAlign w:val="superscript"/>
    </w:rPr>
  </w:style>
  <w:style w:type="paragraph" w:styleId="FootnoteText">
    <w:name w:val="footnote text"/>
    <w:basedOn w:val="Normal"/>
    <w:rsid w:val="00CD7132"/>
    <w:pPr>
      <w:jc w:val="both"/>
    </w:pPr>
    <w:rPr>
      <w:sz w:val="20"/>
      <w:szCs w:val="20"/>
    </w:rPr>
  </w:style>
  <w:style w:type="paragraph" w:customStyle="1" w:styleId="Level3">
    <w:name w:val="Level 3"/>
    <w:basedOn w:val="Normal"/>
    <w:rsid w:val="00CD7132"/>
    <w:pPr>
      <w:widowControl w:val="0"/>
      <w:autoSpaceDE w:val="0"/>
      <w:autoSpaceDN w:val="0"/>
      <w:adjustRightInd w:val="0"/>
      <w:ind w:left="2160" w:hanging="720"/>
      <w:outlineLvl w:val="2"/>
    </w:pPr>
  </w:style>
  <w:style w:type="paragraph" w:customStyle="1" w:styleId="OrderDouble">
    <w:name w:val="Order Double"/>
    <w:basedOn w:val="OrderBody"/>
    <w:rsid w:val="00CD7132"/>
    <w:pPr>
      <w:spacing w:line="480" w:lineRule="auto"/>
      <w:jc w:val="left"/>
    </w:pPr>
  </w:style>
  <w:style w:type="paragraph" w:customStyle="1" w:styleId="OrderDoubleJustified">
    <w:name w:val="Order Double Justified"/>
    <w:basedOn w:val="OrderDouble"/>
    <w:rsid w:val="00CD7132"/>
    <w:pPr>
      <w:jc w:val="both"/>
    </w:pPr>
  </w:style>
  <w:style w:type="paragraph" w:customStyle="1" w:styleId="OrderHanging">
    <w:name w:val="Order Hanging"/>
    <w:basedOn w:val="Normal"/>
    <w:rsid w:val="00CD7132"/>
    <w:pPr>
      <w:ind w:left="1440" w:hanging="1440"/>
      <w:jc w:val="both"/>
    </w:pPr>
    <w:rPr>
      <w:szCs w:val="20"/>
    </w:rPr>
  </w:style>
  <w:style w:type="paragraph" w:customStyle="1" w:styleId="OrderHanging2">
    <w:name w:val="Order Hanging 2"/>
    <w:basedOn w:val="Normal"/>
    <w:rsid w:val="00CD7132"/>
    <w:pPr>
      <w:ind w:left="2880" w:hanging="2880"/>
      <w:jc w:val="both"/>
    </w:pPr>
  </w:style>
  <w:style w:type="paragraph" w:customStyle="1" w:styleId="OrderHeading">
    <w:name w:val="Order Heading"/>
    <w:basedOn w:val="Normal"/>
    <w:rsid w:val="00CD7132"/>
    <w:pPr>
      <w:jc w:val="center"/>
    </w:pPr>
  </w:style>
  <w:style w:type="paragraph" w:customStyle="1" w:styleId="OrderSigInfo">
    <w:name w:val="Order Sig Info"/>
    <w:basedOn w:val="OrderBody"/>
    <w:next w:val="OrderBody"/>
    <w:rsid w:val="00CD7132"/>
    <w:pPr>
      <w:ind w:left="4464"/>
    </w:pPr>
    <w:rPr>
      <w:szCs w:val="20"/>
    </w:rPr>
  </w:style>
  <w:style w:type="paragraph" w:customStyle="1" w:styleId="OrderFootNote">
    <w:name w:val="OrderFootNote"/>
    <w:basedOn w:val="FootnoteText"/>
    <w:rsid w:val="00CD7132"/>
    <w:pPr>
      <w:spacing w:after="240"/>
      <w:ind w:firstLine="432"/>
    </w:pPr>
  </w:style>
  <w:style w:type="table" w:styleId="TableGrid">
    <w:name w:val="Table Grid"/>
    <w:basedOn w:val="TableNormal"/>
    <w:rsid w:val="00CD71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ertificateofServiceBody">
    <w:name w:val="Certificate of Service Body"/>
    <w:basedOn w:val="Normal"/>
    <w:next w:val="Normal"/>
    <w:rsid w:val="00CD7132"/>
    <w:pPr>
      <w:jc w:val="both"/>
    </w:pPr>
  </w:style>
  <w:style w:type="character" w:customStyle="1" w:styleId="Heading1Char">
    <w:name w:val="Heading 1 Char"/>
    <w:link w:val="Heading1"/>
    <w:rsid w:val="00CD7132"/>
    <w:rPr>
      <w:rFonts w:cs="Arial"/>
      <w:bCs/>
      <w:kern w:val="32"/>
      <w:sz w:val="24"/>
      <w:szCs w:val="32"/>
    </w:rPr>
  </w:style>
  <w:style w:type="character" w:customStyle="1" w:styleId="Heading9Char">
    <w:name w:val="Heading 9 Char"/>
    <w:link w:val="Heading9"/>
    <w:rsid w:val="00CD7132"/>
    <w:rPr>
      <w:rFonts w:ascii="Arial" w:hAnsi="Arial" w:cs="Arial"/>
      <w:sz w:val="22"/>
      <w:szCs w:val="22"/>
    </w:rPr>
  </w:style>
  <w:style w:type="paragraph" w:styleId="BodyText">
    <w:name w:val="Body Text"/>
    <w:basedOn w:val="Normal"/>
    <w:link w:val="BodyTextChar"/>
    <w:rsid w:val="00CD7132"/>
    <w:pPr>
      <w:spacing w:after="120"/>
    </w:pPr>
  </w:style>
  <w:style w:type="character" w:customStyle="1" w:styleId="BodyTextChar">
    <w:name w:val="Body Text Char"/>
    <w:link w:val="BodyText"/>
    <w:rsid w:val="00CD7132"/>
    <w:rPr>
      <w:sz w:val="24"/>
      <w:szCs w:val="24"/>
    </w:rPr>
  </w:style>
  <w:style w:type="character" w:customStyle="1" w:styleId="Heading2Char">
    <w:name w:val="Heading 2 Char"/>
    <w:link w:val="Heading2"/>
    <w:rsid w:val="00CD7132"/>
    <w:rPr>
      <w:rFonts w:cs="Arial"/>
      <w:bCs/>
      <w:iCs/>
      <w:sz w:val="24"/>
      <w:szCs w:val="28"/>
    </w:rPr>
  </w:style>
  <w:style w:type="character" w:customStyle="1" w:styleId="Heading3Char">
    <w:name w:val="Heading 3 Char"/>
    <w:link w:val="Heading3"/>
    <w:rsid w:val="00CD7132"/>
    <w:rPr>
      <w:sz w:val="24"/>
      <w:szCs w:val="24"/>
    </w:rPr>
  </w:style>
  <w:style w:type="character" w:customStyle="1" w:styleId="Heading4Char">
    <w:name w:val="Heading 4 Char"/>
    <w:link w:val="Heading4"/>
    <w:rsid w:val="00CD7132"/>
    <w:rPr>
      <w:b/>
      <w:bCs/>
      <w:sz w:val="28"/>
      <w:szCs w:val="28"/>
    </w:rPr>
  </w:style>
  <w:style w:type="character" w:customStyle="1" w:styleId="Heading5Char">
    <w:name w:val="Heading 5 Char"/>
    <w:link w:val="Heading5"/>
    <w:rsid w:val="00CD7132"/>
    <w:rPr>
      <w:b/>
      <w:bCs/>
      <w:i/>
      <w:iCs/>
      <w:sz w:val="26"/>
      <w:szCs w:val="26"/>
    </w:rPr>
  </w:style>
  <w:style w:type="character" w:customStyle="1" w:styleId="Heading6Char">
    <w:name w:val="Heading 6 Char"/>
    <w:link w:val="Heading6"/>
    <w:rsid w:val="00CD7132"/>
    <w:rPr>
      <w:b/>
      <w:bCs/>
      <w:sz w:val="22"/>
      <w:szCs w:val="22"/>
    </w:rPr>
  </w:style>
  <w:style w:type="character" w:customStyle="1" w:styleId="Heading7Char">
    <w:name w:val="Heading 7 Char"/>
    <w:link w:val="Heading7"/>
    <w:rsid w:val="00CD7132"/>
    <w:rPr>
      <w:sz w:val="24"/>
      <w:szCs w:val="24"/>
    </w:rPr>
  </w:style>
  <w:style w:type="character" w:customStyle="1" w:styleId="Heading8Char">
    <w:name w:val="Heading 8 Char"/>
    <w:link w:val="Heading8"/>
    <w:rsid w:val="00CD7132"/>
    <w:rPr>
      <w:i/>
      <w:iCs/>
      <w:sz w:val="24"/>
      <w:szCs w:val="24"/>
    </w:rPr>
  </w:style>
  <w:style w:type="paragraph" w:styleId="ListParagraph">
    <w:name w:val="List Paragraph"/>
    <w:basedOn w:val="Normal"/>
    <w:uiPriority w:val="34"/>
    <w:qFormat/>
    <w:rsid w:val="005F7CCE"/>
    <w:pPr>
      <w:ind w:left="720"/>
      <w:contextualSpacing/>
    </w:pPr>
  </w:style>
  <w:style w:type="paragraph" w:styleId="BalloonText">
    <w:name w:val="Balloon Text"/>
    <w:basedOn w:val="Normal"/>
    <w:link w:val="BalloonTextChar"/>
    <w:rsid w:val="003C183B"/>
    <w:rPr>
      <w:rFonts w:ascii="Tahoma" w:hAnsi="Tahoma" w:cs="Tahoma"/>
      <w:sz w:val="16"/>
      <w:szCs w:val="16"/>
    </w:rPr>
  </w:style>
  <w:style w:type="character" w:customStyle="1" w:styleId="BalloonTextChar">
    <w:name w:val="Balloon Text Char"/>
    <w:basedOn w:val="DefaultParagraphFont"/>
    <w:link w:val="BalloonText"/>
    <w:rsid w:val="003C183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4250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GCL\Orders%20with%20Chairman%20Brown,%20Graham,%20Bris&#233;,%20Patronis,%20and%20Polmann.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Orders with Chairman Brown, Graham, Brisé, Patronis, and Polmann.dot</Template>
  <TotalTime>0</TotalTime>
  <Pages>3</Pages>
  <Words>919</Words>
  <Characters>5291</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2017-03-14T12:57:00Z</dcterms:created>
  <dcterms:modified xsi:type="dcterms:W3CDTF">2017-03-14T13:11:00Z</dcterms:modified>
</cp:coreProperties>
</file>