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481EB7">
            <w:pPr>
              <w:jc w:val="center"/>
            </w:pPr>
            <w:r>
              <w:rPr>
                <w:noProof/>
              </w:rPr>
              <w:drawing>
                <wp:inline distT="0" distB="0" distL="0" distR="0" wp14:anchorId="1BC0881F" wp14:editId="4432E00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81EB7">
            <w:pPr>
              <w:pStyle w:val="MemoHeading"/>
            </w:pPr>
            <w:bookmarkStart w:id="1" w:name="FilingDate"/>
            <w:r>
              <w:t>March 23,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81EB7" w:rsidRDefault="00481EB7">
            <w:pPr>
              <w:pStyle w:val="MemoHeading"/>
            </w:pPr>
            <w:bookmarkStart w:id="2" w:name="From"/>
            <w:r>
              <w:t>Division of Economics (Ollila)</w:t>
            </w:r>
          </w:p>
          <w:p w:rsidR="007C0528" w:rsidRDefault="00481EB7">
            <w:pPr>
              <w:pStyle w:val="MemoHeading"/>
            </w:pPr>
            <w:r>
              <w:t>Office of the General Counsel (Leathers)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81EB7">
            <w:pPr>
              <w:pStyle w:val="MemoHeadingRe"/>
            </w:pPr>
            <w:bookmarkStart w:id="3" w:name="Re"/>
            <w:r>
              <w:t>Docket No. 170029-GU – Petition for approval of modifications to extension of facilities and area extension program tariffs,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81EB7">
            <w:pPr>
              <w:pStyle w:val="MemoHeading"/>
            </w:pPr>
            <w:bookmarkStart w:id="4" w:name="AgendaDate"/>
            <w:r>
              <w:t>04/04/17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81EB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81EB7">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628FD" w:rsidP="00964858">
            <w:pPr>
              <w:pStyle w:val="MemoHeading"/>
            </w:pPr>
            <w:bookmarkStart w:id="9" w:name="CriticalDates"/>
            <w:r>
              <w:t>04/04/17 (</w:t>
            </w:r>
            <w:r w:rsidR="00481EB7">
              <w:t>60-Day</w:t>
            </w:r>
            <w:r w:rsidR="00964858">
              <w:t xml:space="preserve"> S</w:t>
            </w:r>
            <w:r w:rsidR="00481EB7">
              <w:t xml:space="preserve">uspension </w:t>
            </w:r>
            <w:r w:rsidR="00964858">
              <w:t>D</w:t>
            </w:r>
            <w:r w:rsidR="00481EB7">
              <w:t xml:space="preserve">ate </w:t>
            </w:r>
            <w:r w:rsidR="00964858">
              <w:t>W</w:t>
            </w:r>
            <w:r w:rsidR="00481EB7">
              <w:t xml:space="preserve">aived by the </w:t>
            </w:r>
            <w:r w:rsidR="00964858">
              <w:t>C</w:t>
            </w:r>
            <w:r w:rsidR="00481EB7">
              <w:t xml:space="preserve">ompany </w:t>
            </w:r>
            <w:r w:rsidR="00964858">
              <w:t>U</w:t>
            </w:r>
            <w:r w:rsidR="00481EB7">
              <w:t xml:space="preserve">ntil the </w:t>
            </w:r>
            <w:r w:rsidR="00D76E86">
              <w:t>0</w:t>
            </w:r>
            <w:r w:rsidR="00964858">
              <w:t>4/</w:t>
            </w:r>
            <w:r w:rsidR="00D76E86">
              <w:t>0</w:t>
            </w:r>
            <w:r w:rsidR="00481EB7">
              <w:t>4</w:t>
            </w:r>
            <w:r w:rsidR="00964858">
              <w:t>/</w:t>
            </w:r>
            <w:r w:rsidR="00481EB7">
              <w:t>17 Agenda</w:t>
            </w:r>
            <w:bookmarkEnd w:id="9"/>
            <w:r w:rsidR="00964858">
              <w:t xml:space="preserve"> Conference</w:t>
            </w:r>
            <w:r>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81EB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481EB7">
      <w:pPr>
        <w:pStyle w:val="BodyText"/>
      </w:pPr>
      <w:r>
        <w:t>On February 2, 2017, Florida City Gas (</w:t>
      </w:r>
      <w:r w:rsidR="00C119BA">
        <w:t>FCG or Company</w:t>
      </w:r>
      <w:r>
        <w:t xml:space="preserve">) filed a petition for approval of modifications to </w:t>
      </w:r>
      <w:r w:rsidR="00C119BA">
        <w:t>its existing E</w:t>
      </w:r>
      <w:r>
        <w:t xml:space="preserve">xtension of </w:t>
      </w:r>
      <w:r w:rsidR="00C119BA">
        <w:t>F</w:t>
      </w:r>
      <w:r>
        <w:t>acilities</w:t>
      </w:r>
      <w:r w:rsidR="00C119BA">
        <w:t xml:space="preserve"> </w:t>
      </w:r>
      <w:r w:rsidR="00B728D1">
        <w:t xml:space="preserve">(applicable to general tariff extension customers) </w:t>
      </w:r>
      <w:r>
        <w:t xml:space="preserve">and </w:t>
      </w:r>
      <w:r w:rsidR="00C119BA">
        <w:t>A</w:t>
      </w:r>
      <w:r>
        <w:t xml:space="preserve">rea </w:t>
      </w:r>
      <w:r w:rsidR="00C119BA">
        <w:t>E</w:t>
      </w:r>
      <w:r>
        <w:t xml:space="preserve">xtension </w:t>
      </w:r>
      <w:r w:rsidR="00C119BA">
        <w:t>P</w:t>
      </w:r>
      <w:r>
        <w:t>rogram (AEP) tariffs.</w:t>
      </w:r>
      <w:r w:rsidR="000C7018">
        <w:t xml:space="preserve"> </w:t>
      </w:r>
      <w:r w:rsidR="009A2084">
        <w:t>In accordance with Rule 25-7.054, Florida Administrative Code, (F.A.C.), t</w:t>
      </w:r>
      <w:r w:rsidR="000C7018">
        <w:t xml:space="preserve">he tariffs apply to new customers that require an extension of </w:t>
      </w:r>
      <w:r w:rsidR="009A2084">
        <w:t xml:space="preserve">gas distribution </w:t>
      </w:r>
      <w:r w:rsidR="000C7018">
        <w:t xml:space="preserve">facilities in order to receive service. </w:t>
      </w:r>
      <w:r w:rsidR="00C119BA">
        <w:t xml:space="preserve">The proposed </w:t>
      </w:r>
      <w:r w:rsidR="009A2084">
        <w:t>tariff modifications</w:t>
      </w:r>
      <w:r w:rsidR="00C119BA">
        <w:t xml:space="preserve"> w</w:t>
      </w:r>
      <w:r w:rsidR="00A15482">
        <w:t>ill</w:t>
      </w:r>
      <w:r w:rsidR="00BF53A1">
        <w:t xml:space="preserve"> </w:t>
      </w:r>
      <w:r w:rsidR="009A2084">
        <w:t>allow</w:t>
      </w:r>
      <w:r w:rsidR="00BF53A1">
        <w:t xml:space="preserve"> FCG to</w:t>
      </w:r>
      <w:r w:rsidR="00C119BA">
        <w:t xml:space="preserve"> require </w:t>
      </w:r>
      <w:r w:rsidR="004225C1">
        <w:t>certain</w:t>
      </w:r>
      <w:r w:rsidR="00C119BA">
        <w:t xml:space="preserve"> </w:t>
      </w:r>
      <w:r w:rsidR="0046390A">
        <w:t xml:space="preserve">general tariff </w:t>
      </w:r>
      <w:r w:rsidR="00B728D1">
        <w:t xml:space="preserve">extension </w:t>
      </w:r>
      <w:r w:rsidR="0046390A">
        <w:t>customer</w:t>
      </w:r>
      <w:r w:rsidR="004225C1">
        <w:t>s and AEP customers</w:t>
      </w:r>
      <w:r w:rsidR="0046390A">
        <w:t xml:space="preserve"> to commit </w:t>
      </w:r>
      <w:r w:rsidR="004225C1">
        <w:t xml:space="preserve">to </w:t>
      </w:r>
      <w:r w:rsidR="0046390A">
        <w:t xml:space="preserve">receive natural gas service at a defined minimum </w:t>
      </w:r>
      <w:r w:rsidR="00A15482">
        <w:t xml:space="preserve">annual </w:t>
      </w:r>
      <w:r w:rsidR="00F73250">
        <w:t>volume</w:t>
      </w:r>
      <w:r w:rsidR="0046390A">
        <w:t xml:space="preserve"> and to pay for the minimum </w:t>
      </w:r>
      <w:r w:rsidR="006628FD">
        <w:t xml:space="preserve">annual </w:t>
      </w:r>
      <w:r w:rsidR="00F73250">
        <w:t>volume</w:t>
      </w:r>
      <w:r w:rsidR="0046390A">
        <w:t xml:space="preserve"> even if it </w:t>
      </w:r>
      <w:r w:rsidR="003F1161">
        <w:t>had</w:t>
      </w:r>
      <w:r w:rsidR="0046390A">
        <w:t xml:space="preserve"> not </w:t>
      </w:r>
      <w:r w:rsidR="003F1161">
        <w:t xml:space="preserve">been </w:t>
      </w:r>
      <w:r w:rsidR="0046390A">
        <w:t>reached</w:t>
      </w:r>
      <w:r w:rsidR="00E108F8">
        <w:t xml:space="preserve">, i.e., a </w:t>
      </w:r>
      <w:r w:rsidR="00C119BA">
        <w:t>take or pay</w:t>
      </w:r>
      <w:r w:rsidR="006D32C3">
        <w:t xml:space="preserve"> commitment</w:t>
      </w:r>
      <w:r w:rsidR="001A58C0">
        <w:t>,</w:t>
      </w:r>
      <w:r w:rsidR="006D32C3">
        <w:t xml:space="preserve"> in order to receive</w:t>
      </w:r>
      <w:r w:rsidR="00C119BA">
        <w:t xml:space="preserve"> service.</w:t>
      </w:r>
    </w:p>
    <w:p w:rsidR="00BA5917" w:rsidRDefault="00137A30" w:rsidP="00BA5917">
      <w:pPr>
        <w:pStyle w:val="BodyText"/>
      </w:pPr>
      <w:r>
        <w:t>In a</w:t>
      </w:r>
      <w:r w:rsidR="004A5F2B">
        <w:t xml:space="preserve"> February 7, 2017 email (</w:t>
      </w:r>
      <w:r>
        <w:t xml:space="preserve">subsequently </w:t>
      </w:r>
      <w:r w:rsidR="004A5F2B">
        <w:t xml:space="preserve">filed in the docket), </w:t>
      </w:r>
      <w:r w:rsidR="00236AB8">
        <w:t>FCG waived the 60-day suspension d</w:t>
      </w:r>
      <w:r>
        <w:t>eadline, pursuant to Section 366.06(3), Florida Statutes (F.S.),</w:t>
      </w:r>
      <w:r w:rsidR="00236AB8">
        <w:t xml:space="preserve"> until the April 4, </w:t>
      </w:r>
      <w:r w:rsidR="00236AB8">
        <w:lastRenderedPageBreak/>
        <w:t xml:space="preserve">2017 Agenda Conference. </w:t>
      </w:r>
      <w:r w:rsidR="004A5F2B">
        <w:t xml:space="preserve">FCG responded to </w:t>
      </w:r>
      <w:r>
        <w:t>s</w:t>
      </w:r>
      <w:r w:rsidR="004A5F2B">
        <w:t xml:space="preserve">taff’s </w:t>
      </w:r>
      <w:r>
        <w:t>f</w:t>
      </w:r>
      <w:r w:rsidR="004A5F2B">
        <w:t xml:space="preserve">irst </w:t>
      </w:r>
      <w:r>
        <w:t>d</w:t>
      </w:r>
      <w:r w:rsidR="004A5F2B">
        <w:t xml:space="preserve">ata </w:t>
      </w:r>
      <w:r>
        <w:t>r</w:t>
      </w:r>
      <w:r w:rsidR="004A5F2B">
        <w:t>equest on March 3, 2017. On March 17, 2017, the Company filed revised responses to staff’s data request and revised tariff pages.</w:t>
      </w:r>
      <w:r w:rsidR="002B7EA3">
        <w:t xml:space="preserve"> The proposed tariff</w:t>
      </w:r>
      <w:r>
        <w:t xml:space="preserve"> pages </w:t>
      </w:r>
      <w:r w:rsidR="00A15482">
        <w:t xml:space="preserve">as revised </w:t>
      </w:r>
      <w:r>
        <w:t>are contained in</w:t>
      </w:r>
      <w:r w:rsidR="002B7EA3">
        <w:t xml:space="preserve"> Attachment </w:t>
      </w:r>
      <w:r w:rsidR="00454438">
        <w:t>1</w:t>
      </w:r>
      <w:r w:rsidR="006628FD">
        <w:t xml:space="preserve"> of this recommendation</w:t>
      </w:r>
      <w:r w:rsidR="002B7EA3">
        <w:t xml:space="preserve">. </w:t>
      </w:r>
      <w:r w:rsidR="00BA5917" w:rsidRPr="006F3834">
        <w:t>The Commission has jurisdiction over this matter pursuant to Section</w:t>
      </w:r>
      <w:r w:rsidR="006628FD">
        <w:t>s 366.04</w:t>
      </w:r>
      <w:r w:rsidR="00BA5917" w:rsidRPr="006F3834">
        <w:t xml:space="preserve">, </w:t>
      </w:r>
      <w:r w:rsidR="006628FD">
        <w:t xml:space="preserve">366.05, 366.06, </w:t>
      </w:r>
      <w:r w:rsidR="00BA5917" w:rsidRPr="006F3834">
        <w:t>F</w:t>
      </w:r>
      <w:r w:rsidR="004A5F2B">
        <w:t>.</w:t>
      </w:r>
      <w:r w:rsidR="00BA5917" w:rsidRPr="006F3834">
        <w:t>S.</w:t>
      </w:r>
    </w:p>
    <w:p w:rsidR="00137A30" w:rsidRDefault="00137A30" w:rsidP="00137A30">
      <w:pPr>
        <w:pStyle w:val="BodyText"/>
      </w:pPr>
    </w:p>
    <w:p w:rsidR="00BA5917" w:rsidRDefault="00BA5917" w:rsidP="00BA5917">
      <w:pPr>
        <w:pStyle w:val="BodyText"/>
      </w:pPr>
    </w:p>
    <w:p w:rsidR="007C0528" w:rsidRDefault="007C0528" w:rsidP="007A3802">
      <w:pPr>
        <w:pStyle w:val="BodyText"/>
      </w:pP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81EB7" w:rsidRDefault="00481EB7">
      <w:pPr>
        <w:pStyle w:val="IssueHeading"/>
        <w:rPr>
          <w:vanish/>
          <w:specVanish/>
        </w:rPr>
      </w:pPr>
      <w:r w:rsidRPr="004C3641">
        <w:t xml:space="preserve">Issue </w:t>
      </w:r>
      <w:r w:rsidR="00DF0457">
        <w:fldChar w:fldCharType="begin"/>
      </w:r>
      <w:r w:rsidR="00DF0457">
        <w:instrText xml:space="preserve"> SEQ Issue \* MERGEFORMAT </w:instrText>
      </w:r>
      <w:r w:rsidR="00DF0457">
        <w:fldChar w:fldCharType="separate"/>
      </w:r>
      <w:r w:rsidR="009A2084">
        <w:rPr>
          <w:noProof/>
        </w:rPr>
        <w:t>1</w:t>
      </w:r>
      <w:r w:rsidR="00DF045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A2084">
        <w:rPr>
          <w:noProof/>
        </w:rPr>
        <w:instrText>1</w:instrText>
      </w:r>
      <w:r>
        <w:fldChar w:fldCharType="end"/>
      </w:r>
      <w:r>
        <w:tab/>
        <w:instrText xml:space="preserve">(Ollila)" \l 1 </w:instrText>
      </w:r>
      <w:r>
        <w:fldChar w:fldCharType="end"/>
      </w:r>
      <w:r>
        <w:t> </w:t>
      </w:r>
    </w:p>
    <w:p w:rsidR="00481EB7" w:rsidRDefault="00481EB7">
      <w:pPr>
        <w:pStyle w:val="BodyText"/>
      </w:pPr>
      <w:r>
        <w:t xml:space="preserve"> Should the Commission approve </w:t>
      </w:r>
      <w:r w:rsidR="00C119BA">
        <w:t>FCG’s</w:t>
      </w:r>
      <w:r>
        <w:t xml:space="preserve"> proposed tariff modifications</w:t>
      </w:r>
      <w:r w:rsidR="009D4D5F">
        <w:t>,</w:t>
      </w:r>
      <w:r>
        <w:t xml:space="preserve"> </w:t>
      </w:r>
      <w:r w:rsidR="00B728D1">
        <w:t xml:space="preserve">as revised on March 17, 2017, </w:t>
      </w:r>
      <w:r>
        <w:t xml:space="preserve">to the </w:t>
      </w:r>
      <w:r w:rsidR="00D72F39">
        <w:t>E</w:t>
      </w:r>
      <w:r>
        <w:t xml:space="preserve">xtension of </w:t>
      </w:r>
      <w:r w:rsidR="00D72F39">
        <w:t>F</w:t>
      </w:r>
      <w:r>
        <w:t xml:space="preserve">acilities and AEP </w:t>
      </w:r>
      <w:r w:rsidR="006628FD">
        <w:t>tariffs</w:t>
      </w:r>
      <w:r>
        <w:t>?</w:t>
      </w:r>
    </w:p>
    <w:p w:rsidR="00481EB7" w:rsidRPr="004C3641" w:rsidRDefault="00481EB7">
      <w:pPr>
        <w:pStyle w:val="IssueSubsectionHeading"/>
        <w:rPr>
          <w:vanish/>
          <w:specVanish/>
        </w:rPr>
      </w:pPr>
      <w:r w:rsidRPr="004C3641">
        <w:t>Recommendation: </w:t>
      </w:r>
    </w:p>
    <w:p w:rsidR="00481EB7" w:rsidRDefault="003D1159">
      <w:pPr>
        <w:pStyle w:val="BodyText"/>
      </w:pPr>
      <w:r>
        <w:t xml:space="preserve"> Yes, the Commission should approve </w:t>
      </w:r>
      <w:r w:rsidR="00C119BA">
        <w:t>FCG’s</w:t>
      </w:r>
      <w:r>
        <w:t xml:space="preserve"> proposed tariff modifications</w:t>
      </w:r>
      <w:r w:rsidR="009317C7">
        <w:t>,</w:t>
      </w:r>
      <w:r>
        <w:t xml:space="preserve"> </w:t>
      </w:r>
      <w:r w:rsidR="00B728D1">
        <w:t xml:space="preserve">as revised on March 17, 2017, </w:t>
      </w:r>
      <w:r>
        <w:t xml:space="preserve">to the </w:t>
      </w:r>
      <w:r w:rsidR="00D72F39">
        <w:t>E</w:t>
      </w:r>
      <w:r>
        <w:t xml:space="preserve">xtension of </w:t>
      </w:r>
      <w:r w:rsidR="00D72F39">
        <w:t>F</w:t>
      </w:r>
      <w:r>
        <w:t xml:space="preserve">acilities and AEP </w:t>
      </w:r>
      <w:r w:rsidR="006628FD">
        <w:t>tariffs effective April 4, 2017</w:t>
      </w:r>
      <w:r>
        <w:t xml:space="preserve">. </w:t>
      </w:r>
      <w:r w:rsidR="00481EB7">
        <w:t>(Ollila)</w:t>
      </w:r>
    </w:p>
    <w:p w:rsidR="00481EB7" w:rsidRPr="004C3641" w:rsidRDefault="00481EB7">
      <w:pPr>
        <w:pStyle w:val="IssueSubsectionHeading"/>
        <w:rPr>
          <w:vanish/>
          <w:specVanish/>
        </w:rPr>
      </w:pPr>
      <w:r w:rsidRPr="004C3641">
        <w:t>Staff Analysis: </w:t>
      </w:r>
    </w:p>
    <w:p w:rsidR="00236AB8" w:rsidRDefault="00481EB7" w:rsidP="00146282">
      <w:pPr>
        <w:pStyle w:val="BodyText"/>
      </w:pPr>
      <w:r>
        <w:t> </w:t>
      </w:r>
    </w:p>
    <w:p w:rsidR="00236AB8" w:rsidRDefault="00B728D1" w:rsidP="00236AB8">
      <w:pPr>
        <w:pStyle w:val="First-LevelSubheading"/>
      </w:pPr>
      <w:r>
        <w:t xml:space="preserve">Current </w:t>
      </w:r>
      <w:r w:rsidR="00236AB8">
        <w:t xml:space="preserve">Extension of Facilities </w:t>
      </w:r>
      <w:r>
        <w:t>Tariffs</w:t>
      </w:r>
    </w:p>
    <w:p w:rsidR="00A15482" w:rsidRDefault="00236AB8" w:rsidP="00236AB8">
      <w:pPr>
        <w:pStyle w:val="BodyText"/>
      </w:pPr>
      <w:r>
        <w:t>Rule 2</w:t>
      </w:r>
      <w:r w:rsidR="00CA6A7A">
        <w:t>5</w:t>
      </w:r>
      <w:r>
        <w:t>-7.054(3), F.A.C., provides that extensions</w:t>
      </w:r>
      <w:r w:rsidR="00735BAB">
        <w:t xml:space="preserve"> of gas facilities</w:t>
      </w:r>
      <w:r>
        <w:t xml:space="preserve"> are made at no cost to the customer when the capital investment necessary to extend service is equal to or less than the Maximum Allowable Construction Cost (MACC). FCG’s tariff </w:t>
      </w:r>
      <w:r w:rsidR="00410B11">
        <w:t>defines the MACC as</w:t>
      </w:r>
      <w:r>
        <w:t xml:space="preserve"> six times</w:t>
      </w:r>
      <w:r w:rsidR="00410B11" w:rsidRPr="00410B11">
        <w:t xml:space="preserve"> </w:t>
      </w:r>
      <w:r w:rsidR="00410B11">
        <w:t>the estimated annual gas revenue less the cost of gas (margin revenues)</w:t>
      </w:r>
      <w:r>
        <w:t>.</w:t>
      </w:r>
      <w:r>
        <w:rPr>
          <w:rStyle w:val="FootnoteReference"/>
        </w:rPr>
        <w:footnoteReference w:id="1"/>
      </w:r>
      <w:r>
        <w:t xml:space="preserve"> If the </w:t>
      </w:r>
      <w:r w:rsidR="00735BAB">
        <w:t>required capital investment exceeds</w:t>
      </w:r>
      <w:r>
        <w:t xml:space="preserve"> the MACC, then the customer must pay the difference between the MACC and the </w:t>
      </w:r>
      <w:r w:rsidR="00510EDF">
        <w:t>capital</w:t>
      </w:r>
      <w:r>
        <w:t xml:space="preserve"> costs as </w:t>
      </w:r>
      <w:r w:rsidR="00510EDF">
        <w:t xml:space="preserve">an </w:t>
      </w:r>
      <w:r>
        <w:t>Aid to Construction (ATC)</w:t>
      </w:r>
      <w:r w:rsidR="00B728D1">
        <w:t xml:space="preserve"> pursuant to FCG’s “Extensions of mains and service</w:t>
      </w:r>
      <w:r w:rsidR="00CA6A7A">
        <w:t>s</w:t>
      </w:r>
      <w:r w:rsidR="00B728D1">
        <w:t xml:space="preserve"> above free limit” tariff provision</w:t>
      </w:r>
      <w:r>
        <w:t>.</w:t>
      </w:r>
      <w:r w:rsidR="00A15482">
        <w:t xml:space="preserve"> This tariff provision is shown </w:t>
      </w:r>
      <w:r w:rsidR="009317C7">
        <w:t>on</w:t>
      </w:r>
      <w:r w:rsidR="00A15482">
        <w:t xml:space="preserve"> Page 1 of 3 of Attachment 1. </w:t>
      </w:r>
      <w:r>
        <w:t xml:space="preserve"> </w:t>
      </w:r>
    </w:p>
    <w:p w:rsidR="00236AB8" w:rsidRDefault="00236AB8" w:rsidP="00236AB8">
      <w:pPr>
        <w:pStyle w:val="BodyText"/>
      </w:pPr>
      <w:r>
        <w:t>FCG stated that during 2012-2016 over 4,400 customers (</w:t>
      </w:r>
      <w:r w:rsidR="00A15482">
        <w:t>or on</w:t>
      </w:r>
      <w:r>
        <w:t xml:space="preserve"> average 8</w:t>
      </w:r>
      <w:r w:rsidR="00A15482">
        <w:t>8</w:t>
      </w:r>
      <w:r>
        <w:t xml:space="preserve">0 </w:t>
      </w:r>
      <w:r w:rsidR="00A15482">
        <w:t xml:space="preserve">customers </w:t>
      </w:r>
      <w:r>
        <w:t>per year) paid ATC costs.</w:t>
      </w:r>
      <w:r w:rsidR="00B4420A">
        <w:t xml:space="preserve"> </w:t>
      </w:r>
      <w:r w:rsidR="00A15482">
        <w:t>The c</w:t>
      </w:r>
      <w:r w:rsidR="00B4420A">
        <w:t>apital investment to serve a new customer may include gas mains, service lines, and regulators.</w:t>
      </w:r>
    </w:p>
    <w:p w:rsidR="00236AB8" w:rsidRDefault="00236AB8" w:rsidP="00236AB8">
      <w:pPr>
        <w:pStyle w:val="BodyText"/>
      </w:pPr>
      <w:r>
        <w:t xml:space="preserve">The AEP tariff is designed to provide FCG with an </w:t>
      </w:r>
      <w:r w:rsidR="00510EDF">
        <w:t xml:space="preserve">alternate </w:t>
      </w:r>
      <w:r>
        <w:t>optional method to recover its capital investment to provide natural gas service to customers in a discrete geographic area who do not have gas service available.</w:t>
      </w:r>
      <w:r w:rsidR="00510EDF">
        <w:rPr>
          <w:rStyle w:val="FootnoteReference"/>
        </w:rPr>
        <w:footnoteReference w:id="2"/>
      </w:r>
      <w:r>
        <w:t xml:space="preserve"> The AEP tariff provides for the determination of a charge applicable to all gas customers located in the geographic area over a 10-year amortization period. The AEP charge is applied on a per therm basis in addition to all other tariffed charges. The AEP charge is calculated by a formula based on the amount of investment required and the projected gas sales and resulting revenues collected from customers in the AEP area. </w:t>
      </w:r>
    </w:p>
    <w:p w:rsidR="00236AB8" w:rsidRDefault="00236AB8" w:rsidP="00236AB8">
      <w:pPr>
        <w:pStyle w:val="BodyText"/>
      </w:pPr>
      <w:r>
        <w:t xml:space="preserve">The AEP tariff requires FCG to recalculate and true-up the AEP charge on the third anniversary of the date when the facilities to provide gas service were placed into service, or on the date when 80 percent of the originally forecast annual load is connected, whichever comes first. The Company can true-up the AEP charge only once, and the new charge will be applied prospectively over the remainder of the amortization period. </w:t>
      </w:r>
    </w:p>
    <w:p w:rsidR="00D54DD5" w:rsidRDefault="00236AB8" w:rsidP="00236AB8">
      <w:pPr>
        <w:pStyle w:val="BodyText"/>
      </w:pPr>
      <w:r>
        <w:t xml:space="preserve">The AEP tariff includes a provision that the length of the amortization period may be modified upon Commission approval. In 2012, FCG extended its facilities pursuant to the AEP tariff to serve a large commercial customer, a citrus producer (Glades project). </w:t>
      </w:r>
      <w:r w:rsidR="00277B47">
        <w:t>In</w:t>
      </w:r>
      <w:r>
        <w:t xml:space="preserve"> 201</w:t>
      </w:r>
      <w:r w:rsidR="00BB5F92">
        <w:t>6</w:t>
      </w:r>
      <w:r w:rsidR="00CA6A7A">
        <w:t>,</w:t>
      </w:r>
      <w:r>
        <w:t xml:space="preserve"> the Commission approved a delay of the true-up and an extension of the </w:t>
      </w:r>
      <w:r w:rsidR="00B6663E">
        <w:t>a</w:t>
      </w:r>
      <w:r>
        <w:t xml:space="preserve">mortization period for two years </w:t>
      </w:r>
      <w:r>
        <w:lastRenderedPageBreak/>
        <w:t>because the project had not developed as projected.</w:t>
      </w:r>
      <w:r>
        <w:rPr>
          <w:rStyle w:val="FootnoteReference"/>
        </w:rPr>
        <w:footnoteReference w:id="3"/>
      </w:r>
      <w:r>
        <w:t xml:space="preserve"> Other than the Glades project, FCG has used the AEP tariff nine times since its 1995 implementation. </w:t>
      </w:r>
    </w:p>
    <w:p w:rsidR="00236AB8" w:rsidRDefault="00236AB8" w:rsidP="00236AB8">
      <w:pPr>
        <w:pStyle w:val="First-LevelSubheading"/>
      </w:pPr>
      <w:r>
        <w:t>FCG’s Proposed Take or Pay Provision</w:t>
      </w:r>
    </w:p>
    <w:p w:rsidR="00146282" w:rsidRDefault="0046390A" w:rsidP="00146282">
      <w:pPr>
        <w:pStyle w:val="BodyText"/>
      </w:pPr>
      <w:r>
        <w:t xml:space="preserve">The proposed tariff modifications provide FCG with the option to require a </w:t>
      </w:r>
      <w:r w:rsidR="00E108F8">
        <w:t>take or pay provision f</w:t>
      </w:r>
      <w:r w:rsidR="00120AA2">
        <w:t>rom</w:t>
      </w:r>
      <w:r w:rsidR="00E108F8">
        <w:t xml:space="preserve"> a </w:t>
      </w:r>
      <w:r>
        <w:t xml:space="preserve">general tariff </w:t>
      </w:r>
      <w:r w:rsidR="00B728D1">
        <w:t xml:space="preserve">extension </w:t>
      </w:r>
      <w:r>
        <w:t xml:space="preserve">customer or </w:t>
      </w:r>
      <w:r w:rsidR="00F73250">
        <w:t xml:space="preserve">an </w:t>
      </w:r>
      <w:r>
        <w:t>AEP customer</w:t>
      </w:r>
      <w:r w:rsidR="009365BC">
        <w:t>. The proposed take or pay provision</w:t>
      </w:r>
      <w:r w:rsidR="00F73250">
        <w:t xml:space="preserve"> </w:t>
      </w:r>
      <w:r w:rsidR="009365BC">
        <w:t xml:space="preserve">would require the customer to agree to </w:t>
      </w:r>
      <w:r w:rsidR="00F73250">
        <w:t xml:space="preserve">commit to a minimum </w:t>
      </w:r>
      <w:r w:rsidR="009365BC">
        <w:t>volume of natural gas each year.</w:t>
      </w:r>
      <w:r w:rsidR="00F73250">
        <w:t xml:space="preserve"> </w:t>
      </w:r>
    </w:p>
    <w:p w:rsidR="00FD75EB" w:rsidRDefault="00FD75EB" w:rsidP="00FD75EB">
      <w:pPr>
        <w:pStyle w:val="BodyText"/>
      </w:pPr>
      <w:r>
        <w:t xml:space="preserve">FCG explained that it views the proposed take or pay provision as </w:t>
      </w:r>
      <w:r w:rsidR="00A26F79">
        <w:t>a</w:t>
      </w:r>
      <w:r w:rsidR="009244FF">
        <w:t>nother</w:t>
      </w:r>
      <w:r>
        <w:t xml:space="preserve"> tool</w:t>
      </w:r>
      <w:r w:rsidR="00A26F79">
        <w:t xml:space="preserve"> to</w:t>
      </w:r>
      <w:r>
        <w:t xml:space="preserve"> mitigate the risk associated with high-cost extensions. The Company</w:t>
      </w:r>
      <w:r w:rsidR="00A26F79">
        <w:t xml:space="preserve"> assert</w:t>
      </w:r>
      <w:r w:rsidR="0089500F">
        <w:t>ed</w:t>
      </w:r>
      <w:r w:rsidR="00A26F79">
        <w:t xml:space="preserve"> that it</w:t>
      </w:r>
      <w:r>
        <w:t xml:space="preserve">s ability to fully recover its investment may be compromised when a customer’s actual gas volumes are significantly less than the </w:t>
      </w:r>
      <w:r w:rsidR="0089500F">
        <w:t xml:space="preserve">customer’s </w:t>
      </w:r>
      <w:r>
        <w:t>estimate</w:t>
      </w:r>
      <w:r w:rsidR="0089500F">
        <w:t xml:space="preserve"> of gas volumes</w:t>
      </w:r>
      <w:r>
        <w:t xml:space="preserve"> used to calculate the MACC and there are minimal or no opportunities to true-up the calculation. FCG assert</w:t>
      </w:r>
      <w:r w:rsidR="00146282">
        <w:t>ed</w:t>
      </w:r>
      <w:r>
        <w:t xml:space="preserve"> that a take or pay provision will add anot</w:t>
      </w:r>
      <w:r w:rsidR="00A26F79">
        <w:t xml:space="preserve">her layer of protection to </w:t>
      </w:r>
      <w:r w:rsidR="006E7ACA">
        <w:t xml:space="preserve">reduce the risk to the general body of ratepayers from </w:t>
      </w:r>
      <w:r w:rsidR="00A26F79">
        <w:t>stranded inve</w:t>
      </w:r>
      <w:r w:rsidR="0089500F">
        <w:t>stment. The Company also asserted</w:t>
      </w:r>
      <w:r w:rsidR="00A26F79">
        <w:t xml:space="preserve"> that a take or pay provision will encourage potential customers to provide business information that will result in a realistic, rather than an inflated, calculation of potential gas volumes.</w:t>
      </w:r>
    </w:p>
    <w:p w:rsidR="00787DA3" w:rsidRDefault="005F76B6">
      <w:pPr>
        <w:pStyle w:val="BodyText"/>
      </w:pPr>
      <w:r>
        <w:t>FCG state</w:t>
      </w:r>
      <w:r w:rsidR="0089500F">
        <w:t>d</w:t>
      </w:r>
      <w:r>
        <w:t xml:space="preserve"> that </w:t>
      </w:r>
      <w:r w:rsidR="006319EE">
        <w:t xml:space="preserve">the </w:t>
      </w:r>
      <w:r>
        <w:t xml:space="preserve">process to determine whether a minimum take or pay requirement is necessary is the same for </w:t>
      </w:r>
      <w:r w:rsidR="00B728D1">
        <w:t xml:space="preserve">general tariff extension </w:t>
      </w:r>
      <w:r>
        <w:t>customers or AEP customers.</w:t>
      </w:r>
      <w:r w:rsidR="00DD37D4">
        <w:t xml:space="preserve"> </w:t>
      </w:r>
      <w:r w:rsidR="00787DA3">
        <w:t xml:space="preserve">FCG identified three factors </w:t>
      </w:r>
      <w:r w:rsidR="00296ED5">
        <w:t>it would use</w:t>
      </w:r>
      <w:r w:rsidR="00787DA3">
        <w:t xml:space="preserve"> </w:t>
      </w:r>
      <w:r w:rsidR="001A58C0">
        <w:t xml:space="preserve">to evaluate </w:t>
      </w:r>
      <w:r w:rsidR="003568AA">
        <w:t xml:space="preserve">whether the take or pay provision should be </w:t>
      </w:r>
      <w:r w:rsidR="001A58C0">
        <w:t>required</w:t>
      </w:r>
      <w:r w:rsidR="00787DA3">
        <w:t xml:space="preserve">. </w:t>
      </w:r>
      <w:r w:rsidR="003568AA">
        <w:t xml:space="preserve">The factors are </w:t>
      </w:r>
      <w:r w:rsidR="00787DA3">
        <w:t>the overall capital investment necessary to extend service</w:t>
      </w:r>
      <w:r w:rsidR="003568AA">
        <w:t xml:space="preserve">, </w:t>
      </w:r>
      <w:r w:rsidR="00C86229">
        <w:t>the customer’s use for natural gas</w:t>
      </w:r>
      <w:r w:rsidR="003568AA">
        <w:t>, and</w:t>
      </w:r>
      <w:r w:rsidR="00C86229">
        <w:t xml:space="preserve"> whether the business is a </w:t>
      </w:r>
      <w:r w:rsidR="008F0655">
        <w:t>start-up or established business with verifiable consumption data that can be used to substantiate the annual natural gas use estimates</w:t>
      </w:r>
      <w:r w:rsidR="0089500F">
        <w:t xml:space="preserve"> (risk assessment)</w:t>
      </w:r>
      <w:r w:rsidR="008F0655">
        <w:t>.</w:t>
      </w:r>
      <w:r w:rsidR="003B37B4">
        <w:t xml:space="preserve"> </w:t>
      </w:r>
      <w:r w:rsidR="004661C6">
        <w:t>According to the Company, lower risk business</w:t>
      </w:r>
      <w:r w:rsidR="0089500F">
        <w:t>es</w:t>
      </w:r>
      <w:r w:rsidR="004661C6">
        <w:t xml:space="preserve"> are those that have existing natural gas use, are implementing equipment with known gas usage, or can provide verifiable usage data, such as data from an affiliate. A higher risk potential customer might be a new business that has new equipment, projected high volumes, </w:t>
      </w:r>
      <w:r w:rsidR="0089500F">
        <w:t xml:space="preserve">and </w:t>
      </w:r>
      <w:r w:rsidR="004661C6">
        <w:t xml:space="preserve">little or no business or gas usage experience. </w:t>
      </w:r>
      <w:r w:rsidR="00F73250">
        <w:t xml:space="preserve">According to the Company, the “ultimate” factor is the impact to the Company and its ratepayers if the new customer’s volumes </w:t>
      </w:r>
      <w:r w:rsidR="00296ED5">
        <w:t>are</w:t>
      </w:r>
      <w:r w:rsidR="00F73250">
        <w:t xml:space="preserve"> less than projections.</w:t>
      </w:r>
    </w:p>
    <w:p w:rsidR="00643BC2" w:rsidRDefault="00277B47" w:rsidP="00643BC2">
      <w:pPr>
        <w:pStyle w:val="BodyText"/>
      </w:pPr>
      <w:r>
        <w:t>T</w:t>
      </w:r>
      <w:r w:rsidR="00FD75EB">
        <w:t xml:space="preserve">he minimum volume commitment will not be set above the amount used to calculate the MACC. A customer’s specific annual volume </w:t>
      </w:r>
      <w:r w:rsidR="00E6567D">
        <w:t xml:space="preserve">commitment </w:t>
      </w:r>
      <w:r w:rsidR="00FD75EB">
        <w:t>would be identified in a schedule that is contained in the gas extension contract.</w:t>
      </w:r>
      <w:r w:rsidR="006628FD">
        <w:t xml:space="preserve"> Each year, o</w:t>
      </w:r>
      <w:r w:rsidR="00FD75EB">
        <w:t xml:space="preserve">n the anniversary date of the account, FCG will audit the actual billed volume of natural gas and compare it to the take or pay schedule in the gas extension contract. If the volume is less than the requirement, the Company would bill for the volume shortfall using the applicable charges associated with the customer’s tariff rate </w:t>
      </w:r>
      <w:r w:rsidR="00B728D1">
        <w:t>for general service extension customers</w:t>
      </w:r>
      <w:r w:rsidR="00FD75EB">
        <w:t>. For an AEP customer, the billing of the volume shortfall w</w:t>
      </w:r>
      <w:r w:rsidR="00146282">
        <w:t>ould</w:t>
      </w:r>
      <w:r w:rsidR="00FD75EB">
        <w:t xml:space="preserve"> also include the </w:t>
      </w:r>
      <w:r w:rsidR="00FD75EB" w:rsidRPr="003B37B4">
        <w:t>applicable</w:t>
      </w:r>
      <w:r w:rsidR="00FD75EB">
        <w:t xml:space="preserve"> AEP surcharge. </w:t>
      </w:r>
      <w:r w:rsidR="0089500F">
        <w:t>The minimum volume commitment</w:t>
      </w:r>
      <w:r>
        <w:t xml:space="preserve"> </w:t>
      </w:r>
      <w:r w:rsidR="0089500F">
        <w:t xml:space="preserve">is six years for </w:t>
      </w:r>
      <w:r w:rsidR="00B6663E">
        <w:t xml:space="preserve">general tariff extension customers </w:t>
      </w:r>
      <w:r w:rsidR="0089500F">
        <w:t>and ten years for AEP customers.</w:t>
      </w:r>
      <w:r w:rsidR="00643BC2">
        <w:t xml:space="preserve"> FCG stated that it does not anticipate frequent use of the take or pay provision for </w:t>
      </w:r>
      <w:r w:rsidR="00B6663E">
        <w:t xml:space="preserve">general tariff extension customers </w:t>
      </w:r>
      <w:r w:rsidR="00643BC2">
        <w:t xml:space="preserve">or AEP customers. </w:t>
      </w:r>
    </w:p>
    <w:p w:rsidR="00643BC2" w:rsidRDefault="00B6663E" w:rsidP="00FD75EB">
      <w:pPr>
        <w:pStyle w:val="BodyText"/>
      </w:pPr>
      <w:r>
        <w:lastRenderedPageBreak/>
        <w:t>T</w:t>
      </w:r>
      <w:r w:rsidR="00CF2D0D">
        <w:t xml:space="preserve">he </w:t>
      </w:r>
      <w:r>
        <w:t xml:space="preserve">Company explained that the </w:t>
      </w:r>
      <w:r w:rsidR="00CF2D0D">
        <w:t>Glades project</w:t>
      </w:r>
      <w:r>
        <w:t xml:space="preserve"> prompted it</w:t>
      </w:r>
      <w:r w:rsidR="00643BC2">
        <w:t xml:space="preserve"> to </w:t>
      </w:r>
      <w:r w:rsidR="00CF2D0D">
        <w:t>review its</w:t>
      </w:r>
      <w:r>
        <w:t xml:space="preserve"> general tariff extension and </w:t>
      </w:r>
      <w:r w:rsidR="00CF2D0D">
        <w:t xml:space="preserve">AEP tariffs </w:t>
      </w:r>
      <w:r>
        <w:t xml:space="preserve">and to </w:t>
      </w:r>
      <w:r w:rsidR="00CF2D0D">
        <w:t>consider whether changes to the tariff</w:t>
      </w:r>
      <w:r>
        <w:t>s</w:t>
      </w:r>
      <w:r w:rsidR="00CF2D0D">
        <w:t xml:space="preserve"> might reduce or mitigate future difficulties with lower-than-expected usage. In response to staff’s data request, FCG stated that there had been at least one prior situation where a take or pay provision would have been useful as the expected gas volumes did not materialize due to an unintentional error by the customer concerning the customer’s installed equipment specifications. </w:t>
      </w:r>
      <w:r w:rsidR="00277B47">
        <w:t xml:space="preserve">FCG </w:t>
      </w:r>
      <w:r w:rsidR="00120AA2">
        <w:t xml:space="preserve">also </w:t>
      </w:r>
      <w:r w:rsidR="00277B47">
        <w:t>stated that t</w:t>
      </w:r>
      <w:r w:rsidR="00CF2D0D">
        <w:t>here is a potential project currently under consideration in an existing AEP area</w:t>
      </w:r>
      <w:r w:rsidR="00277B47">
        <w:t xml:space="preserve"> with</w:t>
      </w:r>
      <w:r w:rsidR="00CF2D0D">
        <w:t xml:space="preserve"> the customer </w:t>
      </w:r>
      <w:r w:rsidR="00277B47">
        <w:t>being</w:t>
      </w:r>
      <w:r w:rsidR="00CF2D0D">
        <w:t xml:space="preserve"> amenable to a take or pay provision.</w:t>
      </w:r>
      <w:r w:rsidR="00CF4248">
        <w:t xml:space="preserve"> </w:t>
      </w:r>
      <w:r w:rsidR="00B914BD">
        <w:t>The Company asserts that the proposed revisions are in the public interest and will protect existing ratepayers while facilitating the expansion of service to new customers.</w:t>
      </w:r>
    </w:p>
    <w:p w:rsidR="005874C3" w:rsidRDefault="00CE4659" w:rsidP="00CE4659">
      <w:pPr>
        <w:pStyle w:val="First-LevelSubheading"/>
      </w:pPr>
      <w:r>
        <w:t>Conclusion</w:t>
      </w:r>
    </w:p>
    <w:p w:rsidR="003F1161" w:rsidRDefault="00643BC2" w:rsidP="003F1161">
      <w:pPr>
        <w:pStyle w:val="BodyText"/>
      </w:pPr>
      <w:r>
        <w:t xml:space="preserve">Staff believes that a take or pay provision for </w:t>
      </w:r>
      <w:r w:rsidR="00B6663E">
        <w:t xml:space="preserve">general tariff extension customers </w:t>
      </w:r>
      <w:r>
        <w:t xml:space="preserve">and AEP customers is reasonable </w:t>
      </w:r>
      <w:r w:rsidR="00B914BD">
        <w:t xml:space="preserve">and </w:t>
      </w:r>
      <w:r w:rsidR="00A931C5">
        <w:t>appropriate</w:t>
      </w:r>
      <w:r w:rsidR="00B914BD">
        <w:t xml:space="preserve"> because it </w:t>
      </w:r>
      <w:r w:rsidR="00F00029">
        <w:t xml:space="preserve">will limit the risk to the </w:t>
      </w:r>
      <w:r>
        <w:t>general body of ratepayers</w:t>
      </w:r>
      <w:r w:rsidR="00B914BD">
        <w:t xml:space="preserve">. Therefore, staff recommends that the Commission approve FCG’s proposed tariff modifications to the </w:t>
      </w:r>
      <w:r w:rsidR="006628FD">
        <w:t xml:space="preserve">Extension of Facilities and AEP tariffs effective April 4, 2017. </w:t>
      </w:r>
    </w:p>
    <w:p w:rsidR="00CE4659" w:rsidRPr="00CE4659" w:rsidRDefault="00CE4659" w:rsidP="00CE4659">
      <w:pPr>
        <w:pStyle w:val="BodyText"/>
      </w:pPr>
    </w:p>
    <w:p w:rsidR="00CE4659" w:rsidRDefault="00CE4659">
      <w:pPr>
        <w:pStyle w:val="BodyText"/>
      </w:pPr>
    </w:p>
    <w:p w:rsidR="00481EB7" w:rsidRDefault="00481EB7">
      <w:pPr>
        <w:pStyle w:val="IssueHeading"/>
        <w:rPr>
          <w:vanish/>
          <w:specVanish/>
        </w:rPr>
      </w:pPr>
      <w:r w:rsidRPr="004C3641">
        <w:rPr>
          <w:b w:val="0"/>
          <w:i w:val="0"/>
        </w:rPr>
        <w:br w:type="page"/>
      </w:r>
      <w:r w:rsidRPr="004C3641">
        <w:lastRenderedPageBreak/>
        <w:t xml:space="preserve">Issue </w:t>
      </w:r>
      <w:r w:rsidR="00DF0457">
        <w:fldChar w:fldCharType="begin"/>
      </w:r>
      <w:r w:rsidR="00DF0457">
        <w:instrText xml:space="preserve"> SEQ Issue \* MERGEFORMAT </w:instrText>
      </w:r>
      <w:r w:rsidR="00DF0457">
        <w:fldChar w:fldCharType="separate"/>
      </w:r>
      <w:r w:rsidR="009A2084">
        <w:rPr>
          <w:noProof/>
        </w:rPr>
        <w:t>2</w:t>
      </w:r>
      <w:r w:rsidR="00DF045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A2084">
        <w:rPr>
          <w:noProof/>
        </w:rPr>
        <w:instrText>2</w:instrText>
      </w:r>
      <w:r>
        <w:fldChar w:fldCharType="end"/>
      </w:r>
      <w:r>
        <w:tab/>
        <w:instrText xml:space="preserve">(Leathers)" \l 1 </w:instrText>
      </w:r>
      <w:r>
        <w:fldChar w:fldCharType="end"/>
      </w:r>
      <w:r>
        <w:t> </w:t>
      </w:r>
    </w:p>
    <w:p w:rsidR="00481EB7" w:rsidRDefault="00481EB7">
      <w:pPr>
        <w:pStyle w:val="BodyText"/>
      </w:pPr>
      <w:r>
        <w:t> Should this docket be closed?</w:t>
      </w:r>
    </w:p>
    <w:p w:rsidR="00481EB7" w:rsidRPr="004C3641" w:rsidRDefault="00481EB7">
      <w:pPr>
        <w:pStyle w:val="IssueSubsectionHeading"/>
        <w:rPr>
          <w:vanish/>
          <w:specVanish/>
        </w:rPr>
      </w:pPr>
      <w:r w:rsidRPr="004C3641">
        <w:t>Recommendation: </w:t>
      </w:r>
    </w:p>
    <w:p w:rsidR="00481EB7" w:rsidRDefault="00481EB7">
      <w:pPr>
        <w:pStyle w:val="BodyText"/>
      </w:pPr>
      <w:r>
        <w:t> </w:t>
      </w:r>
      <w:r w:rsidR="00C73A5B">
        <w:t xml:space="preserve">If Issue 1 is approved </w:t>
      </w:r>
      <w:r w:rsidR="006628FD">
        <w:t>the tariffs should become effective on April 4, 2017. If</w:t>
      </w:r>
      <w:r w:rsidR="00C73A5B">
        <w:t xml:space="preserve">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r>
        <w:t xml:space="preserve"> (Leathers)</w:t>
      </w:r>
    </w:p>
    <w:p w:rsidR="00481EB7" w:rsidRPr="004C3641" w:rsidRDefault="00481EB7">
      <w:pPr>
        <w:pStyle w:val="IssueSubsectionHeading"/>
        <w:rPr>
          <w:vanish/>
          <w:specVanish/>
        </w:rPr>
      </w:pPr>
      <w:r w:rsidRPr="004C3641">
        <w:t>Staff Analysis: </w:t>
      </w:r>
    </w:p>
    <w:p w:rsidR="00481EB7" w:rsidRDefault="00481EB7">
      <w:pPr>
        <w:pStyle w:val="BodyText"/>
      </w:pPr>
      <w:r>
        <w:t> </w:t>
      </w:r>
      <w:r w:rsidR="00C73A5B">
        <w:t xml:space="preserve">If Issue 1 is approved </w:t>
      </w:r>
      <w:r w:rsidR="006628FD">
        <w:t xml:space="preserve">the tariffs should become effective on April 4, 2017. If </w:t>
      </w:r>
      <w:r w:rsidR="00C73A5B">
        <w:t>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6C3282" w:rsidRDefault="006C3282" w:rsidP="00E275D8">
      <w:pPr>
        <w:pStyle w:val="BodyText"/>
        <w:sectPr w:rsidR="006C328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6C3282" w:rsidRDefault="006C3282" w:rsidP="00E275D8">
      <w:pPr>
        <w:pStyle w:val="BodyText"/>
        <w:sectPr w:rsidR="006C3282"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77475CBB" wp14:editId="07BD779C">
            <wp:extent cx="5505450" cy="7505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505450" cy="7505700"/>
                    </a:xfrm>
                    <a:prstGeom prst="rect">
                      <a:avLst/>
                    </a:prstGeom>
                  </pic:spPr>
                </pic:pic>
              </a:graphicData>
            </a:graphic>
          </wp:inline>
        </w:drawing>
      </w:r>
    </w:p>
    <w:p w:rsidR="006C3282" w:rsidRDefault="006C3282" w:rsidP="00E275D8">
      <w:pPr>
        <w:pStyle w:val="BodyText"/>
        <w:sectPr w:rsidR="006C3282"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0AA250F3" wp14:editId="10083360">
            <wp:extent cx="5381625" cy="7477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381625" cy="7477125"/>
                    </a:xfrm>
                    <a:prstGeom prst="rect">
                      <a:avLst/>
                    </a:prstGeom>
                  </pic:spPr>
                </pic:pic>
              </a:graphicData>
            </a:graphic>
          </wp:inline>
        </w:drawing>
      </w:r>
    </w:p>
    <w:p w:rsidR="00E06484" w:rsidRDefault="00B96384" w:rsidP="00E275D8">
      <w:pPr>
        <w:pStyle w:val="BodyText"/>
      </w:pPr>
      <w:r>
        <w:rPr>
          <w:noProof/>
        </w:rPr>
        <w:lastRenderedPageBreak/>
        <w:drawing>
          <wp:inline distT="0" distB="0" distL="0" distR="0" wp14:anchorId="25A7AD16" wp14:editId="2CA7FC36">
            <wp:extent cx="5362575" cy="7496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62575" cy="7496175"/>
                    </a:xfrm>
                    <a:prstGeom prst="rect">
                      <a:avLst/>
                    </a:prstGeom>
                  </pic:spPr>
                </pic:pic>
              </a:graphicData>
            </a:graphic>
          </wp:inline>
        </w:drawing>
      </w:r>
    </w:p>
    <w:sectPr w:rsidR="00E06484"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EB7" w:rsidRDefault="00481EB7">
      <w:r>
        <w:separator/>
      </w:r>
    </w:p>
  </w:endnote>
  <w:endnote w:type="continuationSeparator" w:id="0">
    <w:p w:rsidR="00481EB7" w:rsidRDefault="0048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E5D6E">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EB7" w:rsidRDefault="00481EB7">
      <w:r>
        <w:separator/>
      </w:r>
    </w:p>
  </w:footnote>
  <w:footnote w:type="continuationSeparator" w:id="0">
    <w:p w:rsidR="00481EB7" w:rsidRDefault="00481EB7">
      <w:r>
        <w:continuationSeparator/>
      </w:r>
    </w:p>
  </w:footnote>
  <w:footnote w:id="1">
    <w:p w:rsidR="00236AB8" w:rsidRDefault="00236AB8" w:rsidP="00236AB8">
      <w:pPr>
        <w:pStyle w:val="FootnoteText"/>
      </w:pPr>
      <w:r>
        <w:rPr>
          <w:rStyle w:val="FootnoteReference"/>
        </w:rPr>
        <w:footnoteRef/>
      </w:r>
      <w:r>
        <w:t xml:space="preserve"> </w:t>
      </w:r>
      <w:proofErr w:type="gramStart"/>
      <w:r>
        <w:t>Order No.</w:t>
      </w:r>
      <w:proofErr w:type="gramEnd"/>
      <w:r>
        <w:t xml:space="preserve"> PSC-95-0506-FOF-GU, issued April 24, 1995, </w:t>
      </w:r>
      <w:r w:rsidR="00CA6A7A">
        <w:t xml:space="preserve">in </w:t>
      </w:r>
      <w:r>
        <w:t xml:space="preserve">Docket No. 950206-GU, </w:t>
      </w:r>
      <w:r w:rsidRPr="001559B5">
        <w:rPr>
          <w:i/>
        </w:rPr>
        <w:t xml:space="preserve">In </w:t>
      </w:r>
      <w:r w:rsidR="00CA6A7A">
        <w:rPr>
          <w:i/>
        </w:rPr>
        <w:t>r</w:t>
      </w:r>
      <w:r w:rsidRPr="001559B5">
        <w:rPr>
          <w:i/>
        </w:rPr>
        <w:t>e: Petition for approval of tariffs governing extension of facilities by City Gas Company of Florida</w:t>
      </w:r>
      <w:r>
        <w:t xml:space="preserve">. </w:t>
      </w:r>
    </w:p>
  </w:footnote>
  <w:footnote w:id="2">
    <w:p w:rsidR="00510EDF" w:rsidRDefault="00510EDF" w:rsidP="00510EDF">
      <w:pPr>
        <w:pStyle w:val="FootnoteText"/>
      </w:pPr>
      <w:r>
        <w:rPr>
          <w:rStyle w:val="FootnoteReference"/>
        </w:rPr>
        <w:footnoteRef/>
      </w:r>
      <w:r>
        <w:t xml:space="preserve"> Ibid.</w:t>
      </w:r>
    </w:p>
  </w:footnote>
  <w:footnote w:id="3">
    <w:p w:rsidR="00236AB8" w:rsidRDefault="00236AB8" w:rsidP="00236AB8">
      <w:pPr>
        <w:pStyle w:val="FootnoteText"/>
      </w:pPr>
      <w:r>
        <w:rPr>
          <w:rStyle w:val="FootnoteReference"/>
        </w:rPr>
        <w:footnoteRef/>
      </w:r>
      <w:r>
        <w:t xml:space="preserve"> </w:t>
      </w:r>
      <w:proofErr w:type="gramStart"/>
      <w:r>
        <w:t>Order No.</w:t>
      </w:r>
      <w:proofErr w:type="gramEnd"/>
      <w:r>
        <w:t xml:space="preserve"> PSC-16-0066-PAA-GU, issued February 5, 2016, in Docket No. 150232-GU, </w:t>
      </w:r>
      <w:r w:rsidRPr="00CE4659">
        <w:rPr>
          <w:i/>
        </w:rPr>
        <w:t>In re: Petition for approval of variance from area extension program (AEP) tariff to delay true-up and extend amortization period, by Florida City Gas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481EB7"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170029-GU</w:t>
    </w:r>
    <w:bookmarkEnd w:id="15"/>
  </w:p>
  <w:p w:rsidR="00212B17" w:rsidRDefault="00212B17">
    <w:pPr>
      <w:pStyle w:val="Header"/>
    </w:pPr>
    <w:r>
      <w:t xml:space="preserve">Date: </w:t>
    </w:r>
    <w:r w:rsidR="00DF0457">
      <w:fldChar w:fldCharType="begin"/>
    </w:r>
    <w:r w:rsidR="00DF0457">
      <w:instrText xml:space="preserve"> REF FilingDate </w:instrText>
    </w:r>
    <w:r w:rsidR="00DF0457">
      <w:fldChar w:fldCharType="separate"/>
    </w:r>
    <w:r w:rsidR="009A2084">
      <w:t>March 23, 2017</w:t>
    </w:r>
    <w:r w:rsidR="00DF045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9A2084">
      <w:t>Docket No.</w:t>
    </w:r>
    <w:r>
      <w:fldChar w:fldCharType="end"/>
    </w:r>
    <w:r>
      <w:t xml:space="preserve"> </w:t>
    </w:r>
    <w:r>
      <w:fldChar w:fldCharType="begin"/>
    </w:r>
    <w:r>
      <w:instrText xml:space="preserve"> REF DocketList</w:instrText>
    </w:r>
    <w:r>
      <w:fldChar w:fldCharType="separate"/>
    </w:r>
    <w:r w:rsidR="009A2084">
      <w:t>170029-GU</w:t>
    </w:r>
    <w:r>
      <w:fldChar w:fldCharType="end"/>
    </w:r>
    <w:r>
      <w:tab/>
      <w:t xml:space="preserve">Issue </w:t>
    </w:r>
    <w:r w:rsidR="00DF0457">
      <w:fldChar w:fldCharType="begin"/>
    </w:r>
    <w:r w:rsidR="00DF0457">
      <w:instrText xml:space="preserve"> Seq Issue \c \* Arabic </w:instrText>
    </w:r>
    <w:r w:rsidR="00DF0457">
      <w:fldChar w:fldCharType="separate"/>
    </w:r>
    <w:r w:rsidR="00FE5D6E">
      <w:rPr>
        <w:noProof/>
      </w:rPr>
      <w:t>2</w:t>
    </w:r>
    <w:r w:rsidR="00DF0457">
      <w:rPr>
        <w:noProof/>
      </w:rPr>
      <w:fldChar w:fldCharType="end"/>
    </w:r>
  </w:p>
  <w:p w:rsidR="00212B17" w:rsidRDefault="00212B17">
    <w:pPr>
      <w:pStyle w:val="Header"/>
    </w:pPr>
    <w:r>
      <w:t xml:space="preserve">Date: </w:t>
    </w:r>
    <w:r w:rsidR="00DF0457">
      <w:fldChar w:fldCharType="begin"/>
    </w:r>
    <w:r w:rsidR="00DF0457">
      <w:instrText xml:space="preserve"> REF FilingDate </w:instrText>
    </w:r>
    <w:r w:rsidR="00DF0457">
      <w:fldChar w:fldCharType="separate"/>
    </w:r>
    <w:r w:rsidR="009A2084">
      <w:t>March 23, 2017</w:t>
    </w:r>
    <w:r w:rsidR="00DF045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82" w:rsidRDefault="006C3282" w:rsidP="00220732">
    <w:pPr>
      <w:pStyle w:val="Header"/>
      <w:tabs>
        <w:tab w:val="clear" w:pos="4320"/>
        <w:tab w:val="clear" w:pos="8640"/>
        <w:tab w:val="right" w:pos="9360"/>
      </w:tabs>
    </w:pPr>
    <w:r>
      <w:fldChar w:fldCharType="begin"/>
    </w:r>
    <w:r>
      <w:instrText xml:space="preserve"> REF DocketLabel</w:instrText>
    </w:r>
    <w:r>
      <w:fldChar w:fldCharType="separate"/>
    </w:r>
    <w:r w:rsidR="009A2084">
      <w:t>Docket No.</w:t>
    </w:r>
    <w:r>
      <w:fldChar w:fldCharType="end"/>
    </w:r>
    <w:r>
      <w:t xml:space="preserve"> </w:t>
    </w:r>
    <w:r>
      <w:fldChar w:fldCharType="begin"/>
    </w:r>
    <w:r>
      <w:instrText xml:space="preserve"> REF DocketList</w:instrText>
    </w:r>
    <w:r>
      <w:fldChar w:fldCharType="separate"/>
    </w:r>
    <w:r w:rsidR="009A2084">
      <w:t>170029-GU</w:t>
    </w:r>
    <w:r>
      <w:fldChar w:fldCharType="end"/>
    </w:r>
    <w:r>
      <w:tab/>
      <w:t>Attachment 1</w:t>
    </w:r>
  </w:p>
  <w:p w:rsidR="006C3282" w:rsidRDefault="006C3282" w:rsidP="006C3282">
    <w:pPr>
      <w:pStyle w:val="Header"/>
      <w:tabs>
        <w:tab w:val="clear" w:pos="8640"/>
        <w:tab w:val="right" w:pos="9360"/>
      </w:tabs>
    </w:pPr>
    <w:r>
      <w:t xml:space="preserve">Date: </w:t>
    </w:r>
    <w:fldSimple w:instr=" REF FilingDate ">
      <w:r w:rsidR="009A2084">
        <w:t>March 23, 2017</w:t>
      </w:r>
    </w:fldSimple>
    <w:r>
      <w:tab/>
    </w:r>
    <w:r>
      <w:tab/>
      <w:t xml:space="preserve">  Page 1 of 3</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82" w:rsidRDefault="006C3282" w:rsidP="00220732">
    <w:pPr>
      <w:pStyle w:val="Header"/>
      <w:tabs>
        <w:tab w:val="clear" w:pos="4320"/>
        <w:tab w:val="clear" w:pos="8640"/>
        <w:tab w:val="right" w:pos="9360"/>
      </w:tabs>
    </w:pPr>
    <w:r>
      <w:fldChar w:fldCharType="begin"/>
    </w:r>
    <w:r>
      <w:instrText xml:space="preserve"> REF DocketLabel</w:instrText>
    </w:r>
    <w:r>
      <w:fldChar w:fldCharType="separate"/>
    </w:r>
    <w:r w:rsidR="009A2084">
      <w:t>Docket No.</w:t>
    </w:r>
    <w:r>
      <w:fldChar w:fldCharType="end"/>
    </w:r>
    <w:r>
      <w:t xml:space="preserve"> </w:t>
    </w:r>
    <w:r>
      <w:fldChar w:fldCharType="begin"/>
    </w:r>
    <w:r>
      <w:instrText xml:space="preserve"> REF DocketList</w:instrText>
    </w:r>
    <w:r>
      <w:fldChar w:fldCharType="separate"/>
    </w:r>
    <w:r w:rsidR="009A2084">
      <w:t>170029-GU</w:t>
    </w:r>
    <w:r>
      <w:fldChar w:fldCharType="end"/>
    </w:r>
    <w:r>
      <w:tab/>
      <w:t>Attachment 1</w:t>
    </w:r>
  </w:p>
  <w:p w:rsidR="006C3282" w:rsidRDefault="006C3282" w:rsidP="006C3282">
    <w:pPr>
      <w:pStyle w:val="Header"/>
      <w:tabs>
        <w:tab w:val="clear" w:pos="8640"/>
        <w:tab w:val="right" w:pos="9360"/>
      </w:tabs>
    </w:pPr>
    <w:r>
      <w:t xml:space="preserve">Date: </w:t>
    </w:r>
    <w:fldSimple w:instr=" REF FilingDate ">
      <w:r w:rsidR="009A2084">
        <w:t>March 23, 2017</w:t>
      </w:r>
    </w:fldSimple>
    <w:r>
      <w:tab/>
    </w:r>
    <w:r>
      <w:tab/>
      <w:t xml:space="preserve">  Page </w:t>
    </w:r>
    <w:r w:rsidR="00C55CFE">
      <w:t>2</w:t>
    </w:r>
    <w:r>
      <w:t xml:space="preserve"> of 3</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CFE" w:rsidRDefault="00C55CF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170029-GU</w:t>
    </w:r>
    <w:r>
      <w:fldChar w:fldCharType="end"/>
    </w:r>
    <w:r>
      <w:tab/>
      <w:t>Attachment 1</w:t>
    </w:r>
  </w:p>
  <w:p w:rsidR="00C55CFE" w:rsidRDefault="00C55CFE" w:rsidP="006C3282">
    <w:pPr>
      <w:pStyle w:val="Header"/>
      <w:tabs>
        <w:tab w:val="clear" w:pos="8640"/>
        <w:tab w:val="right" w:pos="9360"/>
      </w:tabs>
    </w:pPr>
    <w:r>
      <w:t xml:space="preserve">Date: </w:t>
    </w:r>
    <w:fldSimple w:instr=" REF FilingDate ">
      <w:r>
        <w:t>March 23, 2017</w:t>
      </w:r>
    </w:fldSimple>
    <w:r>
      <w:tab/>
    </w:r>
    <w:r>
      <w:tab/>
      <w:t xml:space="preserve">  Page 3 of 3</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21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81EB7"/>
    <w:rsid w:val="000023AC"/>
    <w:rsid w:val="000043D5"/>
    <w:rsid w:val="00010E37"/>
    <w:rsid w:val="00014F9F"/>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B48BA"/>
    <w:rsid w:val="000C4431"/>
    <w:rsid w:val="000C7018"/>
    <w:rsid w:val="000D038C"/>
    <w:rsid w:val="000D1C06"/>
    <w:rsid w:val="000D4319"/>
    <w:rsid w:val="000F374A"/>
    <w:rsid w:val="00117C8C"/>
    <w:rsid w:val="00120AA2"/>
    <w:rsid w:val="00124E2E"/>
    <w:rsid w:val="00125ED4"/>
    <w:rsid w:val="001305E9"/>
    <w:rsid w:val="001307AF"/>
    <w:rsid w:val="00135687"/>
    <w:rsid w:val="00137A30"/>
    <w:rsid w:val="00146282"/>
    <w:rsid w:val="00153D39"/>
    <w:rsid w:val="0015506E"/>
    <w:rsid w:val="001559B5"/>
    <w:rsid w:val="00163031"/>
    <w:rsid w:val="00171A90"/>
    <w:rsid w:val="00180254"/>
    <w:rsid w:val="00191E1F"/>
    <w:rsid w:val="00192943"/>
    <w:rsid w:val="001A58C0"/>
    <w:rsid w:val="001A7406"/>
    <w:rsid w:val="001B4FEE"/>
    <w:rsid w:val="001B51C5"/>
    <w:rsid w:val="001B6F3F"/>
    <w:rsid w:val="001C41E9"/>
    <w:rsid w:val="001C52B5"/>
    <w:rsid w:val="001D0D3E"/>
    <w:rsid w:val="001D3B41"/>
    <w:rsid w:val="001E33F2"/>
    <w:rsid w:val="001F2245"/>
    <w:rsid w:val="001F6DA1"/>
    <w:rsid w:val="002044E6"/>
    <w:rsid w:val="00205C82"/>
    <w:rsid w:val="00205DC2"/>
    <w:rsid w:val="00212B17"/>
    <w:rsid w:val="002163B6"/>
    <w:rsid w:val="00220732"/>
    <w:rsid w:val="00221D32"/>
    <w:rsid w:val="00225C3F"/>
    <w:rsid w:val="00236AB8"/>
    <w:rsid w:val="00263D44"/>
    <w:rsid w:val="002702AD"/>
    <w:rsid w:val="00277B47"/>
    <w:rsid w:val="00292D82"/>
    <w:rsid w:val="00294003"/>
    <w:rsid w:val="002963CB"/>
    <w:rsid w:val="00296ED5"/>
    <w:rsid w:val="002B6CD0"/>
    <w:rsid w:val="002B7EA3"/>
    <w:rsid w:val="002D226D"/>
    <w:rsid w:val="002D55D4"/>
    <w:rsid w:val="002F6030"/>
    <w:rsid w:val="003037E1"/>
    <w:rsid w:val="00307E51"/>
    <w:rsid w:val="003103EC"/>
    <w:rsid w:val="00311DE4"/>
    <w:rsid w:val="00313553"/>
    <w:rsid w:val="003144EF"/>
    <w:rsid w:val="003208DC"/>
    <w:rsid w:val="00322F74"/>
    <w:rsid w:val="00340073"/>
    <w:rsid w:val="003568AA"/>
    <w:rsid w:val="00372805"/>
    <w:rsid w:val="00373180"/>
    <w:rsid w:val="00375AB9"/>
    <w:rsid w:val="003821A0"/>
    <w:rsid w:val="00385B04"/>
    <w:rsid w:val="003864CF"/>
    <w:rsid w:val="00392C88"/>
    <w:rsid w:val="003A22A6"/>
    <w:rsid w:val="003A5494"/>
    <w:rsid w:val="003B2510"/>
    <w:rsid w:val="003B37B4"/>
    <w:rsid w:val="003C2CC4"/>
    <w:rsid w:val="003D1159"/>
    <w:rsid w:val="003E0EFC"/>
    <w:rsid w:val="003E4A2B"/>
    <w:rsid w:val="003E76C2"/>
    <w:rsid w:val="003F1161"/>
    <w:rsid w:val="003F1679"/>
    <w:rsid w:val="003F4A35"/>
    <w:rsid w:val="003F7FDD"/>
    <w:rsid w:val="00402481"/>
    <w:rsid w:val="004042B4"/>
    <w:rsid w:val="00410B11"/>
    <w:rsid w:val="00412DAE"/>
    <w:rsid w:val="00413490"/>
    <w:rsid w:val="004225C1"/>
    <w:rsid w:val="00431598"/>
    <w:rsid w:val="004319AD"/>
    <w:rsid w:val="004426B8"/>
    <w:rsid w:val="004442D4"/>
    <w:rsid w:val="00444432"/>
    <w:rsid w:val="00454438"/>
    <w:rsid w:val="0046132D"/>
    <w:rsid w:val="0046390A"/>
    <w:rsid w:val="004661C6"/>
    <w:rsid w:val="00471860"/>
    <w:rsid w:val="00481EB7"/>
    <w:rsid w:val="004A5F2B"/>
    <w:rsid w:val="004B60BD"/>
    <w:rsid w:val="004C3150"/>
    <w:rsid w:val="004C3641"/>
    <w:rsid w:val="004C4390"/>
    <w:rsid w:val="004C4AF7"/>
    <w:rsid w:val="004D2881"/>
    <w:rsid w:val="004D385F"/>
    <w:rsid w:val="004D3ABC"/>
    <w:rsid w:val="004D5B39"/>
    <w:rsid w:val="004E330D"/>
    <w:rsid w:val="004E5147"/>
    <w:rsid w:val="004F5C43"/>
    <w:rsid w:val="004F7992"/>
    <w:rsid w:val="0050652D"/>
    <w:rsid w:val="00506C03"/>
    <w:rsid w:val="00510EDF"/>
    <w:rsid w:val="00511A11"/>
    <w:rsid w:val="00514693"/>
    <w:rsid w:val="00516496"/>
    <w:rsid w:val="0052572A"/>
    <w:rsid w:val="005373E8"/>
    <w:rsid w:val="005408A4"/>
    <w:rsid w:val="00543CB3"/>
    <w:rsid w:val="00560FF0"/>
    <w:rsid w:val="005614BD"/>
    <w:rsid w:val="00561CBC"/>
    <w:rsid w:val="00561F30"/>
    <w:rsid w:val="0057154F"/>
    <w:rsid w:val="00581CA3"/>
    <w:rsid w:val="00584ED8"/>
    <w:rsid w:val="005874C3"/>
    <w:rsid w:val="005875F6"/>
    <w:rsid w:val="00587A44"/>
    <w:rsid w:val="005935A2"/>
    <w:rsid w:val="00597730"/>
    <w:rsid w:val="005977EC"/>
    <w:rsid w:val="00597DE7"/>
    <w:rsid w:val="005A4AA2"/>
    <w:rsid w:val="005B34B6"/>
    <w:rsid w:val="005B6C8F"/>
    <w:rsid w:val="005B6EC3"/>
    <w:rsid w:val="005D0F74"/>
    <w:rsid w:val="005D2E7D"/>
    <w:rsid w:val="005D4A8F"/>
    <w:rsid w:val="005D561B"/>
    <w:rsid w:val="005D5ECF"/>
    <w:rsid w:val="005F468D"/>
    <w:rsid w:val="005F69A3"/>
    <w:rsid w:val="005F76B6"/>
    <w:rsid w:val="00604CC7"/>
    <w:rsid w:val="00606E90"/>
    <w:rsid w:val="00615423"/>
    <w:rsid w:val="006165B2"/>
    <w:rsid w:val="00617276"/>
    <w:rsid w:val="0062527B"/>
    <w:rsid w:val="00625D97"/>
    <w:rsid w:val="00625F1C"/>
    <w:rsid w:val="006279E1"/>
    <w:rsid w:val="00630CEB"/>
    <w:rsid w:val="006319EE"/>
    <w:rsid w:val="00632264"/>
    <w:rsid w:val="00643BC2"/>
    <w:rsid w:val="006470BC"/>
    <w:rsid w:val="006554D3"/>
    <w:rsid w:val="006628FD"/>
    <w:rsid w:val="00667036"/>
    <w:rsid w:val="00673BDB"/>
    <w:rsid w:val="006771B8"/>
    <w:rsid w:val="00683AFC"/>
    <w:rsid w:val="006843B6"/>
    <w:rsid w:val="0068481F"/>
    <w:rsid w:val="006904F7"/>
    <w:rsid w:val="00696F5D"/>
    <w:rsid w:val="00697249"/>
    <w:rsid w:val="006B3947"/>
    <w:rsid w:val="006B4293"/>
    <w:rsid w:val="006B624F"/>
    <w:rsid w:val="006C31E3"/>
    <w:rsid w:val="006C3282"/>
    <w:rsid w:val="006D18D3"/>
    <w:rsid w:val="006D32C3"/>
    <w:rsid w:val="006E08CB"/>
    <w:rsid w:val="006E598D"/>
    <w:rsid w:val="006E7ACA"/>
    <w:rsid w:val="0070437D"/>
    <w:rsid w:val="00704CF1"/>
    <w:rsid w:val="00705B04"/>
    <w:rsid w:val="00731C82"/>
    <w:rsid w:val="00734820"/>
    <w:rsid w:val="007349DC"/>
    <w:rsid w:val="00735BAB"/>
    <w:rsid w:val="00741B20"/>
    <w:rsid w:val="0074365E"/>
    <w:rsid w:val="007515FD"/>
    <w:rsid w:val="00760D80"/>
    <w:rsid w:val="00780C09"/>
    <w:rsid w:val="00780DDF"/>
    <w:rsid w:val="007834E9"/>
    <w:rsid w:val="00787DA3"/>
    <w:rsid w:val="00787DBC"/>
    <w:rsid w:val="0079019A"/>
    <w:rsid w:val="00792935"/>
    <w:rsid w:val="007A04A1"/>
    <w:rsid w:val="007A1840"/>
    <w:rsid w:val="007A3802"/>
    <w:rsid w:val="007C0528"/>
    <w:rsid w:val="007C1112"/>
    <w:rsid w:val="007C3D38"/>
    <w:rsid w:val="007D0F35"/>
    <w:rsid w:val="007D4FEB"/>
    <w:rsid w:val="007D6146"/>
    <w:rsid w:val="007E0CE7"/>
    <w:rsid w:val="007E7CBD"/>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500F"/>
    <w:rsid w:val="008B62AE"/>
    <w:rsid w:val="008B78DB"/>
    <w:rsid w:val="008C04B5"/>
    <w:rsid w:val="008C14FA"/>
    <w:rsid w:val="008C27C2"/>
    <w:rsid w:val="008D4057"/>
    <w:rsid w:val="008E1F19"/>
    <w:rsid w:val="008F0655"/>
    <w:rsid w:val="008F2262"/>
    <w:rsid w:val="008F7736"/>
    <w:rsid w:val="0090019E"/>
    <w:rsid w:val="00901086"/>
    <w:rsid w:val="00901C8A"/>
    <w:rsid w:val="00905886"/>
    <w:rsid w:val="009068CA"/>
    <w:rsid w:val="009070D6"/>
    <w:rsid w:val="009076C6"/>
    <w:rsid w:val="0091019E"/>
    <w:rsid w:val="009106F1"/>
    <w:rsid w:val="00912404"/>
    <w:rsid w:val="009145D6"/>
    <w:rsid w:val="00920E64"/>
    <w:rsid w:val="00922002"/>
    <w:rsid w:val="00924020"/>
    <w:rsid w:val="009244FF"/>
    <w:rsid w:val="009271A7"/>
    <w:rsid w:val="009317C7"/>
    <w:rsid w:val="0093658B"/>
    <w:rsid w:val="009365BC"/>
    <w:rsid w:val="009429FF"/>
    <w:rsid w:val="00945BD6"/>
    <w:rsid w:val="009479FB"/>
    <w:rsid w:val="00951C45"/>
    <w:rsid w:val="00952D49"/>
    <w:rsid w:val="00964858"/>
    <w:rsid w:val="009656F2"/>
    <w:rsid w:val="00966A08"/>
    <w:rsid w:val="00971207"/>
    <w:rsid w:val="00974CC8"/>
    <w:rsid w:val="00975CB4"/>
    <w:rsid w:val="009863B0"/>
    <w:rsid w:val="0098727C"/>
    <w:rsid w:val="00987DE1"/>
    <w:rsid w:val="00990571"/>
    <w:rsid w:val="0099673A"/>
    <w:rsid w:val="009A2084"/>
    <w:rsid w:val="009A3330"/>
    <w:rsid w:val="009A7C96"/>
    <w:rsid w:val="009B441D"/>
    <w:rsid w:val="009B7BC4"/>
    <w:rsid w:val="009C3DB9"/>
    <w:rsid w:val="009D0B2B"/>
    <w:rsid w:val="009D46E5"/>
    <w:rsid w:val="009D4D5F"/>
    <w:rsid w:val="009D568A"/>
    <w:rsid w:val="009F04EC"/>
    <w:rsid w:val="009F2A7C"/>
    <w:rsid w:val="009F3B36"/>
    <w:rsid w:val="00A019B9"/>
    <w:rsid w:val="00A12508"/>
    <w:rsid w:val="00A1282B"/>
    <w:rsid w:val="00A13A27"/>
    <w:rsid w:val="00A15482"/>
    <w:rsid w:val="00A175B6"/>
    <w:rsid w:val="00A20C60"/>
    <w:rsid w:val="00A21835"/>
    <w:rsid w:val="00A2374B"/>
    <w:rsid w:val="00A26589"/>
    <w:rsid w:val="00A26F79"/>
    <w:rsid w:val="00A27D6E"/>
    <w:rsid w:val="00A328EC"/>
    <w:rsid w:val="00A33A51"/>
    <w:rsid w:val="00A41CA6"/>
    <w:rsid w:val="00A47927"/>
    <w:rsid w:val="00A47FFC"/>
    <w:rsid w:val="00A5442F"/>
    <w:rsid w:val="00A54FF9"/>
    <w:rsid w:val="00A56765"/>
    <w:rsid w:val="00A675AC"/>
    <w:rsid w:val="00A7581F"/>
    <w:rsid w:val="00A9241F"/>
    <w:rsid w:val="00A92C63"/>
    <w:rsid w:val="00A92FB1"/>
    <w:rsid w:val="00A931C5"/>
    <w:rsid w:val="00A95A0C"/>
    <w:rsid w:val="00A96E4C"/>
    <w:rsid w:val="00AA2765"/>
    <w:rsid w:val="00AA77B5"/>
    <w:rsid w:val="00AB6C5D"/>
    <w:rsid w:val="00AC51A7"/>
    <w:rsid w:val="00AD444B"/>
    <w:rsid w:val="00AD6C78"/>
    <w:rsid w:val="00AE2EAB"/>
    <w:rsid w:val="00AE7830"/>
    <w:rsid w:val="00AE7E71"/>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4420A"/>
    <w:rsid w:val="00B57A6A"/>
    <w:rsid w:val="00B6663E"/>
    <w:rsid w:val="00B728D1"/>
    <w:rsid w:val="00B74F3A"/>
    <w:rsid w:val="00B760F1"/>
    <w:rsid w:val="00B7669E"/>
    <w:rsid w:val="00B77DA1"/>
    <w:rsid w:val="00B858AE"/>
    <w:rsid w:val="00B85964"/>
    <w:rsid w:val="00B914BD"/>
    <w:rsid w:val="00B96250"/>
    <w:rsid w:val="00B96384"/>
    <w:rsid w:val="00BA0816"/>
    <w:rsid w:val="00BA0D55"/>
    <w:rsid w:val="00BA37B3"/>
    <w:rsid w:val="00BA4CC6"/>
    <w:rsid w:val="00BA5917"/>
    <w:rsid w:val="00BB3493"/>
    <w:rsid w:val="00BB5F92"/>
    <w:rsid w:val="00BB7468"/>
    <w:rsid w:val="00BC188A"/>
    <w:rsid w:val="00BD0F48"/>
    <w:rsid w:val="00BF5010"/>
    <w:rsid w:val="00BF53A1"/>
    <w:rsid w:val="00C03D5F"/>
    <w:rsid w:val="00C119BA"/>
    <w:rsid w:val="00C13791"/>
    <w:rsid w:val="00C137CA"/>
    <w:rsid w:val="00C31BB3"/>
    <w:rsid w:val="00C35FBB"/>
    <w:rsid w:val="00C36977"/>
    <w:rsid w:val="00C467DA"/>
    <w:rsid w:val="00C477D9"/>
    <w:rsid w:val="00C5275E"/>
    <w:rsid w:val="00C55CFE"/>
    <w:rsid w:val="00C60BA3"/>
    <w:rsid w:val="00C623F7"/>
    <w:rsid w:val="00C73A5B"/>
    <w:rsid w:val="00C75BC5"/>
    <w:rsid w:val="00C81670"/>
    <w:rsid w:val="00C81773"/>
    <w:rsid w:val="00C82861"/>
    <w:rsid w:val="00C86229"/>
    <w:rsid w:val="00C86896"/>
    <w:rsid w:val="00C907A8"/>
    <w:rsid w:val="00C93211"/>
    <w:rsid w:val="00C942EC"/>
    <w:rsid w:val="00C96047"/>
    <w:rsid w:val="00C979D0"/>
    <w:rsid w:val="00CA0818"/>
    <w:rsid w:val="00CA2C8F"/>
    <w:rsid w:val="00CA30DA"/>
    <w:rsid w:val="00CA3A24"/>
    <w:rsid w:val="00CA6A7A"/>
    <w:rsid w:val="00CB1777"/>
    <w:rsid w:val="00CB33E9"/>
    <w:rsid w:val="00CC10A9"/>
    <w:rsid w:val="00CE2BF8"/>
    <w:rsid w:val="00CE4659"/>
    <w:rsid w:val="00CE484E"/>
    <w:rsid w:val="00CE656F"/>
    <w:rsid w:val="00CF0DA8"/>
    <w:rsid w:val="00CF2D0D"/>
    <w:rsid w:val="00CF2E25"/>
    <w:rsid w:val="00CF3F08"/>
    <w:rsid w:val="00CF4248"/>
    <w:rsid w:val="00CF4453"/>
    <w:rsid w:val="00CF5D94"/>
    <w:rsid w:val="00CF7E0F"/>
    <w:rsid w:val="00D034D7"/>
    <w:rsid w:val="00D04BE4"/>
    <w:rsid w:val="00D065A2"/>
    <w:rsid w:val="00D12565"/>
    <w:rsid w:val="00D14127"/>
    <w:rsid w:val="00D161FB"/>
    <w:rsid w:val="00D54DD5"/>
    <w:rsid w:val="00D55614"/>
    <w:rsid w:val="00D60B16"/>
    <w:rsid w:val="00D60F02"/>
    <w:rsid w:val="00D66E49"/>
    <w:rsid w:val="00D70D71"/>
    <w:rsid w:val="00D72F39"/>
    <w:rsid w:val="00D72F74"/>
    <w:rsid w:val="00D76E86"/>
    <w:rsid w:val="00D81563"/>
    <w:rsid w:val="00D85907"/>
    <w:rsid w:val="00D9073E"/>
    <w:rsid w:val="00D91D65"/>
    <w:rsid w:val="00D9221D"/>
    <w:rsid w:val="00D958DF"/>
    <w:rsid w:val="00D96DA1"/>
    <w:rsid w:val="00DA4B67"/>
    <w:rsid w:val="00DA51E7"/>
    <w:rsid w:val="00DB0667"/>
    <w:rsid w:val="00DB1C78"/>
    <w:rsid w:val="00DB7D96"/>
    <w:rsid w:val="00DC23FE"/>
    <w:rsid w:val="00DC59E6"/>
    <w:rsid w:val="00DD150B"/>
    <w:rsid w:val="00DD37D4"/>
    <w:rsid w:val="00DD5025"/>
    <w:rsid w:val="00DD56B5"/>
    <w:rsid w:val="00DF1510"/>
    <w:rsid w:val="00E02F1F"/>
    <w:rsid w:val="00E06484"/>
    <w:rsid w:val="00E108F8"/>
    <w:rsid w:val="00E20A7D"/>
    <w:rsid w:val="00E275D8"/>
    <w:rsid w:val="00E30F6A"/>
    <w:rsid w:val="00E35217"/>
    <w:rsid w:val="00E375CA"/>
    <w:rsid w:val="00E567E8"/>
    <w:rsid w:val="00E57B06"/>
    <w:rsid w:val="00E64679"/>
    <w:rsid w:val="00E6567D"/>
    <w:rsid w:val="00E65EBC"/>
    <w:rsid w:val="00E73432"/>
    <w:rsid w:val="00E74828"/>
    <w:rsid w:val="00E77B0C"/>
    <w:rsid w:val="00E77FB8"/>
    <w:rsid w:val="00E838B0"/>
    <w:rsid w:val="00E86A7C"/>
    <w:rsid w:val="00E878E1"/>
    <w:rsid w:val="00E87F2C"/>
    <w:rsid w:val="00E95278"/>
    <w:rsid w:val="00EA2273"/>
    <w:rsid w:val="00EA5DEB"/>
    <w:rsid w:val="00EB2DB3"/>
    <w:rsid w:val="00EC3FBB"/>
    <w:rsid w:val="00EC6B7A"/>
    <w:rsid w:val="00ED3A87"/>
    <w:rsid w:val="00ED5B67"/>
    <w:rsid w:val="00ED5D55"/>
    <w:rsid w:val="00EF264C"/>
    <w:rsid w:val="00EF3FEE"/>
    <w:rsid w:val="00F00029"/>
    <w:rsid w:val="00F04B59"/>
    <w:rsid w:val="00F11741"/>
    <w:rsid w:val="00F12B1C"/>
    <w:rsid w:val="00F13CF8"/>
    <w:rsid w:val="00F15855"/>
    <w:rsid w:val="00F32978"/>
    <w:rsid w:val="00F45CB2"/>
    <w:rsid w:val="00F544C0"/>
    <w:rsid w:val="00F55332"/>
    <w:rsid w:val="00F6504A"/>
    <w:rsid w:val="00F65519"/>
    <w:rsid w:val="00F713C0"/>
    <w:rsid w:val="00F73250"/>
    <w:rsid w:val="00F75DDC"/>
    <w:rsid w:val="00F7792F"/>
    <w:rsid w:val="00F842AA"/>
    <w:rsid w:val="00F8476F"/>
    <w:rsid w:val="00F853E1"/>
    <w:rsid w:val="00F85604"/>
    <w:rsid w:val="00F94B7A"/>
    <w:rsid w:val="00F95ECD"/>
    <w:rsid w:val="00FA08D5"/>
    <w:rsid w:val="00FA17AC"/>
    <w:rsid w:val="00FA32DE"/>
    <w:rsid w:val="00FA3382"/>
    <w:rsid w:val="00FA59CD"/>
    <w:rsid w:val="00FB1740"/>
    <w:rsid w:val="00FC5469"/>
    <w:rsid w:val="00FC6D7D"/>
    <w:rsid w:val="00FD16B0"/>
    <w:rsid w:val="00FD4FED"/>
    <w:rsid w:val="00FD75EB"/>
    <w:rsid w:val="00FE0577"/>
    <w:rsid w:val="00FE59EC"/>
    <w:rsid w:val="00FE5B67"/>
    <w:rsid w:val="00FE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559B5"/>
    <w:rPr>
      <w:vertAlign w:val="superscript"/>
    </w:rPr>
  </w:style>
  <w:style w:type="character" w:customStyle="1" w:styleId="FootnoteTextChar">
    <w:name w:val="Footnote Text Char"/>
    <w:basedOn w:val="DefaultParagraphFont"/>
    <w:link w:val="FootnoteText"/>
    <w:rsid w:val="004F79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559B5"/>
    <w:rPr>
      <w:vertAlign w:val="superscript"/>
    </w:rPr>
  </w:style>
  <w:style w:type="character" w:customStyle="1" w:styleId="FootnoteTextChar">
    <w:name w:val="Footnote Text Char"/>
    <w:basedOn w:val="DefaultParagraphFont"/>
    <w:link w:val="FootnoteText"/>
    <w:rsid w:val="004F7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3601E-EFBB-43B9-B546-7D3453D7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9</Pages>
  <Words>1629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2017-03-21T11:39:00Z</cp:lastPrinted>
  <dcterms:created xsi:type="dcterms:W3CDTF">2017-03-23T13:40:00Z</dcterms:created>
  <dcterms:modified xsi:type="dcterms:W3CDTF">2017-03-23T13:40:00Z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170029-GU</vt:lpwstr>
  </property>
  <property fmtid="{D5CDD505-2E9C-101B-9397-08002B2CF9AE}" pid="3" name="MasterDocument">
    <vt:bool>false</vt:bool>
  </property>
</Properties>
</file>