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5AB7" w:rsidP="00D25AB7">
      <w:pPr>
        <w:pStyle w:val="OrderHeading"/>
      </w:pPr>
      <w:r>
        <w:t>BEFORE THE FLORIDA PUBLIC SERVICE COMMISSION</w:t>
      </w:r>
    </w:p>
    <w:p w:rsidR="00D25AB7" w:rsidRDefault="00D25AB7" w:rsidP="00D25AB7">
      <w:pPr>
        <w:pStyle w:val="OrderHeading"/>
      </w:pPr>
    </w:p>
    <w:p w:rsidR="00D25AB7" w:rsidRDefault="00D25AB7" w:rsidP="00D25A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5AB7" w:rsidRPr="00C63FCF" w:rsidTr="00C63FCF">
        <w:trPr>
          <w:trHeight w:val="828"/>
        </w:trPr>
        <w:tc>
          <w:tcPr>
            <w:tcW w:w="4788" w:type="dxa"/>
            <w:tcBorders>
              <w:bottom w:val="single" w:sz="8" w:space="0" w:color="auto"/>
              <w:right w:val="double" w:sz="6" w:space="0" w:color="auto"/>
            </w:tcBorders>
            <w:shd w:val="clear" w:color="auto" w:fill="auto"/>
          </w:tcPr>
          <w:p w:rsidR="00D25AB7" w:rsidRDefault="00D25AB7" w:rsidP="00C63FCF">
            <w:pPr>
              <w:pStyle w:val="OrderBody"/>
              <w:tabs>
                <w:tab w:val="center" w:pos="4320"/>
                <w:tab w:val="right" w:pos="8640"/>
              </w:tabs>
              <w:jc w:val="left"/>
            </w:pPr>
            <w:r>
              <w:t xml:space="preserve">In re: </w:t>
            </w:r>
            <w:bookmarkStart w:id="0" w:name="SSInRe"/>
            <w:bookmarkStart w:id="1" w:name="_GoBack"/>
            <w:bookmarkEnd w:id="0"/>
            <w:bookmarkEnd w:id="1"/>
            <w:r>
              <w:t>Application for limited revenue proceeding in St. Johns County, by Camachee Island Company, Inc. d/b/a Camachee Cove Yacht Harbor Utility.</w:t>
            </w:r>
          </w:p>
        </w:tc>
        <w:tc>
          <w:tcPr>
            <w:tcW w:w="4788" w:type="dxa"/>
            <w:tcBorders>
              <w:left w:val="double" w:sz="6" w:space="0" w:color="auto"/>
            </w:tcBorders>
            <w:shd w:val="clear" w:color="auto" w:fill="auto"/>
          </w:tcPr>
          <w:p w:rsidR="00D25AB7" w:rsidRDefault="00D25AB7" w:rsidP="00D25AB7">
            <w:pPr>
              <w:pStyle w:val="OrderBody"/>
            </w:pPr>
            <w:r>
              <w:t xml:space="preserve">DOCKET NO. </w:t>
            </w:r>
            <w:bookmarkStart w:id="2" w:name="SSDocketNo"/>
            <w:bookmarkEnd w:id="2"/>
            <w:r>
              <w:t>160145-WU</w:t>
            </w:r>
          </w:p>
          <w:p w:rsidR="00D25AB7" w:rsidRDefault="00D25AB7" w:rsidP="00C63FCF">
            <w:pPr>
              <w:pStyle w:val="OrderBody"/>
              <w:tabs>
                <w:tab w:val="center" w:pos="4320"/>
                <w:tab w:val="right" w:pos="8640"/>
              </w:tabs>
              <w:jc w:val="left"/>
            </w:pPr>
            <w:r>
              <w:t xml:space="preserve">ORDER NO. </w:t>
            </w:r>
            <w:bookmarkStart w:id="3" w:name="OrderNo0108"/>
            <w:r w:rsidR="005A0F4C">
              <w:t>PSC-17-0108-PAA-WU</w:t>
            </w:r>
            <w:bookmarkEnd w:id="3"/>
          </w:p>
          <w:p w:rsidR="00D25AB7" w:rsidRDefault="00D25AB7" w:rsidP="00C63FCF">
            <w:pPr>
              <w:pStyle w:val="OrderBody"/>
              <w:tabs>
                <w:tab w:val="center" w:pos="4320"/>
                <w:tab w:val="right" w:pos="8640"/>
              </w:tabs>
              <w:jc w:val="left"/>
            </w:pPr>
            <w:r>
              <w:t xml:space="preserve">ISSUED: </w:t>
            </w:r>
            <w:r w:rsidR="005A0F4C">
              <w:t>March 27, 2017</w:t>
            </w:r>
          </w:p>
        </w:tc>
      </w:tr>
    </w:tbl>
    <w:p w:rsidR="00D25AB7" w:rsidRDefault="00D25AB7" w:rsidP="00D25AB7"/>
    <w:p w:rsidR="00D25AB7" w:rsidRDefault="00D25AB7" w:rsidP="00D25AB7"/>
    <w:p w:rsidR="00D25AB7" w:rsidRDefault="00D25AB7">
      <w:pPr>
        <w:ind w:firstLine="720"/>
        <w:jc w:val="both"/>
      </w:pPr>
      <w:bookmarkStart w:id="4" w:name="Commissioners"/>
      <w:bookmarkEnd w:id="4"/>
      <w:r>
        <w:t>The following Commissioners participated in the disposition of this matter:</w:t>
      </w:r>
    </w:p>
    <w:p w:rsidR="00D25AB7" w:rsidRDefault="00D25AB7"/>
    <w:p w:rsidR="00D25AB7" w:rsidRDefault="00D25AB7">
      <w:pPr>
        <w:jc w:val="center"/>
      </w:pPr>
      <w:r>
        <w:t>JULIE I. BROWN, Chairman</w:t>
      </w:r>
    </w:p>
    <w:p w:rsidR="00D25AB7" w:rsidRDefault="00D25AB7">
      <w:pPr>
        <w:jc w:val="center"/>
      </w:pPr>
      <w:r>
        <w:t>ART GRAHAM</w:t>
      </w:r>
    </w:p>
    <w:p w:rsidR="00D25AB7" w:rsidRDefault="00D25AB7">
      <w:pPr>
        <w:jc w:val="center"/>
      </w:pPr>
      <w:r>
        <w:t>RONALD A. BRISÉ</w:t>
      </w:r>
    </w:p>
    <w:p w:rsidR="00D25AB7" w:rsidRDefault="00D25AB7">
      <w:pPr>
        <w:jc w:val="center"/>
      </w:pPr>
      <w:r>
        <w:t>JIMMY PATRONIS</w:t>
      </w:r>
    </w:p>
    <w:p w:rsidR="00D25AB7" w:rsidRDefault="00D25AB7">
      <w:pPr>
        <w:jc w:val="center"/>
      </w:pPr>
      <w:r>
        <w:t>DONALD J. POLMANN</w:t>
      </w:r>
    </w:p>
    <w:p w:rsidR="00D25AB7" w:rsidRDefault="00D25AB7"/>
    <w:p w:rsidR="00D25AB7" w:rsidRDefault="00D25AB7"/>
    <w:p w:rsidR="00CB5276" w:rsidRDefault="00CB5276">
      <w:pPr>
        <w:pStyle w:val="OrderBody"/>
      </w:pPr>
    </w:p>
    <w:p w:rsidR="00D25AB7" w:rsidRDefault="00D25AB7" w:rsidP="00D25AB7">
      <w:pPr>
        <w:pStyle w:val="OrderBody"/>
      </w:pPr>
    </w:p>
    <w:p w:rsidR="00D25AB7" w:rsidRDefault="00D25AB7" w:rsidP="00D25AB7">
      <w:pPr>
        <w:pStyle w:val="OrderBody"/>
      </w:pPr>
    </w:p>
    <w:bookmarkStart w:id="5" w:name="OrderText"/>
    <w:bookmarkEnd w:id="5"/>
    <w:p w:rsidR="00D25AB7" w:rsidRPr="003E4B2D" w:rsidRDefault="00D25AB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B55DD" w:rsidRDefault="002B55DD">
      <w:pPr>
        <w:pStyle w:val="OrderBody"/>
        <w:jc w:val="center"/>
        <w:rPr>
          <w:u w:val="single"/>
        </w:rPr>
      </w:pPr>
      <w:r w:rsidRPr="003E4B2D">
        <w:rPr>
          <w:u w:val="single"/>
        </w:rPr>
        <w:t>ORDER</w:t>
      </w:r>
      <w:r>
        <w:rPr>
          <w:u w:val="single"/>
        </w:rPr>
        <w:t xml:space="preserve"> APPROVING CAMACHEE ISLAND COMPANY, INC. D/B/A </w:t>
      </w:r>
    </w:p>
    <w:p w:rsidR="002B55DD" w:rsidRDefault="002B55DD">
      <w:pPr>
        <w:pStyle w:val="OrderBody"/>
        <w:jc w:val="center"/>
        <w:rPr>
          <w:u w:val="single"/>
        </w:rPr>
      </w:pPr>
      <w:r>
        <w:rPr>
          <w:u w:val="single"/>
        </w:rPr>
        <w:t xml:space="preserve">CAMACHEE COVE YACHT HARBOR UTILITY’S </w:t>
      </w:r>
    </w:p>
    <w:p w:rsidR="002B55DD" w:rsidRDefault="002B55DD">
      <w:pPr>
        <w:pStyle w:val="OrderBody"/>
        <w:jc w:val="center"/>
        <w:rPr>
          <w:u w:val="single"/>
        </w:rPr>
      </w:pPr>
      <w:r>
        <w:rPr>
          <w:u w:val="single"/>
        </w:rPr>
        <w:t xml:space="preserve">LIMITED RATE INCREASE </w:t>
      </w:r>
    </w:p>
    <w:p w:rsidR="002B55DD" w:rsidRDefault="002B55DD">
      <w:pPr>
        <w:pStyle w:val="OrderBody"/>
        <w:jc w:val="center"/>
        <w:rPr>
          <w:u w:val="single"/>
        </w:rPr>
      </w:pPr>
      <w:r>
        <w:rPr>
          <w:u w:val="single"/>
        </w:rPr>
        <w:t xml:space="preserve">AND </w:t>
      </w:r>
    </w:p>
    <w:p w:rsidR="002B55DD" w:rsidRDefault="002B55DD" w:rsidP="002B55DD">
      <w:pPr>
        <w:pStyle w:val="OrderBody"/>
        <w:jc w:val="center"/>
        <w:rPr>
          <w:u w:val="single"/>
        </w:rPr>
      </w:pPr>
      <w:r>
        <w:rPr>
          <w:u w:val="single"/>
        </w:rPr>
        <w:t xml:space="preserve">FINAL ORDER APPROVING RATE REDUCTION IN FOUR YEARS AND </w:t>
      </w:r>
    </w:p>
    <w:p w:rsidR="00D25AB7" w:rsidRPr="003E4B2D" w:rsidRDefault="002B55DD" w:rsidP="002B55DD">
      <w:pPr>
        <w:pStyle w:val="OrderBody"/>
        <w:jc w:val="center"/>
        <w:rPr>
          <w:u w:val="single"/>
        </w:rPr>
      </w:pPr>
      <w:r>
        <w:rPr>
          <w:u w:val="single"/>
        </w:rPr>
        <w:t>GRANTING TEMPORARY RATES IN THE EVEN</w:t>
      </w:r>
      <w:r w:rsidR="00E54323">
        <w:rPr>
          <w:u w:val="single"/>
        </w:rPr>
        <w:t>T</w:t>
      </w:r>
      <w:r>
        <w:rPr>
          <w:u w:val="single"/>
        </w:rPr>
        <w:t xml:space="preserve"> OF A PROTEST</w:t>
      </w:r>
    </w:p>
    <w:p w:rsidR="00D25AB7" w:rsidRPr="003E4B2D" w:rsidRDefault="00D25AB7">
      <w:pPr>
        <w:pStyle w:val="OrderBody"/>
      </w:pPr>
    </w:p>
    <w:p w:rsidR="00D25AB7" w:rsidRPr="003E4B2D" w:rsidRDefault="00D25AB7" w:rsidP="00325C91">
      <w:pPr>
        <w:pStyle w:val="OrderBody"/>
      </w:pPr>
      <w:r w:rsidRPr="003E4B2D">
        <w:t>BY THE COMMISSION:</w:t>
      </w:r>
    </w:p>
    <w:p w:rsidR="00B24DFF" w:rsidRPr="00D517DB" w:rsidRDefault="00B24DFF" w:rsidP="00325C91">
      <w:pPr>
        <w:autoSpaceDE w:val="0"/>
        <w:autoSpaceDN w:val="0"/>
        <w:adjustRightInd w:val="0"/>
      </w:pPr>
    </w:p>
    <w:p w:rsidR="00D25AB7" w:rsidRPr="00D517DB" w:rsidRDefault="00B24DFF" w:rsidP="00325C91">
      <w:pPr>
        <w:autoSpaceDE w:val="0"/>
        <w:autoSpaceDN w:val="0"/>
        <w:adjustRightInd w:val="0"/>
        <w:ind w:firstLine="720"/>
        <w:jc w:val="both"/>
      </w:pPr>
      <w:r w:rsidRPr="00D517DB">
        <w:t>NOTICE is hereby given by the Florida Public Service Commission (Commission) that the action discussed herein, except for requiring a four-year reduction in rates</w:t>
      </w:r>
      <w:r w:rsidR="00E54323" w:rsidRPr="00D517DB">
        <w:t xml:space="preserve"> and granting temporary rates in the event of a protest</w:t>
      </w:r>
      <w:r w:rsidR="006A6935">
        <w:t>,</w:t>
      </w:r>
      <w:r w:rsidRPr="00D517DB">
        <w:t xml:space="preserve"> is preliminary in nature and will become final unless a person whose interests are substantially affected files a petition for a formal proceeding, pursuant to Rule 25-22.029, Florida Administrative Code (F.A.C.).</w:t>
      </w:r>
    </w:p>
    <w:p w:rsidR="00B24DFF" w:rsidRPr="00D517DB" w:rsidRDefault="00B24DFF" w:rsidP="00325C91">
      <w:pPr>
        <w:pStyle w:val="OrderBody"/>
      </w:pPr>
    </w:p>
    <w:p w:rsidR="00325C91" w:rsidRPr="00D517DB" w:rsidRDefault="00D25AB7" w:rsidP="00325C91">
      <w:pPr>
        <w:pStyle w:val="RecommendationMajorSectionHeading"/>
        <w:spacing w:after="0"/>
        <w:rPr>
          <w:rFonts w:ascii="Times New Roman" w:hAnsi="Times New Roman" w:cs="Times New Roman"/>
          <w:b w:val="0"/>
          <w:u w:val="single"/>
        </w:rPr>
      </w:pPr>
      <w:r w:rsidRPr="00D517DB">
        <w:rPr>
          <w:rFonts w:ascii="Times New Roman" w:hAnsi="Times New Roman" w:cs="Times New Roman"/>
          <w:b w:val="0"/>
          <w:u w:val="single"/>
        </w:rPr>
        <w:t>Background</w:t>
      </w:r>
    </w:p>
    <w:p w:rsidR="00D25AB7" w:rsidRPr="00D517DB" w:rsidRDefault="00D25AB7" w:rsidP="00325C91">
      <w:pPr>
        <w:pStyle w:val="RecommendationMajorSectionHeading"/>
        <w:spacing w:after="0"/>
        <w:rPr>
          <w:rFonts w:ascii="Times New Roman" w:hAnsi="Times New Roman" w:cs="Times New Roman"/>
          <w:b w:val="0"/>
          <w:u w:val="single"/>
        </w:rPr>
      </w:pPr>
      <w:r w:rsidRPr="00D517DB">
        <w:rPr>
          <w:rFonts w:ascii="Times New Roman" w:hAnsi="Times New Roman" w:cs="Times New Roman"/>
          <w:b w:val="0"/>
          <w:u w:val="single"/>
        </w:rPr>
        <w:fldChar w:fldCharType="begin"/>
      </w:r>
      <w:r w:rsidRPr="00D517DB">
        <w:rPr>
          <w:rFonts w:ascii="Times New Roman" w:hAnsi="Times New Roman" w:cs="Times New Roman"/>
          <w:b w:val="0"/>
          <w:u w:val="single"/>
        </w:rPr>
        <w:instrText xml:space="preserve"> TC  "</w:instrText>
      </w:r>
      <w:r w:rsidRPr="00D517DB">
        <w:rPr>
          <w:rFonts w:ascii="Times New Roman" w:hAnsi="Times New Roman" w:cs="Times New Roman"/>
          <w:b w:val="0"/>
          <w:u w:val="single"/>
        </w:rPr>
        <w:tab/>
      </w:r>
      <w:bookmarkStart w:id="6" w:name="_Toc94516455"/>
      <w:r w:rsidRPr="00D517DB">
        <w:rPr>
          <w:rFonts w:ascii="Times New Roman" w:hAnsi="Times New Roman" w:cs="Times New Roman"/>
          <w:b w:val="0"/>
          <w:u w:val="single"/>
        </w:rPr>
        <w:instrText>Case Background</w:instrText>
      </w:r>
      <w:bookmarkEnd w:id="6"/>
      <w:r w:rsidRPr="00D517DB">
        <w:rPr>
          <w:rFonts w:ascii="Times New Roman" w:hAnsi="Times New Roman" w:cs="Times New Roman"/>
          <w:b w:val="0"/>
          <w:u w:val="single"/>
        </w:rPr>
        <w:instrText xml:space="preserve">" \l 1 </w:instrText>
      </w:r>
      <w:r w:rsidRPr="00D517DB">
        <w:rPr>
          <w:rFonts w:ascii="Times New Roman" w:hAnsi="Times New Roman" w:cs="Times New Roman"/>
          <w:b w:val="0"/>
          <w:u w:val="single"/>
        </w:rPr>
        <w:fldChar w:fldCharType="end"/>
      </w:r>
    </w:p>
    <w:p w:rsidR="00D25AB7" w:rsidRPr="00D517DB" w:rsidRDefault="00D25AB7" w:rsidP="00325C91">
      <w:pPr>
        <w:pStyle w:val="BodyText"/>
        <w:spacing w:after="0"/>
        <w:ind w:firstLine="720"/>
        <w:jc w:val="both"/>
      </w:pPr>
      <w:r w:rsidRPr="00D517DB">
        <w:t xml:space="preserve">Camachee Island Company, Inc. d/b/a Camachee Cove Yacht Harbor Utility (Camachee or </w:t>
      </w:r>
      <w:r w:rsidR="00B24DFF" w:rsidRPr="00D517DB">
        <w:t>U</w:t>
      </w:r>
      <w:r w:rsidRPr="00D517DB">
        <w:t xml:space="preserve">tility) is a Class C utility providing service to approximately 100 water customers in St. Johns County. The </w:t>
      </w:r>
      <w:r w:rsidR="002B55DD" w:rsidRPr="00D517DB">
        <w:t>U</w:t>
      </w:r>
      <w:r w:rsidRPr="00D517DB">
        <w:t>tility began operations in 1977. Camachee was granted an original certificate to operate a water utility in St. Johns County in 1988, subsequent to the county turning jurisdiction over to th</w:t>
      </w:r>
      <w:r w:rsidR="002B55DD" w:rsidRPr="00D517DB">
        <w:t>is</w:t>
      </w:r>
      <w:r w:rsidRPr="00D517DB">
        <w:t xml:space="preserve"> Commission. The county rescinded </w:t>
      </w:r>
      <w:r w:rsidR="002B55DD" w:rsidRPr="00D517DB">
        <w:t>our</w:t>
      </w:r>
      <w:r w:rsidRPr="00D517DB">
        <w:t xml:space="preserve"> jurisdiction in 1989. On January 16, 2009, St. Johns Cou</w:t>
      </w:r>
      <w:r w:rsidR="002B55DD" w:rsidRPr="00D517DB">
        <w:t>nty returned jurisdiction to us</w:t>
      </w:r>
      <w:r w:rsidRPr="00D517DB">
        <w:t xml:space="preserve">. The </w:t>
      </w:r>
      <w:r w:rsidR="002B55DD" w:rsidRPr="00D517DB">
        <w:t>U</w:t>
      </w:r>
      <w:r w:rsidRPr="00D517DB">
        <w:t xml:space="preserve">tility applied for a grandfather </w:t>
      </w:r>
      <w:r w:rsidRPr="00D517DB">
        <w:lastRenderedPageBreak/>
        <w:t xml:space="preserve">certificate on April 13, 2009, and a staff-assisted rate case (SARC) on April 24, 2009. The </w:t>
      </w:r>
      <w:r w:rsidR="002B55DD" w:rsidRPr="00D517DB">
        <w:t>U</w:t>
      </w:r>
      <w:r w:rsidRPr="00D517DB">
        <w:t>tility’s rates and charges were last approved in a staff-assisted rate case in 2010.</w:t>
      </w:r>
      <w:r w:rsidRPr="00D517DB">
        <w:rPr>
          <w:rStyle w:val="FootnoteReference"/>
        </w:rPr>
        <w:footnoteReference w:id="1"/>
      </w:r>
    </w:p>
    <w:p w:rsidR="00325C91" w:rsidRPr="00D517DB" w:rsidRDefault="00325C91" w:rsidP="00325C91">
      <w:pPr>
        <w:pStyle w:val="BodyText"/>
        <w:spacing w:after="0"/>
        <w:ind w:firstLine="720"/>
        <w:jc w:val="both"/>
      </w:pPr>
    </w:p>
    <w:p w:rsidR="00D25AB7" w:rsidRPr="00D517DB" w:rsidRDefault="00D25AB7" w:rsidP="00325C91">
      <w:pPr>
        <w:pStyle w:val="BodyText"/>
        <w:spacing w:after="0"/>
        <w:ind w:firstLine="720"/>
        <w:jc w:val="both"/>
      </w:pPr>
      <w:r w:rsidRPr="00D517DB">
        <w:t xml:space="preserve">On June 7, 2016, Camachee filed its application for a limited proceeding pursuant to Section 367.0822, Florida Statutes (F.S.). </w:t>
      </w:r>
      <w:r w:rsidR="002B55DD" w:rsidRPr="00D517DB">
        <w:t xml:space="preserve"> </w:t>
      </w:r>
      <w:r w:rsidRPr="00D517DB">
        <w:t xml:space="preserve">A reduction in water usage has led to the </w:t>
      </w:r>
      <w:r w:rsidR="002B55DD" w:rsidRPr="00D517DB">
        <w:t>U</w:t>
      </w:r>
      <w:r w:rsidRPr="00D517DB">
        <w:t xml:space="preserve">tility being unable to achieve its previously approved revenues with the </w:t>
      </w:r>
      <w:r w:rsidR="002B55DD" w:rsidRPr="00D517DB">
        <w:t>U</w:t>
      </w:r>
      <w:r w:rsidRPr="00D517DB">
        <w:t xml:space="preserve">tility’s current rates. Unlike a full rate case, Camachee’s request consists of only the recovery of the revenue requirement </w:t>
      </w:r>
      <w:r w:rsidR="002B55DD" w:rsidRPr="00D517DB">
        <w:t xml:space="preserve">we </w:t>
      </w:r>
      <w:r w:rsidRPr="00D517DB">
        <w:t xml:space="preserve">authorized in Docket No. 090230-WU, plus the price index increases authorized since that time, rate case expense incurred in this proceeding, and regulatory assessment fees (RAFs). The </w:t>
      </w:r>
      <w:r w:rsidR="00B21038" w:rsidRPr="00D517DB">
        <w:t>U</w:t>
      </w:r>
      <w:r w:rsidRPr="00D517DB">
        <w:t xml:space="preserve">tility is seeking to recover no new items of expense, investment, or changes to cost of capital. </w:t>
      </w:r>
      <w:r w:rsidR="00B21038" w:rsidRPr="00D517DB">
        <w:t xml:space="preserve">We find </w:t>
      </w:r>
      <w:r w:rsidRPr="00D517DB">
        <w:t xml:space="preserve">that Camachee has met the filing requirements of Rule 25-30.445, </w:t>
      </w:r>
      <w:r w:rsidR="005363A0" w:rsidRPr="00D517DB">
        <w:t>F.A.C.</w:t>
      </w:r>
    </w:p>
    <w:p w:rsidR="00325C91" w:rsidRPr="00D517DB" w:rsidRDefault="00325C91" w:rsidP="00325C91">
      <w:pPr>
        <w:pStyle w:val="BodyText"/>
        <w:spacing w:after="0"/>
        <w:ind w:firstLine="720"/>
        <w:jc w:val="both"/>
      </w:pPr>
    </w:p>
    <w:p w:rsidR="00D25AB7" w:rsidRPr="00D517DB" w:rsidRDefault="00D25AB7" w:rsidP="00325C91">
      <w:pPr>
        <w:pStyle w:val="BodyText"/>
        <w:spacing w:after="0"/>
        <w:ind w:firstLine="720"/>
        <w:jc w:val="both"/>
      </w:pPr>
      <w:r w:rsidRPr="00D517DB">
        <w:t xml:space="preserve">A customer meeting was held October 17, 2016, in the service of area of the </w:t>
      </w:r>
      <w:r w:rsidR="00B21038" w:rsidRPr="00D517DB">
        <w:t>U</w:t>
      </w:r>
      <w:r w:rsidRPr="00D517DB">
        <w:t>tility in St. Augustine and twelve customers attended the meeting. The main concerns brought to</w:t>
      </w:r>
      <w:r w:rsidR="00B21038" w:rsidRPr="00D517DB">
        <w:t xml:space="preserve"> our</w:t>
      </w:r>
      <w:r w:rsidRPr="00D517DB">
        <w:t xml:space="preserve"> attention were that the reduction in water usage might have occurred solely because of a lack of yachts in the marina during the recession, as well as the overall amount of the requested increase. In addition, customers provided written comments expressing that </w:t>
      </w:r>
      <w:r w:rsidR="005363A0" w:rsidRPr="00D517DB">
        <w:t xml:space="preserve">we </w:t>
      </w:r>
      <w:r w:rsidRPr="00D517DB">
        <w:t>order the utility to file a SARC, so that a full investigation of Camachee’s financials and operations can take place. In addition, on January 25, 2017, the Office of Public Co</w:t>
      </w:r>
      <w:r w:rsidR="006D58EA" w:rsidRPr="00D517DB">
        <w:t>unsel (OPC) requested that the U</w:t>
      </w:r>
      <w:r w:rsidRPr="00D517DB">
        <w:t xml:space="preserve">tility file for a SARC in lieu of a limited proceeding.  By letter dated February 20, 2017, the utility confirmed its interest in maintaining the request for a limited proceeding.   </w:t>
      </w:r>
    </w:p>
    <w:p w:rsidR="00325C91" w:rsidRPr="00D517DB" w:rsidRDefault="00325C91" w:rsidP="00325C91">
      <w:pPr>
        <w:pStyle w:val="BodyText"/>
        <w:spacing w:after="0"/>
        <w:ind w:firstLine="720"/>
        <w:jc w:val="both"/>
      </w:pPr>
    </w:p>
    <w:p w:rsidR="00D25AB7" w:rsidRPr="00D517DB" w:rsidRDefault="00D25AB7" w:rsidP="00325C91">
      <w:pPr>
        <w:pStyle w:val="OrderBody"/>
        <w:ind w:firstLine="720"/>
      </w:pPr>
      <w:r w:rsidRPr="00D517DB">
        <w:t xml:space="preserve">This </w:t>
      </w:r>
      <w:r w:rsidR="005363A0" w:rsidRPr="00D517DB">
        <w:t>O</w:t>
      </w:r>
      <w:r w:rsidR="00500557" w:rsidRPr="00D517DB">
        <w:t>rder</w:t>
      </w:r>
      <w:r w:rsidRPr="00D517DB">
        <w:t xml:space="preserve"> addresses the </w:t>
      </w:r>
      <w:r w:rsidR="006D58EA" w:rsidRPr="00D517DB">
        <w:t>U</w:t>
      </w:r>
      <w:r w:rsidRPr="00D517DB">
        <w:t xml:space="preserve">tility’s filing for a limited proceeding rate increase and whether </w:t>
      </w:r>
      <w:r w:rsidR="006D58EA" w:rsidRPr="00D517DB">
        <w:t xml:space="preserve">we </w:t>
      </w:r>
      <w:r w:rsidR="00500557" w:rsidRPr="00D517DB">
        <w:t>shall</w:t>
      </w:r>
      <w:r w:rsidRPr="00D517DB">
        <w:t xml:space="preserve"> grant it. </w:t>
      </w:r>
      <w:r w:rsidR="006D58EA" w:rsidRPr="00D517DB">
        <w:t>We have</w:t>
      </w:r>
      <w:r w:rsidRPr="00D517DB">
        <w:t xml:space="preserve"> jurisdiction to consider this matter pursuant to Sections 367.0822 and 367.0816, F.S.</w:t>
      </w:r>
    </w:p>
    <w:p w:rsidR="00D25AB7" w:rsidRPr="00D517DB" w:rsidRDefault="00D25AB7" w:rsidP="00325C91">
      <w:pPr>
        <w:pStyle w:val="OrderBody"/>
      </w:pPr>
    </w:p>
    <w:p w:rsidR="00D25AB7" w:rsidRPr="00D517DB" w:rsidRDefault="00420498" w:rsidP="00325C91">
      <w:pPr>
        <w:pStyle w:val="RecommendationMajorSectionHeading"/>
        <w:spacing w:after="0"/>
        <w:rPr>
          <w:rFonts w:ascii="Times New Roman" w:hAnsi="Times New Roman" w:cs="Times New Roman"/>
          <w:b w:val="0"/>
          <w:u w:val="single"/>
        </w:rPr>
      </w:pPr>
      <w:bookmarkStart w:id="7" w:name="DiscussionOfIssues"/>
      <w:r w:rsidRPr="00D517DB">
        <w:rPr>
          <w:rFonts w:ascii="Times New Roman" w:hAnsi="Times New Roman" w:cs="Times New Roman"/>
          <w:b w:val="0"/>
          <w:u w:val="single"/>
        </w:rPr>
        <w:t>Decision</w:t>
      </w:r>
    </w:p>
    <w:bookmarkEnd w:id="7"/>
    <w:p w:rsidR="00325C91" w:rsidRPr="00D517DB" w:rsidRDefault="00325C91" w:rsidP="00325C91">
      <w:pPr>
        <w:pStyle w:val="IssueSubsectionHeading"/>
        <w:spacing w:after="0"/>
        <w:rPr>
          <w:rFonts w:ascii="Times New Roman" w:hAnsi="Times New Roman" w:cs="Times New Roman"/>
          <w:b w:val="0"/>
          <w:i w:val="0"/>
          <w:u w:val="single"/>
        </w:rPr>
      </w:pPr>
    </w:p>
    <w:p w:rsidR="00D25AB7" w:rsidRPr="00D517DB" w:rsidRDefault="00420498" w:rsidP="00325C91">
      <w:pPr>
        <w:pStyle w:val="IssueSubsectionHeading"/>
        <w:spacing w:after="0"/>
        <w:rPr>
          <w:rFonts w:ascii="Times New Roman" w:hAnsi="Times New Roman" w:cs="Times New Roman"/>
          <w:b w:val="0"/>
          <w:i w:val="0"/>
          <w:u w:val="single"/>
        </w:rPr>
      </w:pPr>
      <w:r w:rsidRPr="00D517DB">
        <w:rPr>
          <w:rFonts w:ascii="Times New Roman" w:hAnsi="Times New Roman" w:cs="Times New Roman"/>
          <w:b w:val="0"/>
          <w:i w:val="0"/>
          <w:u w:val="single"/>
        </w:rPr>
        <w:t>Utility’s Request for Limited Proceeding</w:t>
      </w:r>
    </w:p>
    <w:p w:rsidR="00325C91" w:rsidRPr="00D517DB" w:rsidRDefault="00325C91" w:rsidP="00325C91">
      <w:pPr>
        <w:pStyle w:val="BodyText"/>
        <w:spacing w:after="0"/>
        <w:ind w:firstLine="720"/>
        <w:jc w:val="both"/>
      </w:pPr>
    </w:p>
    <w:p w:rsidR="00D25AB7" w:rsidRPr="00D517DB" w:rsidRDefault="00D25AB7" w:rsidP="00325C91">
      <w:pPr>
        <w:pStyle w:val="BodyText"/>
        <w:spacing w:after="0"/>
        <w:ind w:firstLine="720"/>
        <w:jc w:val="both"/>
      </w:pPr>
      <w:r w:rsidRPr="00D517DB">
        <w:t>Limited proceedings generally address a specific or significant change that would adversely affect the normal operating income of the utility and are usually narrow in scope.</w:t>
      </w:r>
      <w:r w:rsidRPr="00D517DB">
        <w:rPr>
          <w:rStyle w:val="FootnoteReference"/>
        </w:rPr>
        <w:footnoteReference w:id="2"/>
      </w:r>
      <w:r w:rsidRPr="00D517DB">
        <w:t xml:space="preserve"> </w:t>
      </w:r>
      <w:r w:rsidR="00325C91" w:rsidRPr="00D517DB">
        <w:t xml:space="preserve">We find </w:t>
      </w:r>
      <w:r w:rsidRPr="00D517DB">
        <w:t xml:space="preserve">that Camachee’s case as filed is sufficiently narrow in scope to qualify for a limited proceeding. </w:t>
      </w:r>
      <w:r w:rsidR="00325C91" w:rsidRPr="00D517DB">
        <w:t xml:space="preserve">We further find </w:t>
      </w:r>
      <w:r w:rsidRPr="00D517DB">
        <w:t xml:space="preserve">that Camachee has met all the minimum filing requirements as set forth in Rule 25-30.445, F.A.C. In the past, </w:t>
      </w:r>
      <w:r w:rsidR="00325C91" w:rsidRPr="00D517DB">
        <w:t>we have</w:t>
      </w:r>
      <w:r w:rsidRPr="00D517DB">
        <w:t xml:space="preserve"> approved limited proceeding rate increases for  a utility that experienced a significant reduction in usage.</w:t>
      </w:r>
      <w:r w:rsidRPr="00D517DB">
        <w:rPr>
          <w:rStyle w:val="FootnoteReference"/>
        </w:rPr>
        <w:footnoteReference w:id="3"/>
      </w:r>
    </w:p>
    <w:p w:rsidR="00325C91" w:rsidRDefault="00325C91" w:rsidP="00325C91">
      <w:pPr>
        <w:pStyle w:val="First-LevelSubheading"/>
        <w:ind w:left="720"/>
        <w:rPr>
          <w:rFonts w:ascii="Times New Roman" w:hAnsi="Times New Roman" w:cs="Times New Roman"/>
          <w:b w:val="0"/>
          <w:i/>
        </w:rPr>
      </w:pPr>
    </w:p>
    <w:p w:rsidR="00D517DB" w:rsidRPr="00D517DB" w:rsidRDefault="00D517DB" w:rsidP="00D517DB">
      <w:pPr>
        <w:pStyle w:val="BodyText"/>
      </w:pPr>
    </w:p>
    <w:p w:rsidR="00D25AB7" w:rsidRPr="00D517DB" w:rsidRDefault="00D25AB7" w:rsidP="00325C91">
      <w:pPr>
        <w:pStyle w:val="First-LevelSubheading"/>
        <w:ind w:left="720"/>
        <w:rPr>
          <w:rFonts w:ascii="Times New Roman" w:hAnsi="Times New Roman" w:cs="Times New Roman"/>
          <w:b w:val="0"/>
          <w:i/>
        </w:rPr>
      </w:pPr>
      <w:r w:rsidRPr="00D517DB">
        <w:rPr>
          <w:rFonts w:ascii="Times New Roman" w:hAnsi="Times New Roman" w:cs="Times New Roman"/>
          <w:b w:val="0"/>
          <w:i/>
        </w:rPr>
        <w:lastRenderedPageBreak/>
        <w:t>Billing Determinants and Test year Revenues</w:t>
      </w:r>
    </w:p>
    <w:p w:rsidR="00325C91" w:rsidRPr="00D517DB" w:rsidRDefault="00325C91" w:rsidP="00325C91">
      <w:pPr>
        <w:pStyle w:val="BodyText"/>
        <w:spacing w:after="0"/>
        <w:jc w:val="both"/>
      </w:pPr>
    </w:p>
    <w:p w:rsidR="00D25AB7" w:rsidRPr="00D517DB" w:rsidRDefault="00D25AB7" w:rsidP="00325C91">
      <w:pPr>
        <w:pStyle w:val="BodyText"/>
        <w:spacing w:after="0"/>
        <w:ind w:firstLine="720"/>
        <w:jc w:val="both"/>
      </w:pPr>
      <w:r w:rsidRPr="00D517DB">
        <w:t xml:space="preserve">In its application, Camachee stated that the average annual usage from 2009 through 2015 was 7,505,000 gallons, which is considerably less than the 9,142,000 gallons used in the utility’s 2009 SARC. </w:t>
      </w:r>
      <w:r w:rsidR="00325C91" w:rsidRPr="00D517DB">
        <w:t>We</w:t>
      </w:r>
      <w:r w:rsidRPr="00D517DB">
        <w:t xml:space="preserve"> reviewed monthly billing determinants for both 2015 and 2016 and found the gallons to be significantly lower than the gallons used in establishing rates in Camachee’s 2009 SARC. </w:t>
      </w:r>
      <w:r w:rsidR="00325C91" w:rsidRPr="00D517DB">
        <w:t>We</w:t>
      </w:r>
      <w:r w:rsidRPr="00D517DB">
        <w:t xml:space="preserve"> relied on billing determinants from 2016 to most accurately represent the current usage of Camachee’s customer base. The customer demand was 6,632,340 gallons in 2015 and 7,558,533 gallons in 2016. </w:t>
      </w:r>
      <w:r w:rsidR="00325C91" w:rsidRPr="00D517DB">
        <w:t>We</w:t>
      </w:r>
      <w:r w:rsidRPr="00D517DB">
        <w:t xml:space="preserve"> found that both the residential and commercial customers of the </w:t>
      </w:r>
      <w:r w:rsidR="00325C91" w:rsidRPr="00D517DB">
        <w:t>U</w:t>
      </w:r>
      <w:r w:rsidRPr="00D517DB">
        <w:t xml:space="preserve">tility had a comparable decrease in usage since the </w:t>
      </w:r>
      <w:r w:rsidR="00325C91" w:rsidRPr="00D517DB">
        <w:t>U</w:t>
      </w:r>
      <w:r w:rsidRPr="00D517DB">
        <w:t>tility’s last rate case, indicating that the reduction in demand was not associated exclusively with the marina.</w:t>
      </w:r>
    </w:p>
    <w:p w:rsidR="00325C91" w:rsidRPr="00D517DB" w:rsidRDefault="00325C91" w:rsidP="00325C91">
      <w:pPr>
        <w:pStyle w:val="BodyText"/>
        <w:spacing w:after="0"/>
        <w:ind w:firstLine="720"/>
        <w:jc w:val="both"/>
      </w:pPr>
    </w:p>
    <w:p w:rsidR="00D25AB7" w:rsidRPr="00D517DB" w:rsidRDefault="00D25AB7" w:rsidP="00325C91">
      <w:pPr>
        <w:pStyle w:val="BodyText"/>
        <w:spacing w:after="0"/>
        <w:ind w:firstLine="720"/>
        <w:jc w:val="both"/>
      </w:pPr>
      <w:r w:rsidRPr="00D517DB">
        <w:t xml:space="preserve">The </w:t>
      </w:r>
      <w:r w:rsidR="00325C91" w:rsidRPr="00D517DB">
        <w:t>U</w:t>
      </w:r>
      <w:r w:rsidRPr="00D517DB">
        <w:t xml:space="preserve">tility’s requested percentage increase was based on revenues of $78,173, which are the 2015 billing determinants annualized with a price index rate adjustment that became effective June of 2016.  As mentioned previously, the customer demand increased from 2015 to 2016.  Therefore, in order to determine the appropriate percentage increase, </w:t>
      </w:r>
      <w:r w:rsidR="00500557" w:rsidRPr="00D517DB">
        <w:t>we find that</w:t>
      </w:r>
      <w:r w:rsidRPr="00D517DB">
        <w:t xml:space="preserve"> 2016 billing determinants sh</w:t>
      </w:r>
      <w:r w:rsidR="00500557" w:rsidRPr="00D517DB">
        <w:t>all</w:t>
      </w:r>
      <w:r w:rsidRPr="00D517DB">
        <w:t xml:space="preserve"> be used to determine the test year revenues. As a result, </w:t>
      </w:r>
      <w:r w:rsidR="00500557" w:rsidRPr="00D517DB">
        <w:t>we</w:t>
      </w:r>
      <w:r w:rsidRPr="00D517DB">
        <w:t xml:space="preserve"> annualized revenues for 2016, which resulted in revenues of $88,199.</w:t>
      </w:r>
    </w:p>
    <w:p w:rsidR="00D25AB7" w:rsidRPr="00D517DB" w:rsidRDefault="00D25AB7" w:rsidP="00325C91">
      <w:pPr>
        <w:pStyle w:val="BodyText"/>
        <w:spacing w:after="0"/>
        <w:jc w:val="both"/>
      </w:pPr>
    </w:p>
    <w:p w:rsidR="00D25AB7" w:rsidRPr="00D517DB" w:rsidRDefault="00D25AB7" w:rsidP="00325C91">
      <w:pPr>
        <w:ind w:left="720"/>
        <w:jc w:val="both"/>
        <w:outlineLvl w:val="0"/>
        <w:rPr>
          <w:bCs/>
          <w:i/>
          <w:kern w:val="32"/>
          <w:szCs w:val="32"/>
        </w:rPr>
      </w:pPr>
      <w:r w:rsidRPr="00D517DB">
        <w:rPr>
          <w:bCs/>
          <w:i/>
          <w:kern w:val="32"/>
          <w:szCs w:val="32"/>
        </w:rPr>
        <w:t>Revenue Requirement</w:t>
      </w:r>
    </w:p>
    <w:p w:rsidR="00325C91" w:rsidRPr="00D517DB" w:rsidRDefault="00325C91" w:rsidP="00325C91">
      <w:pPr>
        <w:ind w:left="720"/>
        <w:jc w:val="both"/>
        <w:outlineLvl w:val="0"/>
        <w:rPr>
          <w:bCs/>
          <w:i/>
          <w:kern w:val="32"/>
          <w:szCs w:val="32"/>
        </w:rPr>
      </w:pPr>
    </w:p>
    <w:p w:rsidR="00D25AB7" w:rsidRPr="00D517DB" w:rsidRDefault="00D25AB7" w:rsidP="00325C91">
      <w:pPr>
        <w:pStyle w:val="BodyText"/>
        <w:spacing w:after="0"/>
        <w:ind w:firstLine="720"/>
        <w:jc w:val="both"/>
      </w:pPr>
      <w:r w:rsidRPr="00D517DB">
        <w:rPr>
          <w:color w:val="000000"/>
        </w:rPr>
        <w:t xml:space="preserve">In its application, the </w:t>
      </w:r>
      <w:r w:rsidR="00325C91" w:rsidRPr="00D517DB">
        <w:rPr>
          <w:color w:val="000000"/>
        </w:rPr>
        <w:t>U</w:t>
      </w:r>
      <w:r w:rsidRPr="00D517DB">
        <w:rPr>
          <w:color w:val="000000"/>
        </w:rPr>
        <w:t xml:space="preserve">tility proposed a revenue requirement of $130,003, comprised of the $114,439 revenue requirement that was authorized in the </w:t>
      </w:r>
      <w:r w:rsidR="00325C91" w:rsidRPr="00D517DB">
        <w:rPr>
          <w:color w:val="000000"/>
        </w:rPr>
        <w:t>U</w:t>
      </w:r>
      <w:r w:rsidRPr="00D517DB">
        <w:rPr>
          <w:color w:val="000000"/>
        </w:rPr>
        <w:t>tility’s last staff-assisted rate case by Order No. PSC-10-0126-PAA-WU</w:t>
      </w:r>
      <w:r w:rsidRPr="00D517DB">
        <w:rPr>
          <w:rStyle w:val="FootnoteReference"/>
          <w:color w:val="000000"/>
        </w:rPr>
        <w:footnoteReference w:id="4"/>
      </w:r>
      <w:r w:rsidRPr="00D517DB">
        <w:rPr>
          <w:color w:val="000000"/>
        </w:rPr>
        <w:t xml:space="preserve"> (2009 SARC), plus an estimated $15,564 for the total price index and pass through adjustments that </w:t>
      </w:r>
      <w:r w:rsidR="00325C91" w:rsidRPr="00D517DB">
        <w:rPr>
          <w:color w:val="000000"/>
        </w:rPr>
        <w:t>we</w:t>
      </w:r>
      <w:r w:rsidRPr="00D517DB">
        <w:rPr>
          <w:color w:val="000000"/>
        </w:rPr>
        <w:t xml:space="preserve"> approved for Camachee for 2010 through 2016. In addition, Camachee requested approval to recover the rate case expense and regulatory assessment fees (RAFs) related to the limited proceeding. The </w:t>
      </w:r>
      <w:r w:rsidR="00B02C00" w:rsidRPr="00D517DB">
        <w:rPr>
          <w:color w:val="000000"/>
        </w:rPr>
        <w:t>U</w:t>
      </w:r>
      <w:r w:rsidRPr="00D517DB">
        <w:rPr>
          <w:color w:val="000000"/>
        </w:rPr>
        <w:t xml:space="preserve">tility </w:t>
      </w:r>
      <w:r w:rsidRPr="00D517DB">
        <w:t xml:space="preserve">did not request any other changes to the operating expenses, cost of capital, or rate base established in its 2009 SARC. Consequently, </w:t>
      </w:r>
      <w:r w:rsidR="00B02C00" w:rsidRPr="00D517DB">
        <w:t>we</w:t>
      </w:r>
      <w:r w:rsidRPr="00D517DB">
        <w:t xml:space="preserve"> used the revenue requirement, operating expenses, cost of </w:t>
      </w:r>
      <w:r w:rsidR="00B02C00" w:rsidRPr="00D517DB">
        <w:t>capital, and rate base that we</w:t>
      </w:r>
      <w:r w:rsidRPr="00D517DB">
        <w:t xml:space="preserve"> approved in the 2009 SARC as the starting point for calculating the adjusted revenue requirement for this limited proceeding.</w:t>
      </w:r>
    </w:p>
    <w:p w:rsidR="00B02C00" w:rsidRPr="00D517DB" w:rsidRDefault="00B02C00" w:rsidP="00325C91">
      <w:pPr>
        <w:pStyle w:val="BodyText"/>
        <w:spacing w:after="0"/>
        <w:ind w:firstLine="720"/>
        <w:jc w:val="both"/>
      </w:pPr>
    </w:p>
    <w:p w:rsidR="00D25AB7" w:rsidRPr="00D517DB" w:rsidRDefault="00D25AB7" w:rsidP="00325C91">
      <w:pPr>
        <w:pStyle w:val="BodyText"/>
        <w:spacing w:after="0"/>
        <w:ind w:firstLine="720"/>
        <w:jc w:val="both"/>
      </w:pPr>
      <w:r w:rsidRPr="00D517DB">
        <w:t>In its January 25, 2017 letter, OPC objected to Camachee’s estimated $15,564 total price index and pass through revenue increase, and proposed that it would be more appropriate to use the actual revenue increases</w:t>
      </w:r>
      <w:r w:rsidR="00CD534E" w:rsidRPr="00D517DB">
        <w:t xml:space="preserve"> that we</w:t>
      </w:r>
      <w:r w:rsidRPr="00D517DB">
        <w:t xml:space="preserve"> approved. </w:t>
      </w:r>
      <w:r w:rsidR="00CD534E" w:rsidRPr="00D517DB">
        <w:t>T</w:t>
      </w:r>
      <w:r w:rsidRPr="00D517DB">
        <w:t xml:space="preserve">he </w:t>
      </w:r>
      <w:r w:rsidR="00CD534E" w:rsidRPr="00D517DB">
        <w:t>U</w:t>
      </w:r>
      <w:r w:rsidRPr="00D517DB">
        <w:t xml:space="preserve">tility’s proposal is consistent with the methodology previously used in a similar limited proceeding approved by </w:t>
      </w:r>
      <w:r w:rsidR="00EC2F66" w:rsidRPr="00D517DB">
        <w:t>us</w:t>
      </w:r>
      <w:r w:rsidRPr="00D517DB">
        <w:t>.</w:t>
      </w:r>
      <w:r w:rsidRPr="00D517DB">
        <w:rPr>
          <w:rStyle w:val="FootnoteReference"/>
        </w:rPr>
        <w:footnoteReference w:id="5"/>
      </w:r>
      <w:r w:rsidRPr="00D517DB">
        <w:t xml:space="preserve"> However, in the instant case, this method results in </w:t>
      </w:r>
      <w:r w:rsidR="00CD534E" w:rsidRPr="00D517DB">
        <w:t>an overstatement of the U</w:t>
      </w:r>
      <w:r w:rsidRPr="00D517DB">
        <w:t>tility’s price index and pass through revenue increases when compared to the actual approved price index and pass through revenue increases.</w:t>
      </w:r>
    </w:p>
    <w:p w:rsidR="00CD534E" w:rsidRPr="00D517DB" w:rsidRDefault="00CD534E" w:rsidP="00325C91">
      <w:pPr>
        <w:pStyle w:val="BodyText"/>
        <w:spacing w:after="0"/>
        <w:ind w:firstLine="720"/>
        <w:jc w:val="both"/>
      </w:pPr>
    </w:p>
    <w:p w:rsidR="00D25AB7" w:rsidRPr="00D517DB" w:rsidRDefault="00D25AB7" w:rsidP="00325C91">
      <w:pPr>
        <w:pStyle w:val="BodyText"/>
        <w:spacing w:after="0"/>
        <w:ind w:firstLine="720"/>
        <w:jc w:val="both"/>
      </w:pPr>
      <w:r w:rsidRPr="00D517DB">
        <w:lastRenderedPageBreak/>
        <w:t xml:space="preserve">The </w:t>
      </w:r>
      <w:r w:rsidR="00CD534E" w:rsidRPr="00D517DB">
        <w:t>U</w:t>
      </w:r>
      <w:r w:rsidRPr="00D517DB">
        <w:t xml:space="preserve">tility’s estimate of $15,564 was calculated by applying a combined percentage increase for the 2010 through 2016 price index and pass through adjustments to the total revenue requirement approved in the </w:t>
      </w:r>
      <w:r w:rsidR="00CD534E" w:rsidRPr="00D517DB">
        <w:t>U</w:t>
      </w:r>
      <w:r w:rsidRPr="00D517DB">
        <w:t xml:space="preserve">tility’s 2009 SARC. However, because Camachee’s actual annual revenues have been consistently lower than the approved revenue requirement, the actual revenue increases that resulted from the price index and pass through adjustments were also lower than would have resulted if the </w:t>
      </w:r>
      <w:r w:rsidR="002E7FC6" w:rsidRPr="00D517DB">
        <w:t>U</w:t>
      </w:r>
      <w:r w:rsidRPr="00D517DB">
        <w:t xml:space="preserve">tility’s revenues had more closely matched the revenue requirement authorized in the 2009 SARC. Specifically, Camachee’s actual revenues subsequent to the 2009 SARC have only ranged from $73,586 to $84,346, representing approximately 64 percent to 74 percent of the $114,439 authorized revenue requirement. Based on the </w:t>
      </w:r>
      <w:r w:rsidR="002E7FC6" w:rsidRPr="00D517DB">
        <w:t>U</w:t>
      </w:r>
      <w:r w:rsidRPr="00D517DB">
        <w:t>tility’s actual revenues, the combined actual price index and pass through revenue increases that were approved for Camachee from 2010 through 2016 equal $10,867,</w:t>
      </w:r>
      <w:r w:rsidR="00EC2F66" w:rsidRPr="00D517DB">
        <w:t xml:space="preserve"> which is $4,697 less than the U</w:t>
      </w:r>
      <w:r w:rsidRPr="00D517DB">
        <w:t xml:space="preserve">tility’s estimate. Due to the significant difference between the estimated and actual price index and pass through revenue increases, </w:t>
      </w:r>
      <w:r w:rsidR="00EC2F66" w:rsidRPr="00D517DB">
        <w:t>we agree</w:t>
      </w:r>
      <w:r w:rsidRPr="00D517DB">
        <w:t xml:space="preserve"> with OPC that it would be more appropriate to use the actual revenue increases of $10,867 in this case. Consequently, </w:t>
      </w:r>
      <w:r w:rsidR="00EC2F66" w:rsidRPr="00D517DB">
        <w:t xml:space="preserve">we </w:t>
      </w:r>
      <w:r w:rsidRPr="00D517DB">
        <w:t>increased the utility’s 2009 approved operating expenses by a total of $10,867 to reflect the operating expense increases that were associated with the price index and pass through adjustments approved from 2010 through 2016. The specific adjustment is broken down between a $10,377 increase to operation and maintenance expenses and the associated $490 increase to RAFs for a total adjustment of $10,867.</w:t>
      </w:r>
    </w:p>
    <w:p w:rsidR="00E0286C" w:rsidRPr="00D517DB" w:rsidRDefault="00E0286C" w:rsidP="00325C91">
      <w:pPr>
        <w:pStyle w:val="BodyText"/>
        <w:spacing w:after="0"/>
        <w:ind w:firstLine="720"/>
        <w:jc w:val="both"/>
      </w:pPr>
    </w:p>
    <w:p w:rsidR="00D25AB7" w:rsidRPr="00D517DB" w:rsidRDefault="00EC2F66" w:rsidP="00325C91">
      <w:pPr>
        <w:pStyle w:val="BodyText"/>
        <w:spacing w:after="0"/>
        <w:ind w:firstLine="720"/>
        <w:jc w:val="both"/>
      </w:pPr>
      <w:r w:rsidRPr="00D517DB">
        <w:t>Also, the U</w:t>
      </w:r>
      <w:r w:rsidR="00D25AB7" w:rsidRPr="00D517DB">
        <w:t xml:space="preserve">tility is required by Rule 25-30.446, F.A.C., to provide notices of the customer meeting and notices of final rates in this case to its customers. For noticing, </w:t>
      </w:r>
      <w:r w:rsidRPr="00D517DB">
        <w:t>we</w:t>
      </w:r>
      <w:r w:rsidR="00D25AB7" w:rsidRPr="00D517DB">
        <w:t xml:space="preserve"> estimated $93 for postage expense, $67 for printing expense, and $9 for envelopes. This results in $169 for</w:t>
      </w:r>
      <w:r w:rsidR="00E0286C" w:rsidRPr="00D517DB">
        <w:t xml:space="preserve"> the noticing requirement. The U</w:t>
      </w:r>
      <w:r w:rsidR="00D25AB7" w:rsidRPr="00D517DB">
        <w:t xml:space="preserve">tility paid a $500 limited proceeding filing fee. The </w:t>
      </w:r>
      <w:r w:rsidR="00E0286C" w:rsidRPr="00D517DB">
        <w:t>U</w:t>
      </w:r>
      <w:r w:rsidR="00D25AB7" w:rsidRPr="00D517DB">
        <w:t>tility also provided documentation to support $5,280 for accounting services related to this filing. Pursuant to Section 367.0816, F.S., rate case expense is amortized over a four-year period.</w:t>
      </w:r>
      <w:r w:rsidR="00D25AB7" w:rsidRPr="00D517DB">
        <w:rPr>
          <w:rStyle w:val="FootnoteReference"/>
        </w:rPr>
        <w:footnoteReference w:id="6"/>
      </w:r>
      <w:r w:rsidR="00D25AB7" w:rsidRPr="00D517DB">
        <w:t xml:space="preserve"> Based on the above, </w:t>
      </w:r>
      <w:r w:rsidR="00E0286C" w:rsidRPr="00D517DB">
        <w:t xml:space="preserve">we find </w:t>
      </w:r>
      <w:r w:rsidR="00D25AB7" w:rsidRPr="00D517DB">
        <w:t>total rate case expense of $5,949 ($169 + $500 + $5,280), which amortized over four years is $1,487.</w:t>
      </w:r>
    </w:p>
    <w:p w:rsidR="00E0286C" w:rsidRPr="00D517DB" w:rsidRDefault="00E0286C" w:rsidP="00325C91">
      <w:pPr>
        <w:pStyle w:val="BodyText"/>
        <w:spacing w:after="0"/>
        <w:ind w:firstLine="720"/>
        <w:jc w:val="both"/>
      </w:pPr>
    </w:p>
    <w:p w:rsidR="00D25AB7" w:rsidRPr="00D517DB" w:rsidRDefault="00D25AB7" w:rsidP="00325C91">
      <w:pPr>
        <w:pStyle w:val="BodyText"/>
        <w:spacing w:after="0"/>
        <w:ind w:firstLine="720"/>
        <w:jc w:val="both"/>
      </w:pPr>
      <w:r w:rsidRPr="00D517DB">
        <w:t xml:space="preserve">In addition, the operating expenses approved in the 2009 SARC included annual amortized rate case expense of $1,020 to recover the rate case expense associated with the 2009 SARC. That rate case expense became fully amortized in 2014 and the </w:t>
      </w:r>
      <w:r w:rsidR="00E0286C" w:rsidRPr="00D517DB">
        <w:t>U</w:t>
      </w:r>
      <w:r w:rsidRPr="00D517DB">
        <w:t>tility’s rates were reduced. However, because</w:t>
      </w:r>
      <w:r w:rsidR="00E11919" w:rsidRPr="00D517DB">
        <w:t xml:space="preserve"> we</w:t>
      </w:r>
      <w:r w:rsidRPr="00D517DB">
        <w:t xml:space="preserve"> used the operating expenses approved in the 2009 SARC as the starting point in the instant case, an additional adjustment to remove the previously approved 2009 SARC rate case expense from the operating expenses used in </w:t>
      </w:r>
      <w:r w:rsidR="00E0286C" w:rsidRPr="00D517DB">
        <w:t>our</w:t>
      </w:r>
      <w:r w:rsidRPr="00D517DB">
        <w:t xml:space="preserve"> calculations is necessary. Therefore, </w:t>
      </w:r>
      <w:r w:rsidR="00E0286C" w:rsidRPr="00D517DB">
        <w:t>we</w:t>
      </w:r>
      <w:r w:rsidRPr="00D517DB">
        <w:t xml:space="preserve"> decreased regulatory commission expense by $1,020. Based on the above, </w:t>
      </w:r>
      <w:r w:rsidR="00E0286C" w:rsidRPr="00D517DB">
        <w:t>our</w:t>
      </w:r>
      <w:r w:rsidRPr="00D517DB">
        <w:t xml:space="preserve"> total adjustment to reflect the addition of rate case expense for the instant docket and removal of the 2009 SARC rate case expense is an increase of $467 ($1,487 - $1,020 = $467). Therefore, </w:t>
      </w:r>
      <w:r w:rsidR="00E0286C" w:rsidRPr="00D517DB">
        <w:t>we find</w:t>
      </w:r>
      <w:r w:rsidRPr="00D517DB">
        <w:t xml:space="preserve"> regulatory commission expense of $467.</w:t>
      </w:r>
    </w:p>
    <w:p w:rsidR="00E0286C" w:rsidRPr="00D517DB" w:rsidRDefault="00E0286C" w:rsidP="00325C91">
      <w:pPr>
        <w:pStyle w:val="BodyText"/>
        <w:spacing w:after="0"/>
        <w:ind w:firstLine="720"/>
        <w:jc w:val="both"/>
      </w:pPr>
    </w:p>
    <w:p w:rsidR="00C05A2C" w:rsidRPr="00D517DB" w:rsidRDefault="00C05A2C" w:rsidP="00325C91">
      <w:pPr>
        <w:pStyle w:val="BodyText"/>
        <w:spacing w:after="0"/>
        <w:ind w:firstLine="720"/>
        <w:jc w:val="both"/>
      </w:pPr>
    </w:p>
    <w:p w:rsidR="00D25AB7" w:rsidRPr="00D517DB" w:rsidRDefault="00E0286C" w:rsidP="00325C91">
      <w:pPr>
        <w:pStyle w:val="BodyText"/>
        <w:spacing w:after="0"/>
        <w:ind w:firstLine="720"/>
        <w:jc w:val="both"/>
      </w:pPr>
      <w:r w:rsidRPr="00D517DB">
        <w:lastRenderedPageBreak/>
        <w:t>We</w:t>
      </w:r>
      <w:r w:rsidR="00D25AB7" w:rsidRPr="00D517DB">
        <w:t xml:space="preserve"> approved RAFs of $5,065 in Camachee’s 2009 SARC. Based on </w:t>
      </w:r>
      <w:r w:rsidRPr="00D517DB">
        <w:t xml:space="preserve">our </w:t>
      </w:r>
      <w:r w:rsidR="00D25AB7" w:rsidRPr="00D517DB">
        <w:t>staff’s recommended test</w:t>
      </w:r>
      <w:r w:rsidRPr="00D517DB">
        <w:t xml:space="preserve"> year revenues of $88,199, the U</w:t>
      </w:r>
      <w:r w:rsidR="00500557" w:rsidRPr="00D517DB">
        <w:t>tility’s RAFs shall</w:t>
      </w:r>
      <w:r w:rsidR="00D25AB7" w:rsidRPr="00D517DB">
        <w:t xml:space="preserve"> be $3,969. Therefore, </w:t>
      </w:r>
      <w:r w:rsidRPr="00D517DB">
        <w:t>we</w:t>
      </w:r>
      <w:r w:rsidR="00D25AB7" w:rsidRPr="00D517DB">
        <w:t xml:space="preserve"> decreased RAFs by $1,096 to reflect the appropriate test year RAFs. As discussed above, </w:t>
      </w:r>
      <w:r w:rsidRPr="00D517DB">
        <w:t>we</w:t>
      </w:r>
      <w:r w:rsidR="00D25AB7" w:rsidRPr="00D517DB">
        <w:t xml:space="preserve"> also increased operating expenses by $490 to reflect the RAFs associated with Camachee’s previously approved price index and pass through revenue increases, resulting in a net decrease to Taxes Other Than Income (TOTI) of $607. In addition, </w:t>
      </w:r>
      <w:r w:rsidRPr="00D517DB">
        <w:t>we</w:t>
      </w:r>
      <w:r w:rsidR="00D25AB7" w:rsidRPr="00D517DB">
        <w:t xml:space="preserve"> increased RAFs by $1,719 to reflect RAFs of 4.5 percent of the change in revenues resulting from the limited proceeding increase.</w:t>
      </w:r>
    </w:p>
    <w:p w:rsidR="00E0286C" w:rsidRPr="00D517DB" w:rsidRDefault="00E0286C" w:rsidP="00325C91">
      <w:pPr>
        <w:pStyle w:val="BodyText"/>
        <w:spacing w:after="0"/>
        <w:ind w:firstLine="720"/>
        <w:jc w:val="both"/>
      </w:pPr>
    </w:p>
    <w:p w:rsidR="00D25AB7" w:rsidRPr="00D517DB" w:rsidRDefault="00D25AB7" w:rsidP="00325C91">
      <w:pPr>
        <w:pStyle w:val="BodyText"/>
        <w:spacing w:after="0"/>
        <w:ind w:firstLine="720"/>
        <w:jc w:val="both"/>
      </w:pPr>
      <w:r w:rsidRPr="00D517DB">
        <w:t>Based on the above, the appropriate revenue requirement for this limited proceeding is $126,395, which is an annual increase of $38,196 (43.31 percent) over the test year revenues. The adjusted revenue requirement of $126,395 will allow the utility the opportunity to recover its expenses as approved in the 2009 SARC, the expense increases approved in the 2010 through 2016 price index and pass through adjustments, rate case expense associated with the instant case, and the associated RAFs. The adjusted operating expenses and revenue requirement are shown on Schedule No. 1-A, and the adjustments are shown on Schedule No. 1-B.</w:t>
      </w:r>
    </w:p>
    <w:p w:rsidR="00E0286C" w:rsidRPr="00D517DB" w:rsidRDefault="00E0286C" w:rsidP="00325C91">
      <w:pPr>
        <w:pStyle w:val="BodyText"/>
        <w:spacing w:after="0"/>
        <w:ind w:firstLine="720"/>
        <w:jc w:val="both"/>
      </w:pPr>
    </w:p>
    <w:p w:rsidR="00D25AB7" w:rsidRPr="00D517DB" w:rsidRDefault="00D25AB7" w:rsidP="00325C91">
      <w:pPr>
        <w:pStyle w:val="BodyText"/>
        <w:spacing w:after="0"/>
        <w:ind w:firstLine="720"/>
        <w:jc w:val="both"/>
      </w:pPr>
      <w:r w:rsidRPr="00D517DB">
        <w:t xml:space="preserve">The adjusted revenue requirement was designed to maintain the 9.67 percent overall rate of return that was authorized in the 2009 SARC when compared to the 2009 approved operating expenses, adjusted only as discussed above, and the 2009 approved water rate base. However, Camachee’s 2015 Annual Report indicates that the </w:t>
      </w:r>
      <w:r w:rsidR="00797E5F" w:rsidRPr="00D517DB">
        <w:t>U</w:t>
      </w:r>
      <w:r w:rsidRPr="00D517DB">
        <w:t>tility has experienced an increase in its operating expenses and a decrease in its rate base since the 2009 SARC.</w:t>
      </w:r>
    </w:p>
    <w:p w:rsidR="00797E5F" w:rsidRPr="00D517DB" w:rsidRDefault="00797E5F" w:rsidP="00325C91">
      <w:pPr>
        <w:pStyle w:val="BodyText"/>
        <w:spacing w:after="0"/>
        <w:ind w:firstLine="720"/>
        <w:jc w:val="both"/>
      </w:pPr>
    </w:p>
    <w:p w:rsidR="00D25AB7" w:rsidRPr="00D517DB" w:rsidRDefault="00D25AB7" w:rsidP="00325C91">
      <w:pPr>
        <w:pStyle w:val="BodyText"/>
        <w:spacing w:after="0"/>
        <w:ind w:firstLine="720"/>
        <w:jc w:val="both"/>
      </w:pPr>
      <w:r w:rsidRPr="00D517DB">
        <w:t xml:space="preserve">For comparison purposes, the last column on Schedule No. 1-A shows an estimate of the operating loss and overall rate of return that the </w:t>
      </w:r>
      <w:r w:rsidR="00797E5F" w:rsidRPr="00D517DB">
        <w:t>U</w:t>
      </w:r>
      <w:r w:rsidRPr="00D517DB">
        <w:t xml:space="preserve">tility is more likely to achieve based on its more recent operating expenses and rate base using the adjusted revenue requirement of $126,395. Again, for comparison purposes only, </w:t>
      </w:r>
      <w:r w:rsidR="00797E5F" w:rsidRPr="00D517DB">
        <w:t>we</w:t>
      </w:r>
      <w:r w:rsidRPr="00D517DB">
        <w:t xml:space="preserve"> increased the </w:t>
      </w:r>
      <w:r w:rsidR="00797E5F" w:rsidRPr="00D517DB">
        <w:t>U</w:t>
      </w:r>
      <w:r w:rsidRPr="00D517DB">
        <w:t xml:space="preserve">tility’s 2015 operation and maintenance expenses of $101,152 by $1,487 to reflect the annual rate case expense associated with this limited proceeding for an adjusted operation and maintenance expense of $102,639. The </w:t>
      </w:r>
      <w:r w:rsidR="00797E5F" w:rsidRPr="00D517DB">
        <w:t>U</w:t>
      </w:r>
      <w:r w:rsidRPr="00D517DB">
        <w:t xml:space="preserve">tility’s 2015 operation and maintenance expenses did not include any rate case expense from the 2009 SARC because it became fully amortized in 2014, therefore, the additional adjustment to remove the prior rate case expense was not necessary for this comparison. </w:t>
      </w:r>
      <w:r w:rsidR="00797E5F" w:rsidRPr="00D517DB">
        <w:t>We</w:t>
      </w:r>
      <w:r w:rsidRPr="00D517DB">
        <w:t xml:space="preserve"> also increased Camachee’s 2015 TOTI by $1,719 to reflect the additional RAFs associated with the limited proceeding revenue increase. The comparison shows that Camachee would experience an estimated operating loss of $1,877 and a negative rate of return of 0.59 percent.</w:t>
      </w:r>
    </w:p>
    <w:p w:rsidR="00797E5F" w:rsidRPr="00D517DB" w:rsidRDefault="00797E5F" w:rsidP="00325C91">
      <w:pPr>
        <w:pStyle w:val="BodyText"/>
        <w:spacing w:after="0"/>
        <w:ind w:firstLine="720"/>
        <w:jc w:val="both"/>
      </w:pPr>
    </w:p>
    <w:p w:rsidR="00D25AB7" w:rsidRPr="00D517DB" w:rsidRDefault="00D25AB7" w:rsidP="00797E5F">
      <w:pPr>
        <w:pStyle w:val="IssueHeading"/>
        <w:spacing w:after="0"/>
        <w:ind w:left="720"/>
        <w:rPr>
          <w:rFonts w:ascii="Times New Roman" w:hAnsi="Times New Roman" w:cs="Times New Roman"/>
          <w:b w:val="0"/>
        </w:rPr>
      </w:pPr>
      <w:r w:rsidRPr="00D517DB">
        <w:rPr>
          <w:rFonts w:ascii="Times New Roman" w:hAnsi="Times New Roman" w:cs="Times New Roman"/>
          <w:b w:val="0"/>
        </w:rPr>
        <w:t>Rates</w:t>
      </w:r>
    </w:p>
    <w:p w:rsidR="00797E5F" w:rsidRPr="00D517DB" w:rsidRDefault="00797E5F" w:rsidP="00797E5F">
      <w:pPr>
        <w:pStyle w:val="BodyText"/>
        <w:spacing w:after="0"/>
      </w:pPr>
    </w:p>
    <w:p w:rsidR="00DD4936" w:rsidRPr="00D517DB" w:rsidRDefault="00797E5F" w:rsidP="00DD4936">
      <w:pPr>
        <w:pStyle w:val="BodyText"/>
        <w:spacing w:after="0"/>
        <w:ind w:firstLine="720"/>
        <w:jc w:val="both"/>
      </w:pPr>
      <w:r w:rsidRPr="00D517DB">
        <w:t xml:space="preserve">We find </w:t>
      </w:r>
      <w:r w:rsidR="00D25AB7" w:rsidRPr="00D517DB">
        <w:t xml:space="preserve">that the percentage increase of 43.31 percent </w:t>
      </w:r>
      <w:r w:rsidR="00D07509" w:rsidRPr="00D517DB">
        <w:t xml:space="preserve">shall </w:t>
      </w:r>
      <w:r w:rsidR="00D25AB7" w:rsidRPr="00D517DB">
        <w:t xml:space="preserve">be applied as an across-the-board increase to existing service rates. The private fire protection rates </w:t>
      </w:r>
      <w:r w:rsidR="00D07509" w:rsidRPr="00D517DB">
        <w:t>shall</w:t>
      </w:r>
      <w:r w:rsidR="00D25AB7" w:rsidRPr="00D517DB">
        <w:t xml:space="preserve"> be one-twelfth of the approved base facility charge pursuant to Rule 25-30.465, F.A.C. The </w:t>
      </w:r>
      <w:r w:rsidR="00621A6C" w:rsidRPr="00D517DB">
        <w:t>approved</w:t>
      </w:r>
      <w:r w:rsidR="00D25AB7" w:rsidRPr="00D517DB">
        <w:t xml:space="preserve"> monthly rates are shown on Schedule No. 2.</w:t>
      </w:r>
    </w:p>
    <w:p w:rsidR="00C05A2C" w:rsidRDefault="00C05A2C" w:rsidP="00797E5F">
      <w:pPr>
        <w:pStyle w:val="BodyText"/>
        <w:spacing w:after="0"/>
        <w:ind w:firstLine="720"/>
        <w:jc w:val="both"/>
      </w:pPr>
    </w:p>
    <w:p w:rsidR="00D517DB" w:rsidRDefault="00D517DB" w:rsidP="00797E5F">
      <w:pPr>
        <w:pStyle w:val="BodyText"/>
        <w:spacing w:after="0"/>
        <w:ind w:firstLine="720"/>
        <w:jc w:val="both"/>
      </w:pPr>
    </w:p>
    <w:p w:rsidR="00D517DB" w:rsidRPr="00D517DB" w:rsidRDefault="00D517DB" w:rsidP="00797E5F">
      <w:pPr>
        <w:pStyle w:val="BodyText"/>
        <w:spacing w:after="0"/>
        <w:ind w:firstLine="720"/>
        <w:jc w:val="both"/>
      </w:pPr>
    </w:p>
    <w:p w:rsidR="00D25AB7" w:rsidRPr="00D517DB" w:rsidRDefault="00D25AB7" w:rsidP="00484560">
      <w:pPr>
        <w:pStyle w:val="IssueHeading"/>
        <w:spacing w:after="0"/>
        <w:ind w:left="720"/>
        <w:rPr>
          <w:rFonts w:ascii="Times New Roman" w:hAnsi="Times New Roman" w:cs="Times New Roman"/>
          <w:b w:val="0"/>
        </w:rPr>
      </w:pPr>
      <w:r w:rsidRPr="00D517DB">
        <w:rPr>
          <w:rFonts w:ascii="Times New Roman" w:hAnsi="Times New Roman" w:cs="Times New Roman"/>
          <w:b w:val="0"/>
        </w:rPr>
        <w:lastRenderedPageBreak/>
        <w:t>Conclusion</w:t>
      </w:r>
    </w:p>
    <w:p w:rsidR="00621A6C" w:rsidRPr="00D517DB" w:rsidRDefault="00621A6C" w:rsidP="00621A6C">
      <w:pPr>
        <w:pStyle w:val="BodyText"/>
        <w:spacing w:after="0"/>
      </w:pPr>
    </w:p>
    <w:p w:rsidR="00D25AB7" w:rsidRPr="00D517DB" w:rsidRDefault="00621A6C" w:rsidP="00621A6C">
      <w:pPr>
        <w:pStyle w:val="OrderBody"/>
        <w:ind w:firstLine="720"/>
      </w:pPr>
      <w:r w:rsidRPr="00D517DB">
        <w:t>We hereby</w:t>
      </w:r>
      <w:r w:rsidR="00D25AB7" w:rsidRPr="00D517DB">
        <w:t xml:space="preserve"> approve the </w:t>
      </w:r>
      <w:r w:rsidRPr="00D517DB">
        <w:t>U</w:t>
      </w:r>
      <w:r w:rsidR="00D25AB7" w:rsidRPr="00D517DB">
        <w:t xml:space="preserve">tility’s request for a limited proceeding rate increase. </w:t>
      </w:r>
      <w:r w:rsidRPr="00D517DB">
        <w:t>Camachee shall</w:t>
      </w:r>
      <w:r w:rsidR="00D25AB7" w:rsidRPr="00D517DB">
        <w:t xml:space="preserve"> be allowed an annual increase of $38,196 (43.31 percent), resulting in an adjusted revenue requirement of $126,395. The adjusted revenue requirement is reflected on Schedule No. 1-A. The appropriate monthly water rates are shown on Schedule No. 2. The </w:t>
      </w:r>
      <w:r w:rsidRPr="00D517DB">
        <w:t>U</w:t>
      </w:r>
      <w:r w:rsidR="00D25AB7" w:rsidRPr="00D517DB">
        <w:t>tility sh</w:t>
      </w:r>
      <w:r w:rsidRPr="00D517DB">
        <w:t>all</w:t>
      </w:r>
      <w:r w:rsidR="00D25AB7" w:rsidRPr="00D517DB">
        <w:t xml:space="preserve"> file revised tariff sheets and a proposed customer notice to reflect the Commission-approved rates. The approved rates sh</w:t>
      </w:r>
      <w:r w:rsidRPr="00D517DB">
        <w:t>all</w:t>
      </w:r>
      <w:r w:rsidR="00D25AB7" w:rsidRPr="00D517DB">
        <w:t xml:space="preserve"> be effective for service rendered on or after the stamped approval date on the tariff sheet pursuant to Rule 25-30.475(1), F.A.C. </w:t>
      </w:r>
      <w:r w:rsidRPr="00D517DB">
        <w:t xml:space="preserve"> </w:t>
      </w:r>
      <w:r w:rsidR="00D25AB7" w:rsidRPr="00D517DB">
        <w:t>In addition, the approved rates sh</w:t>
      </w:r>
      <w:r w:rsidRPr="00D517DB">
        <w:t>all</w:t>
      </w:r>
      <w:r w:rsidR="00D25AB7" w:rsidRPr="00D517DB">
        <w:t xml:space="preserve"> not be implemented until </w:t>
      </w:r>
      <w:r w:rsidRPr="00D517DB">
        <w:t xml:space="preserve">our </w:t>
      </w:r>
      <w:r w:rsidR="00D25AB7" w:rsidRPr="00D517DB">
        <w:t xml:space="preserve">staff has approved the proposed customer notice and the notice has been received by the customers. The </w:t>
      </w:r>
      <w:r w:rsidR="00484560" w:rsidRPr="00D517DB">
        <w:t>U</w:t>
      </w:r>
      <w:r w:rsidR="00D25AB7" w:rsidRPr="00D517DB">
        <w:t xml:space="preserve">tility </w:t>
      </w:r>
      <w:r w:rsidR="00484560" w:rsidRPr="00D517DB">
        <w:t>shall</w:t>
      </w:r>
      <w:r w:rsidR="00D25AB7" w:rsidRPr="00D517DB">
        <w:t xml:space="preserve"> provide proof of the date notice was given within 10 days of the date of the notice.</w:t>
      </w:r>
    </w:p>
    <w:p w:rsidR="00484560" w:rsidRPr="00D517DB" w:rsidRDefault="00484560" w:rsidP="00325C91">
      <w:pPr>
        <w:pStyle w:val="BodyText"/>
        <w:spacing w:after="0"/>
        <w:jc w:val="both"/>
      </w:pPr>
    </w:p>
    <w:p w:rsidR="00484560" w:rsidRPr="00D517DB" w:rsidRDefault="00484560" w:rsidP="00325C91">
      <w:pPr>
        <w:pStyle w:val="BodyText"/>
        <w:spacing w:after="0"/>
        <w:jc w:val="both"/>
        <w:rPr>
          <w:u w:val="single"/>
        </w:rPr>
      </w:pPr>
      <w:r w:rsidRPr="00D517DB">
        <w:rPr>
          <w:u w:val="single"/>
        </w:rPr>
        <w:t>Four Year Rate Reduction</w:t>
      </w:r>
    </w:p>
    <w:p w:rsidR="00484560" w:rsidRPr="00D517DB" w:rsidRDefault="00484560" w:rsidP="00325C91">
      <w:pPr>
        <w:pStyle w:val="BodyText"/>
        <w:spacing w:after="0"/>
        <w:jc w:val="both"/>
      </w:pPr>
    </w:p>
    <w:p w:rsidR="00D25AB7" w:rsidRPr="00D517DB" w:rsidRDefault="00D25AB7" w:rsidP="00484560">
      <w:pPr>
        <w:pStyle w:val="BodyText"/>
        <w:spacing w:after="0"/>
        <w:ind w:firstLine="720"/>
        <w:jc w:val="both"/>
      </w:pPr>
      <w:r w:rsidRPr="00D517DB">
        <w:t>Section 367.0816, F.S., requires that the rates be reduced immediately following the expiration of the four-year period by the amount of the rate case expense previously included in the rates. The reduction will reflect the removal of revenues associated with the amortization of rate case expense, the associated return on working capital, and the gross-up for RAFs which is $1,576, which will result in the rate decrease shown on Schedule No. 2.</w:t>
      </w:r>
    </w:p>
    <w:p w:rsidR="004E4786" w:rsidRPr="00D517DB" w:rsidRDefault="004E4786" w:rsidP="00484560">
      <w:pPr>
        <w:pStyle w:val="BodyText"/>
        <w:spacing w:after="0"/>
        <w:ind w:firstLine="720"/>
        <w:jc w:val="both"/>
      </w:pPr>
    </w:p>
    <w:p w:rsidR="00D25AB7" w:rsidRPr="00D517DB" w:rsidRDefault="00D25AB7" w:rsidP="004E4786">
      <w:pPr>
        <w:pStyle w:val="OrderBody"/>
        <w:ind w:firstLine="720"/>
      </w:pPr>
      <w:r w:rsidRPr="00D517DB">
        <w:rPr>
          <w:color w:val="000000"/>
        </w:rPr>
        <w:t xml:space="preserve">Camachee </w:t>
      </w:r>
      <w:r w:rsidR="004E4786" w:rsidRPr="00D517DB">
        <w:t>shall</w:t>
      </w:r>
      <w:r w:rsidRPr="00D517DB">
        <w:t xml:space="preserve"> be required to file revised tariff sheets no later than one month prior to the actual date of the required rate reduction. The </w:t>
      </w:r>
      <w:r w:rsidR="004E4786" w:rsidRPr="00D517DB">
        <w:t>U</w:t>
      </w:r>
      <w:r w:rsidRPr="00D517DB">
        <w:t>tility also sh</w:t>
      </w:r>
      <w:r w:rsidR="004E4786" w:rsidRPr="00D517DB">
        <w:t>all</w:t>
      </w:r>
      <w:r w:rsidRPr="00D517DB">
        <w:t xml:space="preserve"> be required to file a proposed customer notice setting forth the lower rates and the reason for the reduction. If Camachee files this reduction in conjunction with a price index or pass-through rate adjustment, separate data </w:t>
      </w:r>
      <w:r w:rsidR="004E4786" w:rsidRPr="00D517DB">
        <w:t>shall</w:t>
      </w:r>
      <w:r w:rsidRPr="00D517DB">
        <w:t xml:space="preserve"> be filed for the price index and/or pass-through increase or decrease and the reduction in the rates due to the amortized rate case expense.</w:t>
      </w:r>
    </w:p>
    <w:p w:rsidR="00D25AB7" w:rsidRPr="00D517DB" w:rsidRDefault="00D25AB7" w:rsidP="004E4786">
      <w:pPr>
        <w:pStyle w:val="OrderBody"/>
      </w:pPr>
    </w:p>
    <w:p w:rsidR="004E4786" w:rsidRPr="00D517DB" w:rsidRDefault="004E4786" w:rsidP="004E4786">
      <w:pPr>
        <w:pStyle w:val="IssueSubsectionHeading"/>
        <w:spacing w:after="0"/>
        <w:rPr>
          <w:rFonts w:ascii="Times New Roman" w:hAnsi="Times New Roman" w:cs="Times New Roman"/>
          <w:b w:val="0"/>
          <w:i w:val="0"/>
          <w:u w:val="single"/>
        </w:rPr>
      </w:pPr>
      <w:r w:rsidRPr="00D517DB">
        <w:rPr>
          <w:rFonts w:ascii="Times New Roman" w:hAnsi="Times New Roman" w:cs="Times New Roman"/>
          <w:b w:val="0"/>
          <w:i w:val="0"/>
          <w:u w:val="single"/>
        </w:rPr>
        <w:t>Approving Temporary Rates</w:t>
      </w:r>
    </w:p>
    <w:p w:rsidR="004E4786" w:rsidRPr="00D517DB" w:rsidRDefault="004E4786" w:rsidP="004E4786">
      <w:pPr>
        <w:pStyle w:val="BodyText"/>
        <w:spacing w:after="0"/>
      </w:pPr>
    </w:p>
    <w:p w:rsidR="00D25AB7" w:rsidRPr="00D517DB" w:rsidRDefault="00704D3C" w:rsidP="00C05A2C">
      <w:pPr>
        <w:pStyle w:val="BodyText"/>
        <w:spacing w:after="0"/>
        <w:ind w:firstLine="720"/>
        <w:jc w:val="both"/>
      </w:pPr>
      <w:r w:rsidRPr="00D517DB">
        <w:t xml:space="preserve">We hereby approve </w:t>
      </w:r>
      <w:r w:rsidR="00D25AB7" w:rsidRPr="00D517DB">
        <w:t xml:space="preserve">an increase in rates. A timely protest might delay what may be a justified rate increase resulting in an unrecoverable loss of revenue to the utility. Therefore, in the event of a protest filed by a substantially affected person or party, </w:t>
      </w:r>
      <w:r w:rsidRPr="00D517DB">
        <w:t>we find</w:t>
      </w:r>
      <w:r w:rsidR="00D25AB7" w:rsidRPr="00D517DB">
        <w:t xml:space="preserve"> that the rates be approved as temporary rates. The </w:t>
      </w:r>
      <w:r w:rsidRPr="00D517DB">
        <w:t>U</w:t>
      </w:r>
      <w:r w:rsidR="00D25AB7" w:rsidRPr="00D517DB">
        <w:t xml:space="preserve">tility </w:t>
      </w:r>
      <w:r w:rsidRPr="00D517DB">
        <w:t>shall</w:t>
      </w:r>
      <w:r w:rsidR="00D25AB7" w:rsidRPr="00D517DB">
        <w:t xml:space="preserve"> file revised tariff sheets and a proposed customer notice to reflect the Commission-approved rates. The approved rates sh</w:t>
      </w:r>
      <w:r w:rsidRPr="00D517DB">
        <w:t>all</w:t>
      </w:r>
      <w:r w:rsidR="00D25AB7" w:rsidRPr="00D517DB">
        <w:t xml:space="preserve"> be effective for service rendered on or after the stamped approval date on the tariff sheet, pursuant to Rule 25-30.475(1), F.A.C. In addition, the temporary rates sh</w:t>
      </w:r>
      <w:r w:rsidRPr="00D517DB">
        <w:t>all</w:t>
      </w:r>
      <w:r w:rsidR="00D25AB7" w:rsidRPr="00D517DB">
        <w:t xml:space="preserve"> not be implemented until </w:t>
      </w:r>
      <w:r w:rsidRPr="00D517DB">
        <w:t xml:space="preserve">our </w:t>
      </w:r>
      <w:r w:rsidR="00D25AB7" w:rsidRPr="00D517DB">
        <w:t xml:space="preserve">staff has approved the proposed notice, and the notice has been received by the customers. The </w:t>
      </w:r>
      <w:r w:rsidRPr="00D517DB">
        <w:t>approved</w:t>
      </w:r>
      <w:r w:rsidR="00D25AB7" w:rsidRPr="00D517DB">
        <w:t xml:space="preserve"> rates collected by the </w:t>
      </w:r>
      <w:r w:rsidRPr="00D517DB">
        <w:t>U</w:t>
      </w:r>
      <w:r w:rsidR="00D25AB7" w:rsidRPr="00D517DB">
        <w:t>tility sh</w:t>
      </w:r>
      <w:r w:rsidRPr="00D517DB">
        <w:t xml:space="preserve">all </w:t>
      </w:r>
      <w:r w:rsidR="00D25AB7" w:rsidRPr="00D517DB">
        <w:t>be subject to the refund provisions discussed below.</w:t>
      </w:r>
    </w:p>
    <w:p w:rsidR="00704D3C" w:rsidRPr="00D517DB" w:rsidRDefault="00704D3C" w:rsidP="004E4786">
      <w:pPr>
        <w:pStyle w:val="BodyText"/>
        <w:spacing w:after="0"/>
        <w:jc w:val="both"/>
      </w:pPr>
    </w:p>
    <w:p w:rsidR="00D25AB7" w:rsidRPr="00D517DB" w:rsidRDefault="00D25AB7" w:rsidP="00325C91">
      <w:pPr>
        <w:pStyle w:val="BodyText"/>
        <w:spacing w:after="0"/>
        <w:ind w:firstLine="720"/>
        <w:jc w:val="both"/>
      </w:pPr>
      <w:r w:rsidRPr="00D517DB">
        <w:t xml:space="preserve">The </w:t>
      </w:r>
      <w:r w:rsidR="00704D3C" w:rsidRPr="00D517DB">
        <w:t>U</w:t>
      </w:r>
      <w:r w:rsidRPr="00D517DB">
        <w:t>tility sh</w:t>
      </w:r>
      <w:r w:rsidR="00704D3C" w:rsidRPr="00D517DB">
        <w:t>all</w:t>
      </w:r>
      <w:r w:rsidRPr="00D517DB">
        <w:t xml:space="preserve"> be authorized to collect the temporary rates upon</w:t>
      </w:r>
      <w:r w:rsidR="00704D3C" w:rsidRPr="00D517DB">
        <w:t xml:space="preserve"> our</w:t>
      </w:r>
      <w:r w:rsidRPr="00D517DB">
        <w:t xml:space="preserve"> staff’s approval of an appropriate security for the potential refund and the proposed customer notice. Security sh</w:t>
      </w:r>
      <w:r w:rsidR="00704D3C" w:rsidRPr="00D517DB">
        <w:t>all</w:t>
      </w:r>
      <w:r w:rsidRPr="00D517DB">
        <w:t xml:space="preserve"> be in the form of a bond or letter of credit in the amount of $25,569. Alternatively, the </w:t>
      </w:r>
      <w:r w:rsidR="00704D3C" w:rsidRPr="00D517DB">
        <w:t>U</w:t>
      </w:r>
      <w:r w:rsidRPr="00D517DB">
        <w:t xml:space="preserve">tility </w:t>
      </w:r>
      <w:r w:rsidR="00704D3C" w:rsidRPr="00D517DB">
        <w:t>shall</w:t>
      </w:r>
      <w:r w:rsidRPr="00D517DB">
        <w:t xml:space="preserve"> establish an escrow agreement with an independent financial institution.</w:t>
      </w:r>
    </w:p>
    <w:p w:rsidR="00C05A2C" w:rsidRPr="00D517DB" w:rsidRDefault="00C05A2C" w:rsidP="00325C91">
      <w:pPr>
        <w:pStyle w:val="BodyText"/>
        <w:spacing w:after="0"/>
        <w:ind w:firstLine="720"/>
        <w:jc w:val="both"/>
      </w:pPr>
    </w:p>
    <w:p w:rsidR="00D25AB7" w:rsidRPr="00D517DB" w:rsidRDefault="00D25AB7" w:rsidP="00325C91">
      <w:pPr>
        <w:pStyle w:val="BodyText"/>
        <w:spacing w:after="0"/>
        <w:ind w:firstLine="720"/>
        <w:jc w:val="both"/>
      </w:pPr>
      <w:r w:rsidRPr="00D517DB">
        <w:lastRenderedPageBreak/>
        <w:t xml:space="preserve">If the </w:t>
      </w:r>
      <w:r w:rsidR="00704D3C" w:rsidRPr="00D517DB">
        <w:t>U</w:t>
      </w:r>
      <w:r w:rsidRPr="00D517DB">
        <w:t>tility chooses a bond as security, the bond sh</w:t>
      </w:r>
      <w:r w:rsidR="00704D3C" w:rsidRPr="00D517DB">
        <w:t>all</w:t>
      </w:r>
      <w:r w:rsidRPr="00D517DB">
        <w:t xml:space="preserve"> contain wording to the effect that it will be terminated only under the following conditions:</w:t>
      </w:r>
    </w:p>
    <w:p w:rsidR="00D25AB7" w:rsidRPr="00D517DB" w:rsidRDefault="00D25AB7" w:rsidP="00325C91">
      <w:pPr>
        <w:pStyle w:val="BodyText"/>
        <w:numPr>
          <w:ilvl w:val="0"/>
          <w:numId w:val="1"/>
        </w:numPr>
        <w:spacing w:after="0"/>
        <w:jc w:val="both"/>
      </w:pPr>
      <w:r w:rsidRPr="00D517DB">
        <w:t>The Commission approves the rate increase; or,</w:t>
      </w:r>
    </w:p>
    <w:p w:rsidR="00D25AB7" w:rsidRPr="00D517DB" w:rsidRDefault="00D25AB7" w:rsidP="00325C91">
      <w:pPr>
        <w:pStyle w:val="BodyText"/>
        <w:numPr>
          <w:ilvl w:val="0"/>
          <w:numId w:val="1"/>
        </w:numPr>
        <w:spacing w:after="0"/>
        <w:jc w:val="both"/>
      </w:pPr>
      <w:r w:rsidRPr="00D517DB">
        <w:t>If the Commission denies the increase, the utility shall refund the amount collected that is attributable to the increase.</w:t>
      </w:r>
    </w:p>
    <w:p w:rsidR="00D25AB7" w:rsidRPr="00D517DB" w:rsidRDefault="00D25AB7" w:rsidP="00325C91">
      <w:pPr>
        <w:pStyle w:val="BodyText"/>
        <w:spacing w:after="0"/>
        <w:jc w:val="both"/>
      </w:pPr>
      <w:r w:rsidRPr="00D517DB">
        <w:t>If the utility chooses a letter of credit as a security, it sh</w:t>
      </w:r>
      <w:r w:rsidR="00500557" w:rsidRPr="00D517DB">
        <w:t>all</w:t>
      </w:r>
      <w:r w:rsidRPr="00D517DB">
        <w:t xml:space="preserve"> contain the following conditions:</w:t>
      </w:r>
    </w:p>
    <w:p w:rsidR="00D25AB7" w:rsidRPr="00D517DB" w:rsidRDefault="00D25AB7" w:rsidP="00325C91">
      <w:pPr>
        <w:pStyle w:val="BodyText"/>
        <w:numPr>
          <w:ilvl w:val="0"/>
          <w:numId w:val="2"/>
        </w:numPr>
        <w:spacing w:after="0"/>
        <w:jc w:val="both"/>
      </w:pPr>
      <w:r w:rsidRPr="00D517DB">
        <w:t>The letter of credit is irrevocable for the period it is in effect.</w:t>
      </w:r>
    </w:p>
    <w:p w:rsidR="00D25AB7" w:rsidRPr="00D517DB" w:rsidRDefault="00D25AB7" w:rsidP="00325C91">
      <w:pPr>
        <w:pStyle w:val="BodyText"/>
        <w:numPr>
          <w:ilvl w:val="0"/>
          <w:numId w:val="2"/>
        </w:numPr>
        <w:spacing w:after="0"/>
        <w:jc w:val="both"/>
      </w:pPr>
      <w:r w:rsidRPr="00D517DB">
        <w:t>The letter of credit will be in effect until a final Commission order is rendered, either approving or denying the rate increase.</w:t>
      </w:r>
    </w:p>
    <w:p w:rsidR="00D25AB7" w:rsidRPr="00D517DB" w:rsidRDefault="00D25AB7" w:rsidP="00325C91">
      <w:pPr>
        <w:pStyle w:val="BodyText"/>
        <w:spacing w:after="0"/>
        <w:ind w:left="1080"/>
        <w:jc w:val="both"/>
      </w:pPr>
    </w:p>
    <w:p w:rsidR="00D25AB7" w:rsidRPr="00D517DB" w:rsidRDefault="00D25AB7" w:rsidP="00325C91">
      <w:pPr>
        <w:pStyle w:val="BodyText"/>
        <w:spacing w:after="0"/>
        <w:ind w:firstLine="720"/>
        <w:jc w:val="both"/>
      </w:pPr>
      <w:r w:rsidRPr="00D517DB">
        <w:t>If security is provided through an escrow agreement,</w:t>
      </w:r>
      <w:r w:rsidR="00704D3C" w:rsidRPr="00D517DB">
        <w:t xml:space="preserve"> the following conditions shall</w:t>
      </w:r>
      <w:r w:rsidRPr="00D517DB">
        <w:t xml:space="preserve"> be part of the agreement:</w:t>
      </w:r>
    </w:p>
    <w:p w:rsidR="00D25AB7" w:rsidRPr="00D517DB" w:rsidRDefault="00D25AB7" w:rsidP="00325C91">
      <w:pPr>
        <w:pStyle w:val="BodyText"/>
        <w:numPr>
          <w:ilvl w:val="0"/>
          <w:numId w:val="3"/>
        </w:numPr>
        <w:spacing w:after="0"/>
        <w:jc w:val="both"/>
      </w:pPr>
      <w:r w:rsidRPr="00D517DB">
        <w:t>The Commission Clerk, or his or her designee, must be a signatory to the escrow agreement.</w:t>
      </w:r>
    </w:p>
    <w:p w:rsidR="00D25AB7" w:rsidRPr="00D517DB" w:rsidRDefault="00D25AB7" w:rsidP="00325C91">
      <w:pPr>
        <w:pStyle w:val="BodyText"/>
        <w:numPr>
          <w:ilvl w:val="0"/>
          <w:numId w:val="3"/>
        </w:numPr>
        <w:spacing w:after="0"/>
        <w:jc w:val="both"/>
      </w:pPr>
      <w:r w:rsidRPr="00D517DB">
        <w:t xml:space="preserve">No monies in the escrow account may be withdrawn by the utility without the prior written authorization of the Commission Clerk, or his or her designee. </w:t>
      </w:r>
    </w:p>
    <w:p w:rsidR="00D25AB7" w:rsidRPr="00D517DB" w:rsidRDefault="00D25AB7" w:rsidP="00325C91">
      <w:pPr>
        <w:pStyle w:val="BodyText"/>
        <w:numPr>
          <w:ilvl w:val="0"/>
          <w:numId w:val="3"/>
        </w:numPr>
        <w:spacing w:after="0"/>
        <w:jc w:val="both"/>
      </w:pPr>
      <w:r w:rsidRPr="00D517DB">
        <w:t>The escrow account shall be an interest bearing account.</w:t>
      </w:r>
    </w:p>
    <w:p w:rsidR="00D25AB7" w:rsidRPr="00D517DB" w:rsidRDefault="00D25AB7" w:rsidP="00325C91">
      <w:pPr>
        <w:pStyle w:val="BodyText"/>
        <w:numPr>
          <w:ilvl w:val="0"/>
          <w:numId w:val="3"/>
        </w:numPr>
        <w:spacing w:after="0"/>
        <w:jc w:val="both"/>
      </w:pPr>
      <w:r w:rsidRPr="00D517DB">
        <w:t>If a refund to the customers is required, all interest earned by the escrow account shall be distributed to the customers.</w:t>
      </w:r>
    </w:p>
    <w:p w:rsidR="00D25AB7" w:rsidRPr="00D517DB" w:rsidRDefault="00D25AB7" w:rsidP="00325C91">
      <w:pPr>
        <w:pStyle w:val="BodyText"/>
        <w:numPr>
          <w:ilvl w:val="0"/>
          <w:numId w:val="3"/>
        </w:numPr>
        <w:spacing w:after="0"/>
        <w:jc w:val="both"/>
      </w:pPr>
      <w:r w:rsidRPr="00D517DB">
        <w:t>If a refund to the customers is not required, the interest earned by the escrow account shall revert to the utility.</w:t>
      </w:r>
    </w:p>
    <w:p w:rsidR="00D25AB7" w:rsidRPr="00D517DB" w:rsidRDefault="00D25AB7" w:rsidP="00325C91">
      <w:pPr>
        <w:pStyle w:val="BodyText"/>
        <w:numPr>
          <w:ilvl w:val="0"/>
          <w:numId w:val="3"/>
        </w:numPr>
        <w:spacing w:after="0"/>
        <w:jc w:val="both"/>
      </w:pPr>
      <w:r w:rsidRPr="00D517DB">
        <w:t>All information on the escrow account shall be available from the holder of the escrow account to a Commission representative at all times.</w:t>
      </w:r>
    </w:p>
    <w:p w:rsidR="00D25AB7" w:rsidRPr="00D517DB" w:rsidRDefault="00D25AB7" w:rsidP="00325C91">
      <w:pPr>
        <w:pStyle w:val="BodyText"/>
        <w:numPr>
          <w:ilvl w:val="0"/>
          <w:numId w:val="3"/>
        </w:numPr>
        <w:spacing w:after="0"/>
        <w:jc w:val="both"/>
      </w:pPr>
      <w:r w:rsidRPr="00D517DB">
        <w:t>The amount of revenue subject to refund shall be deposited in the escrow account within seven days of receipt.</w:t>
      </w:r>
    </w:p>
    <w:p w:rsidR="00D25AB7" w:rsidRPr="00D517DB" w:rsidRDefault="00D25AB7" w:rsidP="00325C91">
      <w:pPr>
        <w:pStyle w:val="BodyText"/>
        <w:numPr>
          <w:ilvl w:val="0"/>
          <w:numId w:val="3"/>
        </w:numPr>
        <w:spacing w:after="0"/>
        <w:jc w:val="both"/>
      </w:pPr>
      <w:r w:rsidRPr="00D517DB">
        <w:t xml:space="preserve">This escrow account is established by the direction of the Florida Public Service Commission for the purpose(s) set forth in its order requiring such account. Pursuant to </w:t>
      </w:r>
      <w:r w:rsidRPr="00D517DB">
        <w:rPr>
          <w:u w:val="single"/>
        </w:rPr>
        <w:t>Cosentino v. Elson</w:t>
      </w:r>
      <w:r w:rsidRPr="00D517DB">
        <w:t>, 263 So. 2d 253 (Fla. 3d DCA 1972), escrow accounts are not subject to garnishments.</w:t>
      </w:r>
    </w:p>
    <w:p w:rsidR="00D25AB7" w:rsidRPr="00D517DB" w:rsidRDefault="00D25AB7" w:rsidP="00325C91">
      <w:pPr>
        <w:pStyle w:val="BodyText"/>
        <w:numPr>
          <w:ilvl w:val="0"/>
          <w:numId w:val="3"/>
        </w:numPr>
        <w:spacing w:after="0"/>
        <w:jc w:val="both"/>
      </w:pPr>
      <w:r w:rsidRPr="00D517DB">
        <w:t>The account must specify by whom and on whose behalf such monies were paid.</w:t>
      </w:r>
    </w:p>
    <w:p w:rsidR="00D25AB7" w:rsidRPr="00D517DB" w:rsidRDefault="00D25AB7" w:rsidP="00325C91">
      <w:pPr>
        <w:pStyle w:val="BodyText"/>
        <w:spacing w:after="0"/>
        <w:ind w:left="1080" w:hanging="360"/>
        <w:jc w:val="both"/>
      </w:pPr>
    </w:p>
    <w:p w:rsidR="00D25AB7" w:rsidRPr="00D517DB" w:rsidRDefault="00D25AB7" w:rsidP="00325C91">
      <w:pPr>
        <w:pStyle w:val="BodyText"/>
        <w:spacing w:after="0"/>
        <w:ind w:firstLine="720"/>
        <w:jc w:val="both"/>
      </w:pPr>
      <w:r w:rsidRPr="00D517DB">
        <w:t>In no instance sh</w:t>
      </w:r>
      <w:r w:rsidR="00030E11" w:rsidRPr="00D517DB">
        <w:t>all</w:t>
      </w:r>
      <w:r w:rsidRPr="00D517DB">
        <w:t xml:space="preserve"> the maintenance and administrative costs associated with the refund be borne by the customers. These costs are the responsibility of, and sh</w:t>
      </w:r>
      <w:r w:rsidR="00030E11" w:rsidRPr="00D517DB">
        <w:t>all</w:t>
      </w:r>
      <w:r w:rsidRPr="00D517DB">
        <w:t xml:space="preserve"> be borne by, the utility. Irrespective of the form of security chosen by the </w:t>
      </w:r>
      <w:r w:rsidR="00495942" w:rsidRPr="00D517DB">
        <w:t>U</w:t>
      </w:r>
      <w:r w:rsidRPr="00D517DB">
        <w:t>tility, an account of all monies received as a result of the rate increase sh</w:t>
      </w:r>
      <w:r w:rsidR="00030E11" w:rsidRPr="00D517DB">
        <w:t>all</w:t>
      </w:r>
      <w:r w:rsidRPr="00D517DB">
        <w:t xml:space="preserve"> be maintained by the </w:t>
      </w:r>
      <w:r w:rsidR="00495942" w:rsidRPr="00D517DB">
        <w:t>U</w:t>
      </w:r>
      <w:r w:rsidRPr="00D517DB">
        <w:t>tility. If a refund is ultimately required, it sh</w:t>
      </w:r>
      <w:r w:rsidR="00030E11" w:rsidRPr="00D517DB">
        <w:t xml:space="preserve">all </w:t>
      </w:r>
      <w:r w:rsidRPr="00D517DB">
        <w:t>be paid with interest calculated pursuant to Rule 25-30.360(4), F.A.C.</w:t>
      </w:r>
    </w:p>
    <w:p w:rsidR="00030E11" w:rsidRPr="00D517DB" w:rsidRDefault="00030E11" w:rsidP="00325C91">
      <w:pPr>
        <w:pStyle w:val="BodyText"/>
        <w:spacing w:after="0"/>
        <w:ind w:firstLine="720"/>
        <w:jc w:val="both"/>
      </w:pPr>
    </w:p>
    <w:p w:rsidR="00D25AB7" w:rsidRPr="00D517DB" w:rsidRDefault="00D25AB7" w:rsidP="00325C91">
      <w:pPr>
        <w:pStyle w:val="OrderBody"/>
        <w:ind w:firstLine="720"/>
      </w:pPr>
      <w:r w:rsidRPr="00D517DB">
        <w:t xml:space="preserve">The </w:t>
      </w:r>
      <w:r w:rsidR="00495942" w:rsidRPr="00D517DB">
        <w:t>U</w:t>
      </w:r>
      <w:r w:rsidRPr="00D517DB">
        <w:t>t</w:t>
      </w:r>
      <w:r w:rsidR="00030E11" w:rsidRPr="00D517DB">
        <w:t>ility shall</w:t>
      </w:r>
      <w:r w:rsidRPr="00D517DB">
        <w:t xml:space="preserve"> maintain a record of the amount of the bond, and the amount of revenues that are subject to refund. In addition, after the increased rates are in effect, pursuant to Rule 25-30.360(6), F.A.C., the </w:t>
      </w:r>
      <w:r w:rsidR="00495942" w:rsidRPr="00D517DB">
        <w:t>U</w:t>
      </w:r>
      <w:r w:rsidRPr="00D517DB">
        <w:t>tility sh</w:t>
      </w:r>
      <w:r w:rsidR="00495942" w:rsidRPr="00D517DB">
        <w:t>all</w:t>
      </w:r>
      <w:r w:rsidRPr="00D517DB">
        <w:t xml:space="preserve"> file reports with the Commission Clerk’s office no later than the 20th of every month indicating the monthly and total amount of money subject to refund at the end of the preceding month. The report filed </w:t>
      </w:r>
      <w:r w:rsidR="00495942" w:rsidRPr="00D517DB">
        <w:t>shall</w:t>
      </w:r>
      <w:r w:rsidRPr="00D517DB">
        <w:t xml:space="preserve"> also indicate the status of the security being used to guarantee repayment of any potential refund.</w:t>
      </w:r>
    </w:p>
    <w:p w:rsidR="00CB5276" w:rsidRPr="00D517DB" w:rsidRDefault="00CB5276" w:rsidP="00B24DFF">
      <w:pPr>
        <w:jc w:val="both"/>
      </w:pPr>
    </w:p>
    <w:p w:rsidR="00495942" w:rsidRPr="00D517DB" w:rsidRDefault="00495942" w:rsidP="00B01131">
      <w:pPr>
        <w:ind w:firstLine="720"/>
        <w:jc w:val="both"/>
      </w:pPr>
      <w:r w:rsidRPr="00D517DB">
        <w:lastRenderedPageBreak/>
        <w:t>Based on the foregoing, it is</w:t>
      </w:r>
    </w:p>
    <w:p w:rsidR="00334DE1" w:rsidRPr="00D517DB" w:rsidRDefault="00334DE1" w:rsidP="00B24DFF">
      <w:pPr>
        <w:jc w:val="both"/>
      </w:pPr>
    </w:p>
    <w:p w:rsidR="00495942" w:rsidRPr="00D517DB" w:rsidRDefault="00495942" w:rsidP="00B24DFF">
      <w:pPr>
        <w:jc w:val="both"/>
      </w:pPr>
      <w:r w:rsidRPr="00D517DB">
        <w:tab/>
        <w:t>ORDERED by the Florida Public Service Commission that Camachee Island Company, Inc. d/b/a Camachee Cove Yacht Harbor Utility</w:t>
      </w:r>
      <w:r w:rsidR="00334DE1" w:rsidRPr="00D517DB">
        <w:t>’s petition for a limited proceeding is granted as set forth in the body of this order. It is further</w:t>
      </w:r>
    </w:p>
    <w:p w:rsidR="00334DE1" w:rsidRPr="00D517DB" w:rsidRDefault="00334DE1" w:rsidP="00B24DFF">
      <w:pPr>
        <w:jc w:val="both"/>
      </w:pPr>
    </w:p>
    <w:p w:rsidR="00334DE1" w:rsidRPr="00D517DB" w:rsidRDefault="00334DE1" w:rsidP="00B24DFF">
      <w:pPr>
        <w:jc w:val="both"/>
      </w:pPr>
      <w:r w:rsidRPr="00D517DB">
        <w:tab/>
        <w:t xml:space="preserve">ORDERED that each of the findings made in the body of this order are hereby approved in every respect. It is further </w:t>
      </w:r>
    </w:p>
    <w:p w:rsidR="00334DE1" w:rsidRPr="00D517DB" w:rsidRDefault="00334DE1" w:rsidP="00B24DFF">
      <w:pPr>
        <w:jc w:val="both"/>
      </w:pPr>
    </w:p>
    <w:p w:rsidR="00334DE1" w:rsidRPr="00D517DB" w:rsidRDefault="00334DE1" w:rsidP="00B24DFF">
      <w:pPr>
        <w:jc w:val="both"/>
      </w:pPr>
      <w:r w:rsidRPr="00D517DB">
        <w:tab/>
        <w:t xml:space="preserve">ORDERED that all matters contained in the attachments and schedules appended hereto are incorporated herein by reference. It is further </w:t>
      </w:r>
    </w:p>
    <w:p w:rsidR="00334DE1" w:rsidRPr="00D517DB" w:rsidRDefault="00334DE1" w:rsidP="00B24DFF">
      <w:pPr>
        <w:jc w:val="both"/>
      </w:pPr>
    </w:p>
    <w:p w:rsidR="00334DE1" w:rsidRPr="00D517DB" w:rsidRDefault="00334DE1" w:rsidP="00B24DFF">
      <w:pPr>
        <w:jc w:val="both"/>
      </w:pPr>
      <w:r w:rsidRPr="00D517DB">
        <w:tab/>
        <w:t>ORDERED that Camachee Island Company, Inc. d/b/a Camachee Cove Yacht Harbor Utility is hereby authorized to charge the new rates as set forth in the body of this order. It is further</w:t>
      </w:r>
    </w:p>
    <w:p w:rsidR="00334DE1" w:rsidRPr="00D517DB" w:rsidRDefault="00334DE1" w:rsidP="00B24DFF">
      <w:pPr>
        <w:jc w:val="both"/>
      </w:pPr>
    </w:p>
    <w:p w:rsidR="00334DE1" w:rsidRPr="00D517DB" w:rsidRDefault="00334DE1" w:rsidP="00B24DFF">
      <w:pPr>
        <w:jc w:val="both"/>
      </w:pPr>
      <w:r w:rsidRPr="00D517DB">
        <w:tab/>
        <w:t>ORDERED that Camachee Island Company, Inc. d/b/a Camachee Cove Yacht Harbor Utility shall be required to file revised tariff sheets and a proposed customer notice to reflect the approved rates. The approved rates shall be effective for service rendered on or after the stamped approval date of the revised tariff sheets pursuant to Rule 25-30.475(1), F.A.C. The rates shall not be implemented until Commission staff has approved the proposed customer notice. Camachee Island Company, Inc. d/b/a Camachee Cove Yacht Harbor Utility</w:t>
      </w:r>
      <w:r w:rsidR="00896EA1" w:rsidRPr="00D517DB">
        <w:t xml:space="preserve"> shall provide proof of the date notice was given within 10 days of the date of the notice. It is further</w:t>
      </w:r>
    </w:p>
    <w:p w:rsidR="00334DE1" w:rsidRPr="00D517DB" w:rsidRDefault="00334DE1" w:rsidP="00B24DFF">
      <w:pPr>
        <w:jc w:val="both"/>
      </w:pPr>
    </w:p>
    <w:p w:rsidR="00896EA1" w:rsidRPr="00D517DB" w:rsidRDefault="00334DE1" w:rsidP="00B24DFF">
      <w:pPr>
        <w:jc w:val="both"/>
      </w:pPr>
      <w:r w:rsidRPr="00D517DB">
        <w:tab/>
        <w:t xml:space="preserve">ORDERED that </w:t>
      </w:r>
      <w:r w:rsidR="00896EA1" w:rsidRPr="00D517DB">
        <w:t>pursuant to Section 367.0816, F.S. the rates shall be reduced</w:t>
      </w:r>
      <w:r w:rsidR="006F0316" w:rsidRPr="00D517DB">
        <w:t>, as reflected in Schedule No. 2</w:t>
      </w:r>
      <w:r w:rsidR="00896EA1" w:rsidRPr="00D517DB">
        <w:t>, to remo</w:t>
      </w:r>
      <w:r w:rsidR="006F0316" w:rsidRPr="00D517DB">
        <w:t>v</w:t>
      </w:r>
      <w:r w:rsidR="00896EA1" w:rsidRPr="00D517DB">
        <w:t>e rate case expense grossed-up for regulatory assessment fees and amortized over a four-year period at the end of the four-year rate case expense amortization period as set forth in the body of this order. It is further</w:t>
      </w:r>
    </w:p>
    <w:p w:rsidR="00642362" w:rsidRPr="00D517DB" w:rsidRDefault="00642362" w:rsidP="00B24DFF">
      <w:pPr>
        <w:jc w:val="both"/>
      </w:pPr>
    </w:p>
    <w:p w:rsidR="00642362" w:rsidRPr="00D517DB" w:rsidRDefault="00642362" w:rsidP="00B24DFF">
      <w:pPr>
        <w:jc w:val="both"/>
      </w:pPr>
      <w:r w:rsidRPr="00D517DB">
        <w:tab/>
        <w:t>ORDERED</w:t>
      </w:r>
      <w:r w:rsidR="003C0B34" w:rsidRPr="00D517DB">
        <w:t xml:space="preserve"> that Camachee Island Company, Inc. d/b/a Camachee Cove Yacht Harbor Utility shall file revised tariff sheets and proposed customer notice setting forth the lower rates and the reason for the reductions no later than one month prior to the actual date of the required rate reduction. If Camachee Island Company, Inc. d/b/a Camachee Cove Yacht Harbor Utility files this reduction in conjunction with a price index or pass-through rate adjustment, separate data shall be filed for the price index and/or pass-through increase or decrease, and for the reduction in rates due to the amortized rate case expense. It is further</w:t>
      </w:r>
    </w:p>
    <w:p w:rsidR="003C0B34" w:rsidRPr="00D517DB" w:rsidRDefault="003C0B34" w:rsidP="00B24DFF">
      <w:pPr>
        <w:jc w:val="both"/>
      </w:pPr>
    </w:p>
    <w:p w:rsidR="003C0B34" w:rsidRPr="00D517DB" w:rsidRDefault="003C0B34" w:rsidP="00B24DFF">
      <w:pPr>
        <w:jc w:val="both"/>
      </w:pPr>
      <w:r w:rsidRPr="00D517DB">
        <w:tab/>
        <w:t>ORDERED</w:t>
      </w:r>
      <w:r w:rsidR="00E321DE" w:rsidRPr="00D517DB">
        <w:t xml:space="preserve"> that the decrease in rates shall become effective immediately following the expiration of the four-year rate case expense recovery period, pursuant to Section 367.0816, F.S. It is further</w:t>
      </w:r>
    </w:p>
    <w:p w:rsidR="00E321DE" w:rsidRPr="00D517DB" w:rsidRDefault="00E321DE" w:rsidP="00B24DFF">
      <w:pPr>
        <w:jc w:val="both"/>
      </w:pPr>
    </w:p>
    <w:p w:rsidR="00E321DE" w:rsidRPr="00D517DB" w:rsidRDefault="00E321DE" w:rsidP="00B24DFF">
      <w:pPr>
        <w:jc w:val="both"/>
      </w:pPr>
      <w:r w:rsidRPr="00D517DB">
        <w:tab/>
        <w:t>ORDERED that the rates approved herein shall be approved on a temporary basis subject to the refund provisions set forth in the body of this order, in the event of a protest filed by a substantially affected person other than the Utility. It is further</w:t>
      </w:r>
    </w:p>
    <w:p w:rsidR="00E321DE" w:rsidRPr="00D517DB" w:rsidRDefault="00E321DE" w:rsidP="00B24DFF">
      <w:pPr>
        <w:jc w:val="both"/>
      </w:pPr>
    </w:p>
    <w:p w:rsidR="00E321DE" w:rsidRPr="00D517DB" w:rsidRDefault="00E321DE" w:rsidP="00B24DFF">
      <w:pPr>
        <w:jc w:val="both"/>
      </w:pPr>
      <w:r w:rsidRPr="00D517DB">
        <w:lastRenderedPageBreak/>
        <w:tab/>
        <w:t xml:space="preserve">ORDERED </w:t>
      </w:r>
      <w:r w:rsidR="00500557" w:rsidRPr="00D517DB">
        <w:t>that prior to the implementation of any temporary rates, Camachee Island Company, Inc. d/b/a Camachee Cove Yacht Harbor Utility shall provide the proposed customer notices and appropriate security for the potential refund. The Utility’s total guarantee shall be in the amount of $25,569. It is further</w:t>
      </w:r>
    </w:p>
    <w:p w:rsidR="00500557" w:rsidRPr="00D517DB" w:rsidRDefault="00500557" w:rsidP="00B24DFF">
      <w:pPr>
        <w:jc w:val="both"/>
      </w:pPr>
    </w:p>
    <w:p w:rsidR="00500557" w:rsidRPr="00D517DB" w:rsidRDefault="00500557" w:rsidP="00B24DFF">
      <w:pPr>
        <w:jc w:val="both"/>
      </w:pPr>
      <w:r w:rsidRPr="00D517DB">
        <w:tab/>
        <w:t xml:space="preserve">ORDERED that, after the increased rates are in effect, pursuant to Rule 25-30.360(6), F.A.C., Camachee Island Company, Inc. d/b/a Camachee Cove Yacht Harbor Utility shall file reports with the Commission Clerk’s office no later than the </w:t>
      </w:r>
      <w:r w:rsidR="00996285" w:rsidRPr="00D517DB">
        <w:t>20th</w:t>
      </w:r>
      <w:r w:rsidRPr="00D517DB">
        <w:t xml:space="preserve"> of each month indicating the monthly and total amount of money subject to refund at the end of the preceding month. The report filed shall also indicate the status of the security being used to guar</w:t>
      </w:r>
      <w:r w:rsidR="007575B3" w:rsidRPr="00D517DB">
        <w:t>antee repayment of any potential refund. It is further</w:t>
      </w:r>
    </w:p>
    <w:p w:rsidR="007575B3" w:rsidRPr="00D517DB" w:rsidRDefault="007575B3" w:rsidP="00B24DFF">
      <w:pPr>
        <w:jc w:val="both"/>
      </w:pPr>
    </w:p>
    <w:p w:rsidR="007575B3" w:rsidRPr="00D517DB" w:rsidRDefault="007575B3" w:rsidP="00B24DFF">
      <w:pPr>
        <w:jc w:val="both"/>
      </w:pPr>
      <w:r w:rsidRPr="00D517DB">
        <w:tab/>
        <w:t xml:space="preserve">ORDERED </w:t>
      </w:r>
      <w:r w:rsidR="00996285" w:rsidRPr="00D517DB">
        <w:t>that an account of all monies received as a result of the rate increase shall be maintained by Camachee Island Company, Inc. d/b/a Camachee Cove Yacht Harbor Utility. If a refund is ultimately required, it shall be paid with interest calculated pursuant to Rule 25-30.360(4), F.A.C. It is further</w:t>
      </w:r>
    </w:p>
    <w:p w:rsidR="00996285" w:rsidRPr="00D517DB" w:rsidRDefault="00996285" w:rsidP="00B24DFF">
      <w:pPr>
        <w:jc w:val="both"/>
      </w:pPr>
    </w:p>
    <w:p w:rsidR="00996285" w:rsidRPr="00D517DB" w:rsidRDefault="00996285" w:rsidP="00B24DFF">
      <w:pPr>
        <w:jc w:val="both"/>
      </w:pPr>
      <w:r w:rsidRPr="00D517DB">
        <w:tab/>
        <w:t xml:space="preserve">ORDERED </w:t>
      </w:r>
      <w:r w:rsidR="00A7781D" w:rsidRPr="00D517DB">
        <w:t>that in no instance shall the maintenance and administrative costs associated with the refund be borne by the customers. These costs are the responsibility of, and shall be borne by, the utility. It is further</w:t>
      </w:r>
    </w:p>
    <w:p w:rsidR="00A7781D" w:rsidRPr="00D517DB" w:rsidRDefault="00A7781D" w:rsidP="00B24DFF">
      <w:pPr>
        <w:jc w:val="both"/>
      </w:pPr>
    </w:p>
    <w:p w:rsidR="00A7781D" w:rsidRPr="00D517DB" w:rsidRDefault="00A7781D" w:rsidP="00A7781D">
      <w:pPr>
        <w:ind w:firstLine="720"/>
        <w:jc w:val="both"/>
      </w:pPr>
      <w:r w:rsidRPr="00D517DB">
        <w:t>ORDERED that the provisions of this order, issued as proposed agency action shall become final and effective upon the issuance of a Consummating Order unless an appropriate petition, in the form provided by</w:t>
      </w:r>
      <w:r w:rsidR="007E4C00" w:rsidRPr="00D517DB">
        <w:t xml:space="preserve"> Rule 28-106.201, F.A.C., is received by the Commission Clerk, 2540 Shumard Oak Boulevard, Tallahassee, Florida 32399-0850, by the close of business on the date set forth in the “Notice of Further Proceedings” attached hereto. It is futher</w:t>
      </w:r>
    </w:p>
    <w:p w:rsidR="007E4C00" w:rsidRPr="00D517DB" w:rsidRDefault="007E4C00" w:rsidP="00A7781D">
      <w:pPr>
        <w:ind w:firstLine="720"/>
        <w:jc w:val="both"/>
      </w:pPr>
    </w:p>
    <w:p w:rsidR="007E4C00" w:rsidRPr="00D517DB" w:rsidRDefault="007E4C00" w:rsidP="00A7781D">
      <w:pPr>
        <w:ind w:firstLine="720"/>
        <w:jc w:val="both"/>
      </w:pPr>
      <w:r w:rsidRPr="00D517DB">
        <w:t>ORDERED that this docket shall remain open for Commission staff’s verification that the revised tariff sheets and customer notice have been filed by the Utility and approved by staff. Once these action are complete, in the event that this Order becomes final, this docket shall be closed administratively. It is further</w:t>
      </w:r>
    </w:p>
    <w:p w:rsidR="007E4C00" w:rsidRPr="00D517DB" w:rsidRDefault="007E4C00" w:rsidP="00A7781D">
      <w:pPr>
        <w:ind w:firstLine="720"/>
        <w:jc w:val="both"/>
      </w:pPr>
    </w:p>
    <w:p w:rsidR="007E4C00" w:rsidRPr="00D517DB" w:rsidRDefault="007E4C00" w:rsidP="00A7781D">
      <w:pPr>
        <w:ind w:firstLine="720"/>
        <w:jc w:val="both"/>
      </w:pPr>
      <w:r w:rsidRPr="00D517DB">
        <w:t xml:space="preserve">ORDERED that if no substantially affected person files a protest to this Proposed Agency Action Order within 21 days of its issuance, a Consummating Order shall be issued. </w:t>
      </w:r>
    </w:p>
    <w:p w:rsidR="00495942" w:rsidRPr="00D517DB" w:rsidRDefault="00495942" w:rsidP="00B24DFF">
      <w:pPr>
        <w:jc w:val="both"/>
      </w:pPr>
    </w:p>
    <w:p w:rsidR="007658F5" w:rsidRDefault="007658F5" w:rsidP="00B24DFF">
      <w:pPr>
        <w:keepNext/>
        <w:keepLines/>
        <w:jc w:val="both"/>
      </w:pPr>
      <w:r w:rsidRPr="00D517DB">
        <w:lastRenderedPageBreak/>
        <w:tab/>
        <w:t xml:space="preserve">By ORDER of the Florida Public Service Commission this </w:t>
      </w:r>
      <w:bookmarkStart w:id="9" w:name="replaceDate"/>
      <w:bookmarkEnd w:id="9"/>
      <w:r w:rsidR="005A0F4C">
        <w:rPr>
          <w:u w:val="single"/>
        </w:rPr>
        <w:t>27th</w:t>
      </w:r>
      <w:r w:rsidR="005A0F4C">
        <w:t xml:space="preserve"> day of </w:t>
      </w:r>
      <w:r w:rsidR="005A0F4C">
        <w:rPr>
          <w:u w:val="single"/>
        </w:rPr>
        <w:t>March</w:t>
      </w:r>
      <w:r w:rsidR="005A0F4C">
        <w:t xml:space="preserve">, </w:t>
      </w:r>
      <w:r w:rsidR="005A0F4C">
        <w:rPr>
          <w:u w:val="single"/>
        </w:rPr>
        <w:t>2017</w:t>
      </w:r>
      <w:r w:rsidR="005A0F4C">
        <w:t>.</w:t>
      </w:r>
    </w:p>
    <w:p w:rsidR="005A0F4C" w:rsidRPr="005A0F4C" w:rsidRDefault="005A0F4C" w:rsidP="00B24DFF">
      <w:pPr>
        <w:keepNext/>
        <w:keepLines/>
        <w:jc w:val="both"/>
      </w:pPr>
    </w:p>
    <w:p w:rsidR="007658F5" w:rsidRPr="00D517DB" w:rsidRDefault="007658F5" w:rsidP="00B24DFF">
      <w:pPr>
        <w:keepNext/>
        <w:keepLines/>
        <w:jc w:val="both"/>
      </w:pPr>
    </w:p>
    <w:p w:rsidR="007658F5" w:rsidRPr="00D517DB" w:rsidRDefault="007658F5" w:rsidP="007658F5">
      <w:pPr>
        <w:keepNext/>
        <w:keepLines/>
      </w:pPr>
    </w:p>
    <w:tbl>
      <w:tblPr>
        <w:tblW w:w="4720" w:type="dxa"/>
        <w:tblInd w:w="3800" w:type="dxa"/>
        <w:tblLayout w:type="fixed"/>
        <w:tblLook w:val="0000" w:firstRow="0" w:lastRow="0" w:firstColumn="0" w:lastColumn="0" w:noHBand="0" w:noVBand="0"/>
      </w:tblPr>
      <w:tblGrid>
        <w:gridCol w:w="686"/>
        <w:gridCol w:w="4034"/>
      </w:tblGrid>
      <w:tr w:rsidR="007658F5" w:rsidRPr="00D517DB" w:rsidTr="007658F5">
        <w:tc>
          <w:tcPr>
            <w:tcW w:w="720" w:type="dxa"/>
            <w:shd w:val="clear" w:color="auto" w:fill="auto"/>
          </w:tcPr>
          <w:p w:rsidR="007658F5" w:rsidRPr="00D517DB" w:rsidRDefault="007658F5" w:rsidP="007658F5">
            <w:pPr>
              <w:keepNext/>
              <w:keepLines/>
            </w:pPr>
            <w:bookmarkStart w:id="10" w:name="bkmrkSignature" w:colFirst="0" w:colLast="0"/>
          </w:p>
        </w:tc>
        <w:tc>
          <w:tcPr>
            <w:tcW w:w="4320" w:type="dxa"/>
            <w:tcBorders>
              <w:bottom w:val="single" w:sz="4" w:space="0" w:color="auto"/>
            </w:tcBorders>
            <w:shd w:val="clear" w:color="auto" w:fill="auto"/>
          </w:tcPr>
          <w:p w:rsidR="007658F5" w:rsidRPr="00D517DB" w:rsidRDefault="005A0F4C" w:rsidP="007658F5">
            <w:pPr>
              <w:keepNext/>
              <w:keepLines/>
            </w:pPr>
            <w:r>
              <w:t>/s/ Hong Wang</w:t>
            </w:r>
          </w:p>
        </w:tc>
      </w:tr>
      <w:bookmarkEnd w:id="10"/>
      <w:tr w:rsidR="007658F5" w:rsidRPr="00D517DB" w:rsidTr="007658F5">
        <w:tc>
          <w:tcPr>
            <w:tcW w:w="720" w:type="dxa"/>
            <w:shd w:val="clear" w:color="auto" w:fill="auto"/>
          </w:tcPr>
          <w:p w:rsidR="007658F5" w:rsidRPr="00D517DB" w:rsidRDefault="007658F5" w:rsidP="007658F5">
            <w:pPr>
              <w:keepNext/>
              <w:keepLines/>
            </w:pPr>
          </w:p>
        </w:tc>
        <w:tc>
          <w:tcPr>
            <w:tcW w:w="4320" w:type="dxa"/>
            <w:tcBorders>
              <w:top w:val="single" w:sz="4" w:space="0" w:color="auto"/>
            </w:tcBorders>
            <w:shd w:val="clear" w:color="auto" w:fill="auto"/>
          </w:tcPr>
          <w:p w:rsidR="005A0F4C" w:rsidRDefault="005A0F4C" w:rsidP="007658F5">
            <w:pPr>
              <w:keepNext/>
              <w:keepLines/>
            </w:pPr>
            <w:r>
              <w:t>HONG WANG</w:t>
            </w:r>
          </w:p>
          <w:p w:rsidR="007658F5" w:rsidRPr="00D517DB" w:rsidRDefault="005A0F4C" w:rsidP="007658F5">
            <w:pPr>
              <w:keepNext/>
              <w:keepLines/>
            </w:pPr>
            <w:r>
              <w:t>Chief Deputy Commission Clerk</w:t>
            </w:r>
          </w:p>
        </w:tc>
      </w:tr>
    </w:tbl>
    <w:p w:rsidR="007658F5" w:rsidRPr="00D517DB" w:rsidRDefault="007658F5" w:rsidP="007658F5">
      <w:pPr>
        <w:pStyle w:val="OrderSigInfo"/>
        <w:keepNext/>
        <w:keepLines/>
      </w:pPr>
      <w:r w:rsidRPr="00D517DB">
        <w:t>Florida Public Service Commission</w:t>
      </w:r>
    </w:p>
    <w:p w:rsidR="007658F5" w:rsidRPr="00D517DB" w:rsidRDefault="007658F5" w:rsidP="007658F5">
      <w:pPr>
        <w:pStyle w:val="OrderSigInfo"/>
        <w:keepNext/>
        <w:keepLines/>
      </w:pPr>
      <w:r w:rsidRPr="00D517DB">
        <w:t>2540 Shumard Oak Boulevard</w:t>
      </w:r>
    </w:p>
    <w:p w:rsidR="007658F5" w:rsidRPr="00D517DB" w:rsidRDefault="007658F5" w:rsidP="007658F5">
      <w:pPr>
        <w:pStyle w:val="OrderSigInfo"/>
        <w:keepNext/>
        <w:keepLines/>
      </w:pPr>
      <w:r w:rsidRPr="00D517DB">
        <w:t>Tallahassee, Florida  32399</w:t>
      </w:r>
    </w:p>
    <w:p w:rsidR="007658F5" w:rsidRPr="00D517DB" w:rsidRDefault="007658F5" w:rsidP="007658F5">
      <w:pPr>
        <w:pStyle w:val="OrderSigInfo"/>
        <w:keepNext/>
        <w:keepLines/>
      </w:pPr>
      <w:r w:rsidRPr="00D517DB">
        <w:t>(850) 413</w:t>
      </w:r>
      <w:r w:rsidRPr="00D517DB">
        <w:noBreakHyphen/>
        <w:t>6770</w:t>
      </w:r>
    </w:p>
    <w:p w:rsidR="007658F5" w:rsidRPr="00D517DB" w:rsidRDefault="007658F5" w:rsidP="007658F5">
      <w:pPr>
        <w:pStyle w:val="OrderSigInfo"/>
        <w:keepNext/>
        <w:keepLines/>
      </w:pPr>
      <w:r w:rsidRPr="00D517DB">
        <w:t>www.floridapsc.com</w:t>
      </w:r>
    </w:p>
    <w:p w:rsidR="007658F5" w:rsidRPr="00D517DB" w:rsidRDefault="007658F5" w:rsidP="007658F5">
      <w:pPr>
        <w:pStyle w:val="OrderSigInfo"/>
        <w:keepNext/>
        <w:keepLines/>
      </w:pPr>
    </w:p>
    <w:p w:rsidR="007658F5" w:rsidRPr="00D517DB" w:rsidRDefault="007658F5" w:rsidP="007658F5">
      <w:pPr>
        <w:pStyle w:val="OrderSigInfo"/>
        <w:keepNext/>
        <w:keepLines/>
      </w:pPr>
      <w:r w:rsidRPr="00D517DB">
        <w:t>Copies furnished:  A copy of this document is provided to the parties of record at the time of issuance and, if applicable, interested persons.</w:t>
      </w:r>
    </w:p>
    <w:p w:rsidR="007658F5" w:rsidRPr="00D517DB" w:rsidRDefault="007658F5" w:rsidP="007658F5">
      <w:pPr>
        <w:pStyle w:val="OrderBody"/>
        <w:keepNext/>
        <w:keepLines/>
      </w:pPr>
    </w:p>
    <w:p w:rsidR="007658F5" w:rsidRPr="00D517DB" w:rsidRDefault="007658F5" w:rsidP="007658F5">
      <w:pPr>
        <w:keepNext/>
        <w:keepLines/>
      </w:pPr>
    </w:p>
    <w:p w:rsidR="007658F5" w:rsidRPr="00D517DB" w:rsidRDefault="007658F5" w:rsidP="007658F5">
      <w:pPr>
        <w:keepNext/>
        <w:keepLines/>
      </w:pPr>
      <w:r w:rsidRPr="00D517DB">
        <w:t>BYL</w:t>
      </w:r>
    </w:p>
    <w:p w:rsidR="007658F5" w:rsidRPr="00D517DB" w:rsidRDefault="007658F5" w:rsidP="00D57E57"/>
    <w:p w:rsidR="00166632" w:rsidRDefault="00166632" w:rsidP="00166632">
      <w:pPr>
        <w:pStyle w:val="CenterUnderline"/>
      </w:pPr>
      <w:r>
        <w:t>NOTICE OF FURTHER PROCEEDINGS OR JUDICIAL REVIEW</w:t>
      </w:r>
    </w:p>
    <w:p w:rsidR="007658F5" w:rsidRDefault="007658F5" w:rsidP="00166632">
      <w:pPr>
        <w:pStyle w:val="CenterUnderline"/>
      </w:pPr>
    </w:p>
    <w:p w:rsidR="00166632" w:rsidRDefault="00166632" w:rsidP="001666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66632" w:rsidRDefault="00166632" w:rsidP="00166632">
      <w:pPr>
        <w:pStyle w:val="OrderBody"/>
      </w:pPr>
    </w:p>
    <w:p w:rsidR="00166632" w:rsidRDefault="00166632" w:rsidP="00166632">
      <w:pPr>
        <w:pStyle w:val="OrderBody"/>
      </w:pPr>
      <w:r>
        <w:tab/>
        <w:t xml:space="preserve">As identified in the body of this order, our action </w:t>
      </w:r>
      <w:r w:rsidRPr="00D517DB">
        <w:t>approving Camachee Island Company, Inc. d/b/a Camachee Cove Yacht Harbor Utility</w:t>
      </w:r>
      <w:r>
        <w:t>’s</w:t>
      </w:r>
      <w:r w:rsidRPr="00D517DB">
        <w:t xml:space="preserve"> limited rate increase</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5A0F4C">
        <w:rPr>
          <w:u w:val="single"/>
        </w:rPr>
        <w:t>April 17,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166632" w:rsidRDefault="00166632" w:rsidP="00166632">
      <w:pPr>
        <w:pStyle w:val="OrderBody"/>
      </w:pPr>
    </w:p>
    <w:p w:rsidR="00166632" w:rsidRDefault="00166632" w:rsidP="00166632">
      <w:pPr>
        <w:pStyle w:val="OrderBody"/>
      </w:pPr>
      <w:r>
        <w:tab/>
        <w:t>Any objection or protest filed in this docket before the issuance date of this order is considered abandoned unless it satisfies the foregoing conditions and is renewed within the specified protest period.</w:t>
      </w:r>
    </w:p>
    <w:p w:rsidR="00166632" w:rsidRDefault="00166632" w:rsidP="00166632">
      <w:pPr>
        <w:pStyle w:val="OrderBody"/>
      </w:pPr>
    </w:p>
    <w:p w:rsidR="00166632" w:rsidRDefault="00166632" w:rsidP="00166632">
      <w:pPr>
        <w:pStyle w:val="OrderBody"/>
      </w:pPr>
      <w:r>
        <w:tab/>
        <w:t xml:space="preserve">Any party adversely affected by the Commission's final action in this matter may request: (1) reconsideration of the decision by filing a motion for reconsideration with the Office of </w:t>
      </w:r>
      <w:r>
        <w:lastRenderedPageBreak/>
        <w:t>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66632" w:rsidRDefault="00166632" w:rsidP="00166632">
      <w:pPr>
        <w:pStyle w:val="OrderBody"/>
      </w:pPr>
    </w:p>
    <w:p w:rsidR="0056209A" w:rsidRPr="00D517DB" w:rsidRDefault="0056209A" w:rsidP="0056209A">
      <w:pPr>
        <w:pStyle w:val="OrderBody"/>
      </w:pPr>
    </w:p>
    <w:p w:rsidR="009053EF" w:rsidRDefault="009053EF" w:rsidP="0056209A">
      <w:pPr>
        <w:pStyle w:val="OrderBody"/>
        <w:sectPr w:rsidR="009053EF">
          <w:headerReference w:type="default" r:id="rId9"/>
          <w:footerReference w:type="first" r:id="rId10"/>
          <w:pgSz w:w="12240" w:h="15840" w:code="1"/>
          <w:pgMar w:top="1440" w:right="1440" w:bottom="1440" w:left="1440" w:header="720" w:footer="720" w:gutter="0"/>
          <w:cols w:space="720"/>
          <w:titlePg/>
          <w:docGrid w:linePitch="360"/>
        </w:sectPr>
      </w:pPr>
    </w:p>
    <w:tbl>
      <w:tblPr>
        <w:tblW w:w="13241" w:type="dxa"/>
        <w:tblInd w:w="93" w:type="dxa"/>
        <w:tblLook w:val="04A0" w:firstRow="1" w:lastRow="0" w:firstColumn="1" w:lastColumn="0" w:noHBand="0" w:noVBand="1"/>
      </w:tblPr>
      <w:tblGrid>
        <w:gridCol w:w="466"/>
        <w:gridCol w:w="3329"/>
        <w:gridCol w:w="186"/>
        <w:gridCol w:w="1254"/>
        <w:gridCol w:w="1706"/>
        <w:gridCol w:w="1572"/>
        <w:gridCol w:w="1440"/>
        <w:gridCol w:w="1890"/>
        <w:gridCol w:w="1616"/>
      </w:tblGrid>
      <w:tr w:rsidR="009053EF" w:rsidTr="00642915">
        <w:trPr>
          <w:trHeight w:val="300"/>
        </w:trPr>
        <w:tc>
          <w:tcPr>
            <w:tcW w:w="466" w:type="dxa"/>
            <w:tcBorders>
              <w:top w:val="single" w:sz="8" w:space="0" w:color="auto"/>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bookmarkStart w:id="12" w:name="RANGE!A1:H26"/>
            <w:r>
              <w:rPr>
                <w:rFonts w:ascii="SWISS" w:hAnsi="SWISS" w:cs="Arial"/>
                <w:color w:val="000000"/>
                <w:sz w:val="20"/>
                <w:szCs w:val="20"/>
              </w:rPr>
              <w:lastRenderedPageBreak/>
              <w:t> </w:t>
            </w:r>
            <w:bookmarkEnd w:id="12"/>
          </w:p>
        </w:tc>
        <w:tc>
          <w:tcPr>
            <w:tcW w:w="4769" w:type="dxa"/>
            <w:gridSpan w:val="3"/>
            <w:tcBorders>
              <w:top w:val="single" w:sz="8" w:space="0" w:color="auto"/>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CAMACHEE COVE YACHT HARBOR UTILITY</w:t>
            </w:r>
          </w:p>
        </w:tc>
        <w:tc>
          <w:tcPr>
            <w:tcW w:w="1706" w:type="dxa"/>
            <w:tcBorders>
              <w:top w:val="single" w:sz="8" w:space="0" w:color="auto"/>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354" w:type="dxa"/>
            <w:tcBorders>
              <w:top w:val="single" w:sz="8" w:space="0" w:color="auto"/>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440" w:type="dxa"/>
            <w:tcBorders>
              <w:top w:val="single" w:sz="8" w:space="0" w:color="auto"/>
              <w:left w:val="nil"/>
              <w:bottom w:val="nil"/>
              <w:right w:val="nil"/>
            </w:tcBorders>
            <w:shd w:val="clear" w:color="auto" w:fill="auto"/>
            <w:noWrap/>
            <w:vAlign w:val="bottom"/>
            <w:hideMark/>
          </w:tcPr>
          <w:p w:rsidR="009053EF" w:rsidRDefault="009053EF" w:rsidP="00642915">
            <w:pPr>
              <w:rPr>
                <w:rFonts w:ascii="SWISS" w:hAnsi="SWISS" w:cs="Arial"/>
                <w:color w:val="000000"/>
              </w:rPr>
            </w:pPr>
            <w:r>
              <w:rPr>
                <w:rFonts w:ascii="SWISS" w:hAnsi="SWISS" w:cs="Arial"/>
                <w:color w:val="000000"/>
              </w:rPr>
              <w:t> </w:t>
            </w:r>
          </w:p>
        </w:tc>
        <w:tc>
          <w:tcPr>
            <w:tcW w:w="3506" w:type="dxa"/>
            <w:gridSpan w:val="2"/>
            <w:tcBorders>
              <w:top w:val="single" w:sz="8" w:space="0" w:color="auto"/>
              <w:left w:val="nil"/>
              <w:bottom w:val="nil"/>
              <w:right w:val="single" w:sz="8" w:space="0" w:color="auto"/>
            </w:tcBorders>
            <w:shd w:val="clear" w:color="auto" w:fill="auto"/>
            <w:noWrap/>
            <w:vAlign w:val="bottom"/>
            <w:hideMark/>
          </w:tcPr>
          <w:p w:rsidR="009053EF" w:rsidRDefault="009053EF" w:rsidP="00642915">
            <w:pPr>
              <w:jc w:val="right"/>
              <w:rPr>
                <w:rFonts w:ascii="SWISS" w:hAnsi="SWISS" w:cs="Arial"/>
                <w:b/>
                <w:bCs/>
                <w:color w:val="000000"/>
                <w:sz w:val="20"/>
                <w:szCs w:val="20"/>
              </w:rPr>
            </w:pPr>
            <w:r>
              <w:rPr>
                <w:rFonts w:ascii="SWISS" w:hAnsi="SWISS" w:cs="Arial"/>
                <w:b/>
                <w:bCs/>
                <w:color w:val="000000"/>
                <w:sz w:val="20"/>
                <w:szCs w:val="20"/>
              </w:rPr>
              <w:t>SCHEDULE NO. 1-A</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515" w:type="dxa"/>
            <w:gridSpan w:val="2"/>
            <w:tcBorders>
              <w:top w:val="nil"/>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TEST YEAR ENDED  12/31/2015</w:t>
            </w:r>
          </w:p>
        </w:tc>
        <w:tc>
          <w:tcPr>
            <w:tcW w:w="1254"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354"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440"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rPr>
            </w:pPr>
          </w:p>
        </w:tc>
        <w:tc>
          <w:tcPr>
            <w:tcW w:w="3506" w:type="dxa"/>
            <w:gridSpan w:val="2"/>
            <w:tcBorders>
              <w:top w:val="nil"/>
              <w:left w:val="nil"/>
              <w:bottom w:val="nil"/>
              <w:right w:val="single" w:sz="8" w:space="0" w:color="auto"/>
            </w:tcBorders>
            <w:shd w:val="clear" w:color="auto" w:fill="auto"/>
            <w:noWrap/>
            <w:vAlign w:val="bottom"/>
            <w:hideMark/>
          </w:tcPr>
          <w:p w:rsidR="009053EF" w:rsidRDefault="009053EF" w:rsidP="00642915">
            <w:pPr>
              <w:jc w:val="right"/>
              <w:rPr>
                <w:rFonts w:ascii="SWISS" w:hAnsi="SWISS" w:cs="Arial"/>
                <w:b/>
                <w:bCs/>
                <w:color w:val="000000"/>
                <w:sz w:val="20"/>
                <w:szCs w:val="20"/>
              </w:rPr>
            </w:pPr>
            <w:r>
              <w:rPr>
                <w:rFonts w:ascii="SWISS" w:hAnsi="SWISS" w:cs="Arial"/>
                <w:b/>
                <w:bCs/>
                <w:color w:val="000000"/>
                <w:sz w:val="20"/>
                <w:szCs w:val="20"/>
              </w:rPr>
              <w:t>DOCKET NO. 160145-WU</w:t>
            </w:r>
          </w:p>
        </w:tc>
      </w:tr>
      <w:tr w:rsidR="009053EF" w:rsidTr="00642915">
        <w:trPr>
          <w:trHeight w:val="312"/>
        </w:trPr>
        <w:tc>
          <w:tcPr>
            <w:tcW w:w="466" w:type="dxa"/>
            <w:tcBorders>
              <w:top w:val="nil"/>
              <w:left w:val="single" w:sz="8" w:space="0" w:color="auto"/>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4769" w:type="dxa"/>
            <w:gridSpan w:val="3"/>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SCHEDULE OF WATER OPERATING INCOME</w:t>
            </w:r>
          </w:p>
        </w:tc>
        <w:tc>
          <w:tcPr>
            <w:tcW w:w="1706" w:type="dxa"/>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354" w:type="dxa"/>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890" w:type="dxa"/>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616" w:type="dxa"/>
            <w:tcBorders>
              <w:top w:val="nil"/>
              <w:left w:val="nil"/>
              <w:bottom w:val="nil"/>
              <w:right w:val="single" w:sz="8" w:space="0" w:color="auto"/>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 </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 </w:t>
            </w:r>
          </w:p>
        </w:tc>
        <w:tc>
          <w:tcPr>
            <w:tcW w:w="1440" w:type="dxa"/>
            <w:gridSpan w:val="2"/>
            <w:tcBorders>
              <w:top w:val="nil"/>
              <w:left w:val="nil"/>
              <w:bottom w:val="nil"/>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APPROVED</w:t>
            </w:r>
          </w:p>
        </w:tc>
        <w:tc>
          <w:tcPr>
            <w:tcW w:w="1706" w:type="dxa"/>
            <w:tcBorders>
              <w:top w:val="nil"/>
              <w:left w:val="nil"/>
              <w:bottom w:val="nil"/>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p>
        </w:tc>
        <w:tc>
          <w:tcPr>
            <w:tcW w:w="1354" w:type="dxa"/>
            <w:tcBorders>
              <w:top w:val="nil"/>
              <w:left w:val="nil"/>
              <w:bottom w:val="nil"/>
              <w:right w:val="nil"/>
            </w:tcBorders>
            <w:shd w:val="clear" w:color="auto" w:fill="auto"/>
            <w:noWrap/>
            <w:vAlign w:val="bottom"/>
            <w:hideMark/>
          </w:tcPr>
          <w:p w:rsidR="009053EF" w:rsidRDefault="00C84CFB" w:rsidP="00642915">
            <w:pPr>
              <w:jc w:val="center"/>
              <w:rPr>
                <w:rFonts w:ascii="SWISS" w:hAnsi="SWISS" w:cs="Arial"/>
                <w:b/>
                <w:bCs/>
                <w:color w:val="000000"/>
                <w:sz w:val="20"/>
                <w:szCs w:val="20"/>
              </w:rPr>
            </w:pPr>
            <w:r>
              <w:rPr>
                <w:rFonts w:ascii="SWISS" w:hAnsi="SWISS" w:cs="Arial"/>
                <w:b/>
                <w:bCs/>
                <w:color w:val="000000"/>
                <w:sz w:val="20"/>
                <w:szCs w:val="20"/>
              </w:rPr>
              <w:t>COMMISSION</w:t>
            </w:r>
          </w:p>
        </w:tc>
        <w:tc>
          <w:tcPr>
            <w:tcW w:w="1440" w:type="dxa"/>
            <w:tcBorders>
              <w:top w:val="nil"/>
              <w:left w:val="nil"/>
              <w:bottom w:val="nil"/>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ADJUST.</w:t>
            </w:r>
          </w:p>
        </w:tc>
        <w:tc>
          <w:tcPr>
            <w:tcW w:w="1890" w:type="dxa"/>
            <w:tcBorders>
              <w:top w:val="nil"/>
              <w:left w:val="nil"/>
              <w:bottom w:val="nil"/>
              <w:right w:val="nil"/>
            </w:tcBorders>
            <w:shd w:val="clear" w:color="auto" w:fill="auto"/>
            <w:noWrap/>
            <w:vAlign w:val="bottom"/>
            <w:hideMark/>
          </w:tcPr>
          <w:p w:rsidR="009053EF" w:rsidRDefault="00C84CFB" w:rsidP="00C84CFB">
            <w:pPr>
              <w:jc w:val="center"/>
              <w:rPr>
                <w:rFonts w:ascii="SWISS" w:hAnsi="SWISS" w:cs="Arial"/>
                <w:b/>
                <w:bCs/>
                <w:color w:val="000000"/>
                <w:sz w:val="20"/>
                <w:szCs w:val="20"/>
              </w:rPr>
            </w:pPr>
            <w:r>
              <w:rPr>
                <w:rFonts w:ascii="SWISS" w:hAnsi="SWISS" w:cs="Arial"/>
                <w:b/>
                <w:bCs/>
                <w:color w:val="000000"/>
                <w:sz w:val="20"/>
                <w:szCs w:val="20"/>
              </w:rPr>
              <w:t>APPROVED</w:t>
            </w:r>
          </w:p>
        </w:tc>
        <w:tc>
          <w:tcPr>
            <w:tcW w:w="1616" w:type="dxa"/>
            <w:tcBorders>
              <w:top w:val="single" w:sz="8" w:space="0" w:color="auto"/>
              <w:left w:val="nil"/>
              <w:bottom w:val="nil"/>
              <w:right w:val="single" w:sz="8" w:space="0" w:color="auto"/>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COMPARED</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IN</w:t>
            </w:r>
          </w:p>
        </w:tc>
        <w:tc>
          <w:tcPr>
            <w:tcW w:w="1706" w:type="dxa"/>
            <w:tcBorders>
              <w:top w:val="nil"/>
              <w:left w:val="nil"/>
              <w:bottom w:val="nil"/>
              <w:right w:val="nil"/>
            </w:tcBorders>
            <w:shd w:val="clear" w:color="auto" w:fill="auto"/>
            <w:noWrap/>
            <w:vAlign w:val="bottom"/>
            <w:hideMark/>
          </w:tcPr>
          <w:p w:rsidR="009053EF" w:rsidRDefault="00C84CFB" w:rsidP="00642915">
            <w:pPr>
              <w:jc w:val="center"/>
              <w:rPr>
                <w:rFonts w:ascii="SWISS" w:hAnsi="SWISS" w:cs="Arial"/>
                <w:b/>
                <w:bCs/>
                <w:color w:val="000000"/>
                <w:sz w:val="20"/>
                <w:szCs w:val="20"/>
              </w:rPr>
            </w:pPr>
            <w:r>
              <w:rPr>
                <w:rFonts w:ascii="SWISS" w:hAnsi="SWISS" w:cs="Arial"/>
                <w:b/>
                <w:bCs/>
                <w:color w:val="000000"/>
                <w:sz w:val="20"/>
                <w:szCs w:val="20"/>
              </w:rPr>
              <w:t>COMMISSION</w:t>
            </w:r>
            <w:r w:rsidR="009053EF">
              <w:rPr>
                <w:rFonts w:ascii="SWISS" w:hAnsi="SWISS" w:cs="Arial"/>
                <w:b/>
                <w:bCs/>
                <w:color w:val="000000"/>
                <w:sz w:val="20"/>
                <w:szCs w:val="20"/>
              </w:rPr>
              <w:t xml:space="preserve"> </w:t>
            </w:r>
          </w:p>
        </w:tc>
        <w:tc>
          <w:tcPr>
            <w:tcW w:w="1354" w:type="dxa"/>
            <w:tcBorders>
              <w:top w:val="nil"/>
              <w:left w:val="nil"/>
              <w:bottom w:val="nil"/>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ADJUSTED</w:t>
            </w:r>
          </w:p>
        </w:tc>
        <w:tc>
          <w:tcPr>
            <w:tcW w:w="1440" w:type="dxa"/>
            <w:tcBorders>
              <w:top w:val="nil"/>
              <w:left w:val="nil"/>
              <w:bottom w:val="nil"/>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FOR</w:t>
            </w:r>
          </w:p>
        </w:tc>
        <w:tc>
          <w:tcPr>
            <w:tcW w:w="1890" w:type="dxa"/>
            <w:tcBorders>
              <w:top w:val="nil"/>
              <w:left w:val="nil"/>
              <w:bottom w:val="nil"/>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REVENUE</w:t>
            </w:r>
          </w:p>
        </w:tc>
        <w:tc>
          <w:tcPr>
            <w:tcW w:w="1616" w:type="dxa"/>
            <w:tcBorders>
              <w:top w:val="nil"/>
              <w:left w:val="nil"/>
              <w:bottom w:val="nil"/>
              <w:right w:val="single" w:sz="8" w:space="0" w:color="auto"/>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TO ADJUSTED</w:t>
            </w:r>
          </w:p>
        </w:tc>
      </w:tr>
      <w:tr w:rsidR="009053EF" w:rsidTr="00642915">
        <w:trPr>
          <w:trHeight w:val="312"/>
        </w:trPr>
        <w:tc>
          <w:tcPr>
            <w:tcW w:w="466" w:type="dxa"/>
            <w:tcBorders>
              <w:top w:val="nil"/>
              <w:left w:val="single" w:sz="8" w:space="0" w:color="auto"/>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440" w:type="dxa"/>
            <w:gridSpan w:val="2"/>
            <w:tcBorders>
              <w:top w:val="nil"/>
              <w:left w:val="nil"/>
              <w:bottom w:val="single" w:sz="8" w:space="0" w:color="auto"/>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2009 SARC</w:t>
            </w:r>
          </w:p>
        </w:tc>
        <w:tc>
          <w:tcPr>
            <w:tcW w:w="1706" w:type="dxa"/>
            <w:tcBorders>
              <w:top w:val="nil"/>
              <w:left w:val="nil"/>
              <w:bottom w:val="single" w:sz="8" w:space="0" w:color="auto"/>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ADJUSTMENTS</w:t>
            </w:r>
          </w:p>
        </w:tc>
        <w:tc>
          <w:tcPr>
            <w:tcW w:w="1354" w:type="dxa"/>
            <w:tcBorders>
              <w:top w:val="nil"/>
              <w:left w:val="nil"/>
              <w:bottom w:val="single" w:sz="8" w:space="0" w:color="auto"/>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TEST YEAR</w:t>
            </w:r>
          </w:p>
        </w:tc>
        <w:tc>
          <w:tcPr>
            <w:tcW w:w="1440" w:type="dxa"/>
            <w:tcBorders>
              <w:top w:val="nil"/>
              <w:left w:val="nil"/>
              <w:bottom w:val="single" w:sz="8" w:space="0" w:color="auto"/>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INCREASE</w:t>
            </w:r>
          </w:p>
        </w:tc>
        <w:tc>
          <w:tcPr>
            <w:tcW w:w="1890" w:type="dxa"/>
            <w:tcBorders>
              <w:top w:val="nil"/>
              <w:left w:val="nil"/>
              <w:bottom w:val="single" w:sz="8" w:space="0" w:color="auto"/>
              <w:right w:val="nil"/>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REQUIREMENT</w:t>
            </w:r>
          </w:p>
        </w:tc>
        <w:tc>
          <w:tcPr>
            <w:tcW w:w="1616" w:type="dxa"/>
            <w:tcBorders>
              <w:top w:val="nil"/>
              <w:left w:val="nil"/>
              <w:bottom w:val="single" w:sz="8" w:space="0" w:color="auto"/>
              <w:right w:val="single" w:sz="8" w:space="0" w:color="auto"/>
            </w:tcBorders>
            <w:shd w:val="clear" w:color="auto" w:fill="auto"/>
            <w:noWrap/>
            <w:vAlign w:val="bottom"/>
            <w:hideMark/>
          </w:tcPr>
          <w:p w:rsidR="009053EF" w:rsidRDefault="009053EF" w:rsidP="00642915">
            <w:pPr>
              <w:jc w:val="center"/>
              <w:rPr>
                <w:rFonts w:ascii="SWISS" w:hAnsi="SWISS" w:cs="Arial"/>
                <w:b/>
                <w:bCs/>
                <w:color w:val="000000"/>
                <w:sz w:val="20"/>
                <w:szCs w:val="20"/>
              </w:rPr>
            </w:pPr>
            <w:r>
              <w:rPr>
                <w:rFonts w:ascii="SWISS" w:hAnsi="SWISS" w:cs="Arial"/>
                <w:b/>
                <w:bCs/>
                <w:color w:val="000000"/>
                <w:sz w:val="20"/>
                <w:szCs w:val="20"/>
              </w:rPr>
              <w:t>2015</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440" w:type="dxa"/>
            <w:gridSpan w:val="2"/>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706"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354"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440"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890"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616" w:type="dxa"/>
            <w:tcBorders>
              <w:top w:val="nil"/>
              <w:left w:val="nil"/>
              <w:bottom w:val="nil"/>
              <w:right w:val="single" w:sz="8" w:space="0" w:color="auto"/>
            </w:tcBorders>
            <w:shd w:val="clear" w:color="auto" w:fill="auto"/>
            <w:noWrap/>
            <w:vAlign w:val="bottom"/>
            <w:hideMark/>
          </w:tcPr>
          <w:p w:rsidR="009053EF" w:rsidRDefault="009053EF" w:rsidP="00642915">
            <w:pPr>
              <w:rPr>
                <w:rFonts w:ascii="Arial" w:hAnsi="Arial" w:cs="Arial"/>
              </w:rPr>
            </w:pPr>
            <w:r>
              <w:rPr>
                <w:rFonts w:ascii="Arial" w:hAnsi="Arial" w:cs="Arial"/>
              </w:rPr>
              <w:t> </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color w:val="000000"/>
                <w:sz w:val="20"/>
                <w:szCs w:val="20"/>
              </w:rPr>
            </w:pPr>
            <w:r>
              <w:rPr>
                <w:rFonts w:ascii="SWISS" w:hAnsi="SWISS" w:cs="Arial"/>
                <w:color w:val="000000"/>
                <w:sz w:val="20"/>
                <w:szCs w:val="20"/>
              </w:rPr>
              <w:t>1.</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 xml:space="preserve">OPERATING REVENUES               </w:t>
            </w: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$114,439</w:t>
            </w:r>
          </w:p>
        </w:tc>
        <w:tc>
          <w:tcPr>
            <w:tcW w:w="1706"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Pr>
                <w:rFonts w:ascii="SWISS" w:hAnsi="SWISS" w:cs="Arial"/>
                <w:sz w:val="20"/>
                <w:szCs w:val="20"/>
                <w:u w:val="single"/>
              </w:rPr>
              <w:t>(</w:t>
            </w:r>
            <w:r w:rsidRPr="00DA2CAA">
              <w:rPr>
                <w:rFonts w:ascii="SWISS" w:hAnsi="SWISS" w:cs="Arial"/>
                <w:sz w:val="20"/>
                <w:szCs w:val="20"/>
                <w:u w:val="single"/>
              </w:rPr>
              <w:t>$26,</w:t>
            </w:r>
            <w:r>
              <w:rPr>
                <w:rFonts w:ascii="SWISS" w:hAnsi="SWISS" w:cs="Arial"/>
                <w:sz w:val="20"/>
                <w:szCs w:val="20"/>
                <w:u w:val="single"/>
              </w:rPr>
              <w:t>240)</w:t>
            </w:r>
          </w:p>
        </w:tc>
        <w:tc>
          <w:tcPr>
            <w:tcW w:w="1354"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$8</w:t>
            </w:r>
            <w:r>
              <w:rPr>
                <w:rFonts w:ascii="SWISS" w:hAnsi="SWISS" w:cs="Arial"/>
                <w:sz w:val="20"/>
                <w:szCs w:val="20"/>
                <w:u w:val="single"/>
              </w:rPr>
              <w:t>8</w:t>
            </w:r>
            <w:r w:rsidRPr="00DA2CAA">
              <w:rPr>
                <w:rFonts w:ascii="SWISS" w:hAnsi="SWISS" w:cs="Arial"/>
                <w:sz w:val="20"/>
                <w:szCs w:val="20"/>
                <w:u w:val="single"/>
              </w:rPr>
              <w:t>,</w:t>
            </w:r>
            <w:r>
              <w:rPr>
                <w:rFonts w:ascii="SWISS" w:hAnsi="SWISS" w:cs="Arial"/>
                <w:sz w:val="20"/>
                <w:szCs w:val="20"/>
                <w:u w:val="single"/>
              </w:rPr>
              <w:t>199</w:t>
            </w:r>
          </w:p>
        </w:tc>
        <w:tc>
          <w:tcPr>
            <w:tcW w:w="144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$38,</w:t>
            </w:r>
            <w:r>
              <w:rPr>
                <w:rFonts w:ascii="SWISS" w:hAnsi="SWISS" w:cs="Arial"/>
                <w:sz w:val="20"/>
                <w:szCs w:val="20"/>
                <w:u w:val="single"/>
              </w:rPr>
              <w:t>196</w:t>
            </w:r>
          </w:p>
        </w:tc>
        <w:tc>
          <w:tcPr>
            <w:tcW w:w="189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$126,395</w:t>
            </w: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$126,395</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4</w:t>
            </w:r>
            <w:r>
              <w:rPr>
                <w:rFonts w:ascii="SWISS" w:hAnsi="SWISS" w:cs="Arial"/>
                <w:sz w:val="20"/>
                <w:szCs w:val="20"/>
              </w:rPr>
              <w:t>3</w:t>
            </w:r>
            <w:r w:rsidRPr="00DA2CAA">
              <w:rPr>
                <w:rFonts w:ascii="SWISS" w:hAnsi="SWISS" w:cs="Arial"/>
                <w:sz w:val="20"/>
                <w:szCs w:val="20"/>
              </w:rPr>
              <w:t>.</w:t>
            </w:r>
            <w:r>
              <w:rPr>
                <w:rFonts w:ascii="SWISS" w:hAnsi="SWISS" w:cs="Arial"/>
                <w:sz w:val="20"/>
                <w:szCs w:val="20"/>
              </w:rPr>
              <w:t>31</w:t>
            </w:r>
            <w:r w:rsidRPr="00DA2CAA">
              <w:rPr>
                <w:rFonts w:ascii="SWISS" w:hAnsi="SWISS" w:cs="Arial"/>
                <w:sz w:val="20"/>
                <w:szCs w:val="20"/>
              </w:rPr>
              <w:t>%</w:t>
            </w:r>
          </w:p>
        </w:tc>
        <w:tc>
          <w:tcPr>
            <w:tcW w:w="189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tcPr>
          <w:p w:rsidR="009053EF" w:rsidRPr="00DA2CAA" w:rsidRDefault="009053EF" w:rsidP="00642915">
            <w:pPr>
              <w:jc w:val="right"/>
              <w:rPr>
                <w:rFonts w:ascii="SWISS" w:hAnsi="SWISS" w:cs="Arial"/>
                <w:sz w:val="20"/>
                <w:szCs w:val="20"/>
                <w:u w:val="single"/>
              </w:rPr>
            </w:pP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OPERATING EXPENSES:</w:t>
            </w: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tcPr>
          <w:p w:rsidR="009053EF" w:rsidRPr="00DA2CAA" w:rsidRDefault="009053EF" w:rsidP="00642915">
            <w:pPr>
              <w:jc w:val="right"/>
              <w:rPr>
                <w:rFonts w:ascii="SWISS" w:hAnsi="SWISS" w:cs="Arial"/>
                <w:sz w:val="20"/>
                <w:szCs w:val="20"/>
                <w:u w:val="single"/>
              </w:rPr>
            </w:pP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color w:val="000000"/>
                <w:sz w:val="20"/>
                <w:szCs w:val="20"/>
              </w:rPr>
            </w:pPr>
            <w:r>
              <w:rPr>
                <w:rFonts w:ascii="SWISS" w:hAnsi="SWISS" w:cs="Arial"/>
                <w:color w:val="000000"/>
                <w:sz w:val="20"/>
                <w:szCs w:val="20"/>
              </w:rPr>
              <w:t>2.</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xml:space="preserve">  OPERATION &amp; MAINTENANCE</w:t>
            </w: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 xml:space="preserve">$61,400 </w:t>
            </w:r>
          </w:p>
        </w:tc>
        <w:tc>
          <w:tcPr>
            <w:tcW w:w="1706"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 xml:space="preserve">$10,845 </w:t>
            </w:r>
          </w:p>
        </w:tc>
        <w:tc>
          <w:tcPr>
            <w:tcW w:w="1354"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 xml:space="preserve">$72,245 </w:t>
            </w:r>
          </w:p>
        </w:tc>
        <w:tc>
          <w:tcPr>
            <w:tcW w:w="144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 xml:space="preserve">$0 </w:t>
            </w:r>
          </w:p>
        </w:tc>
        <w:tc>
          <w:tcPr>
            <w:tcW w:w="189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 xml:space="preserve">$72,245 </w:t>
            </w: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$102,639</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 </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color w:val="000000"/>
                <w:sz w:val="20"/>
                <w:szCs w:val="20"/>
              </w:rPr>
            </w:pPr>
            <w:r>
              <w:rPr>
                <w:rFonts w:ascii="SWISS" w:hAnsi="SWISS" w:cs="Arial"/>
                <w:color w:val="000000"/>
                <w:sz w:val="20"/>
                <w:szCs w:val="20"/>
              </w:rPr>
              <w:t>3.</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xml:space="preserve">  DEPRECIATION (NET)</w:t>
            </w: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12,881</w:t>
            </w:r>
          </w:p>
        </w:tc>
        <w:tc>
          <w:tcPr>
            <w:tcW w:w="1706"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 xml:space="preserve">0 </w:t>
            </w:r>
          </w:p>
        </w:tc>
        <w:tc>
          <w:tcPr>
            <w:tcW w:w="1354"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12,881</w:t>
            </w:r>
          </w:p>
        </w:tc>
        <w:tc>
          <w:tcPr>
            <w:tcW w:w="144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0</w:t>
            </w:r>
          </w:p>
        </w:tc>
        <w:tc>
          <w:tcPr>
            <w:tcW w:w="189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12,881</w:t>
            </w: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$17,633</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 </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color w:val="000000"/>
                <w:sz w:val="20"/>
                <w:szCs w:val="20"/>
              </w:rPr>
            </w:pPr>
            <w:r>
              <w:rPr>
                <w:rFonts w:ascii="SWISS" w:hAnsi="SWISS" w:cs="Arial"/>
                <w:color w:val="000000"/>
                <w:sz w:val="20"/>
                <w:szCs w:val="20"/>
              </w:rPr>
              <w:t>5.</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xml:space="preserve">  TAXES OTHER THAN INCOME</w:t>
            </w: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6,096</w:t>
            </w:r>
          </w:p>
        </w:tc>
        <w:tc>
          <w:tcPr>
            <w:tcW w:w="1706"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(6</w:t>
            </w:r>
            <w:r>
              <w:rPr>
                <w:rFonts w:ascii="SWISS" w:hAnsi="SWISS" w:cs="Arial"/>
                <w:sz w:val="20"/>
                <w:szCs w:val="20"/>
              </w:rPr>
              <w:t>07</w:t>
            </w:r>
            <w:r w:rsidRPr="00DA2CAA">
              <w:rPr>
                <w:rFonts w:ascii="SWISS" w:hAnsi="SWISS" w:cs="Arial"/>
                <w:sz w:val="20"/>
                <w:szCs w:val="20"/>
              </w:rPr>
              <w:t>)</w:t>
            </w:r>
          </w:p>
        </w:tc>
        <w:tc>
          <w:tcPr>
            <w:tcW w:w="1354"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5,4</w:t>
            </w:r>
            <w:r>
              <w:rPr>
                <w:rFonts w:ascii="SWISS" w:hAnsi="SWISS" w:cs="Arial"/>
                <w:sz w:val="20"/>
                <w:szCs w:val="20"/>
              </w:rPr>
              <w:t>89</w:t>
            </w:r>
          </w:p>
        </w:tc>
        <w:tc>
          <w:tcPr>
            <w:tcW w:w="144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1,7</w:t>
            </w:r>
            <w:r>
              <w:rPr>
                <w:rFonts w:ascii="SWISS" w:hAnsi="SWISS" w:cs="Arial"/>
                <w:sz w:val="20"/>
                <w:szCs w:val="20"/>
              </w:rPr>
              <w:t>19</w:t>
            </w:r>
          </w:p>
        </w:tc>
        <w:tc>
          <w:tcPr>
            <w:tcW w:w="189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7,208</w:t>
            </w: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$8,0</w:t>
            </w:r>
            <w:r>
              <w:rPr>
                <w:rFonts w:ascii="SWISS" w:hAnsi="SWISS" w:cs="Arial"/>
                <w:sz w:val="20"/>
                <w:szCs w:val="20"/>
              </w:rPr>
              <w:t>00</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rPr>
            </w:pPr>
            <w:r w:rsidRPr="00DA2CAA">
              <w:rPr>
                <w:rFonts w:ascii="SWISS" w:hAnsi="SWISS" w:cs="Arial"/>
                <w:sz w:val="20"/>
                <w:szCs w:val="20"/>
              </w:rPr>
              <w:t> </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color w:val="000000"/>
                <w:sz w:val="20"/>
                <w:szCs w:val="20"/>
              </w:rPr>
            </w:pPr>
            <w:r>
              <w:rPr>
                <w:rFonts w:ascii="SWISS" w:hAnsi="SWISS" w:cs="Arial"/>
                <w:color w:val="000000"/>
                <w:sz w:val="20"/>
                <w:szCs w:val="20"/>
              </w:rPr>
              <w:t>6.</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xml:space="preserve">  INCOME TAXES</w:t>
            </w: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0</w:t>
            </w:r>
          </w:p>
        </w:tc>
        <w:tc>
          <w:tcPr>
            <w:tcW w:w="1354"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0</w:t>
            </w:r>
          </w:p>
        </w:tc>
        <w:tc>
          <w:tcPr>
            <w:tcW w:w="144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0</w:t>
            </w:r>
          </w:p>
        </w:tc>
        <w:tc>
          <w:tcPr>
            <w:tcW w:w="189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 xml:space="preserve">0 </w:t>
            </w: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$0</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9053EF" w:rsidRPr="008E67FC" w:rsidRDefault="009053EF" w:rsidP="00642915">
            <w:pPr>
              <w:jc w:val="right"/>
              <w:rPr>
                <w:rFonts w:ascii="SWISS" w:hAnsi="SWISS" w:cs="Arial"/>
                <w:sz w:val="20"/>
                <w:szCs w:val="20"/>
              </w:rPr>
            </w:pPr>
            <w:r w:rsidRPr="008E67FC">
              <w:rPr>
                <w:rFonts w:ascii="SWISS" w:hAnsi="SWISS" w:cs="Arial"/>
                <w:sz w:val="20"/>
                <w:szCs w:val="20"/>
              </w:rPr>
              <w:t> </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color w:val="000000"/>
                <w:sz w:val="20"/>
                <w:szCs w:val="20"/>
              </w:rPr>
            </w:pPr>
            <w:r>
              <w:rPr>
                <w:rFonts w:ascii="SWISS" w:hAnsi="SWISS" w:cs="Arial"/>
                <w:color w:val="000000"/>
                <w:sz w:val="20"/>
                <w:szCs w:val="20"/>
              </w:rPr>
              <w:t>7.</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 xml:space="preserve">TOTAL OPERATING EXPENSES    </w:t>
            </w: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$80,377</w:t>
            </w:r>
          </w:p>
        </w:tc>
        <w:tc>
          <w:tcPr>
            <w:tcW w:w="1706"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$10,2</w:t>
            </w:r>
            <w:r>
              <w:rPr>
                <w:rFonts w:ascii="SWISS" w:hAnsi="SWISS" w:cs="Arial"/>
                <w:sz w:val="20"/>
                <w:szCs w:val="20"/>
                <w:u w:val="single"/>
              </w:rPr>
              <w:t>38</w:t>
            </w:r>
            <w:r w:rsidRPr="00DA2CAA">
              <w:rPr>
                <w:rFonts w:ascii="SWISS" w:hAnsi="SWISS" w:cs="Arial"/>
                <w:sz w:val="20"/>
                <w:szCs w:val="20"/>
                <w:u w:val="single"/>
              </w:rPr>
              <w:t xml:space="preserve"> </w:t>
            </w:r>
          </w:p>
        </w:tc>
        <w:tc>
          <w:tcPr>
            <w:tcW w:w="1354"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$90,</w:t>
            </w:r>
            <w:r>
              <w:rPr>
                <w:rFonts w:ascii="SWISS" w:hAnsi="SWISS" w:cs="Arial"/>
                <w:sz w:val="20"/>
                <w:szCs w:val="20"/>
                <w:u w:val="single"/>
              </w:rPr>
              <w:t>615</w:t>
            </w:r>
          </w:p>
        </w:tc>
        <w:tc>
          <w:tcPr>
            <w:tcW w:w="144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$1,7</w:t>
            </w:r>
            <w:r>
              <w:rPr>
                <w:rFonts w:ascii="SWISS" w:hAnsi="SWISS" w:cs="Arial"/>
                <w:sz w:val="20"/>
                <w:szCs w:val="20"/>
                <w:u w:val="single"/>
              </w:rPr>
              <w:t>19</w:t>
            </w:r>
            <w:r w:rsidRPr="00DA2CAA">
              <w:rPr>
                <w:rFonts w:ascii="SWISS" w:hAnsi="SWISS" w:cs="Arial"/>
                <w:sz w:val="20"/>
                <w:szCs w:val="20"/>
                <w:u w:val="single"/>
              </w:rPr>
              <w:t xml:space="preserve"> </w:t>
            </w:r>
          </w:p>
        </w:tc>
        <w:tc>
          <w:tcPr>
            <w:tcW w:w="189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$92,334</w:t>
            </w: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$128,</w:t>
            </w:r>
            <w:r>
              <w:rPr>
                <w:rFonts w:ascii="SWISS" w:hAnsi="SWISS" w:cs="Arial"/>
                <w:sz w:val="20"/>
                <w:szCs w:val="20"/>
                <w:u w:val="single"/>
              </w:rPr>
              <w:t>272</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9053EF" w:rsidRPr="008E67FC" w:rsidRDefault="009053EF" w:rsidP="00642915">
            <w:pPr>
              <w:jc w:val="right"/>
              <w:rPr>
                <w:rFonts w:ascii="SWISS" w:hAnsi="SWISS" w:cs="Arial"/>
                <w:sz w:val="20"/>
                <w:szCs w:val="20"/>
              </w:rPr>
            </w:pPr>
            <w:r w:rsidRPr="008E67FC">
              <w:rPr>
                <w:rFonts w:ascii="SWISS" w:hAnsi="SWISS" w:cs="Arial"/>
                <w:sz w:val="20"/>
                <w:szCs w:val="20"/>
              </w:rPr>
              <w:t> </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color w:val="000000"/>
                <w:sz w:val="20"/>
                <w:szCs w:val="20"/>
              </w:rPr>
            </w:pPr>
            <w:r>
              <w:rPr>
                <w:rFonts w:ascii="SWISS" w:hAnsi="SWISS" w:cs="Arial"/>
                <w:color w:val="000000"/>
                <w:sz w:val="20"/>
                <w:szCs w:val="20"/>
              </w:rPr>
              <w:t>8.</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 xml:space="preserve">OPERATING INCOME/(LOSS)        </w:t>
            </w: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double"/>
              </w:rPr>
            </w:pPr>
            <w:r w:rsidRPr="00DA2CAA">
              <w:rPr>
                <w:rFonts w:ascii="SWISS" w:hAnsi="SWISS" w:cs="Arial"/>
                <w:sz w:val="20"/>
                <w:szCs w:val="20"/>
                <w:u w:val="double"/>
              </w:rPr>
              <w:t xml:space="preserve">$34,062 </w:t>
            </w: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u w:val="double"/>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double"/>
              </w:rPr>
            </w:pPr>
            <w:r w:rsidRPr="00DA2CAA">
              <w:rPr>
                <w:rFonts w:ascii="SWISS" w:hAnsi="SWISS" w:cs="Arial"/>
                <w:sz w:val="20"/>
                <w:szCs w:val="20"/>
                <w:u w:val="double"/>
              </w:rPr>
              <w:t>($</w:t>
            </w:r>
            <w:r>
              <w:rPr>
                <w:rFonts w:ascii="SWISS" w:hAnsi="SWISS" w:cs="Arial"/>
                <w:sz w:val="20"/>
                <w:szCs w:val="20"/>
                <w:u w:val="double"/>
              </w:rPr>
              <w:t>2</w:t>
            </w:r>
            <w:r w:rsidRPr="00DA2CAA">
              <w:rPr>
                <w:rFonts w:ascii="SWISS" w:hAnsi="SWISS" w:cs="Arial"/>
                <w:sz w:val="20"/>
                <w:szCs w:val="20"/>
                <w:u w:val="double"/>
              </w:rPr>
              <w:t>,</w:t>
            </w:r>
            <w:r>
              <w:rPr>
                <w:rFonts w:ascii="SWISS" w:hAnsi="SWISS" w:cs="Arial"/>
                <w:sz w:val="20"/>
                <w:szCs w:val="20"/>
                <w:u w:val="double"/>
              </w:rPr>
              <w:t>416</w:t>
            </w:r>
            <w:r w:rsidRPr="00DA2CAA">
              <w:rPr>
                <w:rFonts w:ascii="SWISS" w:hAnsi="SWISS" w:cs="Arial"/>
                <w:sz w:val="20"/>
                <w:szCs w:val="20"/>
                <w:u w:val="double"/>
              </w:rPr>
              <w:t>)</w:t>
            </w:r>
          </w:p>
        </w:tc>
        <w:tc>
          <w:tcPr>
            <w:tcW w:w="144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u w:val="double"/>
              </w:rPr>
            </w:pPr>
          </w:p>
        </w:tc>
        <w:tc>
          <w:tcPr>
            <w:tcW w:w="189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double"/>
              </w:rPr>
            </w:pPr>
            <w:r w:rsidRPr="00DA2CAA">
              <w:rPr>
                <w:rFonts w:ascii="SWISS" w:hAnsi="SWISS" w:cs="Arial"/>
                <w:sz w:val="20"/>
                <w:szCs w:val="20"/>
                <w:u w:val="double"/>
              </w:rPr>
              <w:t xml:space="preserve">$34,061 </w:t>
            </w: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($1,</w:t>
            </w:r>
            <w:r>
              <w:rPr>
                <w:rFonts w:ascii="SWISS" w:hAnsi="SWISS" w:cs="Arial"/>
                <w:sz w:val="20"/>
                <w:szCs w:val="20"/>
                <w:u w:val="single"/>
              </w:rPr>
              <w:t>877</w:t>
            </w:r>
            <w:r w:rsidRPr="00DA2CAA">
              <w:rPr>
                <w:rFonts w:ascii="SWISS" w:hAnsi="SWISS" w:cs="Arial"/>
                <w:sz w:val="20"/>
                <w:szCs w:val="20"/>
                <w:u w:val="single"/>
              </w:rPr>
              <w:t>)</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9053EF" w:rsidRPr="008E67FC" w:rsidRDefault="009053EF" w:rsidP="00642915">
            <w:pPr>
              <w:jc w:val="right"/>
              <w:rPr>
                <w:rFonts w:ascii="SWISS" w:hAnsi="SWISS" w:cs="Arial"/>
                <w:sz w:val="20"/>
                <w:szCs w:val="20"/>
              </w:rPr>
            </w:pPr>
            <w:r w:rsidRPr="008E67FC">
              <w:rPr>
                <w:rFonts w:ascii="SWISS" w:hAnsi="SWISS" w:cs="Arial"/>
                <w:sz w:val="20"/>
                <w:szCs w:val="20"/>
              </w:rPr>
              <w:t> </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color w:val="000000"/>
                <w:sz w:val="20"/>
                <w:szCs w:val="20"/>
              </w:rPr>
            </w:pPr>
            <w:r>
              <w:rPr>
                <w:rFonts w:ascii="SWISS" w:hAnsi="SWISS" w:cs="Arial"/>
                <w:color w:val="000000"/>
                <w:sz w:val="20"/>
                <w:szCs w:val="20"/>
              </w:rPr>
              <w:t>9.</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 xml:space="preserve">WATER RATE BASE         </w:t>
            </w: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double"/>
              </w:rPr>
            </w:pPr>
            <w:r w:rsidRPr="00DA2CAA">
              <w:rPr>
                <w:rFonts w:ascii="SWISS" w:hAnsi="SWISS" w:cs="Arial"/>
                <w:sz w:val="20"/>
                <w:szCs w:val="20"/>
                <w:u w:val="double"/>
              </w:rPr>
              <w:t xml:space="preserve">$352,235 </w:t>
            </w: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u w:val="double"/>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double"/>
              </w:rPr>
            </w:pPr>
            <w:r w:rsidRPr="00DA2CAA">
              <w:rPr>
                <w:rFonts w:ascii="SWISS" w:hAnsi="SWISS" w:cs="Arial"/>
                <w:sz w:val="20"/>
                <w:szCs w:val="20"/>
                <w:u w:val="double"/>
              </w:rPr>
              <w:t xml:space="preserve">$352,235 </w:t>
            </w:r>
          </w:p>
        </w:tc>
        <w:tc>
          <w:tcPr>
            <w:tcW w:w="144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u w:val="double"/>
              </w:rPr>
            </w:pPr>
          </w:p>
        </w:tc>
        <w:tc>
          <w:tcPr>
            <w:tcW w:w="189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double"/>
              </w:rPr>
            </w:pPr>
            <w:r w:rsidRPr="00DA2CAA">
              <w:rPr>
                <w:rFonts w:ascii="SWISS" w:hAnsi="SWISS" w:cs="Arial"/>
                <w:sz w:val="20"/>
                <w:szCs w:val="20"/>
                <w:u w:val="double"/>
              </w:rPr>
              <w:t xml:space="preserve">$352,235 </w:t>
            </w: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sidRPr="00DA2CAA">
              <w:rPr>
                <w:rFonts w:ascii="SWISS" w:hAnsi="SWISS" w:cs="Arial"/>
                <w:sz w:val="20"/>
                <w:szCs w:val="20"/>
                <w:u w:val="single"/>
              </w:rPr>
              <w:t>$318,612</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9053EF" w:rsidRPr="008E67FC" w:rsidRDefault="009053EF" w:rsidP="00642915">
            <w:pPr>
              <w:jc w:val="right"/>
              <w:rPr>
                <w:rFonts w:ascii="SWISS" w:hAnsi="SWISS" w:cs="Arial"/>
                <w:sz w:val="20"/>
                <w:szCs w:val="20"/>
              </w:rPr>
            </w:pPr>
            <w:r w:rsidRPr="008E67FC">
              <w:rPr>
                <w:rFonts w:ascii="SWISS" w:hAnsi="SWISS" w:cs="Arial"/>
                <w:sz w:val="20"/>
                <w:szCs w:val="20"/>
              </w:rPr>
              <w:t> </w:t>
            </w:r>
          </w:p>
        </w:tc>
      </w:tr>
      <w:tr w:rsidR="009053EF" w:rsidTr="00642915">
        <w:trPr>
          <w:trHeight w:val="300"/>
        </w:trPr>
        <w:tc>
          <w:tcPr>
            <w:tcW w:w="466" w:type="dxa"/>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color w:val="000000"/>
                <w:sz w:val="20"/>
                <w:szCs w:val="20"/>
              </w:rPr>
            </w:pPr>
            <w:r>
              <w:rPr>
                <w:rFonts w:ascii="SWISS" w:hAnsi="SWISS" w:cs="Arial"/>
                <w:color w:val="000000"/>
                <w:sz w:val="20"/>
                <w:szCs w:val="20"/>
              </w:rPr>
              <w:t>10.</w:t>
            </w:r>
          </w:p>
        </w:tc>
        <w:tc>
          <w:tcPr>
            <w:tcW w:w="3329" w:type="dxa"/>
            <w:tcBorders>
              <w:top w:val="nil"/>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RATE OF RETURN</w:t>
            </w:r>
          </w:p>
        </w:tc>
        <w:tc>
          <w:tcPr>
            <w:tcW w:w="1440" w:type="dxa"/>
            <w:gridSpan w:val="2"/>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double"/>
              </w:rPr>
            </w:pPr>
            <w:r w:rsidRPr="00DA2CAA">
              <w:rPr>
                <w:rFonts w:ascii="SWISS" w:hAnsi="SWISS" w:cs="Arial"/>
                <w:sz w:val="20"/>
                <w:szCs w:val="20"/>
                <w:u w:val="double"/>
              </w:rPr>
              <w:t>9.67%</w:t>
            </w:r>
          </w:p>
        </w:tc>
        <w:tc>
          <w:tcPr>
            <w:tcW w:w="1706"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u w:val="double"/>
              </w:rPr>
            </w:pPr>
          </w:p>
        </w:tc>
        <w:tc>
          <w:tcPr>
            <w:tcW w:w="1354"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double"/>
              </w:rPr>
            </w:pPr>
            <w:r>
              <w:rPr>
                <w:rFonts w:ascii="SWISS" w:hAnsi="SWISS" w:cs="Arial"/>
                <w:sz w:val="20"/>
                <w:szCs w:val="20"/>
                <w:u w:val="double"/>
              </w:rPr>
              <w:t>(</w:t>
            </w:r>
            <w:r w:rsidRPr="00DA2CAA">
              <w:rPr>
                <w:rFonts w:ascii="SWISS" w:hAnsi="SWISS" w:cs="Arial"/>
                <w:sz w:val="20"/>
                <w:szCs w:val="20"/>
                <w:u w:val="double"/>
              </w:rPr>
              <w:t>0.</w:t>
            </w:r>
            <w:r>
              <w:rPr>
                <w:rFonts w:ascii="SWISS" w:hAnsi="SWISS" w:cs="Arial"/>
                <w:sz w:val="20"/>
                <w:szCs w:val="20"/>
                <w:u w:val="double"/>
              </w:rPr>
              <w:t>69</w:t>
            </w:r>
            <w:r w:rsidRPr="00DA2CAA">
              <w:rPr>
                <w:rFonts w:ascii="SWISS" w:hAnsi="SWISS" w:cs="Arial"/>
                <w:sz w:val="20"/>
                <w:szCs w:val="20"/>
                <w:u w:val="double"/>
              </w:rPr>
              <w:t>%</w:t>
            </w:r>
            <w:r>
              <w:rPr>
                <w:rFonts w:ascii="SWISS" w:hAnsi="SWISS" w:cs="Arial"/>
                <w:sz w:val="20"/>
                <w:szCs w:val="20"/>
                <w:u w:val="double"/>
              </w:rPr>
              <w:t>)</w:t>
            </w:r>
          </w:p>
        </w:tc>
        <w:tc>
          <w:tcPr>
            <w:tcW w:w="1440" w:type="dxa"/>
            <w:tcBorders>
              <w:top w:val="nil"/>
              <w:left w:val="nil"/>
              <w:bottom w:val="nil"/>
              <w:right w:val="nil"/>
            </w:tcBorders>
            <w:shd w:val="clear" w:color="auto" w:fill="auto"/>
            <w:noWrap/>
            <w:vAlign w:val="bottom"/>
            <w:hideMark/>
          </w:tcPr>
          <w:p w:rsidR="009053EF" w:rsidRPr="00DA2CAA" w:rsidRDefault="009053EF" w:rsidP="00642915">
            <w:pPr>
              <w:rPr>
                <w:rFonts w:ascii="SWISS" w:hAnsi="SWISS" w:cs="Arial"/>
                <w:sz w:val="20"/>
                <w:szCs w:val="20"/>
                <w:u w:val="double"/>
              </w:rPr>
            </w:pPr>
          </w:p>
        </w:tc>
        <w:tc>
          <w:tcPr>
            <w:tcW w:w="1890" w:type="dxa"/>
            <w:tcBorders>
              <w:top w:val="nil"/>
              <w:left w:val="nil"/>
              <w:bottom w:val="nil"/>
              <w:right w:val="nil"/>
            </w:tcBorders>
            <w:shd w:val="clear" w:color="auto" w:fill="auto"/>
            <w:noWrap/>
            <w:vAlign w:val="bottom"/>
            <w:hideMark/>
          </w:tcPr>
          <w:p w:rsidR="009053EF" w:rsidRPr="00DA2CAA" w:rsidRDefault="009053EF" w:rsidP="00642915">
            <w:pPr>
              <w:jc w:val="right"/>
              <w:rPr>
                <w:rFonts w:ascii="SWISS" w:hAnsi="SWISS" w:cs="Arial"/>
                <w:sz w:val="20"/>
                <w:szCs w:val="20"/>
                <w:u w:val="double"/>
              </w:rPr>
            </w:pPr>
            <w:r w:rsidRPr="00DA2CAA">
              <w:rPr>
                <w:rFonts w:ascii="SWISS" w:hAnsi="SWISS" w:cs="Arial"/>
                <w:sz w:val="20"/>
                <w:szCs w:val="20"/>
                <w:u w:val="double"/>
              </w:rPr>
              <w:t>9.67%</w:t>
            </w:r>
          </w:p>
        </w:tc>
        <w:tc>
          <w:tcPr>
            <w:tcW w:w="1616" w:type="dxa"/>
            <w:tcBorders>
              <w:top w:val="nil"/>
              <w:left w:val="nil"/>
              <w:bottom w:val="nil"/>
              <w:right w:val="single" w:sz="8" w:space="0" w:color="auto"/>
            </w:tcBorders>
            <w:shd w:val="clear" w:color="auto" w:fill="auto"/>
            <w:noWrap/>
            <w:vAlign w:val="bottom"/>
            <w:hideMark/>
          </w:tcPr>
          <w:p w:rsidR="009053EF" w:rsidRPr="00DA2CAA" w:rsidRDefault="009053EF" w:rsidP="00642915">
            <w:pPr>
              <w:jc w:val="right"/>
              <w:rPr>
                <w:rFonts w:ascii="SWISS" w:hAnsi="SWISS" w:cs="Arial"/>
                <w:sz w:val="20"/>
                <w:szCs w:val="20"/>
                <w:u w:val="single"/>
              </w:rPr>
            </w:pPr>
            <w:r>
              <w:rPr>
                <w:rFonts w:ascii="SWISS" w:hAnsi="SWISS" w:cs="Arial"/>
                <w:sz w:val="20"/>
                <w:szCs w:val="20"/>
                <w:u w:val="single"/>
              </w:rPr>
              <w:t>(</w:t>
            </w:r>
            <w:r w:rsidRPr="00DA2CAA">
              <w:rPr>
                <w:rFonts w:ascii="SWISS" w:hAnsi="SWISS" w:cs="Arial"/>
                <w:sz w:val="20"/>
                <w:szCs w:val="20"/>
                <w:u w:val="single"/>
              </w:rPr>
              <w:t>0.</w:t>
            </w:r>
            <w:r>
              <w:rPr>
                <w:rFonts w:ascii="SWISS" w:hAnsi="SWISS" w:cs="Arial"/>
                <w:sz w:val="20"/>
                <w:szCs w:val="20"/>
                <w:u w:val="single"/>
              </w:rPr>
              <w:t>59</w:t>
            </w:r>
            <w:r w:rsidRPr="00DA2CAA">
              <w:rPr>
                <w:rFonts w:ascii="SWISS" w:hAnsi="SWISS" w:cs="Arial"/>
                <w:sz w:val="20"/>
                <w:szCs w:val="20"/>
                <w:u w:val="single"/>
              </w:rPr>
              <w:t>%</w:t>
            </w:r>
            <w:r>
              <w:rPr>
                <w:rFonts w:ascii="SWISS" w:hAnsi="SWISS" w:cs="Arial"/>
                <w:sz w:val="20"/>
                <w:szCs w:val="20"/>
                <w:u w:val="single"/>
              </w:rPr>
              <w:t>)</w:t>
            </w:r>
          </w:p>
        </w:tc>
      </w:tr>
      <w:tr w:rsidR="009053EF" w:rsidTr="00642915">
        <w:trPr>
          <w:trHeight w:val="312"/>
        </w:trPr>
        <w:tc>
          <w:tcPr>
            <w:tcW w:w="466" w:type="dxa"/>
            <w:tcBorders>
              <w:top w:val="nil"/>
              <w:left w:val="single" w:sz="8" w:space="0" w:color="auto"/>
              <w:bottom w:val="single" w:sz="8" w:space="0" w:color="auto"/>
              <w:right w:val="nil"/>
            </w:tcBorders>
            <w:shd w:val="clear" w:color="auto" w:fill="auto"/>
            <w:noWrap/>
            <w:vAlign w:val="bottom"/>
            <w:hideMark/>
          </w:tcPr>
          <w:p w:rsidR="009053EF" w:rsidRDefault="009053EF" w:rsidP="00642915">
            <w:pPr>
              <w:jc w:val="cente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440" w:type="dxa"/>
            <w:gridSpan w:val="2"/>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706" w:type="dxa"/>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354" w:type="dxa"/>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890" w:type="dxa"/>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color w:val="000000"/>
                <w:sz w:val="20"/>
                <w:szCs w:val="20"/>
              </w:rPr>
            </w:pPr>
            <w:r>
              <w:rPr>
                <w:rFonts w:ascii="SWISS" w:hAnsi="SWISS" w:cs="Arial"/>
                <w:color w:val="000000"/>
                <w:sz w:val="20"/>
                <w:szCs w:val="20"/>
              </w:rPr>
              <w:t> </w:t>
            </w:r>
          </w:p>
        </w:tc>
        <w:tc>
          <w:tcPr>
            <w:tcW w:w="1616" w:type="dxa"/>
            <w:tcBorders>
              <w:top w:val="nil"/>
              <w:left w:val="nil"/>
              <w:bottom w:val="single" w:sz="8" w:space="0" w:color="auto"/>
              <w:right w:val="single" w:sz="8" w:space="0" w:color="auto"/>
            </w:tcBorders>
            <w:shd w:val="clear" w:color="auto" w:fill="auto"/>
            <w:noWrap/>
            <w:vAlign w:val="bottom"/>
            <w:hideMark/>
          </w:tcPr>
          <w:p w:rsidR="009053EF" w:rsidRDefault="009053EF" w:rsidP="00642915">
            <w:pPr>
              <w:rPr>
                <w:rFonts w:ascii="Arial" w:hAnsi="Arial" w:cs="Arial"/>
                <w:sz w:val="20"/>
                <w:szCs w:val="20"/>
              </w:rPr>
            </w:pPr>
            <w:r>
              <w:rPr>
                <w:rFonts w:ascii="Arial" w:hAnsi="Arial" w:cs="Arial"/>
                <w:sz w:val="20"/>
                <w:szCs w:val="20"/>
              </w:rPr>
              <w:t> </w:t>
            </w:r>
          </w:p>
        </w:tc>
      </w:tr>
    </w:tbl>
    <w:p w:rsidR="0056209A" w:rsidRDefault="0056209A" w:rsidP="0056209A">
      <w:pPr>
        <w:pStyle w:val="OrderBody"/>
      </w:pPr>
    </w:p>
    <w:p w:rsidR="009053EF" w:rsidRDefault="009053EF" w:rsidP="00D57E57">
      <w:pPr>
        <w:sectPr w:rsidR="009053EF" w:rsidSect="009053EF">
          <w:headerReference w:type="first" r:id="rId11"/>
          <w:pgSz w:w="15840" w:h="12240" w:orient="landscape" w:code="1"/>
          <w:pgMar w:top="1440" w:right="1440" w:bottom="1440" w:left="1440" w:header="720" w:footer="720" w:gutter="0"/>
          <w:cols w:space="720"/>
          <w:titlePg/>
          <w:docGrid w:linePitch="360"/>
        </w:sectPr>
      </w:pPr>
    </w:p>
    <w:tbl>
      <w:tblPr>
        <w:tblW w:w="5211" w:type="pct"/>
        <w:tblInd w:w="-72" w:type="dxa"/>
        <w:tblLook w:val="04A0" w:firstRow="1" w:lastRow="0" w:firstColumn="1" w:lastColumn="0" w:noHBand="0" w:noVBand="1"/>
      </w:tblPr>
      <w:tblGrid>
        <w:gridCol w:w="366"/>
        <w:gridCol w:w="6719"/>
        <w:gridCol w:w="351"/>
        <w:gridCol w:w="2544"/>
      </w:tblGrid>
      <w:tr w:rsidR="009053EF" w:rsidTr="00642915">
        <w:trPr>
          <w:trHeight w:val="300"/>
        </w:trPr>
        <w:tc>
          <w:tcPr>
            <w:tcW w:w="183" w:type="pct"/>
            <w:tcBorders>
              <w:top w:val="single" w:sz="8" w:space="0" w:color="auto"/>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bookmarkStart w:id="13" w:name="RANGE!A1:D93"/>
            <w:r>
              <w:rPr>
                <w:rFonts w:ascii="SWISS" w:hAnsi="SWISS" w:cs="Arial"/>
                <w:sz w:val="20"/>
                <w:szCs w:val="20"/>
              </w:rPr>
              <w:lastRenderedPageBreak/>
              <w:t> </w:t>
            </w:r>
            <w:bookmarkEnd w:id="13"/>
          </w:p>
        </w:tc>
        <w:tc>
          <w:tcPr>
            <w:tcW w:w="3366" w:type="pct"/>
            <w:tcBorders>
              <w:top w:val="single" w:sz="8" w:space="0" w:color="auto"/>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CAMACHEE COVE YACHT HARBOR UTILITY</w:t>
            </w:r>
          </w:p>
        </w:tc>
        <w:tc>
          <w:tcPr>
            <w:tcW w:w="176" w:type="pct"/>
            <w:tcBorders>
              <w:top w:val="single" w:sz="8" w:space="0" w:color="auto"/>
              <w:left w:val="nil"/>
              <w:bottom w:val="nil"/>
              <w:right w:val="nil"/>
            </w:tcBorders>
            <w:shd w:val="clear" w:color="auto" w:fill="auto"/>
            <w:noWrap/>
            <w:vAlign w:val="bottom"/>
            <w:hideMark/>
          </w:tcPr>
          <w:p w:rsidR="009053EF" w:rsidRDefault="009053EF" w:rsidP="00642915">
            <w:pPr>
              <w:rPr>
                <w:rFonts w:ascii="SWISS" w:hAnsi="SWISS" w:cs="Arial"/>
                <w:b/>
                <w:bCs/>
                <w:sz w:val="20"/>
                <w:szCs w:val="20"/>
              </w:rPr>
            </w:pPr>
            <w:r>
              <w:rPr>
                <w:rFonts w:ascii="SWISS" w:hAnsi="SWISS" w:cs="Arial"/>
                <w:b/>
                <w:bCs/>
                <w:sz w:val="20"/>
                <w:szCs w:val="20"/>
              </w:rPr>
              <w:t> </w:t>
            </w:r>
          </w:p>
        </w:tc>
        <w:tc>
          <w:tcPr>
            <w:tcW w:w="1275" w:type="pct"/>
            <w:tcBorders>
              <w:top w:val="single" w:sz="8" w:space="0" w:color="auto"/>
              <w:left w:val="nil"/>
              <w:bottom w:val="nil"/>
              <w:right w:val="single" w:sz="8" w:space="0" w:color="auto"/>
            </w:tcBorders>
            <w:shd w:val="clear" w:color="auto" w:fill="auto"/>
            <w:noWrap/>
            <w:vAlign w:val="center"/>
            <w:hideMark/>
          </w:tcPr>
          <w:p w:rsidR="009053EF" w:rsidRDefault="009053EF" w:rsidP="00642915">
            <w:pPr>
              <w:jc w:val="right"/>
              <w:rPr>
                <w:rFonts w:ascii="SWISS" w:hAnsi="SWISS" w:cs="Arial"/>
                <w:b/>
                <w:bCs/>
                <w:color w:val="000000"/>
                <w:sz w:val="20"/>
                <w:szCs w:val="20"/>
              </w:rPr>
            </w:pPr>
            <w:r>
              <w:rPr>
                <w:rFonts w:ascii="SWISS" w:hAnsi="SWISS" w:cs="Arial"/>
                <w:b/>
                <w:bCs/>
                <w:color w:val="000000"/>
                <w:sz w:val="20"/>
                <w:szCs w:val="20"/>
              </w:rPr>
              <w:t>SCHEDULE NO. 1-B</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TEST YEAR ENDED  12/31/2015</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p>
        </w:tc>
        <w:tc>
          <w:tcPr>
            <w:tcW w:w="1275" w:type="pct"/>
            <w:tcBorders>
              <w:top w:val="nil"/>
              <w:left w:val="nil"/>
              <w:bottom w:val="nil"/>
              <w:right w:val="single" w:sz="8" w:space="0" w:color="auto"/>
            </w:tcBorders>
            <w:shd w:val="clear" w:color="auto" w:fill="auto"/>
            <w:noWrap/>
            <w:vAlign w:val="center"/>
            <w:hideMark/>
          </w:tcPr>
          <w:p w:rsidR="009053EF" w:rsidRDefault="009053EF" w:rsidP="00642915">
            <w:pPr>
              <w:jc w:val="right"/>
              <w:rPr>
                <w:rFonts w:ascii="SWISS" w:hAnsi="SWISS" w:cs="Arial"/>
                <w:b/>
                <w:bCs/>
                <w:color w:val="000000"/>
                <w:sz w:val="20"/>
                <w:szCs w:val="20"/>
              </w:rPr>
            </w:pPr>
            <w:r>
              <w:rPr>
                <w:rFonts w:ascii="SWISS" w:hAnsi="SWISS" w:cs="Arial"/>
                <w:b/>
                <w:bCs/>
                <w:color w:val="000000"/>
                <w:sz w:val="20"/>
                <w:szCs w:val="20"/>
              </w:rPr>
              <w:t>DOCKET NO. 160145-WU</w:t>
            </w:r>
          </w:p>
        </w:tc>
      </w:tr>
      <w:tr w:rsidR="009053EF" w:rsidTr="00642915">
        <w:trPr>
          <w:trHeight w:val="315"/>
        </w:trPr>
        <w:tc>
          <w:tcPr>
            <w:tcW w:w="183" w:type="pct"/>
            <w:tcBorders>
              <w:top w:val="nil"/>
              <w:left w:val="single" w:sz="8" w:space="0" w:color="auto"/>
              <w:bottom w:val="single" w:sz="8" w:space="0" w:color="auto"/>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b/>
                <w:bCs/>
                <w:sz w:val="20"/>
                <w:szCs w:val="20"/>
              </w:rPr>
            </w:pPr>
            <w:r>
              <w:rPr>
                <w:rFonts w:ascii="SWISS" w:hAnsi="SWISS" w:cs="Arial"/>
                <w:b/>
                <w:bCs/>
                <w:sz w:val="20"/>
                <w:szCs w:val="20"/>
              </w:rPr>
              <w:t>ADJUSTMENTS TO OPERATING INCOME</w:t>
            </w:r>
          </w:p>
        </w:tc>
        <w:tc>
          <w:tcPr>
            <w:tcW w:w="176" w:type="pct"/>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rPr>
            </w:pPr>
            <w:r>
              <w:rPr>
                <w:rFonts w:ascii="SWISS" w:hAnsi="SWISS" w:cs="Arial"/>
              </w:rPr>
              <w:t> </w:t>
            </w:r>
          </w:p>
        </w:tc>
        <w:tc>
          <w:tcPr>
            <w:tcW w:w="1275" w:type="pct"/>
            <w:tcBorders>
              <w:top w:val="nil"/>
              <w:left w:val="nil"/>
              <w:bottom w:val="single" w:sz="8" w:space="0" w:color="auto"/>
              <w:right w:val="single" w:sz="8" w:space="0" w:color="auto"/>
            </w:tcBorders>
            <w:shd w:val="clear" w:color="auto" w:fill="auto"/>
            <w:noWrap/>
            <w:vAlign w:val="center"/>
            <w:hideMark/>
          </w:tcPr>
          <w:p w:rsidR="009053EF" w:rsidRDefault="009053EF" w:rsidP="00642915">
            <w:pPr>
              <w:jc w:val="right"/>
              <w:rPr>
                <w:rFonts w:ascii="SWISS" w:hAnsi="SWISS" w:cs="Arial"/>
                <w:b/>
                <w:bCs/>
                <w:color w:val="000000"/>
                <w:sz w:val="20"/>
                <w:szCs w:val="20"/>
              </w:rPr>
            </w:pP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jc w:val="center"/>
              <w:rPr>
                <w:rFonts w:ascii="SWISS" w:hAnsi="SWISS" w:cs="Arial"/>
                <w:b/>
                <w:bCs/>
                <w:sz w:val="20"/>
                <w:szCs w:val="20"/>
                <w:u w:val="single"/>
              </w:rPr>
            </w:pPr>
            <w:r>
              <w:rPr>
                <w:rFonts w:ascii="SWISS" w:hAnsi="SWISS" w:cs="Arial"/>
                <w:b/>
                <w:bCs/>
                <w:sz w:val="20"/>
                <w:szCs w:val="20"/>
                <w:u w:val="single"/>
              </w:rPr>
              <w:t>WATER</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b/>
                <w:bCs/>
                <w:sz w:val="20"/>
                <w:szCs w:val="20"/>
              </w:rPr>
            </w:pPr>
            <w:r>
              <w:rPr>
                <w:rFonts w:ascii="SWISS" w:hAnsi="SWISS" w:cs="Arial"/>
                <w:b/>
                <w:bCs/>
                <w:sz w:val="20"/>
                <w:szCs w:val="20"/>
              </w:rPr>
              <w:t>OPERATING REVENUES</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 </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To adjust approved revenue requirement to reflect 2016 revenues.</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Pr="00462D95" w:rsidRDefault="009053EF" w:rsidP="00642915">
            <w:pPr>
              <w:jc w:val="right"/>
              <w:rPr>
                <w:rFonts w:ascii="SWISS" w:hAnsi="SWISS" w:cs="Arial"/>
                <w:sz w:val="20"/>
                <w:szCs w:val="20"/>
                <w:u w:val="double"/>
              </w:rPr>
            </w:pPr>
            <w:r w:rsidRPr="00462D95">
              <w:rPr>
                <w:rFonts w:ascii="SWISS" w:hAnsi="SWISS" w:cs="Arial"/>
                <w:sz w:val="20"/>
                <w:szCs w:val="20"/>
                <w:u w:val="double"/>
              </w:rPr>
              <w:t>($26,240)</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 </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b/>
                <w:bCs/>
                <w:sz w:val="20"/>
                <w:szCs w:val="20"/>
              </w:rPr>
            </w:pPr>
            <w:r>
              <w:rPr>
                <w:rFonts w:ascii="SWISS" w:hAnsi="SWISS" w:cs="Arial"/>
                <w:b/>
                <w:bCs/>
                <w:sz w:val="20"/>
                <w:szCs w:val="20"/>
              </w:rPr>
              <w:t>OPERATION AND MAINTENANCE EXPENSES</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 </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tcPr>
          <w:p w:rsidR="009053EF" w:rsidRDefault="009053EF" w:rsidP="00642915">
            <w:pPr>
              <w:rPr>
                <w:rFonts w:ascii="SWISS" w:hAnsi="SWISS" w:cs="Arial"/>
                <w:sz w:val="20"/>
                <w:szCs w:val="20"/>
              </w:rPr>
            </w:pPr>
          </w:p>
        </w:tc>
        <w:tc>
          <w:tcPr>
            <w:tcW w:w="3366" w:type="pct"/>
            <w:tcBorders>
              <w:top w:val="nil"/>
              <w:left w:val="nil"/>
              <w:bottom w:val="nil"/>
              <w:right w:val="nil"/>
            </w:tcBorders>
            <w:shd w:val="clear" w:color="auto" w:fill="auto"/>
            <w:noWrap/>
            <w:vAlign w:val="bottom"/>
          </w:tcPr>
          <w:p w:rsidR="009053EF" w:rsidRDefault="009053EF" w:rsidP="00642915">
            <w:pPr>
              <w:rPr>
                <w:rFonts w:ascii="SWISS" w:hAnsi="SWISS" w:cs="Arial"/>
                <w:sz w:val="20"/>
                <w:szCs w:val="20"/>
              </w:rPr>
            </w:pPr>
          </w:p>
        </w:tc>
        <w:tc>
          <w:tcPr>
            <w:tcW w:w="176" w:type="pct"/>
            <w:tcBorders>
              <w:top w:val="nil"/>
              <w:left w:val="nil"/>
              <w:bottom w:val="nil"/>
              <w:right w:val="nil"/>
            </w:tcBorders>
            <w:shd w:val="clear" w:color="auto" w:fill="auto"/>
            <w:noWrap/>
            <w:vAlign w:val="bottom"/>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tcPr>
          <w:p w:rsidR="009053EF" w:rsidRDefault="009053EF" w:rsidP="00642915">
            <w:pPr>
              <w:rPr>
                <w:rFonts w:ascii="SWISS" w:hAnsi="SWISS" w:cs="Arial"/>
                <w:sz w:val="20"/>
                <w:szCs w:val="20"/>
              </w:rPr>
            </w:pP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1.</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Limited Proceeding Adjustment</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 </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vAlign w:val="center"/>
            <w:hideMark/>
          </w:tcPr>
          <w:p w:rsidR="009053EF" w:rsidRDefault="009053EF" w:rsidP="00642915">
            <w:pPr>
              <w:rPr>
                <w:rFonts w:ascii="SWISS" w:hAnsi="SWISS" w:cs="Arial"/>
                <w:sz w:val="20"/>
                <w:szCs w:val="20"/>
              </w:rPr>
            </w:pPr>
            <w:r>
              <w:rPr>
                <w:rFonts w:ascii="SWISS" w:hAnsi="SWISS" w:cs="Arial"/>
                <w:sz w:val="20"/>
                <w:szCs w:val="20"/>
              </w:rPr>
              <w:t>To reflect total 2010-2016 index and pass through O&amp;M expense increases</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jc w:val="right"/>
              <w:rPr>
                <w:rFonts w:ascii="SWISS" w:hAnsi="SWISS" w:cs="Arial"/>
                <w:sz w:val="20"/>
                <w:szCs w:val="20"/>
                <w:u w:val="single"/>
              </w:rPr>
            </w:pPr>
            <w:r w:rsidRPr="00462D95">
              <w:rPr>
                <w:rFonts w:ascii="SWISS" w:hAnsi="SWISS" w:cs="Arial"/>
                <w:color w:val="000000" w:themeColor="text1"/>
                <w:sz w:val="20"/>
                <w:szCs w:val="20"/>
                <w:u w:val="double"/>
              </w:rPr>
              <w:t>$10,377</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tcPr>
          <w:p w:rsidR="009053EF" w:rsidRDefault="009053EF" w:rsidP="00642915">
            <w:pPr>
              <w:rPr>
                <w:rFonts w:ascii="SWISS" w:hAnsi="SWISS" w:cs="Arial"/>
                <w:sz w:val="20"/>
                <w:szCs w:val="20"/>
              </w:rPr>
            </w:pPr>
          </w:p>
        </w:tc>
        <w:tc>
          <w:tcPr>
            <w:tcW w:w="3366" w:type="pct"/>
            <w:tcBorders>
              <w:top w:val="nil"/>
              <w:left w:val="nil"/>
              <w:bottom w:val="nil"/>
              <w:right w:val="nil"/>
            </w:tcBorders>
            <w:shd w:val="clear" w:color="auto" w:fill="auto"/>
            <w:noWrap/>
            <w:vAlign w:val="bottom"/>
          </w:tcPr>
          <w:p w:rsidR="009053EF" w:rsidRDefault="009053EF" w:rsidP="00642915">
            <w:pPr>
              <w:rPr>
                <w:rFonts w:ascii="SWISS" w:hAnsi="SWISS" w:cs="Arial"/>
                <w:sz w:val="20"/>
                <w:szCs w:val="20"/>
              </w:rPr>
            </w:pPr>
          </w:p>
        </w:tc>
        <w:tc>
          <w:tcPr>
            <w:tcW w:w="176" w:type="pct"/>
            <w:tcBorders>
              <w:top w:val="nil"/>
              <w:left w:val="nil"/>
              <w:bottom w:val="nil"/>
              <w:right w:val="nil"/>
            </w:tcBorders>
            <w:shd w:val="clear" w:color="auto" w:fill="auto"/>
            <w:noWrap/>
            <w:vAlign w:val="bottom"/>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tcPr>
          <w:p w:rsidR="009053EF" w:rsidRDefault="009053EF" w:rsidP="00642915">
            <w:pPr>
              <w:rPr>
                <w:rFonts w:ascii="SWISS" w:hAnsi="SWISS" w:cs="Arial"/>
                <w:sz w:val="20"/>
                <w:szCs w:val="20"/>
              </w:rPr>
            </w:pP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2.</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Regulatory Commission Expense (665)</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 </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a.  To reflect 4-year amortization of rate case expense ($5,949/4).</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xml:space="preserve">$1,487 </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b.  To reflect removal of rate case expense from 2009 SARC.</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jc w:val="right"/>
              <w:rPr>
                <w:rFonts w:ascii="SWISS" w:hAnsi="SWISS" w:cs="Arial"/>
                <w:sz w:val="20"/>
                <w:szCs w:val="20"/>
                <w:u w:val="single"/>
              </w:rPr>
            </w:pPr>
            <w:r>
              <w:rPr>
                <w:rFonts w:ascii="SWISS" w:hAnsi="SWISS" w:cs="Arial"/>
                <w:sz w:val="20"/>
                <w:szCs w:val="20"/>
                <w:u w:val="single"/>
              </w:rPr>
              <w:t>(1,020)</w:t>
            </w:r>
          </w:p>
        </w:tc>
      </w:tr>
      <w:tr w:rsidR="009053EF" w:rsidRPr="00462D95"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rPr>
                <w:rFonts w:ascii="SWISS" w:hAnsi="SWISS" w:cs="Arial"/>
              </w:rPr>
            </w:pPr>
            <w:r>
              <w:rPr>
                <w:rFonts w:ascii="SWISS" w:hAnsi="SWISS" w:cs="Arial"/>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 xml:space="preserve">       Subtotal</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Pr="00462D95" w:rsidRDefault="009053EF" w:rsidP="00642915">
            <w:pPr>
              <w:jc w:val="right"/>
              <w:rPr>
                <w:rFonts w:ascii="SWISS" w:hAnsi="SWISS" w:cs="Arial"/>
                <w:color w:val="000000" w:themeColor="text1"/>
                <w:sz w:val="20"/>
                <w:szCs w:val="20"/>
                <w:u w:val="double"/>
              </w:rPr>
            </w:pPr>
            <w:r w:rsidRPr="00462D95">
              <w:rPr>
                <w:rFonts w:ascii="SWISS" w:hAnsi="SWISS" w:cs="Arial"/>
                <w:color w:val="000000" w:themeColor="text1"/>
                <w:sz w:val="20"/>
                <w:szCs w:val="20"/>
                <w:u w:val="double"/>
              </w:rPr>
              <w:t xml:space="preserve">$467 </w:t>
            </w:r>
          </w:p>
        </w:tc>
      </w:tr>
      <w:tr w:rsidR="009053EF" w:rsidTr="00642915">
        <w:trPr>
          <w:trHeight w:val="345"/>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rPr>
                <w:rFonts w:ascii="SWISS" w:hAnsi="SWISS" w:cs="Arial"/>
                <w:color w:val="0000FF"/>
                <w:sz w:val="20"/>
                <w:szCs w:val="20"/>
                <w:u w:val="double"/>
              </w:rPr>
            </w:pPr>
          </w:p>
        </w:tc>
      </w:tr>
      <w:tr w:rsidR="009053EF" w:rsidRPr="00462D95"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b/>
                <w:bCs/>
                <w:color w:val="000000"/>
                <w:sz w:val="20"/>
                <w:szCs w:val="20"/>
              </w:rPr>
            </w:pPr>
            <w:r>
              <w:rPr>
                <w:rFonts w:ascii="SWISS" w:hAnsi="SWISS" w:cs="Arial"/>
                <w:b/>
                <w:bCs/>
                <w:color w:val="000000"/>
                <w:sz w:val="20"/>
                <w:szCs w:val="20"/>
              </w:rPr>
              <w:t>TOTAL OPERATION &amp; MAINTENANCE ADJUSTMENTS</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Pr="00462D95" w:rsidRDefault="009053EF" w:rsidP="00642915">
            <w:pPr>
              <w:jc w:val="right"/>
              <w:rPr>
                <w:rFonts w:ascii="SWISS" w:hAnsi="SWISS" w:cs="Arial"/>
                <w:color w:val="000000" w:themeColor="text1"/>
                <w:sz w:val="20"/>
                <w:szCs w:val="20"/>
                <w:u w:val="double"/>
              </w:rPr>
            </w:pPr>
            <w:r w:rsidRPr="00462D95">
              <w:rPr>
                <w:rFonts w:ascii="SWISS" w:hAnsi="SWISS" w:cs="Arial"/>
                <w:color w:val="000000" w:themeColor="text1"/>
                <w:sz w:val="20"/>
                <w:szCs w:val="20"/>
                <w:u w:val="double"/>
              </w:rPr>
              <w:t xml:space="preserve">$10,845 </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tcPr>
          <w:p w:rsidR="009053EF" w:rsidRDefault="009053EF" w:rsidP="00642915">
            <w:pPr>
              <w:rPr>
                <w:rFonts w:ascii="SWISS" w:hAnsi="SWISS" w:cs="Arial"/>
                <w:sz w:val="20"/>
                <w:szCs w:val="20"/>
                <w:u w:val="single"/>
              </w:rPr>
            </w:pP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b/>
                <w:bCs/>
                <w:sz w:val="20"/>
                <w:szCs w:val="20"/>
              </w:rPr>
            </w:pPr>
            <w:r>
              <w:rPr>
                <w:rFonts w:ascii="SWISS" w:hAnsi="SWISS" w:cs="Arial"/>
                <w:b/>
                <w:bCs/>
                <w:sz w:val="20"/>
                <w:szCs w:val="20"/>
              </w:rPr>
              <w:t>TAXES OTHER THAN INCOME</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 </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1.</w:t>
            </w:r>
          </w:p>
        </w:tc>
        <w:tc>
          <w:tcPr>
            <w:tcW w:w="3542" w:type="pct"/>
            <w:gridSpan w:val="2"/>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To reflect RAF increase associated with 2010-2016 index and pass through increases.</w:t>
            </w: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xml:space="preserve">$490 </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2.</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To reflect the appropriate test year RAFs.</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Pr="00CB56C3" w:rsidRDefault="009053EF" w:rsidP="00642915">
            <w:pPr>
              <w:jc w:val="right"/>
              <w:rPr>
                <w:rFonts w:ascii="SWISS" w:hAnsi="SWISS" w:cs="Arial"/>
                <w:sz w:val="20"/>
                <w:szCs w:val="20"/>
                <w:u w:val="single"/>
              </w:rPr>
            </w:pPr>
            <w:r w:rsidRPr="00CB56C3">
              <w:rPr>
                <w:rFonts w:ascii="SWISS" w:hAnsi="SWISS" w:cs="Arial"/>
                <w:sz w:val="20"/>
                <w:szCs w:val="20"/>
                <w:u w:val="single"/>
              </w:rPr>
              <w:t>(1,096)</w:t>
            </w:r>
          </w:p>
        </w:tc>
      </w:tr>
      <w:tr w:rsidR="009053EF" w:rsidTr="00642915">
        <w:trPr>
          <w:trHeight w:val="300"/>
        </w:trPr>
        <w:tc>
          <w:tcPr>
            <w:tcW w:w="183" w:type="pct"/>
            <w:tcBorders>
              <w:top w:val="nil"/>
              <w:left w:val="single" w:sz="8" w:space="0" w:color="auto"/>
              <w:bottom w:val="nil"/>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 xml:space="preserve">  Total</w:t>
            </w:r>
          </w:p>
        </w:tc>
        <w:tc>
          <w:tcPr>
            <w:tcW w:w="176" w:type="pct"/>
            <w:tcBorders>
              <w:top w:val="nil"/>
              <w:left w:val="nil"/>
              <w:bottom w:val="nil"/>
              <w:right w:val="nil"/>
            </w:tcBorders>
            <w:shd w:val="clear" w:color="auto" w:fill="auto"/>
            <w:noWrap/>
            <w:vAlign w:val="bottom"/>
            <w:hideMark/>
          </w:tcPr>
          <w:p w:rsidR="009053EF" w:rsidRDefault="009053EF" w:rsidP="0064291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9053EF" w:rsidRDefault="009053EF" w:rsidP="00642915">
            <w:pPr>
              <w:jc w:val="right"/>
              <w:rPr>
                <w:rFonts w:ascii="SWISS" w:hAnsi="SWISS" w:cs="Arial"/>
                <w:color w:val="0000FF"/>
                <w:sz w:val="20"/>
                <w:szCs w:val="20"/>
                <w:u w:val="double"/>
              </w:rPr>
            </w:pPr>
            <w:r w:rsidRPr="00462D95">
              <w:rPr>
                <w:rFonts w:ascii="SWISS" w:hAnsi="SWISS" w:cs="Arial"/>
                <w:color w:val="000000" w:themeColor="text1"/>
                <w:sz w:val="20"/>
                <w:szCs w:val="20"/>
                <w:u w:val="double"/>
              </w:rPr>
              <w:t>($607)</w:t>
            </w:r>
          </w:p>
        </w:tc>
      </w:tr>
      <w:tr w:rsidR="009053EF" w:rsidTr="00642915">
        <w:trPr>
          <w:trHeight w:val="315"/>
        </w:trPr>
        <w:tc>
          <w:tcPr>
            <w:tcW w:w="183" w:type="pct"/>
            <w:tcBorders>
              <w:top w:val="nil"/>
              <w:left w:val="single" w:sz="8" w:space="0" w:color="auto"/>
              <w:bottom w:val="single" w:sz="8" w:space="0" w:color="auto"/>
              <w:right w:val="nil"/>
            </w:tcBorders>
            <w:shd w:val="clear" w:color="auto" w:fill="auto"/>
            <w:noWrap/>
            <w:vAlign w:val="bottom"/>
            <w:hideMark/>
          </w:tcPr>
          <w:p w:rsidR="009053EF" w:rsidRDefault="009053EF" w:rsidP="00642915">
            <w:pPr>
              <w:jc w:val="right"/>
              <w:rPr>
                <w:rFonts w:ascii="SWISS" w:hAnsi="SWISS" w:cs="Arial"/>
                <w:sz w:val="20"/>
                <w:szCs w:val="20"/>
              </w:rPr>
            </w:pPr>
            <w:r>
              <w:rPr>
                <w:rFonts w:ascii="SWISS" w:hAnsi="SWISS" w:cs="Arial"/>
                <w:sz w:val="20"/>
                <w:szCs w:val="20"/>
              </w:rPr>
              <w:t> </w:t>
            </w:r>
          </w:p>
        </w:tc>
        <w:tc>
          <w:tcPr>
            <w:tcW w:w="3366" w:type="pct"/>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sz w:val="20"/>
                <w:szCs w:val="20"/>
              </w:rPr>
            </w:pPr>
            <w:r>
              <w:rPr>
                <w:rFonts w:ascii="SWISS" w:hAnsi="SWISS" w:cs="Arial"/>
                <w:sz w:val="20"/>
                <w:szCs w:val="20"/>
              </w:rPr>
              <w:t> </w:t>
            </w:r>
          </w:p>
        </w:tc>
        <w:tc>
          <w:tcPr>
            <w:tcW w:w="176" w:type="pct"/>
            <w:tcBorders>
              <w:top w:val="nil"/>
              <w:left w:val="nil"/>
              <w:bottom w:val="single" w:sz="8" w:space="0" w:color="auto"/>
              <w:right w:val="nil"/>
            </w:tcBorders>
            <w:shd w:val="clear" w:color="auto" w:fill="auto"/>
            <w:noWrap/>
            <w:vAlign w:val="bottom"/>
            <w:hideMark/>
          </w:tcPr>
          <w:p w:rsidR="009053EF" w:rsidRDefault="009053EF" w:rsidP="00642915">
            <w:pPr>
              <w:rPr>
                <w:rFonts w:ascii="SWISS" w:hAnsi="SWISS" w:cs="Arial"/>
              </w:rPr>
            </w:pPr>
            <w:r>
              <w:rPr>
                <w:rFonts w:ascii="SWISS" w:hAnsi="SWISS" w:cs="Arial"/>
              </w:rPr>
              <w:t> </w:t>
            </w:r>
          </w:p>
        </w:tc>
        <w:tc>
          <w:tcPr>
            <w:tcW w:w="1275" w:type="pct"/>
            <w:tcBorders>
              <w:top w:val="nil"/>
              <w:left w:val="nil"/>
              <w:bottom w:val="single" w:sz="8" w:space="0" w:color="auto"/>
              <w:right w:val="single" w:sz="8" w:space="0" w:color="auto"/>
            </w:tcBorders>
            <w:shd w:val="clear" w:color="auto" w:fill="auto"/>
            <w:noWrap/>
            <w:vAlign w:val="bottom"/>
            <w:hideMark/>
          </w:tcPr>
          <w:p w:rsidR="009053EF" w:rsidRDefault="009053EF" w:rsidP="00642915">
            <w:pPr>
              <w:rPr>
                <w:rFonts w:ascii="SWISS" w:hAnsi="SWISS" w:cs="Arial"/>
                <w:color w:val="FF0000"/>
                <w:sz w:val="20"/>
                <w:szCs w:val="20"/>
                <w:u w:val="double"/>
              </w:rPr>
            </w:pPr>
          </w:p>
        </w:tc>
      </w:tr>
    </w:tbl>
    <w:p w:rsidR="009053EF" w:rsidRDefault="009053EF" w:rsidP="00D57E57"/>
    <w:p w:rsidR="009053EF" w:rsidRDefault="009053EF">
      <w:r>
        <w:br w:type="page"/>
      </w:r>
    </w:p>
    <w:tbl>
      <w:tblPr>
        <w:tblW w:w="5085" w:type="pct"/>
        <w:jc w:val="center"/>
        <w:tblInd w:w="-162" w:type="dxa"/>
        <w:tblLook w:val="04A0" w:firstRow="1" w:lastRow="0" w:firstColumn="1" w:lastColumn="0" w:noHBand="0" w:noVBand="1"/>
      </w:tblPr>
      <w:tblGrid>
        <w:gridCol w:w="4877"/>
        <w:gridCol w:w="1205"/>
        <w:gridCol w:w="1305"/>
        <w:gridCol w:w="1572"/>
        <w:gridCol w:w="1867"/>
      </w:tblGrid>
      <w:tr w:rsidR="009053EF" w:rsidTr="00642915">
        <w:trPr>
          <w:trHeight w:val="255"/>
          <w:jc w:val="center"/>
        </w:trPr>
        <w:tc>
          <w:tcPr>
            <w:tcW w:w="2219" w:type="pct"/>
            <w:tcBorders>
              <w:top w:val="single" w:sz="4" w:space="0" w:color="auto"/>
              <w:left w:val="single" w:sz="4" w:space="0" w:color="auto"/>
              <w:bottom w:val="nil"/>
              <w:right w:val="nil"/>
            </w:tcBorders>
            <w:shd w:val="clear" w:color="auto" w:fill="auto"/>
            <w:noWrap/>
            <w:vAlign w:val="bottom"/>
            <w:hideMark/>
          </w:tcPr>
          <w:p w:rsidR="009053EF" w:rsidRDefault="009053EF" w:rsidP="00642915">
            <w:pPr>
              <w:rPr>
                <w:b/>
                <w:bCs/>
                <w:sz w:val="20"/>
                <w:szCs w:val="20"/>
              </w:rPr>
            </w:pPr>
            <w:r>
              <w:rPr>
                <w:b/>
                <w:bCs/>
                <w:sz w:val="20"/>
                <w:szCs w:val="20"/>
              </w:rPr>
              <w:lastRenderedPageBreak/>
              <w:t>CAMACHEE COVE YACHT HARBOR UTILITY</w:t>
            </w:r>
          </w:p>
        </w:tc>
        <w:tc>
          <w:tcPr>
            <w:tcW w:w="540" w:type="pct"/>
            <w:tcBorders>
              <w:top w:val="single" w:sz="4" w:space="0" w:color="auto"/>
              <w:left w:val="nil"/>
              <w:bottom w:val="nil"/>
              <w:right w:val="nil"/>
            </w:tcBorders>
            <w:shd w:val="clear" w:color="auto" w:fill="auto"/>
            <w:noWrap/>
            <w:vAlign w:val="bottom"/>
            <w:hideMark/>
          </w:tcPr>
          <w:p w:rsidR="009053EF" w:rsidRDefault="009053EF" w:rsidP="00642915">
            <w:pPr>
              <w:rPr>
                <w:rFonts w:ascii="Arial" w:hAnsi="Arial" w:cs="Arial"/>
                <w:sz w:val="20"/>
                <w:szCs w:val="20"/>
              </w:rPr>
            </w:pPr>
            <w:r>
              <w:rPr>
                <w:rFonts w:ascii="Arial" w:hAnsi="Arial" w:cs="Arial"/>
                <w:sz w:val="20"/>
                <w:szCs w:val="20"/>
              </w:rPr>
              <w:t> </w:t>
            </w:r>
          </w:p>
        </w:tc>
        <w:tc>
          <w:tcPr>
            <w:tcW w:w="584" w:type="pct"/>
            <w:tcBorders>
              <w:top w:val="single" w:sz="4" w:space="0" w:color="auto"/>
              <w:left w:val="nil"/>
              <w:bottom w:val="nil"/>
              <w:right w:val="nil"/>
            </w:tcBorders>
            <w:shd w:val="clear" w:color="auto" w:fill="auto"/>
            <w:noWrap/>
            <w:vAlign w:val="bottom"/>
            <w:hideMark/>
          </w:tcPr>
          <w:p w:rsidR="009053EF" w:rsidRDefault="009053EF" w:rsidP="00642915">
            <w:pPr>
              <w:rPr>
                <w:rFonts w:ascii="Arial" w:hAnsi="Arial" w:cs="Arial"/>
                <w:sz w:val="20"/>
                <w:szCs w:val="20"/>
              </w:rPr>
            </w:pPr>
            <w:r>
              <w:rPr>
                <w:rFonts w:ascii="Arial" w:hAnsi="Arial" w:cs="Arial"/>
                <w:sz w:val="20"/>
                <w:szCs w:val="20"/>
              </w:rPr>
              <w:t> </w:t>
            </w:r>
          </w:p>
        </w:tc>
        <w:tc>
          <w:tcPr>
            <w:tcW w:w="830" w:type="pct"/>
            <w:tcBorders>
              <w:top w:val="single" w:sz="4" w:space="0" w:color="auto"/>
              <w:left w:val="nil"/>
              <w:bottom w:val="nil"/>
              <w:right w:val="nil"/>
            </w:tcBorders>
            <w:shd w:val="clear" w:color="auto" w:fill="auto"/>
            <w:noWrap/>
            <w:vAlign w:val="bottom"/>
            <w:hideMark/>
          </w:tcPr>
          <w:p w:rsidR="009053EF" w:rsidRDefault="009053EF" w:rsidP="00642915">
            <w:pPr>
              <w:rPr>
                <w:rFonts w:ascii="Arial" w:hAnsi="Arial" w:cs="Arial"/>
                <w:sz w:val="20"/>
                <w:szCs w:val="20"/>
              </w:rPr>
            </w:pPr>
            <w:r>
              <w:rPr>
                <w:rFonts w:ascii="Arial" w:hAnsi="Arial" w:cs="Arial"/>
                <w:sz w:val="20"/>
                <w:szCs w:val="20"/>
              </w:rPr>
              <w:t> </w:t>
            </w:r>
          </w:p>
        </w:tc>
        <w:tc>
          <w:tcPr>
            <w:tcW w:w="828" w:type="pct"/>
            <w:tcBorders>
              <w:top w:val="single" w:sz="4" w:space="0" w:color="auto"/>
              <w:left w:val="nil"/>
              <w:bottom w:val="nil"/>
              <w:right w:val="single" w:sz="8" w:space="0" w:color="auto"/>
            </w:tcBorders>
            <w:shd w:val="clear" w:color="auto" w:fill="auto"/>
            <w:noWrap/>
            <w:vAlign w:val="bottom"/>
            <w:hideMark/>
          </w:tcPr>
          <w:p w:rsidR="009053EF" w:rsidRDefault="009053EF" w:rsidP="00642915">
            <w:pPr>
              <w:rPr>
                <w:b/>
                <w:bCs/>
                <w:sz w:val="20"/>
                <w:szCs w:val="20"/>
              </w:rPr>
            </w:pPr>
            <w:r>
              <w:rPr>
                <w:b/>
                <w:bCs/>
                <w:sz w:val="20"/>
                <w:szCs w:val="20"/>
              </w:rPr>
              <w:t>SCHEDULE NO. 2</w:t>
            </w:r>
          </w:p>
        </w:tc>
      </w:tr>
      <w:tr w:rsidR="009053EF" w:rsidTr="00642915">
        <w:trPr>
          <w:trHeight w:val="25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b/>
                <w:bCs/>
                <w:color w:val="000000"/>
                <w:sz w:val="20"/>
                <w:szCs w:val="20"/>
              </w:rPr>
            </w:pPr>
            <w:r>
              <w:rPr>
                <w:b/>
                <w:bCs/>
                <w:color w:val="000000"/>
                <w:sz w:val="20"/>
                <w:szCs w:val="20"/>
              </w:rPr>
              <w:t>MONTHLY WATER RATES</w:t>
            </w:r>
          </w:p>
        </w:tc>
        <w:tc>
          <w:tcPr>
            <w:tcW w:w="2781" w:type="pct"/>
            <w:gridSpan w:val="4"/>
            <w:tcBorders>
              <w:top w:val="nil"/>
              <w:left w:val="nil"/>
              <w:bottom w:val="nil"/>
              <w:right w:val="single" w:sz="8" w:space="0" w:color="000000"/>
            </w:tcBorders>
            <w:shd w:val="clear" w:color="auto" w:fill="auto"/>
            <w:noWrap/>
            <w:vAlign w:val="bottom"/>
            <w:hideMark/>
          </w:tcPr>
          <w:p w:rsidR="009053EF" w:rsidRDefault="009053EF" w:rsidP="00642915">
            <w:pPr>
              <w:jc w:val="right"/>
              <w:rPr>
                <w:b/>
                <w:bCs/>
                <w:sz w:val="20"/>
                <w:szCs w:val="20"/>
              </w:rPr>
            </w:pPr>
            <w:r>
              <w:rPr>
                <w:b/>
                <w:bCs/>
                <w:sz w:val="20"/>
                <w:szCs w:val="20"/>
              </w:rPr>
              <w:t>DOCKET NO. 160145-WU</w:t>
            </w:r>
          </w:p>
        </w:tc>
      </w:tr>
      <w:tr w:rsidR="009053EF" w:rsidTr="00642915">
        <w:trPr>
          <w:trHeight w:val="315"/>
          <w:jc w:val="center"/>
        </w:trPr>
        <w:tc>
          <w:tcPr>
            <w:tcW w:w="2219" w:type="pct"/>
            <w:tcBorders>
              <w:top w:val="nil"/>
              <w:left w:val="single" w:sz="4" w:space="0" w:color="auto"/>
              <w:bottom w:val="single" w:sz="8" w:space="0" w:color="auto"/>
              <w:right w:val="nil"/>
            </w:tcBorders>
            <w:shd w:val="clear" w:color="auto" w:fill="auto"/>
            <w:noWrap/>
            <w:vAlign w:val="center"/>
            <w:hideMark/>
          </w:tcPr>
          <w:p w:rsidR="009053EF" w:rsidRDefault="009053EF" w:rsidP="00642915">
            <w:pPr>
              <w:rPr>
                <w:b/>
                <w:bCs/>
                <w:sz w:val="20"/>
                <w:szCs w:val="20"/>
              </w:rPr>
            </w:pPr>
            <w:r>
              <w:rPr>
                <w:b/>
                <w:bCs/>
                <w:sz w:val="20"/>
                <w:szCs w:val="20"/>
              </w:rPr>
              <w:t> </w:t>
            </w:r>
          </w:p>
        </w:tc>
        <w:tc>
          <w:tcPr>
            <w:tcW w:w="540" w:type="pct"/>
            <w:tcBorders>
              <w:top w:val="nil"/>
              <w:left w:val="nil"/>
              <w:bottom w:val="single" w:sz="8" w:space="0" w:color="auto"/>
              <w:right w:val="nil"/>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 </w:t>
            </w:r>
          </w:p>
        </w:tc>
        <w:tc>
          <w:tcPr>
            <w:tcW w:w="584" w:type="pct"/>
            <w:tcBorders>
              <w:top w:val="nil"/>
              <w:left w:val="nil"/>
              <w:bottom w:val="single" w:sz="8" w:space="0" w:color="auto"/>
              <w:right w:val="nil"/>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 </w:t>
            </w:r>
          </w:p>
        </w:tc>
        <w:tc>
          <w:tcPr>
            <w:tcW w:w="830" w:type="pct"/>
            <w:tcBorders>
              <w:top w:val="nil"/>
              <w:left w:val="nil"/>
              <w:bottom w:val="single" w:sz="8" w:space="0" w:color="auto"/>
              <w:right w:val="nil"/>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 </w:t>
            </w:r>
          </w:p>
        </w:tc>
        <w:tc>
          <w:tcPr>
            <w:tcW w:w="828" w:type="pct"/>
            <w:tcBorders>
              <w:top w:val="nil"/>
              <w:left w:val="nil"/>
              <w:bottom w:val="single" w:sz="8" w:space="0" w:color="auto"/>
              <w:right w:val="single" w:sz="8" w:space="0" w:color="auto"/>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 </w:t>
            </w:r>
          </w:p>
        </w:tc>
      </w:tr>
      <w:tr w:rsidR="009053EF" w:rsidTr="00642915">
        <w:trPr>
          <w:trHeight w:val="300"/>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b/>
                <w:bCs/>
                <w:sz w:val="20"/>
                <w:szCs w:val="20"/>
              </w:rPr>
            </w:pPr>
          </w:p>
        </w:tc>
        <w:tc>
          <w:tcPr>
            <w:tcW w:w="540" w:type="pct"/>
            <w:tcBorders>
              <w:top w:val="nil"/>
              <w:left w:val="nil"/>
              <w:bottom w:val="nil"/>
              <w:right w:val="nil"/>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UTILITY</w:t>
            </w:r>
          </w:p>
        </w:tc>
        <w:tc>
          <w:tcPr>
            <w:tcW w:w="584" w:type="pct"/>
            <w:tcBorders>
              <w:top w:val="nil"/>
              <w:left w:val="nil"/>
              <w:bottom w:val="nil"/>
              <w:right w:val="nil"/>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UTILITY</w:t>
            </w:r>
          </w:p>
        </w:tc>
        <w:tc>
          <w:tcPr>
            <w:tcW w:w="830" w:type="pct"/>
            <w:tcBorders>
              <w:top w:val="nil"/>
              <w:left w:val="nil"/>
              <w:bottom w:val="nil"/>
              <w:right w:val="nil"/>
            </w:tcBorders>
            <w:shd w:val="clear" w:color="auto" w:fill="auto"/>
            <w:noWrap/>
            <w:vAlign w:val="center"/>
            <w:hideMark/>
          </w:tcPr>
          <w:p w:rsidR="009053EF" w:rsidRDefault="00C84CFB" w:rsidP="00642915">
            <w:pPr>
              <w:jc w:val="center"/>
              <w:rPr>
                <w:b/>
                <w:bCs/>
                <w:color w:val="000000"/>
                <w:sz w:val="20"/>
                <w:szCs w:val="20"/>
              </w:rPr>
            </w:pPr>
            <w:r>
              <w:rPr>
                <w:b/>
                <w:bCs/>
                <w:color w:val="000000"/>
                <w:sz w:val="20"/>
                <w:szCs w:val="20"/>
              </w:rPr>
              <w:t>COMMISSION</w:t>
            </w:r>
          </w:p>
        </w:tc>
        <w:tc>
          <w:tcPr>
            <w:tcW w:w="828" w:type="pct"/>
            <w:tcBorders>
              <w:top w:val="nil"/>
              <w:left w:val="nil"/>
              <w:bottom w:val="nil"/>
              <w:right w:val="single" w:sz="8" w:space="0" w:color="auto"/>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FOUR</w:t>
            </w:r>
          </w:p>
        </w:tc>
      </w:tr>
      <w:tr w:rsidR="009053EF" w:rsidTr="00642915">
        <w:trPr>
          <w:trHeight w:val="300"/>
          <w:jc w:val="center"/>
        </w:trPr>
        <w:tc>
          <w:tcPr>
            <w:tcW w:w="2219" w:type="pct"/>
            <w:tcBorders>
              <w:top w:val="nil"/>
              <w:left w:val="single" w:sz="4" w:space="0" w:color="auto"/>
              <w:bottom w:val="nil"/>
              <w:right w:val="nil"/>
            </w:tcBorders>
            <w:shd w:val="clear" w:color="auto" w:fill="auto"/>
            <w:noWrap/>
            <w:vAlign w:val="bottom"/>
            <w:hideMark/>
          </w:tcPr>
          <w:p w:rsidR="009053EF" w:rsidRDefault="009053EF" w:rsidP="00642915">
            <w:pPr>
              <w:rPr>
                <w:sz w:val="20"/>
                <w:szCs w:val="20"/>
              </w:rPr>
            </w:pPr>
            <w:r>
              <w:rPr>
                <w:sz w:val="20"/>
                <w:szCs w:val="20"/>
              </w:rPr>
              <w:t> </w:t>
            </w:r>
          </w:p>
        </w:tc>
        <w:tc>
          <w:tcPr>
            <w:tcW w:w="540" w:type="pct"/>
            <w:tcBorders>
              <w:top w:val="nil"/>
              <w:left w:val="nil"/>
              <w:bottom w:val="nil"/>
              <w:right w:val="nil"/>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CURRENT</w:t>
            </w:r>
          </w:p>
        </w:tc>
        <w:tc>
          <w:tcPr>
            <w:tcW w:w="584" w:type="pct"/>
            <w:tcBorders>
              <w:top w:val="nil"/>
              <w:left w:val="nil"/>
              <w:bottom w:val="nil"/>
              <w:right w:val="nil"/>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PROPOSED</w:t>
            </w:r>
          </w:p>
        </w:tc>
        <w:tc>
          <w:tcPr>
            <w:tcW w:w="830" w:type="pct"/>
            <w:tcBorders>
              <w:top w:val="nil"/>
              <w:left w:val="nil"/>
              <w:bottom w:val="nil"/>
              <w:right w:val="nil"/>
            </w:tcBorders>
            <w:shd w:val="clear" w:color="auto" w:fill="auto"/>
            <w:noWrap/>
            <w:vAlign w:val="center"/>
            <w:hideMark/>
          </w:tcPr>
          <w:p w:rsidR="009053EF" w:rsidRDefault="00C84CFB" w:rsidP="00642915">
            <w:pPr>
              <w:jc w:val="center"/>
              <w:rPr>
                <w:b/>
                <w:bCs/>
                <w:color w:val="000000"/>
                <w:sz w:val="20"/>
                <w:szCs w:val="20"/>
              </w:rPr>
            </w:pPr>
            <w:r>
              <w:rPr>
                <w:b/>
                <w:bCs/>
                <w:color w:val="000000"/>
                <w:sz w:val="20"/>
                <w:szCs w:val="20"/>
              </w:rPr>
              <w:t>APPROVED</w:t>
            </w:r>
          </w:p>
        </w:tc>
        <w:tc>
          <w:tcPr>
            <w:tcW w:w="828" w:type="pct"/>
            <w:tcBorders>
              <w:top w:val="nil"/>
              <w:left w:val="nil"/>
              <w:bottom w:val="nil"/>
              <w:right w:val="single" w:sz="8" w:space="0" w:color="auto"/>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YEAR RATE</w:t>
            </w:r>
          </w:p>
        </w:tc>
      </w:tr>
      <w:tr w:rsidR="009053EF" w:rsidTr="00642915">
        <w:trPr>
          <w:trHeight w:val="300"/>
          <w:jc w:val="center"/>
        </w:trPr>
        <w:tc>
          <w:tcPr>
            <w:tcW w:w="2219" w:type="pct"/>
            <w:tcBorders>
              <w:top w:val="nil"/>
              <w:left w:val="single" w:sz="4" w:space="0" w:color="auto"/>
              <w:bottom w:val="single" w:sz="4" w:space="0" w:color="auto"/>
              <w:right w:val="nil"/>
            </w:tcBorders>
            <w:shd w:val="clear" w:color="auto" w:fill="auto"/>
            <w:noWrap/>
            <w:vAlign w:val="bottom"/>
            <w:hideMark/>
          </w:tcPr>
          <w:p w:rsidR="009053EF" w:rsidRDefault="009053EF" w:rsidP="00642915">
            <w:pPr>
              <w:rPr>
                <w:rFonts w:ascii="Arial" w:hAnsi="Arial" w:cs="Arial"/>
                <w:sz w:val="20"/>
                <w:szCs w:val="20"/>
              </w:rPr>
            </w:pPr>
            <w:r>
              <w:rPr>
                <w:rFonts w:ascii="Arial" w:hAnsi="Arial" w:cs="Arial"/>
                <w:sz w:val="20"/>
                <w:szCs w:val="20"/>
              </w:rPr>
              <w:t> </w:t>
            </w:r>
          </w:p>
        </w:tc>
        <w:tc>
          <w:tcPr>
            <w:tcW w:w="540" w:type="pct"/>
            <w:tcBorders>
              <w:top w:val="nil"/>
              <w:left w:val="nil"/>
              <w:bottom w:val="single" w:sz="4" w:space="0" w:color="auto"/>
              <w:right w:val="nil"/>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 xml:space="preserve">RATES </w:t>
            </w:r>
          </w:p>
        </w:tc>
        <w:tc>
          <w:tcPr>
            <w:tcW w:w="584" w:type="pct"/>
            <w:tcBorders>
              <w:top w:val="nil"/>
              <w:left w:val="nil"/>
              <w:bottom w:val="single" w:sz="4" w:space="0" w:color="auto"/>
              <w:right w:val="nil"/>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RATES</w:t>
            </w:r>
          </w:p>
        </w:tc>
        <w:tc>
          <w:tcPr>
            <w:tcW w:w="830" w:type="pct"/>
            <w:tcBorders>
              <w:top w:val="nil"/>
              <w:left w:val="nil"/>
              <w:bottom w:val="single" w:sz="4" w:space="0" w:color="auto"/>
              <w:right w:val="nil"/>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RATES</w:t>
            </w:r>
          </w:p>
        </w:tc>
        <w:tc>
          <w:tcPr>
            <w:tcW w:w="828" w:type="pct"/>
            <w:tcBorders>
              <w:top w:val="nil"/>
              <w:left w:val="nil"/>
              <w:bottom w:val="single" w:sz="4" w:space="0" w:color="auto"/>
              <w:right w:val="single" w:sz="8" w:space="0" w:color="auto"/>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REDUCTION</w:t>
            </w:r>
          </w:p>
        </w:tc>
      </w:tr>
      <w:tr w:rsidR="009053EF" w:rsidTr="00642915">
        <w:trPr>
          <w:trHeight w:val="300"/>
          <w:jc w:val="center"/>
        </w:trPr>
        <w:tc>
          <w:tcPr>
            <w:tcW w:w="2219" w:type="pct"/>
            <w:tcBorders>
              <w:top w:val="nil"/>
              <w:left w:val="single" w:sz="4" w:space="0" w:color="auto"/>
              <w:bottom w:val="nil"/>
              <w:right w:val="nil"/>
            </w:tcBorders>
            <w:shd w:val="clear" w:color="auto" w:fill="auto"/>
            <w:noWrap/>
            <w:vAlign w:val="bottom"/>
            <w:hideMark/>
          </w:tcPr>
          <w:p w:rsidR="009053EF" w:rsidRDefault="009053EF" w:rsidP="00642915">
            <w:pPr>
              <w:rPr>
                <w:rFonts w:ascii="Arial" w:hAnsi="Arial" w:cs="Arial"/>
                <w:sz w:val="20"/>
                <w:szCs w:val="20"/>
              </w:rPr>
            </w:pPr>
          </w:p>
        </w:tc>
        <w:tc>
          <w:tcPr>
            <w:tcW w:w="540" w:type="pct"/>
            <w:tcBorders>
              <w:top w:val="nil"/>
              <w:left w:val="nil"/>
              <w:bottom w:val="nil"/>
              <w:right w:val="nil"/>
            </w:tcBorders>
            <w:shd w:val="clear" w:color="auto" w:fill="auto"/>
            <w:noWrap/>
            <w:vAlign w:val="center"/>
            <w:hideMark/>
          </w:tcPr>
          <w:p w:rsidR="009053EF" w:rsidRDefault="009053EF" w:rsidP="00642915">
            <w:pPr>
              <w:jc w:val="center"/>
              <w:rPr>
                <w:b/>
                <w:bCs/>
                <w:color w:val="000000"/>
                <w:sz w:val="20"/>
                <w:szCs w:val="20"/>
              </w:rPr>
            </w:pPr>
          </w:p>
        </w:tc>
        <w:tc>
          <w:tcPr>
            <w:tcW w:w="584" w:type="pct"/>
            <w:tcBorders>
              <w:top w:val="nil"/>
              <w:left w:val="nil"/>
              <w:bottom w:val="nil"/>
              <w:right w:val="nil"/>
            </w:tcBorders>
            <w:shd w:val="clear" w:color="auto" w:fill="auto"/>
            <w:noWrap/>
            <w:vAlign w:val="center"/>
            <w:hideMark/>
          </w:tcPr>
          <w:p w:rsidR="009053EF" w:rsidRDefault="009053EF" w:rsidP="00642915">
            <w:pPr>
              <w:jc w:val="center"/>
              <w:rPr>
                <w:b/>
                <w:bCs/>
                <w:color w:val="000000"/>
                <w:sz w:val="20"/>
                <w:szCs w:val="20"/>
              </w:rPr>
            </w:pPr>
          </w:p>
        </w:tc>
        <w:tc>
          <w:tcPr>
            <w:tcW w:w="830" w:type="pct"/>
            <w:tcBorders>
              <w:top w:val="nil"/>
              <w:left w:val="nil"/>
              <w:bottom w:val="nil"/>
              <w:right w:val="nil"/>
            </w:tcBorders>
            <w:shd w:val="clear" w:color="auto" w:fill="auto"/>
            <w:noWrap/>
            <w:vAlign w:val="center"/>
            <w:hideMark/>
          </w:tcPr>
          <w:p w:rsidR="009053EF" w:rsidRDefault="009053EF" w:rsidP="00642915">
            <w:pPr>
              <w:jc w:val="center"/>
              <w:rPr>
                <w:b/>
                <w:bCs/>
                <w:color w:val="000000"/>
                <w:sz w:val="20"/>
                <w:szCs w:val="20"/>
              </w:rPr>
            </w:pPr>
          </w:p>
        </w:tc>
        <w:tc>
          <w:tcPr>
            <w:tcW w:w="828" w:type="pct"/>
            <w:tcBorders>
              <w:top w:val="nil"/>
              <w:left w:val="nil"/>
              <w:bottom w:val="nil"/>
              <w:right w:val="single" w:sz="8" w:space="0" w:color="auto"/>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 </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b/>
                <w:bCs/>
                <w:u w:val="single"/>
              </w:rPr>
            </w:pPr>
            <w:r>
              <w:rPr>
                <w:b/>
                <w:bCs/>
                <w:u w:val="single"/>
              </w:rPr>
              <w:t>Residential and General Service</w:t>
            </w:r>
          </w:p>
        </w:tc>
        <w:tc>
          <w:tcPr>
            <w:tcW w:w="540" w:type="pct"/>
            <w:tcBorders>
              <w:top w:val="nil"/>
              <w:left w:val="nil"/>
              <w:bottom w:val="nil"/>
              <w:right w:val="nil"/>
            </w:tcBorders>
            <w:shd w:val="clear" w:color="auto" w:fill="auto"/>
            <w:noWrap/>
            <w:vAlign w:val="center"/>
            <w:hideMark/>
          </w:tcPr>
          <w:p w:rsidR="009053EF" w:rsidRDefault="009053EF" w:rsidP="00642915">
            <w:pPr>
              <w:jc w:val="center"/>
              <w:rPr>
                <w:b/>
                <w:bCs/>
                <w:color w:val="000000"/>
                <w:sz w:val="20"/>
                <w:szCs w:val="20"/>
              </w:rPr>
            </w:pPr>
          </w:p>
        </w:tc>
        <w:tc>
          <w:tcPr>
            <w:tcW w:w="584" w:type="pct"/>
            <w:tcBorders>
              <w:top w:val="nil"/>
              <w:left w:val="nil"/>
              <w:bottom w:val="nil"/>
              <w:right w:val="nil"/>
            </w:tcBorders>
            <w:shd w:val="clear" w:color="auto" w:fill="auto"/>
            <w:noWrap/>
            <w:vAlign w:val="center"/>
            <w:hideMark/>
          </w:tcPr>
          <w:p w:rsidR="009053EF" w:rsidRDefault="009053EF" w:rsidP="00642915">
            <w:pPr>
              <w:jc w:val="center"/>
              <w:rPr>
                <w:b/>
                <w:bCs/>
                <w:color w:val="000000"/>
                <w:sz w:val="20"/>
                <w:szCs w:val="20"/>
              </w:rPr>
            </w:pPr>
          </w:p>
        </w:tc>
        <w:tc>
          <w:tcPr>
            <w:tcW w:w="830" w:type="pct"/>
            <w:tcBorders>
              <w:top w:val="nil"/>
              <w:left w:val="nil"/>
              <w:bottom w:val="nil"/>
              <w:right w:val="nil"/>
            </w:tcBorders>
            <w:shd w:val="clear" w:color="auto" w:fill="auto"/>
            <w:noWrap/>
            <w:vAlign w:val="center"/>
            <w:hideMark/>
          </w:tcPr>
          <w:p w:rsidR="009053EF" w:rsidRDefault="009053EF" w:rsidP="00642915">
            <w:pPr>
              <w:jc w:val="center"/>
              <w:rPr>
                <w:b/>
                <w:bCs/>
                <w:color w:val="000000"/>
                <w:sz w:val="20"/>
                <w:szCs w:val="20"/>
              </w:rPr>
            </w:pPr>
          </w:p>
        </w:tc>
        <w:tc>
          <w:tcPr>
            <w:tcW w:w="828" w:type="pct"/>
            <w:tcBorders>
              <w:top w:val="nil"/>
              <w:left w:val="nil"/>
              <w:bottom w:val="nil"/>
              <w:right w:val="single" w:sz="8" w:space="0" w:color="auto"/>
            </w:tcBorders>
            <w:shd w:val="clear" w:color="auto" w:fill="auto"/>
            <w:noWrap/>
            <w:vAlign w:val="center"/>
            <w:hideMark/>
          </w:tcPr>
          <w:p w:rsidR="009053EF" w:rsidRDefault="009053EF" w:rsidP="00642915">
            <w:pPr>
              <w:jc w:val="center"/>
              <w:rPr>
                <w:b/>
                <w:bCs/>
                <w:color w:val="000000"/>
                <w:sz w:val="20"/>
                <w:szCs w:val="20"/>
              </w:rPr>
            </w:pPr>
            <w:r>
              <w:rPr>
                <w:b/>
                <w:bCs/>
                <w:color w:val="000000"/>
                <w:sz w:val="20"/>
                <w:szCs w:val="20"/>
              </w:rPr>
              <w:t> </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r>
              <w:t>Base Facility Charge by Meter Size</w:t>
            </w:r>
          </w:p>
        </w:tc>
        <w:tc>
          <w:tcPr>
            <w:tcW w:w="540" w:type="pct"/>
            <w:tcBorders>
              <w:top w:val="nil"/>
              <w:left w:val="nil"/>
              <w:bottom w:val="nil"/>
              <w:right w:val="nil"/>
            </w:tcBorders>
            <w:shd w:val="clear" w:color="auto" w:fill="auto"/>
            <w:noWrap/>
            <w:vAlign w:val="bottom"/>
            <w:hideMark/>
          </w:tcPr>
          <w:p w:rsidR="009053EF" w:rsidRDefault="009053EF" w:rsidP="00642915"/>
        </w:tc>
        <w:tc>
          <w:tcPr>
            <w:tcW w:w="584" w:type="pct"/>
            <w:tcBorders>
              <w:top w:val="nil"/>
              <w:left w:val="nil"/>
              <w:bottom w:val="nil"/>
              <w:right w:val="nil"/>
            </w:tcBorders>
            <w:shd w:val="clear" w:color="auto" w:fill="auto"/>
            <w:noWrap/>
            <w:vAlign w:val="center"/>
            <w:hideMark/>
          </w:tcPr>
          <w:p w:rsidR="009053EF" w:rsidRDefault="009053EF" w:rsidP="00642915">
            <w:pPr>
              <w:rPr>
                <w:color w:val="000000"/>
              </w:rPr>
            </w:pPr>
          </w:p>
        </w:tc>
        <w:tc>
          <w:tcPr>
            <w:tcW w:w="830" w:type="pct"/>
            <w:tcBorders>
              <w:top w:val="nil"/>
              <w:left w:val="nil"/>
              <w:bottom w:val="nil"/>
              <w:right w:val="nil"/>
            </w:tcBorders>
            <w:shd w:val="clear" w:color="auto" w:fill="auto"/>
            <w:noWrap/>
            <w:vAlign w:val="bottom"/>
            <w:hideMark/>
          </w:tcPr>
          <w:p w:rsidR="009053EF" w:rsidRDefault="009053EF" w:rsidP="00642915">
            <w:pPr>
              <w:rPr>
                <w:rFonts w:ascii="Arial" w:hAnsi="Arial" w:cs="Arial"/>
                <w:sz w:val="20"/>
                <w:szCs w:val="20"/>
              </w:rPr>
            </w:pP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rPr>
                <w:rFonts w:ascii="Arial" w:hAnsi="Arial" w:cs="Arial"/>
                <w:sz w:val="20"/>
                <w:szCs w:val="20"/>
              </w:rPr>
            </w:pPr>
            <w:r>
              <w:rPr>
                <w:rFonts w:ascii="Arial" w:hAnsi="Arial" w:cs="Arial"/>
                <w:sz w:val="20"/>
                <w:szCs w:val="20"/>
              </w:rPr>
              <w:t> </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5/8"X3/4"</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$13.91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$23.13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$19.93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$0.25</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3/4"</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$20.84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$34.66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$29.90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$0.37</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1"</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$34.75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$57.79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$49.83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$0.62</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1-1/2"</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$69.49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$115.56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$99.65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$1.25</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2"</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$111.21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$184.94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$159.44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$1.99</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3"</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$222.41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$369.87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$318.88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$3.99</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4"</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$347.48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$577.86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$498.25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$6.23</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6"</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$694.99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$1,155.77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$996.50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$12.46</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 </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r>
              <w:t> </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 xml:space="preserve">Flat Rate </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$71.43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$118.79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$102.37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$1.28</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bottom"/>
            <w:hideMark/>
          </w:tcPr>
          <w:p w:rsidR="009053EF" w:rsidRDefault="009053EF" w:rsidP="00642915">
            <w:r>
              <w:t> </w:t>
            </w:r>
          </w:p>
        </w:tc>
        <w:tc>
          <w:tcPr>
            <w:tcW w:w="540" w:type="pct"/>
            <w:tcBorders>
              <w:top w:val="nil"/>
              <w:left w:val="nil"/>
              <w:bottom w:val="nil"/>
              <w:right w:val="nil"/>
            </w:tcBorders>
            <w:shd w:val="clear" w:color="auto" w:fill="auto"/>
            <w:noWrap/>
            <w:vAlign w:val="bottom"/>
            <w:hideMark/>
          </w:tcPr>
          <w:p w:rsidR="009053EF" w:rsidRDefault="009053EF" w:rsidP="00642915"/>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r>
              <w:t> </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Charge per 1,000 gallons - Residential</w:t>
            </w:r>
          </w:p>
        </w:tc>
        <w:tc>
          <w:tcPr>
            <w:tcW w:w="540" w:type="pct"/>
            <w:tcBorders>
              <w:top w:val="nil"/>
              <w:left w:val="nil"/>
              <w:bottom w:val="nil"/>
              <w:right w:val="nil"/>
            </w:tcBorders>
            <w:shd w:val="clear" w:color="auto" w:fill="auto"/>
            <w:noWrap/>
            <w:vAlign w:val="bottom"/>
            <w:hideMark/>
          </w:tcPr>
          <w:p w:rsidR="009053EF" w:rsidRDefault="009053EF" w:rsidP="00642915"/>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r>
              <w:t> </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0 - 3,000 gallons</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$2.26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$3.76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$3.24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$0.04</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3,001 - 6,000 gallons</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$6.75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$11.23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$9.67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$0.12</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6,001 - 12,000 gallons</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$10.14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$16.86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$14.53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$0.18</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Over 12,000 gallons</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$13.51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$22.47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$19.36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$0.24</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 </w:t>
            </w:r>
          </w:p>
        </w:tc>
        <w:tc>
          <w:tcPr>
            <w:tcW w:w="540" w:type="pct"/>
            <w:tcBorders>
              <w:top w:val="nil"/>
              <w:left w:val="nil"/>
              <w:bottom w:val="nil"/>
              <w:right w:val="nil"/>
            </w:tcBorders>
            <w:shd w:val="clear" w:color="auto" w:fill="auto"/>
            <w:noWrap/>
            <w:vAlign w:val="bottom"/>
            <w:hideMark/>
          </w:tcPr>
          <w:p w:rsidR="009053EF" w:rsidRDefault="009053EF" w:rsidP="00642915"/>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r>
              <w:t> </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color w:val="000000"/>
              </w:rPr>
            </w:pPr>
            <w:r>
              <w:rPr>
                <w:color w:val="000000"/>
              </w:rPr>
              <w:t>Charge per 1,000 gallons - General Service</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$9.04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$15.03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$12.96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jc w:val="right"/>
            </w:pPr>
            <w:r>
              <w:t>$0.16</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bottom"/>
            <w:hideMark/>
          </w:tcPr>
          <w:p w:rsidR="009053EF" w:rsidRDefault="009053EF" w:rsidP="00642915">
            <w:pPr>
              <w:rPr>
                <w:sz w:val="20"/>
                <w:szCs w:val="20"/>
              </w:rPr>
            </w:pPr>
            <w:r>
              <w:rPr>
                <w:sz w:val="20"/>
                <w:szCs w:val="20"/>
              </w:rPr>
              <w:t> </w:t>
            </w:r>
          </w:p>
        </w:tc>
        <w:tc>
          <w:tcPr>
            <w:tcW w:w="540" w:type="pct"/>
            <w:tcBorders>
              <w:top w:val="nil"/>
              <w:left w:val="nil"/>
              <w:bottom w:val="nil"/>
              <w:right w:val="nil"/>
            </w:tcBorders>
            <w:shd w:val="clear" w:color="auto" w:fill="auto"/>
            <w:noWrap/>
            <w:vAlign w:val="bottom"/>
            <w:hideMark/>
          </w:tcPr>
          <w:p w:rsidR="009053EF" w:rsidRDefault="009053EF" w:rsidP="00642915">
            <w:pPr>
              <w:rPr>
                <w:sz w:val="20"/>
                <w:szCs w:val="20"/>
              </w:rPr>
            </w:pP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sz w:val="20"/>
                <w:szCs w:val="20"/>
              </w:rPr>
            </w:pP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rPr>
                <w:rFonts w:ascii="Arial" w:hAnsi="Arial" w:cs="Arial"/>
                <w:sz w:val="20"/>
                <w:szCs w:val="20"/>
              </w:rPr>
            </w:pPr>
            <w:r>
              <w:rPr>
                <w:rFonts w:ascii="Arial" w:hAnsi="Arial" w:cs="Arial"/>
                <w:sz w:val="20"/>
                <w:szCs w:val="20"/>
              </w:rPr>
              <w:t> </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Default="009053EF" w:rsidP="00642915">
            <w:pPr>
              <w:rPr>
                <w:b/>
                <w:bCs/>
                <w:color w:val="000000"/>
                <w:sz w:val="20"/>
                <w:szCs w:val="20"/>
                <w:u w:val="single"/>
              </w:rPr>
            </w:pPr>
            <w:r>
              <w:rPr>
                <w:b/>
                <w:bCs/>
                <w:color w:val="000000"/>
                <w:sz w:val="20"/>
                <w:szCs w:val="20"/>
                <w:u w:val="single"/>
              </w:rPr>
              <w:t>Typical Residential 5/8" x 3/4" Meter Bill Comparison</w:t>
            </w:r>
          </w:p>
        </w:tc>
        <w:tc>
          <w:tcPr>
            <w:tcW w:w="540" w:type="pct"/>
            <w:tcBorders>
              <w:top w:val="nil"/>
              <w:left w:val="nil"/>
              <w:bottom w:val="nil"/>
              <w:right w:val="nil"/>
            </w:tcBorders>
            <w:shd w:val="clear" w:color="auto" w:fill="auto"/>
            <w:noWrap/>
            <w:vAlign w:val="bottom"/>
            <w:hideMark/>
          </w:tcPr>
          <w:p w:rsidR="009053EF" w:rsidRDefault="009053EF" w:rsidP="00642915">
            <w:pPr>
              <w:rPr>
                <w:sz w:val="20"/>
                <w:szCs w:val="20"/>
              </w:rPr>
            </w:pP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sz w:val="20"/>
                <w:szCs w:val="20"/>
              </w:rPr>
            </w:pP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rPr>
                <w:rFonts w:ascii="Arial" w:hAnsi="Arial" w:cs="Arial"/>
                <w:sz w:val="20"/>
                <w:szCs w:val="20"/>
              </w:rPr>
            </w:pPr>
            <w:r>
              <w:rPr>
                <w:rFonts w:ascii="Arial" w:hAnsi="Arial" w:cs="Arial"/>
                <w:sz w:val="20"/>
                <w:szCs w:val="20"/>
              </w:rPr>
              <w:t> </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Pr="00575BE5" w:rsidRDefault="009053EF" w:rsidP="00642915">
            <w:pPr>
              <w:rPr>
                <w:color w:val="000000"/>
              </w:rPr>
            </w:pPr>
            <w:r w:rsidRPr="00575BE5">
              <w:rPr>
                <w:color w:val="000000"/>
              </w:rPr>
              <w:t>3,000 Gallons</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$20.69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$34.41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$29.65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rPr>
                <w:rFonts w:ascii="Arial" w:hAnsi="Arial" w:cs="Arial"/>
                <w:sz w:val="20"/>
                <w:szCs w:val="20"/>
              </w:rPr>
            </w:pPr>
            <w:r>
              <w:rPr>
                <w:rFonts w:ascii="Arial" w:hAnsi="Arial" w:cs="Arial"/>
                <w:sz w:val="20"/>
                <w:szCs w:val="20"/>
              </w:rPr>
              <w:t> </w:t>
            </w:r>
          </w:p>
        </w:tc>
      </w:tr>
      <w:tr w:rsidR="009053EF" w:rsidTr="00642915">
        <w:trPr>
          <w:trHeight w:val="315"/>
          <w:jc w:val="center"/>
        </w:trPr>
        <w:tc>
          <w:tcPr>
            <w:tcW w:w="2219" w:type="pct"/>
            <w:tcBorders>
              <w:top w:val="nil"/>
              <w:left w:val="single" w:sz="4" w:space="0" w:color="auto"/>
              <w:bottom w:val="nil"/>
              <w:right w:val="nil"/>
            </w:tcBorders>
            <w:shd w:val="clear" w:color="auto" w:fill="auto"/>
            <w:noWrap/>
            <w:vAlign w:val="center"/>
            <w:hideMark/>
          </w:tcPr>
          <w:p w:rsidR="009053EF" w:rsidRPr="00575BE5" w:rsidRDefault="009053EF" w:rsidP="00642915">
            <w:pPr>
              <w:rPr>
                <w:color w:val="000000"/>
              </w:rPr>
            </w:pPr>
            <w:r w:rsidRPr="00575BE5">
              <w:rPr>
                <w:color w:val="000000"/>
              </w:rPr>
              <w:t>5,000 Gallons</w:t>
            </w:r>
          </w:p>
        </w:tc>
        <w:tc>
          <w:tcPr>
            <w:tcW w:w="54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$34.19 </w:t>
            </w:r>
          </w:p>
        </w:tc>
        <w:tc>
          <w:tcPr>
            <w:tcW w:w="584"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$56.87 </w:t>
            </w:r>
          </w:p>
        </w:tc>
        <w:tc>
          <w:tcPr>
            <w:tcW w:w="830" w:type="pct"/>
            <w:tcBorders>
              <w:top w:val="nil"/>
              <w:left w:val="nil"/>
              <w:bottom w:val="nil"/>
              <w:right w:val="nil"/>
            </w:tcBorders>
            <w:shd w:val="clear" w:color="auto" w:fill="auto"/>
            <w:noWrap/>
            <w:vAlign w:val="center"/>
            <w:hideMark/>
          </w:tcPr>
          <w:p w:rsidR="009053EF" w:rsidRDefault="009053EF" w:rsidP="00642915">
            <w:pPr>
              <w:jc w:val="right"/>
              <w:rPr>
                <w:color w:val="000000"/>
              </w:rPr>
            </w:pPr>
            <w:r>
              <w:rPr>
                <w:color w:val="000000"/>
              </w:rPr>
              <w:t xml:space="preserve">$48.99 </w:t>
            </w:r>
          </w:p>
        </w:tc>
        <w:tc>
          <w:tcPr>
            <w:tcW w:w="828" w:type="pct"/>
            <w:tcBorders>
              <w:top w:val="nil"/>
              <w:left w:val="nil"/>
              <w:bottom w:val="nil"/>
              <w:right w:val="single" w:sz="8" w:space="0" w:color="auto"/>
            </w:tcBorders>
            <w:shd w:val="clear" w:color="auto" w:fill="auto"/>
            <w:noWrap/>
            <w:vAlign w:val="bottom"/>
            <w:hideMark/>
          </w:tcPr>
          <w:p w:rsidR="009053EF" w:rsidRDefault="009053EF" w:rsidP="00642915">
            <w:pPr>
              <w:rPr>
                <w:rFonts w:ascii="Arial" w:hAnsi="Arial" w:cs="Arial"/>
                <w:sz w:val="20"/>
                <w:szCs w:val="20"/>
              </w:rPr>
            </w:pPr>
            <w:r>
              <w:rPr>
                <w:rFonts w:ascii="Arial" w:hAnsi="Arial" w:cs="Arial"/>
                <w:sz w:val="20"/>
                <w:szCs w:val="20"/>
              </w:rPr>
              <w:t> </w:t>
            </w:r>
          </w:p>
        </w:tc>
      </w:tr>
      <w:tr w:rsidR="009053EF" w:rsidTr="00642915">
        <w:trPr>
          <w:trHeight w:val="330"/>
          <w:jc w:val="center"/>
        </w:trPr>
        <w:tc>
          <w:tcPr>
            <w:tcW w:w="2219" w:type="pct"/>
            <w:tcBorders>
              <w:top w:val="nil"/>
              <w:left w:val="single" w:sz="4" w:space="0" w:color="auto"/>
              <w:bottom w:val="single" w:sz="8" w:space="0" w:color="auto"/>
              <w:right w:val="nil"/>
            </w:tcBorders>
            <w:shd w:val="clear" w:color="auto" w:fill="auto"/>
            <w:noWrap/>
            <w:vAlign w:val="center"/>
            <w:hideMark/>
          </w:tcPr>
          <w:p w:rsidR="009053EF" w:rsidRPr="00575BE5" w:rsidRDefault="009053EF" w:rsidP="00642915">
            <w:pPr>
              <w:rPr>
                <w:color w:val="000000"/>
              </w:rPr>
            </w:pPr>
            <w:r w:rsidRPr="00575BE5">
              <w:rPr>
                <w:color w:val="000000"/>
              </w:rPr>
              <w:t>8,000 Gallons</w:t>
            </w:r>
          </w:p>
        </w:tc>
        <w:tc>
          <w:tcPr>
            <w:tcW w:w="540" w:type="pct"/>
            <w:tcBorders>
              <w:top w:val="nil"/>
              <w:left w:val="nil"/>
              <w:bottom w:val="single" w:sz="8" w:space="0" w:color="auto"/>
              <w:right w:val="nil"/>
            </w:tcBorders>
            <w:shd w:val="clear" w:color="auto" w:fill="auto"/>
            <w:noWrap/>
            <w:vAlign w:val="center"/>
            <w:hideMark/>
          </w:tcPr>
          <w:p w:rsidR="009053EF" w:rsidRDefault="009053EF" w:rsidP="00642915">
            <w:pPr>
              <w:jc w:val="right"/>
              <w:rPr>
                <w:color w:val="000000"/>
              </w:rPr>
            </w:pPr>
            <w:r>
              <w:rPr>
                <w:color w:val="000000"/>
              </w:rPr>
              <w:t xml:space="preserve">$61.22 </w:t>
            </w:r>
          </w:p>
        </w:tc>
        <w:tc>
          <w:tcPr>
            <w:tcW w:w="584" w:type="pct"/>
            <w:tcBorders>
              <w:top w:val="nil"/>
              <w:left w:val="nil"/>
              <w:bottom w:val="single" w:sz="8" w:space="0" w:color="auto"/>
              <w:right w:val="nil"/>
            </w:tcBorders>
            <w:shd w:val="clear" w:color="auto" w:fill="auto"/>
            <w:noWrap/>
            <w:vAlign w:val="center"/>
            <w:hideMark/>
          </w:tcPr>
          <w:p w:rsidR="009053EF" w:rsidRDefault="009053EF" w:rsidP="00642915">
            <w:pPr>
              <w:jc w:val="right"/>
              <w:rPr>
                <w:color w:val="000000"/>
              </w:rPr>
            </w:pPr>
            <w:r>
              <w:rPr>
                <w:color w:val="000000"/>
              </w:rPr>
              <w:t xml:space="preserve">$101.82 </w:t>
            </w:r>
          </w:p>
        </w:tc>
        <w:tc>
          <w:tcPr>
            <w:tcW w:w="830" w:type="pct"/>
            <w:tcBorders>
              <w:top w:val="nil"/>
              <w:left w:val="nil"/>
              <w:bottom w:val="single" w:sz="8" w:space="0" w:color="auto"/>
              <w:right w:val="nil"/>
            </w:tcBorders>
            <w:shd w:val="clear" w:color="auto" w:fill="auto"/>
            <w:noWrap/>
            <w:vAlign w:val="center"/>
            <w:hideMark/>
          </w:tcPr>
          <w:p w:rsidR="009053EF" w:rsidRDefault="009053EF" w:rsidP="00642915">
            <w:pPr>
              <w:jc w:val="right"/>
              <w:rPr>
                <w:color w:val="000000"/>
              </w:rPr>
            </w:pPr>
            <w:r>
              <w:rPr>
                <w:color w:val="000000"/>
              </w:rPr>
              <w:t xml:space="preserve">$87.72 </w:t>
            </w:r>
          </w:p>
        </w:tc>
        <w:tc>
          <w:tcPr>
            <w:tcW w:w="828" w:type="pct"/>
            <w:tcBorders>
              <w:top w:val="nil"/>
              <w:left w:val="nil"/>
              <w:bottom w:val="single" w:sz="8" w:space="0" w:color="auto"/>
              <w:right w:val="single" w:sz="8" w:space="0" w:color="auto"/>
            </w:tcBorders>
            <w:shd w:val="clear" w:color="auto" w:fill="auto"/>
            <w:noWrap/>
            <w:vAlign w:val="bottom"/>
            <w:hideMark/>
          </w:tcPr>
          <w:p w:rsidR="009053EF" w:rsidRDefault="009053EF" w:rsidP="00642915">
            <w:pPr>
              <w:rPr>
                <w:rFonts w:ascii="Arial" w:hAnsi="Arial" w:cs="Arial"/>
                <w:sz w:val="20"/>
                <w:szCs w:val="20"/>
              </w:rPr>
            </w:pPr>
            <w:r>
              <w:rPr>
                <w:rFonts w:ascii="Arial" w:hAnsi="Arial" w:cs="Arial"/>
                <w:sz w:val="20"/>
                <w:szCs w:val="20"/>
              </w:rPr>
              <w:t> </w:t>
            </w:r>
          </w:p>
        </w:tc>
      </w:tr>
    </w:tbl>
    <w:p w:rsidR="00D57E57" w:rsidRPr="007658F5" w:rsidRDefault="00D57E57" w:rsidP="00D57E57"/>
    <w:sectPr w:rsidR="00D57E57" w:rsidRPr="007658F5" w:rsidSect="009053EF">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AB7" w:rsidRDefault="00D25AB7">
      <w:r>
        <w:separator/>
      </w:r>
    </w:p>
  </w:endnote>
  <w:endnote w:type="continuationSeparator" w:id="0">
    <w:p w:rsidR="00D25AB7" w:rsidRDefault="00D2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AB7" w:rsidRDefault="00D25AB7">
      <w:r>
        <w:separator/>
      </w:r>
    </w:p>
  </w:footnote>
  <w:footnote w:type="continuationSeparator" w:id="0">
    <w:p w:rsidR="00D25AB7" w:rsidRDefault="00D25AB7">
      <w:r>
        <w:continuationSeparator/>
      </w:r>
    </w:p>
  </w:footnote>
  <w:footnote w:id="1">
    <w:p w:rsidR="00D25AB7" w:rsidRDefault="00D25AB7" w:rsidP="00D25AB7">
      <w:pPr>
        <w:pStyle w:val="FootnoteText"/>
      </w:pPr>
      <w:r>
        <w:rPr>
          <w:rStyle w:val="FootnoteReference"/>
        </w:rPr>
        <w:footnoteRef/>
      </w:r>
      <w:r>
        <w:t xml:space="preserve">Order No. PSC-10-0126-PAA-WU, issued March 3, 2010, in Docket No. 090230-WU, </w:t>
      </w:r>
      <w:r w:rsidRPr="002F0ADB">
        <w:rPr>
          <w:i/>
        </w:rPr>
        <w:t>In re: Application for staff-assisted rate case in St. Johns County by Camachee Island Company, Inc. d/b/a Camachee Cove Yacht Harbor Utility</w:t>
      </w:r>
      <w:r>
        <w:t>.</w:t>
      </w:r>
    </w:p>
  </w:footnote>
  <w:footnote w:id="2">
    <w:p w:rsidR="00D25AB7" w:rsidRDefault="00D25AB7" w:rsidP="00D25AB7">
      <w:pPr>
        <w:pStyle w:val="FootnoteText"/>
      </w:pPr>
      <w:r>
        <w:rPr>
          <w:rStyle w:val="FootnoteReference"/>
        </w:rPr>
        <w:footnoteRef/>
      </w:r>
      <w:r>
        <w:t xml:space="preserve">Order No. PSC-13-0647-PAA-WU, issued December 5, 2013, in Docket No. </w:t>
      </w:r>
      <w:r w:rsidRPr="00105CF0">
        <w:t>130155-WU</w:t>
      </w:r>
      <w:r>
        <w:t xml:space="preserve">, </w:t>
      </w:r>
      <w:r w:rsidRPr="002F0ADB">
        <w:rPr>
          <w:i/>
        </w:rPr>
        <w:t>In re: Application for limited proceeding increase in rates in Escambia county by Peoples Water Service Company of Florida, Inc.</w:t>
      </w:r>
    </w:p>
  </w:footnote>
  <w:footnote w:id="3">
    <w:p w:rsidR="00D25AB7" w:rsidRDefault="00D25AB7" w:rsidP="00D25AB7">
      <w:pPr>
        <w:pStyle w:val="FootnoteText"/>
      </w:pPr>
      <w:r>
        <w:rPr>
          <w:rStyle w:val="FootnoteReference"/>
        </w:rPr>
        <w:footnoteRef/>
      </w:r>
      <w:r w:rsidRPr="007028CD">
        <w:t xml:space="preserve">Id.; See also Order No. </w:t>
      </w:r>
      <w:bookmarkStart w:id="8" w:name="OrderNo0297"/>
      <w:r w:rsidRPr="007028CD">
        <w:t>PSC-16-0297-PAA-GU</w:t>
      </w:r>
      <w:bookmarkEnd w:id="8"/>
      <w:r w:rsidRPr="007028CD">
        <w:t>, issued July 27, 2016, in Docket No. 160033-GU,</w:t>
      </w:r>
      <w:r w:rsidRPr="007028CD">
        <w:rPr>
          <w:i/>
        </w:rPr>
        <w:t xml:space="preserve"> In re: Petition for limited proceeding to restructure rates by St. Joe Natural Gas Company, Inc.</w:t>
      </w:r>
    </w:p>
  </w:footnote>
  <w:footnote w:id="4">
    <w:p w:rsidR="00D25AB7" w:rsidRDefault="00D25AB7" w:rsidP="00D25AB7">
      <w:pPr>
        <w:pStyle w:val="FootnoteText"/>
      </w:pPr>
      <w:r>
        <w:rPr>
          <w:rStyle w:val="FootnoteReference"/>
        </w:rPr>
        <w:footnoteRef/>
      </w:r>
      <w:r>
        <w:t xml:space="preserve">Order No. PSC-10-0126-PAA-WU, issued March 3, 2010, in Docket No. 090230-WU, </w:t>
      </w:r>
      <w:r>
        <w:rPr>
          <w:i/>
        </w:rPr>
        <w:t>In re: Application for staff-assisted rate case in St. Johns County by Camachee Island Company, Inc. d/b/a Camachee Cove Yacht Harbor Utility.</w:t>
      </w:r>
    </w:p>
  </w:footnote>
  <w:footnote w:id="5">
    <w:p w:rsidR="00D25AB7" w:rsidRDefault="00D25AB7" w:rsidP="00D25AB7">
      <w:pPr>
        <w:pStyle w:val="FootnoteText"/>
      </w:pPr>
      <w:r>
        <w:rPr>
          <w:rStyle w:val="FootnoteReference"/>
        </w:rPr>
        <w:footnoteRef/>
      </w:r>
      <w:r>
        <w:t>Id.</w:t>
      </w:r>
    </w:p>
  </w:footnote>
  <w:footnote w:id="6">
    <w:p w:rsidR="00D25AB7" w:rsidRDefault="00D25AB7" w:rsidP="00D25AB7">
      <w:pPr>
        <w:pStyle w:val="FootnoteText"/>
      </w:pPr>
      <w:r>
        <w:rPr>
          <w:rStyle w:val="FootnoteReference"/>
        </w:rPr>
        <w:footnoteRef/>
      </w:r>
      <w:r>
        <w:t>Section 367.0816, F.S., was repealed effective July 1, 2016, pursuant to HB 491, but still applies in this case because it was in effect when the application was filed on June 10,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8 ">
      <w:r w:rsidR="005A0F4C">
        <w:t>PSC-17-0108-PAA-WU</w:t>
      </w:r>
    </w:fldSimple>
  </w:p>
  <w:p w:rsidR="00FA6EFD" w:rsidRDefault="00D25AB7">
    <w:pPr>
      <w:pStyle w:val="OrderHeader"/>
    </w:pPr>
    <w:bookmarkStart w:id="11" w:name="HeaderDocketNo"/>
    <w:bookmarkEnd w:id="11"/>
    <w:r>
      <w:t>DOCKET NO. 160145-WU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0F4C">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EF" w:rsidRDefault="009053EF" w:rsidP="009053EF">
    <w:pPr>
      <w:pStyle w:val="OrderHeader"/>
    </w:pPr>
    <w:r>
      <w:t xml:space="preserve">ORDER NO. </w:t>
    </w:r>
    <w:r w:rsidR="005A0F4C">
      <w:t>PSC-17-0108-PAA-WU</w:t>
    </w:r>
  </w:p>
  <w:p w:rsidR="009053EF" w:rsidRDefault="009053EF" w:rsidP="009053EF">
    <w:pPr>
      <w:pStyle w:val="OrderHeader"/>
    </w:pPr>
    <w:r>
      <w:t>DOCKET NO. 160145-WU</w:t>
    </w:r>
  </w:p>
  <w:p w:rsidR="009053EF" w:rsidRDefault="009053EF" w:rsidP="009053EF">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0F4C">
      <w:rPr>
        <w:rStyle w:val="PageNumber"/>
        <w:noProof/>
      </w:rPr>
      <w:t>12</w:t>
    </w:r>
    <w:r>
      <w:rPr>
        <w:rStyle w:val="PageNumber"/>
      </w:rPr>
      <w:fldChar w:fldCharType="end"/>
    </w:r>
    <w:r>
      <w:rPr>
        <w:rStyle w:val="PageNumber"/>
      </w:rPr>
      <w:tab/>
    </w:r>
    <w:r>
      <w:rPr>
        <w:rStyle w:val="PageNumber"/>
      </w:rPr>
      <w:tab/>
    </w:r>
    <w:r>
      <w:rPr>
        <w:rStyle w:val="PageNumber"/>
      </w:rPr>
      <w:tab/>
    </w:r>
  </w:p>
  <w:p w:rsidR="009053EF" w:rsidRDefault="009053EF" w:rsidP="009053EF">
    <w:pPr>
      <w:pStyle w:val="Header"/>
      <w:rPr>
        <w:rStyle w:val="PageNumber"/>
      </w:rPr>
    </w:pPr>
    <w:r>
      <w:rPr>
        <w:rStyle w:val="PageNumber"/>
      </w:rPr>
      <w:tab/>
    </w:r>
    <w:r>
      <w:rPr>
        <w:rStyle w:val="PageNumber"/>
      </w:rPr>
      <w:tab/>
    </w:r>
    <w:r>
      <w:rPr>
        <w:rStyle w:val="PageNumber"/>
      </w:rPr>
      <w:tab/>
    </w:r>
    <w:r>
      <w:rPr>
        <w:rStyle w:val="PageNumber"/>
      </w:rPr>
      <w:tab/>
    </w:r>
    <w:r>
      <w:rPr>
        <w:rStyle w:val="PageNumber"/>
      </w:rPr>
      <w:tab/>
      <w:t>ATTACHMENT</w:t>
    </w:r>
  </w:p>
  <w:p w:rsidR="009053EF" w:rsidRDefault="009053EF" w:rsidP="00905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EF" w:rsidRDefault="009053EF">
    <w:pPr>
      <w:pStyle w:val="OrderHeader"/>
    </w:pPr>
    <w:r>
      <w:t xml:space="preserve">ORDER NO. </w:t>
    </w:r>
    <w:r w:rsidR="005A0F4C">
      <w:t>PSC-17-0108-PAA-WU</w:t>
    </w:r>
  </w:p>
  <w:p w:rsidR="009053EF" w:rsidRDefault="009053EF">
    <w:pPr>
      <w:pStyle w:val="OrderHeader"/>
    </w:pPr>
    <w:r>
      <w:t>DOCKET NO. 160145-WU</w:t>
    </w:r>
  </w:p>
  <w:p w:rsidR="009053EF" w:rsidRDefault="009053E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0F4C">
      <w:rPr>
        <w:rStyle w:val="PageNumber"/>
        <w:noProof/>
      </w:rPr>
      <w:t>14</w:t>
    </w:r>
    <w:r>
      <w:rPr>
        <w:rStyle w:val="PageNumber"/>
      </w:rPr>
      <w:fldChar w:fldCharType="end"/>
    </w:r>
  </w:p>
  <w:p w:rsidR="009053EF" w:rsidRDefault="009053EF">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EF" w:rsidRDefault="009053EF" w:rsidP="009053EF">
    <w:pPr>
      <w:pStyle w:val="OrderHeader"/>
    </w:pPr>
    <w:r>
      <w:t xml:space="preserve">ORDER NO. </w:t>
    </w:r>
    <w:r w:rsidR="005A0F4C">
      <w:t>PSC-17-0108-PAA-WU</w:t>
    </w:r>
  </w:p>
  <w:p w:rsidR="009053EF" w:rsidRDefault="009053EF" w:rsidP="009053EF">
    <w:pPr>
      <w:pStyle w:val="OrderHeader"/>
    </w:pPr>
    <w:r>
      <w:t>DOCKET NO. 160145-WU</w:t>
    </w:r>
  </w:p>
  <w:p w:rsidR="009053EF" w:rsidRDefault="009053EF" w:rsidP="009053E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0F4C">
      <w:rPr>
        <w:rStyle w:val="PageNumber"/>
        <w:noProof/>
      </w:rPr>
      <w:t>13</w:t>
    </w:r>
    <w:r>
      <w:rPr>
        <w:rStyle w:val="PageNumber"/>
      </w:rPr>
      <w:fldChar w:fldCharType="end"/>
    </w:r>
    <w:r>
      <w:rPr>
        <w:rStyle w:val="PageNumber"/>
      </w:rPr>
      <w:t xml:space="preserve"> </w:t>
    </w:r>
    <w:r>
      <w:rPr>
        <w:rStyle w:val="PageNumber"/>
      </w:rPr>
      <w:tab/>
    </w:r>
    <w:r>
      <w:rPr>
        <w:rStyle w:val="PageNumber"/>
      </w:rPr>
      <w:tab/>
    </w:r>
  </w:p>
  <w:p w:rsidR="009053EF" w:rsidRDefault="00905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C374C"/>
    <w:multiLevelType w:val="hybridMultilevel"/>
    <w:tmpl w:val="0C8CBA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3D5918"/>
    <w:multiLevelType w:val="hybridMultilevel"/>
    <w:tmpl w:val="F63864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E2850E6"/>
    <w:multiLevelType w:val="hybridMultilevel"/>
    <w:tmpl w:val="2D267F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5-WU"/>
  </w:docVars>
  <w:rsids>
    <w:rsidRoot w:val="00D25AB7"/>
    <w:rsid w:val="000022B8"/>
    <w:rsid w:val="00030E11"/>
    <w:rsid w:val="00053AB9"/>
    <w:rsid w:val="00056229"/>
    <w:rsid w:val="00065FC2"/>
    <w:rsid w:val="00090AFC"/>
    <w:rsid w:val="000D02B8"/>
    <w:rsid w:val="000D06E8"/>
    <w:rsid w:val="000D2D32"/>
    <w:rsid w:val="000E20F0"/>
    <w:rsid w:val="000E344D"/>
    <w:rsid w:val="000F3B2C"/>
    <w:rsid w:val="000F648A"/>
    <w:rsid w:val="000F7BE3"/>
    <w:rsid w:val="001107B3"/>
    <w:rsid w:val="001114B1"/>
    <w:rsid w:val="00116AD3"/>
    <w:rsid w:val="00121957"/>
    <w:rsid w:val="00126593"/>
    <w:rsid w:val="00142A96"/>
    <w:rsid w:val="00166632"/>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B55DD"/>
    <w:rsid w:val="002C7908"/>
    <w:rsid w:val="002D391B"/>
    <w:rsid w:val="002D7D15"/>
    <w:rsid w:val="002E1B2E"/>
    <w:rsid w:val="002E27EB"/>
    <w:rsid w:val="002E7FC6"/>
    <w:rsid w:val="00303FDE"/>
    <w:rsid w:val="003140E8"/>
    <w:rsid w:val="003231C7"/>
    <w:rsid w:val="00325C91"/>
    <w:rsid w:val="003270C4"/>
    <w:rsid w:val="00331ED0"/>
    <w:rsid w:val="00332B0A"/>
    <w:rsid w:val="00333A41"/>
    <w:rsid w:val="00334DE1"/>
    <w:rsid w:val="0035495B"/>
    <w:rsid w:val="003744F5"/>
    <w:rsid w:val="00390DD8"/>
    <w:rsid w:val="00394DC6"/>
    <w:rsid w:val="00397C3E"/>
    <w:rsid w:val="003C0B34"/>
    <w:rsid w:val="003D4CCA"/>
    <w:rsid w:val="003D52A6"/>
    <w:rsid w:val="003D6416"/>
    <w:rsid w:val="003E1D48"/>
    <w:rsid w:val="00411DF2"/>
    <w:rsid w:val="00420498"/>
    <w:rsid w:val="0042527B"/>
    <w:rsid w:val="00457DC7"/>
    <w:rsid w:val="00472BCC"/>
    <w:rsid w:val="00476758"/>
    <w:rsid w:val="00484560"/>
    <w:rsid w:val="00495942"/>
    <w:rsid w:val="004A25CD"/>
    <w:rsid w:val="004A26CC"/>
    <w:rsid w:val="004B2108"/>
    <w:rsid w:val="004B3A2B"/>
    <w:rsid w:val="004B70D3"/>
    <w:rsid w:val="004D2D1B"/>
    <w:rsid w:val="004E469D"/>
    <w:rsid w:val="004E4786"/>
    <w:rsid w:val="004F2DDE"/>
    <w:rsid w:val="00500557"/>
    <w:rsid w:val="0050097F"/>
    <w:rsid w:val="00514B1F"/>
    <w:rsid w:val="00525E93"/>
    <w:rsid w:val="0052671D"/>
    <w:rsid w:val="005363A0"/>
    <w:rsid w:val="00556A10"/>
    <w:rsid w:val="0056209A"/>
    <w:rsid w:val="005963C2"/>
    <w:rsid w:val="005A0F4C"/>
    <w:rsid w:val="005B45F7"/>
    <w:rsid w:val="005B63EA"/>
    <w:rsid w:val="005C1A88"/>
    <w:rsid w:val="005C5033"/>
    <w:rsid w:val="00610E73"/>
    <w:rsid w:val="00621A6C"/>
    <w:rsid w:val="00642362"/>
    <w:rsid w:val="00660774"/>
    <w:rsid w:val="0066389A"/>
    <w:rsid w:val="0066495C"/>
    <w:rsid w:val="00665CC7"/>
    <w:rsid w:val="00672612"/>
    <w:rsid w:val="006A0BF3"/>
    <w:rsid w:val="006A6935"/>
    <w:rsid w:val="006B0DA6"/>
    <w:rsid w:val="006C547E"/>
    <w:rsid w:val="006D58EA"/>
    <w:rsid w:val="006F0316"/>
    <w:rsid w:val="00704C5D"/>
    <w:rsid w:val="00704D3C"/>
    <w:rsid w:val="007072BC"/>
    <w:rsid w:val="00715275"/>
    <w:rsid w:val="00733B6B"/>
    <w:rsid w:val="007467C4"/>
    <w:rsid w:val="007575B3"/>
    <w:rsid w:val="0076170F"/>
    <w:rsid w:val="007658F5"/>
    <w:rsid w:val="0076669C"/>
    <w:rsid w:val="007865E9"/>
    <w:rsid w:val="00792383"/>
    <w:rsid w:val="00797E5F"/>
    <w:rsid w:val="007A060F"/>
    <w:rsid w:val="007C6222"/>
    <w:rsid w:val="007D3D20"/>
    <w:rsid w:val="007E3AFD"/>
    <w:rsid w:val="007E4C00"/>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96EA1"/>
    <w:rsid w:val="008A12EC"/>
    <w:rsid w:val="008C21C8"/>
    <w:rsid w:val="008C6375"/>
    <w:rsid w:val="008C6A5B"/>
    <w:rsid w:val="008E26A5"/>
    <w:rsid w:val="008E42D2"/>
    <w:rsid w:val="009040EE"/>
    <w:rsid w:val="009053EF"/>
    <w:rsid w:val="009057FD"/>
    <w:rsid w:val="00906FBA"/>
    <w:rsid w:val="00922A7F"/>
    <w:rsid w:val="00923A5E"/>
    <w:rsid w:val="00931C8C"/>
    <w:rsid w:val="0094504B"/>
    <w:rsid w:val="009924CF"/>
    <w:rsid w:val="00994100"/>
    <w:rsid w:val="00996285"/>
    <w:rsid w:val="009C684C"/>
    <w:rsid w:val="009D4C29"/>
    <w:rsid w:val="00A62DAB"/>
    <w:rsid w:val="00A726A6"/>
    <w:rsid w:val="00A7781D"/>
    <w:rsid w:val="00A97535"/>
    <w:rsid w:val="00AA73F1"/>
    <w:rsid w:val="00AB0E1A"/>
    <w:rsid w:val="00AB1A30"/>
    <w:rsid w:val="00AD1ED3"/>
    <w:rsid w:val="00B01131"/>
    <w:rsid w:val="00B02C00"/>
    <w:rsid w:val="00B0360D"/>
    <w:rsid w:val="00B0777D"/>
    <w:rsid w:val="00B21038"/>
    <w:rsid w:val="00B24DFF"/>
    <w:rsid w:val="00B4057A"/>
    <w:rsid w:val="00B40894"/>
    <w:rsid w:val="00B45E75"/>
    <w:rsid w:val="00B50876"/>
    <w:rsid w:val="00B55EE5"/>
    <w:rsid w:val="00B73DE6"/>
    <w:rsid w:val="00B86EF0"/>
    <w:rsid w:val="00B96969"/>
    <w:rsid w:val="00B97900"/>
    <w:rsid w:val="00BA1229"/>
    <w:rsid w:val="00BA44A8"/>
    <w:rsid w:val="00BF6691"/>
    <w:rsid w:val="00C028FC"/>
    <w:rsid w:val="00C05A2C"/>
    <w:rsid w:val="00C151A6"/>
    <w:rsid w:val="00C24098"/>
    <w:rsid w:val="00C30A4E"/>
    <w:rsid w:val="00C411F3"/>
    <w:rsid w:val="00C66692"/>
    <w:rsid w:val="00C84CFB"/>
    <w:rsid w:val="00C91123"/>
    <w:rsid w:val="00CA71FF"/>
    <w:rsid w:val="00CB5276"/>
    <w:rsid w:val="00CB68D7"/>
    <w:rsid w:val="00CC7E68"/>
    <w:rsid w:val="00CD534E"/>
    <w:rsid w:val="00CD7132"/>
    <w:rsid w:val="00CE0E6F"/>
    <w:rsid w:val="00CE56FC"/>
    <w:rsid w:val="00CF4CFE"/>
    <w:rsid w:val="00D02E0F"/>
    <w:rsid w:val="00D07509"/>
    <w:rsid w:val="00D23FEA"/>
    <w:rsid w:val="00D25AB7"/>
    <w:rsid w:val="00D269CA"/>
    <w:rsid w:val="00D30B48"/>
    <w:rsid w:val="00D46FAA"/>
    <w:rsid w:val="00D47A40"/>
    <w:rsid w:val="00D517DB"/>
    <w:rsid w:val="00D57BB2"/>
    <w:rsid w:val="00D57E57"/>
    <w:rsid w:val="00D8560E"/>
    <w:rsid w:val="00D8758F"/>
    <w:rsid w:val="00DC1D94"/>
    <w:rsid w:val="00DD4936"/>
    <w:rsid w:val="00DE057F"/>
    <w:rsid w:val="00DE2082"/>
    <w:rsid w:val="00DE2289"/>
    <w:rsid w:val="00E0286C"/>
    <w:rsid w:val="00E03A76"/>
    <w:rsid w:val="00E04410"/>
    <w:rsid w:val="00E11351"/>
    <w:rsid w:val="00E11919"/>
    <w:rsid w:val="00E321DE"/>
    <w:rsid w:val="00E54323"/>
    <w:rsid w:val="00EA172C"/>
    <w:rsid w:val="00EA259B"/>
    <w:rsid w:val="00EA35A3"/>
    <w:rsid w:val="00EA3E6A"/>
    <w:rsid w:val="00EB18EF"/>
    <w:rsid w:val="00EC2F66"/>
    <w:rsid w:val="00EE17DF"/>
    <w:rsid w:val="00EF4621"/>
    <w:rsid w:val="00F234A7"/>
    <w:rsid w:val="00F277B6"/>
    <w:rsid w:val="00F3362C"/>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25AB7"/>
    <w:pPr>
      <w:jc w:val="center"/>
    </w:pPr>
    <w:rPr>
      <w:rFonts w:ascii="Arial" w:hAnsi="Arial"/>
      <w:b/>
    </w:rPr>
  </w:style>
  <w:style w:type="character" w:customStyle="1" w:styleId="FootnoteTextChar">
    <w:name w:val="Footnote Text Char"/>
    <w:link w:val="FootnoteText"/>
    <w:uiPriority w:val="99"/>
    <w:rsid w:val="00D25AB7"/>
  </w:style>
  <w:style w:type="paragraph" w:customStyle="1" w:styleId="IssueHeading">
    <w:name w:val="Issue Heading"/>
    <w:basedOn w:val="Heading1"/>
    <w:next w:val="BodyText"/>
    <w:link w:val="IssueHeadingChar"/>
    <w:qFormat/>
    <w:rsid w:val="00D25AB7"/>
    <w:pPr>
      <w:keepNext w:val="0"/>
    </w:pPr>
    <w:rPr>
      <w:rFonts w:ascii="Arial" w:hAnsi="Arial"/>
      <w:b/>
      <w:i/>
    </w:rPr>
  </w:style>
  <w:style w:type="character" w:customStyle="1" w:styleId="IssueHeadingChar">
    <w:name w:val="Issue Heading Char"/>
    <w:link w:val="IssueHeading"/>
    <w:rsid w:val="00D25AB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25AB7"/>
    <w:pPr>
      <w:keepNext w:val="0"/>
    </w:pPr>
    <w:rPr>
      <w:rFonts w:ascii="Arial" w:hAnsi="Arial"/>
      <w:b/>
      <w:i/>
    </w:rPr>
  </w:style>
  <w:style w:type="character" w:customStyle="1" w:styleId="IssueSubsectionHeadingChar">
    <w:name w:val="Issue Subsection Heading Char"/>
    <w:link w:val="IssueSubsectionHeading"/>
    <w:rsid w:val="00D25AB7"/>
    <w:rPr>
      <w:rFonts w:ascii="Arial" w:hAnsi="Arial" w:cs="Arial"/>
      <w:b/>
      <w:bCs/>
      <w:i/>
      <w:iCs/>
      <w:sz w:val="24"/>
      <w:szCs w:val="28"/>
    </w:rPr>
  </w:style>
  <w:style w:type="paragraph" w:customStyle="1" w:styleId="First-LevelSubheading">
    <w:name w:val="First-Level Subheading"/>
    <w:basedOn w:val="IssueSubsectionHeading"/>
    <w:next w:val="BodyText"/>
    <w:qFormat/>
    <w:rsid w:val="00D25AB7"/>
    <w:pPr>
      <w:spacing w:after="0"/>
      <w:outlineLvl w:val="2"/>
    </w:pPr>
    <w:rPr>
      <w:i w:val="0"/>
    </w:rPr>
  </w:style>
  <w:style w:type="paragraph" w:styleId="BalloonText">
    <w:name w:val="Balloon Text"/>
    <w:basedOn w:val="Normal"/>
    <w:link w:val="BalloonTextChar"/>
    <w:rsid w:val="00476758"/>
    <w:rPr>
      <w:rFonts w:ascii="Tahoma" w:hAnsi="Tahoma" w:cs="Tahoma"/>
      <w:sz w:val="16"/>
      <w:szCs w:val="16"/>
    </w:rPr>
  </w:style>
  <w:style w:type="character" w:customStyle="1" w:styleId="BalloonTextChar">
    <w:name w:val="Balloon Text Char"/>
    <w:basedOn w:val="DefaultParagraphFont"/>
    <w:link w:val="BalloonText"/>
    <w:rsid w:val="004767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25AB7"/>
    <w:pPr>
      <w:jc w:val="center"/>
    </w:pPr>
    <w:rPr>
      <w:rFonts w:ascii="Arial" w:hAnsi="Arial"/>
      <w:b/>
    </w:rPr>
  </w:style>
  <w:style w:type="character" w:customStyle="1" w:styleId="FootnoteTextChar">
    <w:name w:val="Footnote Text Char"/>
    <w:link w:val="FootnoteText"/>
    <w:uiPriority w:val="99"/>
    <w:rsid w:val="00D25AB7"/>
  </w:style>
  <w:style w:type="paragraph" w:customStyle="1" w:styleId="IssueHeading">
    <w:name w:val="Issue Heading"/>
    <w:basedOn w:val="Heading1"/>
    <w:next w:val="BodyText"/>
    <w:link w:val="IssueHeadingChar"/>
    <w:qFormat/>
    <w:rsid w:val="00D25AB7"/>
    <w:pPr>
      <w:keepNext w:val="0"/>
    </w:pPr>
    <w:rPr>
      <w:rFonts w:ascii="Arial" w:hAnsi="Arial"/>
      <w:b/>
      <w:i/>
    </w:rPr>
  </w:style>
  <w:style w:type="character" w:customStyle="1" w:styleId="IssueHeadingChar">
    <w:name w:val="Issue Heading Char"/>
    <w:link w:val="IssueHeading"/>
    <w:rsid w:val="00D25AB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25AB7"/>
    <w:pPr>
      <w:keepNext w:val="0"/>
    </w:pPr>
    <w:rPr>
      <w:rFonts w:ascii="Arial" w:hAnsi="Arial"/>
      <w:b/>
      <w:i/>
    </w:rPr>
  </w:style>
  <w:style w:type="character" w:customStyle="1" w:styleId="IssueSubsectionHeadingChar">
    <w:name w:val="Issue Subsection Heading Char"/>
    <w:link w:val="IssueSubsectionHeading"/>
    <w:rsid w:val="00D25AB7"/>
    <w:rPr>
      <w:rFonts w:ascii="Arial" w:hAnsi="Arial" w:cs="Arial"/>
      <w:b/>
      <w:bCs/>
      <w:i/>
      <w:iCs/>
      <w:sz w:val="24"/>
      <w:szCs w:val="28"/>
    </w:rPr>
  </w:style>
  <w:style w:type="paragraph" w:customStyle="1" w:styleId="First-LevelSubheading">
    <w:name w:val="First-Level Subheading"/>
    <w:basedOn w:val="IssueSubsectionHeading"/>
    <w:next w:val="BodyText"/>
    <w:qFormat/>
    <w:rsid w:val="00D25AB7"/>
    <w:pPr>
      <w:spacing w:after="0"/>
      <w:outlineLvl w:val="2"/>
    </w:pPr>
    <w:rPr>
      <w:i w:val="0"/>
    </w:rPr>
  </w:style>
  <w:style w:type="paragraph" w:styleId="BalloonText">
    <w:name w:val="Balloon Text"/>
    <w:basedOn w:val="Normal"/>
    <w:link w:val="BalloonTextChar"/>
    <w:rsid w:val="00476758"/>
    <w:rPr>
      <w:rFonts w:ascii="Tahoma" w:hAnsi="Tahoma" w:cs="Tahoma"/>
      <w:sz w:val="16"/>
      <w:szCs w:val="16"/>
    </w:rPr>
  </w:style>
  <w:style w:type="character" w:customStyle="1" w:styleId="BalloonTextChar">
    <w:name w:val="Balloon Text Char"/>
    <w:basedOn w:val="DefaultParagraphFont"/>
    <w:link w:val="BalloonText"/>
    <w:rsid w:val="00476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94D5-5717-434E-9A7A-D88F63E2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14</Pages>
  <Words>4778</Words>
  <Characters>25986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2017-03-27T16:08:00Z</dcterms:created>
  <dcterms:modified xsi:type="dcterms:W3CDTF">2017-03-27T17:05:00Z</dcterms:modified>
</cp:coreProperties>
</file>