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73BD" w:rsidP="000E73BD">
      <w:pPr>
        <w:pStyle w:val="OrderHeading"/>
      </w:pPr>
      <w:bookmarkStart w:id="0" w:name="_GoBack"/>
      <w:bookmarkEnd w:id="0"/>
      <w:r>
        <w:t>BEFORE THE FLORIDA PUBLIC SERVICE COMMISSION</w:t>
      </w:r>
    </w:p>
    <w:p w:rsidR="000E73BD" w:rsidRDefault="000E73BD" w:rsidP="000E73BD">
      <w:pPr>
        <w:pStyle w:val="OrderHeading"/>
      </w:pPr>
    </w:p>
    <w:p w:rsidR="000E73BD" w:rsidRDefault="000E73BD" w:rsidP="000E73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73BD" w:rsidRPr="00C63FCF" w:rsidTr="00C63FCF">
        <w:trPr>
          <w:trHeight w:val="828"/>
        </w:trPr>
        <w:tc>
          <w:tcPr>
            <w:tcW w:w="4788" w:type="dxa"/>
            <w:tcBorders>
              <w:bottom w:val="single" w:sz="8" w:space="0" w:color="auto"/>
              <w:right w:val="double" w:sz="6" w:space="0" w:color="auto"/>
            </w:tcBorders>
            <w:shd w:val="clear" w:color="auto" w:fill="auto"/>
          </w:tcPr>
          <w:p w:rsidR="000E73BD" w:rsidRDefault="000E73BD" w:rsidP="00C63FCF">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0E73BD" w:rsidRDefault="000E73BD" w:rsidP="000E73BD">
            <w:pPr>
              <w:pStyle w:val="OrderBody"/>
            </w:pPr>
            <w:r>
              <w:t xml:space="preserve">DOCKET NO. </w:t>
            </w:r>
            <w:bookmarkStart w:id="2" w:name="SSDocketNo"/>
            <w:bookmarkEnd w:id="2"/>
            <w:r>
              <w:t>160101-WS</w:t>
            </w:r>
          </w:p>
          <w:p w:rsidR="000E73BD" w:rsidRDefault="000E73BD" w:rsidP="00C63FCF">
            <w:pPr>
              <w:pStyle w:val="OrderBody"/>
              <w:tabs>
                <w:tab w:val="center" w:pos="4320"/>
                <w:tab w:val="right" w:pos="8640"/>
              </w:tabs>
              <w:jc w:val="left"/>
            </w:pPr>
            <w:r>
              <w:t xml:space="preserve">ORDER NO. </w:t>
            </w:r>
            <w:bookmarkStart w:id="3" w:name="OrderNo0146"/>
            <w:r w:rsidR="00594B62">
              <w:t>PSC-17-0146-PCO-WS</w:t>
            </w:r>
            <w:bookmarkEnd w:id="3"/>
          </w:p>
          <w:p w:rsidR="000E73BD" w:rsidRDefault="000E73BD" w:rsidP="00C63FCF">
            <w:pPr>
              <w:pStyle w:val="OrderBody"/>
              <w:tabs>
                <w:tab w:val="center" w:pos="4320"/>
                <w:tab w:val="right" w:pos="8640"/>
              </w:tabs>
              <w:jc w:val="left"/>
            </w:pPr>
            <w:r>
              <w:t xml:space="preserve">ISSUED: </w:t>
            </w:r>
            <w:r w:rsidR="00594B62">
              <w:t>May 2, 2017</w:t>
            </w:r>
          </w:p>
        </w:tc>
      </w:tr>
    </w:tbl>
    <w:p w:rsidR="000E73BD" w:rsidRDefault="000E73BD" w:rsidP="000E73BD"/>
    <w:p w:rsidR="000E73BD" w:rsidRDefault="000E73BD" w:rsidP="000E73BD"/>
    <w:p w:rsidR="000E73BD" w:rsidRDefault="000E73BD" w:rsidP="000E73BD">
      <w:pPr>
        <w:pStyle w:val="CenterUnderline"/>
      </w:pPr>
      <w:bookmarkStart w:id="4" w:name="Commissioners"/>
      <w:bookmarkEnd w:id="4"/>
      <w:r>
        <w:t>ORDER</w:t>
      </w:r>
      <w:bookmarkStart w:id="5" w:name="OrderTitle"/>
      <w:r w:rsidR="00A709F8">
        <w:t xml:space="preserve"> GRANTING</w:t>
      </w:r>
      <w:r>
        <w:t xml:space="preserve"> PETITION TO INTERVENE</w:t>
      </w:r>
    </w:p>
    <w:p w:rsidR="00CB5276" w:rsidRDefault="000E73BD" w:rsidP="000E73BD">
      <w:pPr>
        <w:pStyle w:val="CenterUnderline"/>
      </w:pPr>
      <w:r>
        <w:t>BY SEMINOLE COUNTY</w:t>
      </w:r>
      <w:r w:rsidR="00683521">
        <w:t>, WITH LIMITATIONS</w:t>
      </w:r>
      <w:r>
        <w:t xml:space="preserve"> </w:t>
      </w:r>
      <w:bookmarkEnd w:id="5"/>
    </w:p>
    <w:p w:rsidR="00EE56E9" w:rsidRDefault="00EE56E9" w:rsidP="000E73BD">
      <w:pPr>
        <w:pStyle w:val="CenterUnderline"/>
      </w:pPr>
    </w:p>
    <w:p w:rsidR="00EE56E9" w:rsidRDefault="00EE56E9" w:rsidP="000E73BD">
      <w:pPr>
        <w:pStyle w:val="CenterUnderline"/>
      </w:pPr>
    </w:p>
    <w:p w:rsidR="0000515A" w:rsidRDefault="000E73BD" w:rsidP="00BB6A3F">
      <w:pPr>
        <w:jc w:val="both"/>
      </w:pPr>
      <w:r>
        <w:tab/>
        <w:t>By petition filed April 26, 2017, Seminole County</w:t>
      </w:r>
      <w:r w:rsidR="00803D36">
        <w:t xml:space="preserve"> (County)</w:t>
      </w:r>
      <w:r>
        <w:t xml:space="preserve"> seeks to intervene in the rate proceeding filed by Utilities, Inc. of Florida (UIF), pursuant to Rule 25-22.039, Florida Administrative Code (F.A.C.).  Seminole County is a UIF customer and purchases water and wastewater service that it resells</w:t>
      </w:r>
      <w:r w:rsidR="00803D36">
        <w:t>.  As a UIF customer, Seminole C</w:t>
      </w:r>
      <w:r>
        <w:t>ounty is substantially affected by UIF’s request for rate relief and has standing in this proceeding.</w:t>
      </w:r>
      <w:r w:rsidR="0000515A">
        <w:t xml:space="preserve">  </w:t>
      </w:r>
      <w:r w:rsidR="0000515A" w:rsidRPr="0000515A">
        <w:rPr>
          <w:i/>
        </w:rPr>
        <w:t>Agrico Chem. Co. v. Dep't of Envtl. Regulation</w:t>
      </w:r>
      <w:r w:rsidR="0000515A">
        <w:t>, 406 So. 2d 478, 482 (Fla. 2</w:t>
      </w:r>
      <w:r w:rsidR="0004182B">
        <w:t>d</w:t>
      </w:r>
      <w:r w:rsidR="0000515A">
        <w:t xml:space="preserve"> DCA 1981).</w:t>
      </w:r>
    </w:p>
    <w:p w:rsidR="000E73BD" w:rsidRDefault="000E73BD" w:rsidP="000E73BD">
      <w:pPr>
        <w:jc w:val="both"/>
      </w:pPr>
    </w:p>
    <w:p w:rsidR="000E73BD" w:rsidRDefault="000E73BD" w:rsidP="000E73BD">
      <w:pPr>
        <w:ind w:firstLine="720"/>
        <w:jc w:val="both"/>
      </w:pPr>
      <w:r w:rsidRPr="00E61671">
        <w:t>Our rule on intervention, which is an exception to the Unif</w:t>
      </w:r>
      <w:r>
        <w:t>orm Rules of Procedure, specifies</w:t>
      </w:r>
      <w:r w:rsidRPr="00E61671">
        <w:t xml:space="preserve"> “</w:t>
      </w:r>
      <w:r w:rsidR="0000515A">
        <w:t>[i]</w:t>
      </w:r>
      <w:r w:rsidRPr="00E61671">
        <w:t>ntervenors take the case as they find it.”  Rule 25-22.039, F.A.C.; Rule 25-40.001, F.A.C.</w:t>
      </w:r>
      <w:r>
        <w:t xml:space="preserve">  </w:t>
      </w:r>
      <w:r w:rsidR="00803D36">
        <w:t>The controlling events for processing UIF’s rate case were established by Commission order.</w:t>
      </w:r>
      <w:r>
        <w:t xml:space="preserve">  </w:t>
      </w:r>
      <w:r w:rsidRPr="001A4893">
        <w:rPr>
          <w:i/>
        </w:rPr>
        <w:t>See</w:t>
      </w:r>
      <w:r w:rsidRPr="001A4893">
        <w:t xml:space="preserve"> Order Establishing Procedure (OEP), O</w:t>
      </w:r>
      <w:r>
        <w:t xml:space="preserve">rder No. PSC-16-0558-PCO-WS, </w:t>
      </w:r>
      <w:r w:rsidRPr="001A4893">
        <w:t xml:space="preserve"> issued</w:t>
      </w:r>
      <w:r w:rsidR="009F0D7F">
        <w:t xml:space="preserve"> December 14, 2016, </w:t>
      </w:r>
      <w:r w:rsidRPr="001A4893">
        <w:t>s</w:t>
      </w:r>
      <w:r>
        <w:t>ubsequently amended by Order No</w:t>
      </w:r>
      <w:r w:rsidRPr="001A4893">
        <w:t>. PSC-16-0578-PCO-WS</w:t>
      </w:r>
      <w:r>
        <w:t>,</w:t>
      </w:r>
      <w:r w:rsidRPr="001A4893">
        <w:t xml:space="preserve"> </w:t>
      </w:r>
      <w:r>
        <w:t xml:space="preserve">issued December 20, 2016 </w:t>
      </w:r>
      <w:r w:rsidRPr="001A4893">
        <w:t>(amending discovery deadline and prehearing conference date)</w:t>
      </w:r>
      <w:r>
        <w:t>,</w:t>
      </w:r>
      <w:r w:rsidRPr="001A4893">
        <w:t xml:space="preserve"> </w:t>
      </w:r>
      <w:r>
        <w:t xml:space="preserve">Order No. </w:t>
      </w:r>
      <w:r w:rsidRPr="001A4893">
        <w:t>PSC-17-0032-PCO-WS</w:t>
      </w:r>
      <w:r>
        <w:t>, issued January 24, 201</w:t>
      </w:r>
      <w:r w:rsidR="00E1654B">
        <w:t>7</w:t>
      </w:r>
      <w:r w:rsidRPr="001A4893">
        <w:t xml:space="preserve"> (amending deadlines for prefiled testimony, discovery, prehearing statements, and briefs)</w:t>
      </w:r>
      <w:r w:rsidR="00EE56E9">
        <w:t xml:space="preserve">, and Order No. PSC-17-0118-PCO-WS, issued April 4, 2017 (amending the number of </w:t>
      </w:r>
      <w:r w:rsidR="00E85013">
        <w:t>interrogatories</w:t>
      </w:r>
      <w:r w:rsidR="00EE56E9">
        <w:t xml:space="preserve"> allowed)</w:t>
      </w:r>
      <w:r w:rsidRPr="001A4893">
        <w:t>.</w:t>
      </w:r>
    </w:p>
    <w:p w:rsidR="0000515A" w:rsidRDefault="0000515A" w:rsidP="000E73BD">
      <w:pPr>
        <w:ind w:firstLine="720"/>
        <w:jc w:val="both"/>
      </w:pPr>
    </w:p>
    <w:p w:rsidR="00BB6A3F" w:rsidRDefault="000E73BD" w:rsidP="000E73BD">
      <w:pPr>
        <w:ind w:firstLine="720"/>
        <w:jc w:val="both"/>
      </w:pPr>
      <w:r>
        <w:t>In its April 26, 2017 petition, Seminole County states it received notice of UIF’s request for rate rel</w:t>
      </w:r>
      <w:r w:rsidR="00803D36">
        <w:t>ief on January 17, 2017.   T</w:t>
      </w:r>
      <w:r>
        <w:t>he County</w:t>
      </w:r>
      <w:r w:rsidR="00803D36">
        <w:t>, however,</w:t>
      </w:r>
      <w:r>
        <w:t xml:space="preserve"> waited more than three months to petition to intervene.</w:t>
      </w:r>
      <w:r w:rsidR="00A709F8">
        <w:t xml:space="preserve">  </w:t>
      </w:r>
      <w:r w:rsidR="00A709F8" w:rsidRPr="00A709F8">
        <w:t xml:space="preserve">When Seminole County filed its petition, the time for prefiling testimony, conducting discovery, filing prehearing statements, </w:t>
      </w:r>
      <w:r w:rsidR="00DE0275">
        <w:t xml:space="preserve">raising new issues, </w:t>
      </w:r>
      <w:r w:rsidR="00A709F8" w:rsidRPr="00A709F8">
        <w:t xml:space="preserve">and participating in the prehearing conference had passed.  The parties had also taken positions on all issues </w:t>
      </w:r>
      <w:r w:rsidR="0000515A">
        <w:t xml:space="preserve">identified in the case that are </w:t>
      </w:r>
      <w:r w:rsidR="00A709F8" w:rsidRPr="00A709F8">
        <w:t>contested by them.</w:t>
      </w:r>
      <w:r>
        <w:t xml:space="preserve">  The current parties have expended significant resources and time to litigate t</w:t>
      </w:r>
      <w:r w:rsidR="0000515A">
        <w:t>his case under the parameters</w:t>
      </w:r>
      <w:r>
        <w:t xml:space="preserve"> established by Chapter</w:t>
      </w:r>
      <w:r w:rsidR="00F26E34">
        <w:t xml:space="preserve">s 120 and </w:t>
      </w:r>
      <w:r>
        <w:t>367, Florida Statutes</w:t>
      </w:r>
      <w:r w:rsidR="002477A8">
        <w:t xml:space="preserve"> (F.S.)</w:t>
      </w:r>
      <w:r>
        <w:t>, Chapters 25-22 and 28-106, F.A.C., and the Commission’s procedural orders.</w:t>
      </w:r>
      <w:r w:rsidR="00DE0275">
        <w:t xml:space="preserve">  No party, however, opposes the County’s intervention.</w:t>
      </w:r>
      <w:r w:rsidR="002477A8">
        <w:t xml:space="preserve">  In addition, Section 367.091(2), F.S., provides the Commission “shall grant intervenor status to any governing body that files a petition.” </w:t>
      </w:r>
    </w:p>
    <w:p w:rsidR="00803D36" w:rsidRDefault="00BB6A3F" w:rsidP="000E73BD">
      <w:pPr>
        <w:ind w:firstLine="720"/>
        <w:jc w:val="both"/>
      </w:pPr>
      <w:r>
        <w:t xml:space="preserve"> </w:t>
      </w:r>
    </w:p>
    <w:p w:rsidR="00DE0275" w:rsidRDefault="00803D36" w:rsidP="000E73BD">
      <w:pPr>
        <w:ind w:firstLine="720"/>
        <w:jc w:val="both"/>
      </w:pPr>
      <w:r>
        <w:t>Accordingly, Seminole County’s petition to intervene is granted</w:t>
      </w:r>
      <w:r w:rsidR="00DE0275">
        <w:t>.</w:t>
      </w:r>
      <w:r w:rsidR="002477A8">
        <w:t xml:space="preserve">  Because under Rule 25-22.039, F.A.C., Seminole County takes the case as it finds it, the following limitations are imposed</w:t>
      </w:r>
      <w:r w:rsidR="00DF2661">
        <w:t>.</w:t>
      </w:r>
      <w:r w:rsidR="002477A8">
        <w:t xml:space="preserve">  </w:t>
      </w:r>
      <w:r w:rsidR="00DE0275" w:rsidRPr="00DE0275">
        <w:t>Seminole County may make an opening statement at the technical hearing.</w:t>
      </w:r>
      <w:r w:rsidR="00DE0275">
        <w:t xml:space="preserve">  The </w:t>
      </w:r>
      <w:r>
        <w:lastRenderedPageBreak/>
        <w:t xml:space="preserve">County has waived its right to </w:t>
      </w:r>
      <w:r w:rsidR="005467E2">
        <w:t>present testimony in the technical hearing</w:t>
      </w:r>
      <w:r w:rsidR="00DE0275">
        <w:t xml:space="preserve">, and </w:t>
      </w:r>
      <w:r w:rsidR="00DE0275" w:rsidRPr="00DE0275">
        <w:t xml:space="preserve">because the County is now a party to the case, no County representative may provide additional testimony </w:t>
      </w:r>
      <w:r w:rsidR="00D14462">
        <w:t xml:space="preserve">on behalf of the County </w:t>
      </w:r>
      <w:r w:rsidR="00DE0275" w:rsidRPr="00DE0275">
        <w:t>at the customer service hearing scheduled for May 8, 201</w:t>
      </w:r>
      <w:r w:rsidR="002604AB">
        <w:t>7</w:t>
      </w:r>
      <w:r w:rsidR="00DE0275" w:rsidRPr="00DE0275">
        <w:t>.</w:t>
      </w:r>
      <w:r w:rsidR="00DE0275">
        <w:t xml:space="preserve">  </w:t>
      </w:r>
      <w:r w:rsidR="00BB6A3F">
        <w:t xml:space="preserve"> The County may </w:t>
      </w:r>
      <w:r w:rsidR="00DE0275">
        <w:t xml:space="preserve">also </w:t>
      </w:r>
      <w:r>
        <w:t>conduct cross examination</w:t>
      </w:r>
      <w:r w:rsidR="00BB6A3F">
        <w:t xml:space="preserve"> and</w:t>
      </w:r>
      <w:r>
        <w:t xml:space="preserve"> file post hearing briefs</w:t>
      </w:r>
      <w:r w:rsidR="00BB6A3F">
        <w:t xml:space="preserve"> on the rate structure issues </w:t>
      </w:r>
      <w:r w:rsidR="002477A8">
        <w:t>specifically i</w:t>
      </w:r>
      <w:r w:rsidR="00BB6A3F">
        <w:t xml:space="preserve">dentified as Issues </w:t>
      </w:r>
      <w:r w:rsidR="0099344F">
        <w:t xml:space="preserve">60, </w:t>
      </w:r>
      <w:r w:rsidR="00BB6A3F">
        <w:t>61</w:t>
      </w:r>
      <w:r w:rsidR="0099344F">
        <w:t>, 62, 64, and 65</w:t>
      </w:r>
      <w:r w:rsidR="0099344F">
        <w:rPr>
          <w:rStyle w:val="FootnoteReference"/>
        </w:rPr>
        <w:footnoteReference w:id="1"/>
      </w:r>
      <w:r w:rsidR="00BB6A3F">
        <w:t xml:space="preserve"> in the Prehearing Order to be issued</w:t>
      </w:r>
      <w:r w:rsidR="002477A8">
        <w:t>,</w:t>
      </w:r>
      <w:r w:rsidR="003F5CB0">
        <w:rPr>
          <w:rStyle w:val="FootnoteReference"/>
        </w:rPr>
        <w:footnoteReference w:id="2"/>
      </w:r>
      <w:r w:rsidR="002477A8">
        <w:t xml:space="preserve"> and on other issues as deemed appropriate by the presiding officer.</w:t>
      </w:r>
    </w:p>
    <w:p w:rsidR="00DE0275" w:rsidRDefault="00DE0275" w:rsidP="0000515A">
      <w:pPr>
        <w:ind w:firstLine="720"/>
        <w:jc w:val="both"/>
      </w:pPr>
    </w:p>
    <w:p w:rsidR="0000515A" w:rsidRDefault="0000515A" w:rsidP="0000515A">
      <w:pPr>
        <w:ind w:firstLine="720"/>
        <w:jc w:val="both"/>
      </w:pPr>
      <w:r>
        <w:t>A</w:t>
      </w:r>
      <w:r w:rsidRPr="00EF6E61">
        <w:t xml:space="preserve">t the February 2, 2017, </w:t>
      </w:r>
      <w:r>
        <w:t xml:space="preserve">customer </w:t>
      </w:r>
      <w:r w:rsidRPr="00EF6E61">
        <w:t xml:space="preserve">service hearing in Altamonte Springs, Seminole County Commissioner Lee Constantine and Ralph Terrero spoke on behalf of Seminole County.  In addition, Mr. Terrero submitted written comments, which are </w:t>
      </w:r>
      <w:r>
        <w:t xml:space="preserve">included in the transcript of the customer service hearing </w:t>
      </w:r>
      <w:r w:rsidRPr="00EF6E61">
        <w:t>as Exhibit 20.</w:t>
      </w:r>
      <w:r>
        <w:t xml:space="preserve">  Testimony taken at the service hearings will become part of the hearing record.</w:t>
      </w:r>
    </w:p>
    <w:p w:rsidR="000E73BD" w:rsidRDefault="000E73BD" w:rsidP="000E73BD">
      <w:pPr>
        <w:jc w:val="both"/>
      </w:pPr>
    </w:p>
    <w:p w:rsidR="000E73BD" w:rsidRDefault="000E73BD" w:rsidP="000E73BD">
      <w:pPr>
        <w:jc w:val="both"/>
      </w:pPr>
      <w:r>
        <w:tab/>
        <w:t xml:space="preserve">This order, as well as all other procedural orders entered in this case, are entered pursuant to the authority granted by Rule 28-106.211, F.A.C., which provides </w:t>
      </w:r>
      <w:r w:rsidR="009F0D7F">
        <w:t xml:space="preserve">that </w:t>
      </w:r>
      <w:r>
        <w:t>the presiding officer before whom a case is pending</w:t>
      </w:r>
      <w:r w:rsidR="009F0D7F">
        <w:t xml:space="preserve"> has</w:t>
      </w:r>
      <w:r>
        <w:t xml:space="preserve"> the authority to issue any orders necessary to effectuate discovery, prevent delay, and promote the just, speedy, and inexpensive determination of all aspects of the case.</w:t>
      </w:r>
      <w:r>
        <w:rPr>
          <w:rStyle w:val="FootnoteReference"/>
        </w:rPr>
        <w:footnoteReference w:id="3"/>
      </w:r>
    </w:p>
    <w:p w:rsidR="000E73BD" w:rsidRDefault="000E73BD" w:rsidP="000E73BD">
      <w:pPr>
        <w:jc w:val="both"/>
      </w:pPr>
    </w:p>
    <w:p w:rsidR="000E73BD" w:rsidRDefault="000E73BD" w:rsidP="000E73BD">
      <w:pPr>
        <w:jc w:val="both"/>
      </w:pPr>
      <w:r>
        <w:tab/>
        <w:t>It is</w:t>
      </w:r>
      <w:r w:rsidR="00F26E34">
        <w:t>,</w:t>
      </w:r>
      <w:r>
        <w:t xml:space="preserve"> therefore</w:t>
      </w:r>
      <w:r w:rsidR="00F26E34">
        <w:t>,</w:t>
      </w:r>
    </w:p>
    <w:p w:rsidR="000E73BD" w:rsidRDefault="000E73BD" w:rsidP="000E73BD">
      <w:pPr>
        <w:jc w:val="both"/>
      </w:pPr>
    </w:p>
    <w:p w:rsidR="000E73BD" w:rsidRDefault="000E73BD" w:rsidP="000E73BD">
      <w:pPr>
        <w:jc w:val="both"/>
      </w:pPr>
      <w:r>
        <w:tab/>
        <w:t>ORDERED by Commissioner Ronald A. Brisé that</w:t>
      </w:r>
      <w:r w:rsidR="005467E2">
        <w:t xml:space="preserve"> Seminole County’s Petition to Intervene is granted subject to the limitations discussed above.</w:t>
      </w:r>
      <w:r w:rsidR="009F0D7F">
        <w:t xml:space="preserve">  It is further</w:t>
      </w:r>
    </w:p>
    <w:p w:rsidR="009F0D7F" w:rsidRDefault="009F0D7F" w:rsidP="009F0D7F">
      <w:pPr>
        <w:jc w:val="both"/>
      </w:pPr>
    </w:p>
    <w:p w:rsidR="00485C08" w:rsidRDefault="009F0D7F" w:rsidP="009F0D7F">
      <w:pPr>
        <w:ind w:firstLine="720"/>
        <w:jc w:val="both"/>
      </w:pPr>
      <w:r>
        <w:t>ORDERED that all parties to this proceeding shall furnish copies of all pleadings or documents which may hereinafter be filed in this proceeding, to:</w:t>
      </w:r>
    </w:p>
    <w:p w:rsidR="00485C08" w:rsidRDefault="00485C08">
      <w:r>
        <w:br w:type="page"/>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770"/>
      </w:tblGrid>
      <w:tr w:rsidR="00B0631D" w:rsidTr="00B0631D">
        <w:tc>
          <w:tcPr>
            <w:tcW w:w="4410" w:type="dxa"/>
          </w:tcPr>
          <w:p w:rsidR="00B0631D" w:rsidRDefault="00B0631D" w:rsidP="00B0631D">
            <w:pPr>
              <w:ind w:firstLine="720"/>
              <w:jc w:val="both"/>
            </w:pPr>
            <w:r>
              <w:lastRenderedPageBreak/>
              <w:t>William S. Bilenky, Esq.</w:t>
            </w:r>
          </w:p>
          <w:p w:rsidR="00B0631D" w:rsidRDefault="00B0631D" w:rsidP="00B0631D">
            <w:pPr>
              <w:ind w:firstLine="720"/>
              <w:jc w:val="both"/>
            </w:pPr>
            <w:r>
              <w:t>Douglas P. Manson, Esq.</w:t>
            </w:r>
          </w:p>
          <w:p w:rsidR="00B0631D" w:rsidRDefault="00B0631D" w:rsidP="00B0631D">
            <w:pPr>
              <w:ind w:firstLine="720"/>
              <w:jc w:val="both"/>
            </w:pPr>
            <w:r>
              <w:t>Manson, Bolves, Donaldson &amp;Varn</w:t>
            </w:r>
          </w:p>
          <w:p w:rsidR="00B0631D" w:rsidRDefault="00B0631D" w:rsidP="00B0631D">
            <w:pPr>
              <w:ind w:firstLine="720"/>
              <w:jc w:val="both"/>
            </w:pPr>
            <w:r>
              <w:t>1101 Swann Avenue</w:t>
            </w:r>
          </w:p>
          <w:p w:rsidR="00B0631D" w:rsidRDefault="00B0631D" w:rsidP="00B0631D">
            <w:pPr>
              <w:ind w:firstLine="720"/>
              <w:jc w:val="both"/>
            </w:pPr>
            <w:r>
              <w:t>Tampa, Florida 33606</w:t>
            </w:r>
          </w:p>
          <w:p w:rsidR="00B0631D" w:rsidRDefault="00B0631D" w:rsidP="00B0631D">
            <w:pPr>
              <w:ind w:firstLine="720"/>
              <w:jc w:val="both"/>
            </w:pPr>
            <w:r>
              <w:t>Tele</w:t>
            </w:r>
            <w:r w:rsidR="005B3425">
              <w:t>phone:</w:t>
            </w:r>
            <w:r>
              <w:t xml:space="preserve"> </w:t>
            </w:r>
            <w:r w:rsidR="005B3425">
              <w:t>(</w:t>
            </w:r>
            <w:r>
              <w:t>813</w:t>
            </w:r>
            <w:r w:rsidR="005B3425">
              <w:t>)</w:t>
            </w:r>
            <w:r>
              <w:t xml:space="preserve"> 514-4700</w:t>
            </w:r>
          </w:p>
          <w:p w:rsidR="00B0631D" w:rsidRDefault="00B0631D" w:rsidP="00B0631D">
            <w:pPr>
              <w:ind w:firstLine="720"/>
              <w:jc w:val="both"/>
            </w:pPr>
            <w:r>
              <w:t>Fax</w:t>
            </w:r>
            <w:r w:rsidR="005B3425">
              <w:t>:</w:t>
            </w:r>
            <w:r>
              <w:t xml:space="preserve"> </w:t>
            </w:r>
            <w:r w:rsidR="005B3425">
              <w:t>(</w:t>
            </w:r>
            <w:r>
              <w:t>813</w:t>
            </w:r>
            <w:r w:rsidR="005B3425">
              <w:t>)</w:t>
            </w:r>
            <w:r>
              <w:t xml:space="preserve"> 514-4701</w:t>
            </w:r>
          </w:p>
          <w:p w:rsidR="00B0631D" w:rsidRDefault="00B840CE" w:rsidP="00B0631D">
            <w:pPr>
              <w:ind w:firstLine="720"/>
              <w:jc w:val="both"/>
            </w:pPr>
            <w:hyperlink r:id="rId8" w:history="1">
              <w:r w:rsidR="00B0631D" w:rsidRPr="00C6055B">
                <w:rPr>
                  <w:rStyle w:val="Hyperlink"/>
                </w:rPr>
                <w:t>bbilenky@mansonbolves.com</w:t>
              </w:r>
            </w:hyperlink>
          </w:p>
          <w:p w:rsidR="00B0631D" w:rsidRDefault="00B840CE" w:rsidP="00B0631D">
            <w:pPr>
              <w:ind w:firstLine="720"/>
              <w:jc w:val="both"/>
            </w:pPr>
            <w:hyperlink r:id="rId9" w:history="1">
              <w:r w:rsidR="00B0631D" w:rsidRPr="00C6055B">
                <w:rPr>
                  <w:rStyle w:val="Hyperlink"/>
                </w:rPr>
                <w:t>dmanson@mansonbolves.com</w:t>
              </w:r>
            </w:hyperlink>
          </w:p>
          <w:p w:rsidR="00B0631D" w:rsidRDefault="00B840CE" w:rsidP="00B0631D">
            <w:pPr>
              <w:ind w:firstLine="720"/>
              <w:jc w:val="both"/>
            </w:pPr>
            <w:hyperlink r:id="rId10" w:history="1">
              <w:r w:rsidR="00B0631D" w:rsidRPr="00C502A5">
                <w:rPr>
                  <w:rStyle w:val="Hyperlink"/>
                </w:rPr>
                <w:t>dcantwell@mansonbolves.com</w:t>
              </w:r>
            </w:hyperlink>
          </w:p>
          <w:p w:rsidR="00B0631D" w:rsidRDefault="00B0631D" w:rsidP="009F0D7F">
            <w:pPr>
              <w:jc w:val="both"/>
            </w:pPr>
          </w:p>
        </w:tc>
        <w:tc>
          <w:tcPr>
            <w:tcW w:w="4770" w:type="dxa"/>
          </w:tcPr>
          <w:p w:rsidR="00B0631D" w:rsidRDefault="00B0631D" w:rsidP="00B0631D">
            <w:pPr>
              <w:ind w:firstLine="720"/>
              <w:jc w:val="both"/>
            </w:pPr>
            <w:r>
              <w:t>Edward de la Parte, Jr.</w:t>
            </w:r>
          </w:p>
          <w:p w:rsidR="00B0631D" w:rsidRDefault="00B0631D" w:rsidP="00B0631D">
            <w:pPr>
              <w:ind w:firstLine="720"/>
              <w:jc w:val="both"/>
            </w:pPr>
            <w:r>
              <w:t xml:space="preserve">Nick Porter de la Parte &amp; Gilbert, P.A. </w:t>
            </w:r>
          </w:p>
          <w:p w:rsidR="00B0631D" w:rsidRDefault="00B0631D" w:rsidP="00B0631D">
            <w:pPr>
              <w:ind w:firstLine="720"/>
              <w:jc w:val="both"/>
            </w:pPr>
            <w:r>
              <w:t xml:space="preserve">101 East Kennedy Blvd. Suite </w:t>
            </w:r>
          </w:p>
          <w:p w:rsidR="00B0631D" w:rsidRDefault="00B0631D" w:rsidP="00B0631D">
            <w:pPr>
              <w:ind w:firstLine="720"/>
              <w:jc w:val="both"/>
            </w:pPr>
            <w:r>
              <w:t>2000 Tampa, Florida 33601</w:t>
            </w:r>
          </w:p>
          <w:p w:rsidR="00B0631D" w:rsidRDefault="00B0631D" w:rsidP="00B0631D">
            <w:pPr>
              <w:ind w:firstLine="720"/>
              <w:jc w:val="both"/>
            </w:pPr>
            <w:r>
              <w:t>Telephone: (813) 229-2775</w:t>
            </w:r>
          </w:p>
          <w:p w:rsidR="00B0631D" w:rsidRDefault="00B0631D" w:rsidP="00B0631D">
            <w:pPr>
              <w:ind w:firstLine="720"/>
              <w:jc w:val="both"/>
            </w:pPr>
            <w:r>
              <w:t xml:space="preserve">Fax: (813) 229-2712 </w:t>
            </w:r>
          </w:p>
          <w:p w:rsidR="00B0631D" w:rsidRDefault="00B840CE" w:rsidP="00B0631D">
            <w:pPr>
              <w:ind w:firstLine="720"/>
              <w:jc w:val="both"/>
            </w:pPr>
            <w:hyperlink r:id="rId11" w:history="1">
              <w:r w:rsidR="00B0631D" w:rsidRPr="00C6055B">
                <w:rPr>
                  <w:rStyle w:val="Hyperlink"/>
                </w:rPr>
                <w:t>edelaparte@dgfirm.com</w:t>
              </w:r>
            </w:hyperlink>
          </w:p>
          <w:p w:rsidR="00B0631D" w:rsidRDefault="00B840CE" w:rsidP="00B0631D">
            <w:pPr>
              <w:ind w:firstLine="720"/>
              <w:jc w:val="both"/>
            </w:pPr>
            <w:hyperlink r:id="rId12" w:history="1">
              <w:r w:rsidR="00B0631D" w:rsidRPr="00C6055B">
                <w:rPr>
                  <w:rStyle w:val="Hyperlink"/>
                </w:rPr>
                <w:t>nporter@dgfirm.com</w:t>
              </w:r>
            </w:hyperlink>
          </w:p>
          <w:p w:rsidR="00B0631D" w:rsidRDefault="00B0631D" w:rsidP="00B0631D">
            <w:pPr>
              <w:ind w:firstLine="720"/>
              <w:jc w:val="both"/>
            </w:pPr>
          </w:p>
          <w:p w:rsidR="00B0631D" w:rsidRDefault="00B0631D" w:rsidP="009F0D7F">
            <w:pPr>
              <w:jc w:val="both"/>
            </w:pPr>
          </w:p>
        </w:tc>
      </w:tr>
    </w:tbl>
    <w:p w:rsidR="000E73BD" w:rsidRDefault="000E73BD" w:rsidP="00594B62">
      <w:pPr>
        <w:keepNext/>
        <w:keepLines/>
        <w:ind w:firstLine="720"/>
        <w:jc w:val="both"/>
      </w:pPr>
      <w:r>
        <w:t xml:space="preserve">By ORDER of Commissioner Ronald A. Brisé, as Prehearing Officer, this </w:t>
      </w:r>
      <w:bookmarkStart w:id="6" w:name="replaceDate"/>
      <w:bookmarkEnd w:id="6"/>
      <w:r w:rsidR="00594B62">
        <w:rPr>
          <w:u w:val="single"/>
        </w:rPr>
        <w:t>2nd</w:t>
      </w:r>
      <w:r w:rsidR="00594B62">
        <w:t xml:space="preserve"> day of </w:t>
      </w:r>
      <w:r w:rsidR="00594B62">
        <w:rPr>
          <w:u w:val="single"/>
        </w:rPr>
        <w:t>May</w:t>
      </w:r>
      <w:r w:rsidR="00594B62">
        <w:t xml:space="preserve">, </w:t>
      </w:r>
      <w:r w:rsidR="00594B62">
        <w:rPr>
          <w:u w:val="single"/>
        </w:rPr>
        <w:t>2017</w:t>
      </w:r>
      <w:r w:rsidR="00594B62">
        <w:t>.</w:t>
      </w:r>
    </w:p>
    <w:p w:rsidR="00594B62" w:rsidRPr="00594B62" w:rsidRDefault="00594B62" w:rsidP="00594B62">
      <w:pPr>
        <w:keepNext/>
        <w:keepLines/>
        <w:ind w:firstLine="720"/>
        <w:jc w:val="both"/>
      </w:pPr>
    </w:p>
    <w:p w:rsidR="000E73BD" w:rsidRDefault="000E73BD" w:rsidP="000E73BD">
      <w:pPr>
        <w:keepNext/>
        <w:keepLines/>
        <w:jc w:val="both"/>
      </w:pPr>
    </w:p>
    <w:p w:rsidR="000E73BD" w:rsidRDefault="000E73BD" w:rsidP="000E73BD">
      <w:pPr>
        <w:keepNext/>
        <w:keepLines/>
        <w:jc w:val="both"/>
      </w:pPr>
    </w:p>
    <w:p w:rsidR="000E73BD" w:rsidRDefault="000E73BD" w:rsidP="000E73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73BD" w:rsidTr="000E73BD">
        <w:tc>
          <w:tcPr>
            <w:tcW w:w="720" w:type="dxa"/>
            <w:shd w:val="clear" w:color="auto" w:fill="auto"/>
          </w:tcPr>
          <w:p w:rsidR="000E73BD" w:rsidRDefault="000E73BD" w:rsidP="000E73BD">
            <w:pPr>
              <w:keepNext/>
              <w:keepLines/>
              <w:jc w:val="both"/>
            </w:pPr>
            <w:bookmarkStart w:id="7" w:name="bkmrkSignature" w:colFirst="0" w:colLast="0"/>
          </w:p>
        </w:tc>
        <w:tc>
          <w:tcPr>
            <w:tcW w:w="4320" w:type="dxa"/>
            <w:tcBorders>
              <w:bottom w:val="single" w:sz="4" w:space="0" w:color="auto"/>
            </w:tcBorders>
            <w:shd w:val="clear" w:color="auto" w:fill="auto"/>
          </w:tcPr>
          <w:p w:rsidR="000E73BD" w:rsidRDefault="00594B62" w:rsidP="000E73BD">
            <w:pPr>
              <w:keepNext/>
              <w:keepLines/>
              <w:jc w:val="both"/>
            </w:pPr>
            <w:r>
              <w:t>/s/ Ronald A. Brisé</w:t>
            </w:r>
          </w:p>
        </w:tc>
      </w:tr>
      <w:bookmarkEnd w:id="7"/>
      <w:tr w:rsidR="000E73BD" w:rsidTr="000E73BD">
        <w:tc>
          <w:tcPr>
            <w:tcW w:w="720" w:type="dxa"/>
            <w:shd w:val="clear" w:color="auto" w:fill="auto"/>
          </w:tcPr>
          <w:p w:rsidR="000E73BD" w:rsidRDefault="000E73BD" w:rsidP="000E73BD">
            <w:pPr>
              <w:keepNext/>
              <w:keepLines/>
              <w:jc w:val="both"/>
            </w:pPr>
          </w:p>
        </w:tc>
        <w:tc>
          <w:tcPr>
            <w:tcW w:w="4320" w:type="dxa"/>
            <w:tcBorders>
              <w:top w:val="single" w:sz="4" w:space="0" w:color="auto"/>
            </w:tcBorders>
            <w:shd w:val="clear" w:color="auto" w:fill="auto"/>
          </w:tcPr>
          <w:p w:rsidR="000E73BD" w:rsidRDefault="000E73BD" w:rsidP="000E73BD">
            <w:pPr>
              <w:keepNext/>
              <w:keepLines/>
              <w:jc w:val="both"/>
            </w:pPr>
            <w:r>
              <w:t>RONALD A. BRISÉ</w:t>
            </w:r>
          </w:p>
          <w:p w:rsidR="000E73BD" w:rsidRDefault="000E73BD" w:rsidP="000E73BD">
            <w:pPr>
              <w:keepNext/>
              <w:keepLines/>
              <w:jc w:val="both"/>
            </w:pPr>
            <w:r>
              <w:t>Commissioner and Prehearing Officer</w:t>
            </w:r>
          </w:p>
        </w:tc>
      </w:tr>
    </w:tbl>
    <w:p w:rsidR="000E73BD" w:rsidRDefault="000E73BD" w:rsidP="000E73BD">
      <w:pPr>
        <w:pStyle w:val="OrderSigInfo"/>
        <w:keepNext/>
        <w:keepLines/>
      </w:pPr>
      <w:r>
        <w:t>Florida Public Service Commission</w:t>
      </w:r>
    </w:p>
    <w:p w:rsidR="000E73BD" w:rsidRDefault="000E73BD" w:rsidP="000E73BD">
      <w:pPr>
        <w:pStyle w:val="OrderSigInfo"/>
        <w:keepNext/>
        <w:keepLines/>
      </w:pPr>
      <w:r>
        <w:t>2540 Shumard Oak Boulevard</w:t>
      </w:r>
    </w:p>
    <w:p w:rsidR="000E73BD" w:rsidRDefault="000E73BD" w:rsidP="000E73BD">
      <w:pPr>
        <w:pStyle w:val="OrderSigInfo"/>
        <w:keepNext/>
        <w:keepLines/>
      </w:pPr>
      <w:r>
        <w:t>Tallahassee, Florida  32399</w:t>
      </w:r>
    </w:p>
    <w:p w:rsidR="000E73BD" w:rsidRDefault="000E73BD" w:rsidP="000E73BD">
      <w:pPr>
        <w:pStyle w:val="OrderSigInfo"/>
        <w:keepNext/>
        <w:keepLines/>
      </w:pPr>
      <w:r>
        <w:t>(850) 413</w:t>
      </w:r>
      <w:r>
        <w:noBreakHyphen/>
        <w:t>6770</w:t>
      </w:r>
    </w:p>
    <w:p w:rsidR="000E73BD" w:rsidRDefault="000E73BD" w:rsidP="000E73BD">
      <w:pPr>
        <w:pStyle w:val="OrderSigInfo"/>
        <w:keepNext/>
        <w:keepLines/>
      </w:pPr>
      <w:r>
        <w:t>www.floridapsc.com</w:t>
      </w:r>
    </w:p>
    <w:p w:rsidR="000E73BD" w:rsidRDefault="000E73BD" w:rsidP="000E73BD">
      <w:pPr>
        <w:pStyle w:val="OrderSigInfo"/>
        <w:keepNext/>
        <w:keepLines/>
      </w:pPr>
    </w:p>
    <w:p w:rsidR="000E73BD" w:rsidRDefault="000E73BD" w:rsidP="000E73BD">
      <w:pPr>
        <w:pStyle w:val="OrderSigInfo"/>
        <w:keepNext/>
        <w:keepLines/>
      </w:pPr>
      <w:r>
        <w:t>Copies furnished:  A copy of this document is provided to the parties of record at the time of issuance and, if applicable, interested persons.</w:t>
      </w:r>
    </w:p>
    <w:p w:rsidR="000E73BD" w:rsidRDefault="000E73BD" w:rsidP="000E73BD">
      <w:pPr>
        <w:pStyle w:val="OrderBody"/>
        <w:keepNext/>
        <w:keepLines/>
      </w:pPr>
    </w:p>
    <w:p w:rsidR="000E73BD" w:rsidRDefault="000E73BD" w:rsidP="000E73BD">
      <w:pPr>
        <w:keepNext/>
        <w:keepLines/>
        <w:jc w:val="both"/>
      </w:pPr>
    </w:p>
    <w:p w:rsidR="000E73BD" w:rsidRDefault="000E73BD" w:rsidP="000E73BD">
      <w:pPr>
        <w:keepNext/>
        <w:keepLines/>
        <w:jc w:val="both"/>
      </w:pPr>
      <w:r>
        <w:t>MAH</w:t>
      </w:r>
    </w:p>
    <w:p w:rsidR="000E73BD" w:rsidRDefault="000E73BD" w:rsidP="000E73BD">
      <w:pPr>
        <w:jc w:val="both"/>
      </w:pPr>
    </w:p>
    <w:p w:rsidR="000E73BD" w:rsidRDefault="000E73BD" w:rsidP="000E73BD">
      <w:pPr>
        <w:jc w:val="both"/>
      </w:pPr>
    </w:p>
    <w:p w:rsidR="000E73BD" w:rsidRDefault="000E73BD" w:rsidP="000E73BD">
      <w:pPr>
        <w:pStyle w:val="CenterUnderline"/>
      </w:pPr>
      <w:bookmarkStart w:id="8" w:name="OrderText"/>
      <w:bookmarkEnd w:id="8"/>
      <w:r>
        <w:t>NOTICE OF FURTHER PROCEEDINGS OR JUDICIAL REVIEW</w:t>
      </w:r>
    </w:p>
    <w:p w:rsidR="00CB5276" w:rsidRDefault="00CB5276" w:rsidP="000E73BD">
      <w:pPr>
        <w:pStyle w:val="CenterUnderline"/>
      </w:pPr>
    </w:p>
    <w:p w:rsidR="000E73BD" w:rsidRDefault="000E73BD" w:rsidP="000E73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73BD" w:rsidRDefault="000E73BD" w:rsidP="000E73BD">
      <w:pPr>
        <w:pStyle w:val="OrderBody"/>
      </w:pPr>
    </w:p>
    <w:p w:rsidR="000E73BD" w:rsidRDefault="000E73BD" w:rsidP="000E73BD">
      <w:pPr>
        <w:pStyle w:val="OrderBody"/>
      </w:pPr>
      <w:r>
        <w:tab/>
        <w:t>Mediation may be available on a case-by-case basis.  If mediation is conducted, it does not affect a substantially interested person's right to a hearing.</w:t>
      </w:r>
    </w:p>
    <w:p w:rsidR="000E73BD" w:rsidRDefault="000E73BD" w:rsidP="000E73BD">
      <w:pPr>
        <w:pStyle w:val="OrderBody"/>
      </w:pPr>
    </w:p>
    <w:p w:rsidR="000E73BD" w:rsidRDefault="000E73BD" w:rsidP="000E73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73BD" w:rsidRDefault="000E73BD" w:rsidP="000E73BD">
      <w:pPr>
        <w:pStyle w:val="OrderBody"/>
      </w:pPr>
    </w:p>
    <w:sectPr w:rsidR="000E73BD">
      <w:headerReference w:type="even" r:id="rId13"/>
      <w:head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BD" w:rsidRDefault="000E73BD">
      <w:r>
        <w:separator/>
      </w:r>
    </w:p>
  </w:endnote>
  <w:endnote w:type="continuationSeparator" w:id="0">
    <w:p w:rsidR="000E73BD" w:rsidRDefault="000E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BD" w:rsidRDefault="000E73BD">
      <w:r>
        <w:separator/>
      </w:r>
    </w:p>
  </w:footnote>
  <w:footnote w:type="continuationSeparator" w:id="0">
    <w:p w:rsidR="000E73BD" w:rsidRDefault="000E73BD">
      <w:r>
        <w:continuationSeparator/>
      </w:r>
    </w:p>
  </w:footnote>
  <w:footnote w:id="1">
    <w:p w:rsidR="0099344F" w:rsidRDefault="0099344F">
      <w:pPr>
        <w:pStyle w:val="FootnoteText"/>
      </w:pPr>
      <w:r>
        <w:rPr>
          <w:rStyle w:val="FootnoteReference"/>
        </w:rPr>
        <w:footnoteRef/>
      </w:r>
      <w:r>
        <w:t xml:space="preserve"> Issue 60:  What, if any, limits should be imposed on subsidy values that could result if stand-alone rates are converted to a consolidated rate structure for the water and wastewater systems?</w:t>
      </w:r>
    </w:p>
    <w:p w:rsidR="0099344F" w:rsidRDefault="0099344F">
      <w:pPr>
        <w:pStyle w:val="FootnoteText"/>
      </w:pPr>
      <w:r>
        <w:t>Issue 61:  Which water systems, if any, should be consolidated in</w:t>
      </w:r>
      <w:r w:rsidR="00DF6218">
        <w:t>to</w:t>
      </w:r>
      <w:r>
        <w:t xml:space="preserve"> a single rate structure?</w:t>
      </w:r>
    </w:p>
    <w:p w:rsidR="0099344F" w:rsidRDefault="0099344F">
      <w:pPr>
        <w:pStyle w:val="FootnoteText"/>
      </w:pPr>
      <w:r>
        <w:t xml:space="preserve">Issue 62:  </w:t>
      </w:r>
      <w:r w:rsidRPr="0099344F">
        <w:t>What are the appropriate rate structures and rates for the water systems?</w:t>
      </w:r>
      <w:r>
        <w:t xml:space="preserve">  </w:t>
      </w:r>
    </w:p>
    <w:p w:rsidR="0099344F" w:rsidRDefault="0099344F">
      <w:pPr>
        <w:pStyle w:val="FootnoteText"/>
      </w:pPr>
      <w:r>
        <w:t>Issue 64:  Which wastewater systems, if any, should be consolidated into a single rate structure?</w:t>
      </w:r>
    </w:p>
    <w:p w:rsidR="0099344F" w:rsidRDefault="0099344F" w:rsidP="0099344F">
      <w:pPr>
        <w:pStyle w:val="FootnoteText"/>
      </w:pPr>
      <w:r>
        <w:t>Issue 65:  What are the appropriate rate structures and rates for the wastewater systems?</w:t>
      </w:r>
    </w:p>
  </w:footnote>
  <w:footnote w:id="2">
    <w:p w:rsidR="003F5CB0" w:rsidRDefault="003F5CB0">
      <w:pPr>
        <w:pStyle w:val="FootnoteText"/>
      </w:pPr>
      <w:r>
        <w:rPr>
          <w:rStyle w:val="FootnoteReference"/>
        </w:rPr>
        <w:footnoteRef/>
      </w:r>
      <w:r>
        <w:t xml:space="preserve"> In its petition, Seminole County complains about the process the County must use to collect payment from its customers to whom it resells water and wastewater service.  The County’s pass through practices and the use of Section 153.64, F.S., have not been raised by any party. </w:t>
      </w:r>
      <w:r w:rsidR="00485C08">
        <w:t xml:space="preserve"> These are not the types of interests this proceeding is designed to protect. </w:t>
      </w:r>
      <w:r>
        <w:t xml:space="preserve"> As such, the County is precluded from cross examination on this point.</w:t>
      </w:r>
    </w:p>
  </w:footnote>
  <w:footnote w:id="3">
    <w:p w:rsidR="000E73BD" w:rsidRDefault="000E73BD" w:rsidP="000E73BD">
      <w:pPr>
        <w:pStyle w:val="FootnoteText"/>
      </w:pPr>
      <w:r>
        <w:rPr>
          <w:rStyle w:val="FootnoteReference"/>
        </w:rPr>
        <w:footnoteRef/>
      </w:r>
      <w:r>
        <w:t xml:space="preserve"> While we have an exception to t</w:t>
      </w:r>
      <w:r w:rsidRPr="00420BDE">
        <w:t>he Uniform Rule of Procedure on Intervention,</w:t>
      </w:r>
      <w:r>
        <w:t xml:space="preserve"> I find it compelling that Rule 28-106.205(1), F.A.C., </w:t>
      </w:r>
      <w:r w:rsidR="005467E2">
        <w:t>the Uniform Rule on intervention</w:t>
      </w:r>
      <w:r w:rsidR="00683521">
        <w:t>,</w:t>
      </w:r>
      <w:r w:rsidR="005467E2">
        <w:t xml:space="preserve"> </w:t>
      </w:r>
      <w:r>
        <w:t>provides</w:t>
      </w:r>
      <w:r w:rsidR="005467E2">
        <w:t xml:space="preserve"> </w:t>
      </w:r>
      <w:r w:rsidRPr="00420BDE">
        <w:t>“[t]he presiding officer may impose terms and conditions on the intervenor to limit prejudice to other parties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37205B" w:rsidRDefault="003720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840CE">
      <w:fldChar w:fldCharType="begin"/>
    </w:r>
    <w:r w:rsidR="00B840CE">
      <w:instrText xml:space="preserve"> REF OrderNo0146 </w:instrText>
    </w:r>
    <w:r w:rsidR="00B840CE">
      <w:fldChar w:fldCharType="separate"/>
    </w:r>
    <w:r w:rsidR="00B840CE">
      <w:t>PSC-17-0146-PCO-WS</w:t>
    </w:r>
    <w:r w:rsidR="00B840CE">
      <w:fldChar w:fldCharType="end"/>
    </w:r>
  </w:p>
  <w:p w:rsidR="00FA6EFD" w:rsidRDefault="000E73BD">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40CE">
      <w:rPr>
        <w:rStyle w:val="PageNumber"/>
        <w:noProof/>
      </w:rPr>
      <w:t>4</w:t>
    </w:r>
    <w:r>
      <w:rPr>
        <w:rStyle w:val="PageNumber"/>
      </w:rPr>
      <w:fldChar w:fldCharType="end"/>
    </w:r>
  </w:p>
  <w:p w:rsidR="00FA6EFD" w:rsidRDefault="00FA6EFD">
    <w:pPr>
      <w:pStyle w:val="OrderHeader"/>
    </w:pPr>
  </w:p>
  <w:p w:rsidR="0037205B" w:rsidRDefault="003720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0E73BD"/>
    <w:rsid w:val="000022B8"/>
    <w:rsid w:val="0000515A"/>
    <w:rsid w:val="00033B33"/>
    <w:rsid w:val="0004182B"/>
    <w:rsid w:val="00053AB9"/>
    <w:rsid w:val="00056229"/>
    <w:rsid w:val="00065FC2"/>
    <w:rsid w:val="00090AFC"/>
    <w:rsid w:val="000D02B8"/>
    <w:rsid w:val="000D06E8"/>
    <w:rsid w:val="000E20F0"/>
    <w:rsid w:val="000E344D"/>
    <w:rsid w:val="000E73BD"/>
    <w:rsid w:val="000F3B2C"/>
    <w:rsid w:val="000F648A"/>
    <w:rsid w:val="000F7BE3"/>
    <w:rsid w:val="001107B3"/>
    <w:rsid w:val="001114B1"/>
    <w:rsid w:val="00116AD3"/>
    <w:rsid w:val="00121957"/>
    <w:rsid w:val="00126593"/>
    <w:rsid w:val="00142A96"/>
    <w:rsid w:val="00145AF5"/>
    <w:rsid w:val="00184E8E"/>
    <w:rsid w:val="00187E32"/>
    <w:rsid w:val="00194E81"/>
    <w:rsid w:val="001A15E7"/>
    <w:rsid w:val="001A33C9"/>
    <w:rsid w:val="001A58F3"/>
    <w:rsid w:val="001D008A"/>
    <w:rsid w:val="001E0FF5"/>
    <w:rsid w:val="002002ED"/>
    <w:rsid w:val="002170E5"/>
    <w:rsid w:val="0022721A"/>
    <w:rsid w:val="00230BB9"/>
    <w:rsid w:val="00241CEF"/>
    <w:rsid w:val="002477A8"/>
    <w:rsid w:val="00252B30"/>
    <w:rsid w:val="00255E39"/>
    <w:rsid w:val="002604AB"/>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205B"/>
    <w:rsid w:val="003744F5"/>
    <w:rsid w:val="00390DD8"/>
    <w:rsid w:val="00394DC6"/>
    <w:rsid w:val="00397C3E"/>
    <w:rsid w:val="003D4CCA"/>
    <w:rsid w:val="003D52A6"/>
    <w:rsid w:val="003D6416"/>
    <w:rsid w:val="003E1D48"/>
    <w:rsid w:val="003F5CB0"/>
    <w:rsid w:val="00411DF2"/>
    <w:rsid w:val="0042527B"/>
    <w:rsid w:val="00457DC7"/>
    <w:rsid w:val="00472BCC"/>
    <w:rsid w:val="00485C08"/>
    <w:rsid w:val="004A25CD"/>
    <w:rsid w:val="004A26CC"/>
    <w:rsid w:val="004B2108"/>
    <w:rsid w:val="004B3A2B"/>
    <w:rsid w:val="004B70D3"/>
    <w:rsid w:val="004D2D1B"/>
    <w:rsid w:val="004E469D"/>
    <w:rsid w:val="004F2DDE"/>
    <w:rsid w:val="0050097F"/>
    <w:rsid w:val="00514B1F"/>
    <w:rsid w:val="00522B80"/>
    <w:rsid w:val="00525E93"/>
    <w:rsid w:val="0052671D"/>
    <w:rsid w:val="005467E2"/>
    <w:rsid w:val="00556A10"/>
    <w:rsid w:val="00594B62"/>
    <w:rsid w:val="005963C2"/>
    <w:rsid w:val="005A559A"/>
    <w:rsid w:val="005B3425"/>
    <w:rsid w:val="005B45F7"/>
    <w:rsid w:val="005B63EA"/>
    <w:rsid w:val="005C1A88"/>
    <w:rsid w:val="005C4D4E"/>
    <w:rsid w:val="005C5033"/>
    <w:rsid w:val="00610E73"/>
    <w:rsid w:val="00660774"/>
    <w:rsid w:val="0066389A"/>
    <w:rsid w:val="0066495C"/>
    <w:rsid w:val="00665CC7"/>
    <w:rsid w:val="00672612"/>
    <w:rsid w:val="00683521"/>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3D36"/>
    <w:rsid w:val="00804E7A"/>
    <w:rsid w:val="00805FBB"/>
    <w:rsid w:val="008169A4"/>
    <w:rsid w:val="008278FE"/>
    <w:rsid w:val="00832598"/>
    <w:rsid w:val="0083397E"/>
    <w:rsid w:val="0083534B"/>
    <w:rsid w:val="00842602"/>
    <w:rsid w:val="00863A66"/>
    <w:rsid w:val="00874429"/>
    <w:rsid w:val="00883D9A"/>
    <w:rsid w:val="00891554"/>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344F"/>
    <w:rsid w:val="00994100"/>
    <w:rsid w:val="009D4C29"/>
    <w:rsid w:val="009F0D7F"/>
    <w:rsid w:val="00A26566"/>
    <w:rsid w:val="00A61310"/>
    <w:rsid w:val="00A62DAB"/>
    <w:rsid w:val="00A709F8"/>
    <w:rsid w:val="00A726A6"/>
    <w:rsid w:val="00A80828"/>
    <w:rsid w:val="00A95869"/>
    <w:rsid w:val="00A97535"/>
    <w:rsid w:val="00AA73F1"/>
    <w:rsid w:val="00AB0E1A"/>
    <w:rsid w:val="00AB1A30"/>
    <w:rsid w:val="00AD1ED3"/>
    <w:rsid w:val="00B0631D"/>
    <w:rsid w:val="00B0777D"/>
    <w:rsid w:val="00B4057A"/>
    <w:rsid w:val="00B40894"/>
    <w:rsid w:val="00B45E75"/>
    <w:rsid w:val="00B50876"/>
    <w:rsid w:val="00B55EE5"/>
    <w:rsid w:val="00B631FA"/>
    <w:rsid w:val="00B73DE6"/>
    <w:rsid w:val="00B840CE"/>
    <w:rsid w:val="00B86EF0"/>
    <w:rsid w:val="00B96969"/>
    <w:rsid w:val="00B97900"/>
    <w:rsid w:val="00BA1229"/>
    <w:rsid w:val="00BA44A8"/>
    <w:rsid w:val="00BB6A3F"/>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4462"/>
    <w:rsid w:val="00D22DB5"/>
    <w:rsid w:val="00D23FEA"/>
    <w:rsid w:val="00D269CA"/>
    <w:rsid w:val="00D30B48"/>
    <w:rsid w:val="00D46FAA"/>
    <w:rsid w:val="00D47A40"/>
    <w:rsid w:val="00D54004"/>
    <w:rsid w:val="00D57BB2"/>
    <w:rsid w:val="00D57E57"/>
    <w:rsid w:val="00D8560E"/>
    <w:rsid w:val="00D8758F"/>
    <w:rsid w:val="00DC1D94"/>
    <w:rsid w:val="00DE0275"/>
    <w:rsid w:val="00DE057F"/>
    <w:rsid w:val="00DE2082"/>
    <w:rsid w:val="00DE2289"/>
    <w:rsid w:val="00DF2661"/>
    <w:rsid w:val="00DF6218"/>
    <w:rsid w:val="00E03A76"/>
    <w:rsid w:val="00E04410"/>
    <w:rsid w:val="00E11351"/>
    <w:rsid w:val="00E1654B"/>
    <w:rsid w:val="00E85013"/>
    <w:rsid w:val="00EA172C"/>
    <w:rsid w:val="00EA259B"/>
    <w:rsid w:val="00EA35A3"/>
    <w:rsid w:val="00EA3E6A"/>
    <w:rsid w:val="00EB18EF"/>
    <w:rsid w:val="00EE17DF"/>
    <w:rsid w:val="00EE56E9"/>
    <w:rsid w:val="00EF4621"/>
    <w:rsid w:val="00F234A7"/>
    <w:rsid w:val="00F26E34"/>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E73BD"/>
  </w:style>
  <w:style w:type="paragraph" w:styleId="BalloonText">
    <w:name w:val="Balloon Text"/>
    <w:basedOn w:val="Normal"/>
    <w:link w:val="BalloonTextChar"/>
    <w:rsid w:val="00A95869"/>
    <w:rPr>
      <w:rFonts w:ascii="Tahoma" w:hAnsi="Tahoma" w:cs="Tahoma"/>
      <w:sz w:val="16"/>
      <w:szCs w:val="16"/>
    </w:rPr>
  </w:style>
  <w:style w:type="character" w:customStyle="1" w:styleId="BalloonTextChar">
    <w:name w:val="Balloon Text Char"/>
    <w:basedOn w:val="DefaultParagraphFont"/>
    <w:link w:val="BalloonText"/>
    <w:rsid w:val="00A95869"/>
    <w:rPr>
      <w:rFonts w:ascii="Tahoma" w:hAnsi="Tahoma" w:cs="Tahoma"/>
      <w:sz w:val="16"/>
      <w:szCs w:val="16"/>
    </w:rPr>
  </w:style>
  <w:style w:type="character" w:styleId="Hyperlink">
    <w:name w:val="Hyperlink"/>
    <w:basedOn w:val="DefaultParagraphFont"/>
    <w:rsid w:val="005C4D4E"/>
    <w:rPr>
      <w:color w:val="0000FF" w:themeColor="hyperlink"/>
      <w:u w:val="single"/>
    </w:rPr>
  </w:style>
  <w:style w:type="paragraph" w:styleId="EndnoteText">
    <w:name w:val="endnote text"/>
    <w:basedOn w:val="Normal"/>
    <w:link w:val="EndnoteTextChar"/>
    <w:rsid w:val="003F5CB0"/>
    <w:rPr>
      <w:sz w:val="20"/>
      <w:szCs w:val="20"/>
    </w:rPr>
  </w:style>
  <w:style w:type="character" w:customStyle="1" w:styleId="EndnoteTextChar">
    <w:name w:val="Endnote Text Char"/>
    <w:basedOn w:val="DefaultParagraphFont"/>
    <w:link w:val="EndnoteText"/>
    <w:rsid w:val="003F5CB0"/>
  </w:style>
  <w:style w:type="character" w:styleId="EndnoteReference">
    <w:name w:val="endnote reference"/>
    <w:basedOn w:val="DefaultParagraphFont"/>
    <w:rsid w:val="003F5C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E73BD"/>
  </w:style>
  <w:style w:type="paragraph" w:styleId="BalloonText">
    <w:name w:val="Balloon Text"/>
    <w:basedOn w:val="Normal"/>
    <w:link w:val="BalloonTextChar"/>
    <w:rsid w:val="00A95869"/>
    <w:rPr>
      <w:rFonts w:ascii="Tahoma" w:hAnsi="Tahoma" w:cs="Tahoma"/>
      <w:sz w:val="16"/>
      <w:szCs w:val="16"/>
    </w:rPr>
  </w:style>
  <w:style w:type="character" w:customStyle="1" w:styleId="BalloonTextChar">
    <w:name w:val="Balloon Text Char"/>
    <w:basedOn w:val="DefaultParagraphFont"/>
    <w:link w:val="BalloonText"/>
    <w:rsid w:val="00A95869"/>
    <w:rPr>
      <w:rFonts w:ascii="Tahoma" w:hAnsi="Tahoma" w:cs="Tahoma"/>
      <w:sz w:val="16"/>
      <w:szCs w:val="16"/>
    </w:rPr>
  </w:style>
  <w:style w:type="character" w:styleId="Hyperlink">
    <w:name w:val="Hyperlink"/>
    <w:basedOn w:val="DefaultParagraphFont"/>
    <w:rsid w:val="005C4D4E"/>
    <w:rPr>
      <w:color w:val="0000FF" w:themeColor="hyperlink"/>
      <w:u w:val="single"/>
    </w:rPr>
  </w:style>
  <w:style w:type="paragraph" w:styleId="EndnoteText">
    <w:name w:val="endnote text"/>
    <w:basedOn w:val="Normal"/>
    <w:link w:val="EndnoteTextChar"/>
    <w:rsid w:val="003F5CB0"/>
    <w:rPr>
      <w:sz w:val="20"/>
      <w:szCs w:val="20"/>
    </w:rPr>
  </w:style>
  <w:style w:type="character" w:customStyle="1" w:styleId="EndnoteTextChar">
    <w:name w:val="Endnote Text Char"/>
    <w:basedOn w:val="DefaultParagraphFont"/>
    <w:link w:val="EndnoteText"/>
    <w:rsid w:val="003F5CB0"/>
  </w:style>
  <w:style w:type="character" w:styleId="EndnoteReference">
    <w:name w:val="endnote reference"/>
    <w:basedOn w:val="DefaultParagraphFont"/>
    <w:rsid w:val="003F5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26968343">
      <w:bodyDiv w:val="1"/>
      <w:marLeft w:val="0"/>
      <w:marRight w:val="0"/>
      <w:marTop w:val="0"/>
      <w:marBottom w:val="0"/>
      <w:divBdr>
        <w:top w:val="none" w:sz="0" w:space="0" w:color="auto"/>
        <w:left w:val="none" w:sz="0" w:space="0" w:color="auto"/>
        <w:bottom w:val="none" w:sz="0" w:space="0" w:color="auto"/>
        <w:right w:val="none" w:sz="0" w:space="0" w:color="auto"/>
      </w:divBdr>
      <w:divsChild>
        <w:div w:id="1800301407">
          <w:marLeft w:val="0"/>
          <w:marRight w:val="0"/>
          <w:marTop w:val="0"/>
          <w:marBottom w:val="0"/>
          <w:divBdr>
            <w:top w:val="none" w:sz="0" w:space="0" w:color="auto"/>
            <w:left w:val="single" w:sz="6" w:space="0" w:color="BBBBBB"/>
            <w:bottom w:val="single" w:sz="6" w:space="0" w:color="BBBBBB"/>
            <w:right w:val="single" w:sz="6" w:space="0" w:color="BBBBBB"/>
          </w:divBdr>
          <w:divsChild>
            <w:div w:id="121731964">
              <w:marLeft w:val="0"/>
              <w:marRight w:val="0"/>
              <w:marTop w:val="0"/>
              <w:marBottom w:val="0"/>
              <w:divBdr>
                <w:top w:val="none" w:sz="0" w:space="0" w:color="auto"/>
                <w:left w:val="none" w:sz="0" w:space="0" w:color="auto"/>
                <w:bottom w:val="none" w:sz="0" w:space="0" w:color="auto"/>
                <w:right w:val="none" w:sz="0" w:space="0" w:color="auto"/>
              </w:divBdr>
              <w:divsChild>
                <w:div w:id="489374498">
                  <w:marLeft w:val="0"/>
                  <w:marRight w:val="0"/>
                  <w:marTop w:val="75"/>
                  <w:marBottom w:val="0"/>
                  <w:divBdr>
                    <w:top w:val="none" w:sz="0" w:space="0" w:color="auto"/>
                    <w:left w:val="none" w:sz="0" w:space="0" w:color="auto"/>
                    <w:bottom w:val="none" w:sz="0" w:space="0" w:color="auto"/>
                    <w:right w:val="none" w:sz="0" w:space="0" w:color="auto"/>
                  </w:divBdr>
                  <w:divsChild>
                    <w:div w:id="1020856808">
                      <w:marLeft w:val="0"/>
                      <w:marRight w:val="0"/>
                      <w:marTop w:val="0"/>
                      <w:marBottom w:val="0"/>
                      <w:divBdr>
                        <w:top w:val="none" w:sz="0" w:space="0" w:color="auto"/>
                        <w:left w:val="none" w:sz="0" w:space="0" w:color="auto"/>
                        <w:bottom w:val="none" w:sz="0" w:space="0" w:color="auto"/>
                        <w:right w:val="none" w:sz="0" w:space="0" w:color="auto"/>
                      </w:divBdr>
                      <w:divsChild>
                        <w:div w:id="1218736838">
                          <w:marLeft w:val="0"/>
                          <w:marRight w:val="0"/>
                          <w:marTop w:val="0"/>
                          <w:marBottom w:val="0"/>
                          <w:divBdr>
                            <w:top w:val="none" w:sz="0" w:space="0" w:color="auto"/>
                            <w:left w:val="none" w:sz="0" w:space="0" w:color="auto"/>
                            <w:bottom w:val="none" w:sz="0" w:space="0" w:color="auto"/>
                            <w:right w:val="none" w:sz="0" w:space="0" w:color="auto"/>
                          </w:divBdr>
                          <w:divsChild>
                            <w:div w:id="1067649717">
                              <w:marLeft w:val="0"/>
                              <w:marRight w:val="0"/>
                              <w:marTop w:val="0"/>
                              <w:marBottom w:val="0"/>
                              <w:divBdr>
                                <w:top w:val="none" w:sz="0" w:space="0" w:color="auto"/>
                                <w:left w:val="none" w:sz="0" w:space="0" w:color="auto"/>
                                <w:bottom w:val="none" w:sz="0" w:space="0" w:color="auto"/>
                                <w:right w:val="none" w:sz="0" w:space="0" w:color="auto"/>
                              </w:divBdr>
                              <w:divsChild>
                                <w:div w:id="663047125">
                                  <w:marLeft w:val="0"/>
                                  <w:marRight w:val="0"/>
                                  <w:marTop w:val="0"/>
                                  <w:marBottom w:val="0"/>
                                  <w:divBdr>
                                    <w:top w:val="none" w:sz="0" w:space="0" w:color="auto"/>
                                    <w:left w:val="none" w:sz="0" w:space="0" w:color="auto"/>
                                    <w:bottom w:val="none" w:sz="0" w:space="0" w:color="auto"/>
                                    <w:right w:val="none" w:sz="0" w:space="0" w:color="auto"/>
                                  </w:divBdr>
                                  <w:divsChild>
                                    <w:div w:id="599216698">
                                      <w:marLeft w:val="0"/>
                                      <w:marRight w:val="0"/>
                                      <w:marTop w:val="0"/>
                                      <w:marBottom w:val="0"/>
                                      <w:divBdr>
                                        <w:top w:val="none" w:sz="0" w:space="0" w:color="auto"/>
                                        <w:left w:val="none" w:sz="0" w:space="0" w:color="auto"/>
                                        <w:bottom w:val="none" w:sz="0" w:space="0" w:color="auto"/>
                                        <w:right w:val="none" w:sz="0" w:space="0" w:color="auto"/>
                                      </w:divBdr>
                                      <w:divsChild>
                                        <w:div w:id="1251159344">
                                          <w:marLeft w:val="1200"/>
                                          <w:marRight w:val="1200"/>
                                          <w:marTop w:val="0"/>
                                          <w:marBottom w:val="0"/>
                                          <w:divBdr>
                                            <w:top w:val="none" w:sz="0" w:space="0" w:color="auto"/>
                                            <w:left w:val="none" w:sz="0" w:space="0" w:color="auto"/>
                                            <w:bottom w:val="none" w:sz="0" w:space="0" w:color="auto"/>
                                            <w:right w:val="none" w:sz="0" w:space="0" w:color="auto"/>
                                          </w:divBdr>
                                          <w:divsChild>
                                            <w:div w:id="1045251162">
                                              <w:marLeft w:val="0"/>
                                              <w:marRight w:val="0"/>
                                              <w:marTop w:val="0"/>
                                              <w:marBottom w:val="0"/>
                                              <w:divBdr>
                                                <w:top w:val="none" w:sz="0" w:space="0" w:color="auto"/>
                                                <w:left w:val="none" w:sz="0" w:space="0" w:color="auto"/>
                                                <w:bottom w:val="none" w:sz="0" w:space="0" w:color="auto"/>
                                                <w:right w:val="none" w:sz="0" w:space="0" w:color="auto"/>
                                              </w:divBdr>
                                              <w:divsChild>
                                                <w:div w:id="952588819">
                                                  <w:marLeft w:val="0"/>
                                                  <w:marRight w:val="0"/>
                                                  <w:marTop w:val="0"/>
                                                  <w:marBottom w:val="0"/>
                                                  <w:divBdr>
                                                    <w:top w:val="none" w:sz="0" w:space="0" w:color="auto"/>
                                                    <w:left w:val="none" w:sz="0" w:space="0" w:color="auto"/>
                                                    <w:bottom w:val="none" w:sz="0" w:space="0" w:color="auto"/>
                                                    <w:right w:val="none" w:sz="0" w:space="0" w:color="auto"/>
                                                  </w:divBdr>
                                                  <w:divsChild>
                                                    <w:div w:id="1169908929">
                                                      <w:marLeft w:val="0"/>
                                                      <w:marRight w:val="0"/>
                                                      <w:marTop w:val="0"/>
                                                      <w:marBottom w:val="0"/>
                                                      <w:divBdr>
                                                        <w:top w:val="none" w:sz="0" w:space="0" w:color="auto"/>
                                                        <w:left w:val="none" w:sz="0" w:space="0" w:color="auto"/>
                                                        <w:bottom w:val="none" w:sz="0" w:space="0" w:color="auto"/>
                                                        <w:right w:val="none" w:sz="0" w:space="0" w:color="auto"/>
                                                      </w:divBdr>
                                                      <w:divsChild>
                                                        <w:div w:id="1876111288">
                                                          <w:marLeft w:val="0"/>
                                                          <w:marRight w:val="0"/>
                                                          <w:marTop w:val="0"/>
                                                          <w:marBottom w:val="0"/>
                                                          <w:divBdr>
                                                            <w:top w:val="none" w:sz="0" w:space="0" w:color="auto"/>
                                                            <w:left w:val="none" w:sz="0" w:space="0" w:color="auto"/>
                                                            <w:bottom w:val="none" w:sz="0" w:space="0" w:color="auto"/>
                                                            <w:right w:val="none" w:sz="0" w:space="0" w:color="auto"/>
                                                          </w:divBdr>
                                                        </w:div>
                                                      </w:divsChild>
                                                    </w:div>
                                                    <w:div w:id="1620212639">
                                                      <w:marLeft w:val="0"/>
                                                      <w:marRight w:val="0"/>
                                                      <w:marTop w:val="0"/>
                                                      <w:marBottom w:val="0"/>
                                                      <w:divBdr>
                                                        <w:top w:val="none" w:sz="0" w:space="0" w:color="auto"/>
                                                        <w:left w:val="none" w:sz="0" w:space="0" w:color="auto"/>
                                                        <w:bottom w:val="none" w:sz="0" w:space="0" w:color="auto"/>
                                                        <w:right w:val="none" w:sz="0" w:space="0" w:color="auto"/>
                                                      </w:divBdr>
                                                      <w:divsChild>
                                                        <w:div w:id="13984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ilenky@mansonbolves.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porter@dgfir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laparte@dgfir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antwell@mansonbolves.com" TargetMode="External"/><Relationship Id="rId4" Type="http://schemas.openxmlformats.org/officeDocument/2006/relationships/settings" Target="settings.xml"/><Relationship Id="rId9" Type="http://schemas.openxmlformats.org/officeDocument/2006/relationships/hyperlink" Target="mailto:dmanson@mansonbolves.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3BF0B-6A08-4959-A406-01373542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1040</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2017-05-02T19:34:00Z</dcterms:created>
  <dcterms:modified xsi:type="dcterms:W3CDTF">2017-05-02T19:46:00Z</dcterms:modified>
</cp:coreProperties>
</file>