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05F3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05F31">
            <w:pPr>
              <w:pStyle w:val="MemoHeading"/>
            </w:pPr>
            <w:bookmarkStart w:id="1" w:name="FilingDate"/>
            <w:r>
              <w:t>June 29,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05F31" w:rsidRDefault="00105F31">
            <w:pPr>
              <w:pStyle w:val="MemoHeading"/>
            </w:pPr>
            <w:bookmarkStart w:id="2" w:name="From"/>
            <w:r>
              <w:t>Division of Economics (Ollila)</w:t>
            </w:r>
          </w:p>
          <w:p w:rsidR="007C0528" w:rsidRDefault="00105F31">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05F31" w:rsidP="00075DA1">
            <w:pPr>
              <w:pStyle w:val="MemoHeadingRe"/>
            </w:pPr>
            <w:bookmarkStart w:id="3" w:name="Re"/>
            <w:r>
              <w:t xml:space="preserve">Docket No. 170069-EI – Petition for approval of revised underground residential distribution tariffs, by Duke Energy Florida, </w:t>
            </w:r>
            <w:r w:rsidR="00075DA1">
              <w:t>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05F31">
            <w:pPr>
              <w:pStyle w:val="MemoHeading"/>
            </w:pPr>
            <w:bookmarkStart w:id="4" w:name="AgendaDate"/>
            <w:r>
              <w:t>07/13/17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05F3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05F3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05F31" w:rsidP="00143257">
            <w:pPr>
              <w:pStyle w:val="MemoHeading"/>
            </w:pPr>
            <w:bookmarkStart w:id="9" w:name="CriticalDates"/>
            <w:r>
              <w:t>1</w:t>
            </w:r>
            <w:r w:rsidR="00143257">
              <w:t>1</w:t>
            </w:r>
            <w:r>
              <w:t>/30/17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05F3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05F31">
      <w:pPr>
        <w:pStyle w:val="BodyText"/>
      </w:pPr>
      <w:r>
        <w:t>On March 30, 2017, Duke Energy Florida, LLC (Duke or Company) filed a petition for approval of revisions to its underground residential di</w:t>
      </w:r>
      <w:r w:rsidR="00162845">
        <w:t>stribution</w:t>
      </w:r>
      <w:r>
        <w:t xml:space="preserve"> (URD) tariffs.</w:t>
      </w:r>
      <w:r w:rsidR="00804C19">
        <w:t xml:space="preserve"> The URD tariffs apply to new residential </w:t>
      </w:r>
      <w:r w:rsidR="003D5557">
        <w:t>subdivisions</w:t>
      </w:r>
      <w:r w:rsidR="00804C19">
        <w:t xml:space="preserve"> and represent the additional costs Duke incurs to provide underground distribution service in place of overhead service. The proposed </w:t>
      </w:r>
      <w:r w:rsidR="008B0F31">
        <w:t xml:space="preserve">(legislative version) </w:t>
      </w:r>
      <w:r w:rsidR="00804C19">
        <w:t xml:space="preserve">URD tariffs are contained in Attachment </w:t>
      </w:r>
      <w:r w:rsidR="009560CE">
        <w:t>A</w:t>
      </w:r>
      <w:r w:rsidR="00804C19">
        <w:t xml:space="preserve"> to the recommendation. Duke’s current charges were approved in Order No. PSC-14-0396-TRF-EI</w:t>
      </w:r>
      <w:r w:rsidR="00845EDA">
        <w:t xml:space="preserve"> (2014 Order)</w:t>
      </w:r>
      <w:r w:rsidR="00804C19">
        <w:t>.</w:t>
      </w:r>
      <w:r w:rsidR="00804C19">
        <w:rPr>
          <w:rStyle w:val="FootnoteReference"/>
        </w:rPr>
        <w:footnoteReference w:id="1"/>
      </w:r>
      <w:r w:rsidR="00804C19">
        <w:t xml:space="preserve"> </w:t>
      </w:r>
    </w:p>
    <w:p w:rsidR="00804C19" w:rsidRDefault="00804C19">
      <w:pPr>
        <w:pStyle w:val="BodyText"/>
      </w:pPr>
      <w:r>
        <w:lastRenderedPageBreak/>
        <w:t>The Commission suspended Duke’s proposed tariffs in Order No. PSC-17-0166-PCO-EI.</w:t>
      </w:r>
      <w:r>
        <w:rPr>
          <w:rStyle w:val="FootnoteReference"/>
        </w:rPr>
        <w:footnoteReference w:id="2"/>
      </w:r>
      <w:r w:rsidR="00E40DA7">
        <w:t xml:space="preserve"> Duke responded to staff’s first data request on May 16, 2017. The Commission has jurisdiction over this matter pursuant to Sections 366.03, </w:t>
      </w:r>
      <w:r w:rsidR="000860F0">
        <w:t xml:space="preserve">366.04, </w:t>
      </w:r>
      <w:r w:rsidR="00E40DA7">
        <w:t>366.05, and 366.06, Florida Statutes</w:t>
      </w:r>
      <w:r w:rsidR="009560CE">
        <w:t xml:space="preserve"> (F.S.)</w:t>
      </w:r>
      <w:r w:rsidR="00E40DA7">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05F31" w:rsidRDefault="00105F31">
      <w:pPr>
        <w:pStyle w:val="IssueHeading"/>
        <w:rPr>
          <w:vanish/>
          <w:specVanish/>
        </w:rPr>
      </w:pPr>
      <w:r w:rsidRPr="004C3641">
        <w:t xml:space="preserve">Issue </w:t>
      </w:r>
      <w:r w:rsidR="005B5828">
        <w:fldChar w:fldCharType="begin"/>
      </w:r>
      <w:r w:rsidR="005B5828">
        <w:instrText xml:space="preserve"> SEQ Issue \* MERGEFORMAT </w:instrText>
      </w:r>
      <w:r w:rsidR="005B5828">
        <w:fldChar w:fldCharType="separate"/>
      </w:r>
      <w:r w:rsidR="00BA1060">
        <w:rPr>
          <w:noProof/>
        </w:rPr>
        <w:t>1</w:t>
      </w:r>
      <w:r w:rsidR="005B58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A1060">
        <w:rPr>
          <w:noProof/>
        </w:rPr>
        <w:instrText>1</w:instrText>
      </w:r>
      <w:r>
        <w:fldChar w:fldCharType="end"/>
      </w:r>
      <w:r>
        <w:tab/>
        <w:instrText xml:space="preserve">(Ollila)" \l 1 </w:instrText>
      </w:r>
      <w:r>
        <w:fldChar w:fldCharType="end"/>
      </w:r>
      <w:r>
        <w:t> </w:t>
      </w:r>
    </w:p>
    <w:p w:rsidR="00105F31" w:rsidRDefault="00105F31">
      <w:pPr>
        <w:pStyle w:val="BodyText"/>
      </w:pPr>
      <w:r>
        <w:t> Should the Commission approve Duke's proposed URD tariff</w:t>
      </w:r>
      <w:r w:rsidR="0064339A">
        <w:t>s</w:t>
      </w:r>
      <w:r>
        <w:t xml:space="preserve"> and associated charges?</w:t>
      </w:r>
    </w:p>
    <w:p w:rsidR="00105F31" w:rsidRPr="004C3641" w:rsidRDefault="00105F31">
      <w:pPr>
        <w:pStyle w:val="IssueSubsectionHeading"/>
        <w:rPr>
          <w:vanish/>
          <w:specVanish/>
        </w:rPr>
      </w:pPr>
      <w:r w:rsidRPr="004C3641">
        <w:t>Recommendation: </w:t>
      </w:r>
    </w:p>
    <w:p w:rsidR="00105F31" w:rsidRDefault="00105F31">
      <w:pPr>
        <w:pStyle w:val="BodyText"/>
      </w:pPr>
      <w:r>
        <w:t> Yes,</w:t>
      </w:r>
      <w:r w:rsidR="00E40DA7">
        <w:t xml:space="preserve"> the Commission should approve Duke’s proposed URD tariff</w:t>
      </w:r>
      <w:r w:rsidR="00583D4D">
        <w:t>s</w:t>
      </w:r>
      <w:r w:rsidR="00E40DA7">
        <w:t xml:space="preserve"> and </w:t>
      </w:r>
      <w:r w:rsidR="003C72A7">
        <w:t xml:space="preserve"> </w:t>
      </w:r>
      <w:r w:rsidR="00E40DA7">
        <w:t>associated charges</w:t>
      </w:r>
      <w:r w:rsidR="009560CE">
        <w:t xml:space="preserve"> as shown in Attachment A</w:t>
      </w:r>
      <w:r w:rsidR="00613BAA">
        <w:t>,</w:t>
      </w:r>
      <w:r w:rsidR="00F9423C">
        <w:t xml:space="preserve"> effective July 13, 2017</w:t>
      </w:r>
      <w:r w:rsidR="00E40DA7">
        <w:t>.</w:t>
      </w:r>
      <w:r>
        <w:t xml:space="preserve">  (Ollila)</w:t>
      </w:r>
    </w:p>
    <w:p w:rsidR="00105F31" w:rsidRPr="004C3641" w:rsidRDefault="00105F31">
      <w:pPr>
        <w:pStyle w:val="IssueSubsectionHeading"/>
        <w:rPr>
          <w:vanish/>
          <w:specVanish/>
        </w:rPr>
      </w:pPr>
      <w:r w:rsidRPr="004C3641">
        <w:t>Staff Analysis: </w:t>
      </w:r>
    </w:p>
    <w:p w:rsidR="00105F31" w:rsidRDefault="00105F31">
      <w:pPr>
        <w:pStyle w:val="BodyText"/>
      </w:pPr>
      <w:r>
        <w:t> Rule 25-6.078</w:t>
      </w:r>
      <w:r w:rsidR="00E40DA7">
        <w:t xml:space="preserve">, Florida Administrative Code (F.A.C.), defines investor-owned utilities’ (IOU) responsibilities for filing updated URD tariffs. </w:t>
      </w:r>
      <w:r w:rsidR="00DA0F72">
        <w:t>Duke has filed the instant petition pursuant to subsection (3) of the rule, which requires IOUs to file supporting data and analyses for URD tariffs at least once every three years.</w:t>
      </w:r>
    </w:p>
    <w:p w:rsidR="003D5557" w:rsidRDefault="003D5557">
      <w:pPr>
        <w:pStyle w:val="BodyText"/>
      </w:pPr>
      <w:r>
        <w:t>The URD tariffs provide standard charges for underground service in new residential subdivisions and represent the additional costs, if any, the utility incurs to provide underground service in place of standard overhead service. The cost of standard overhead construction is recovered through base rates from all ratepayers. In lieu of overhead construction, customers have the option of requesting underground facilities. Any additional cost is paid by the customer as contribution-in-aid-of construction (CIAC). Typically, the URD customer is the developer of a subdivision.</w:t>
      </w:r>
    </w:p>
    <w:p w:rsidR="00A80D60" w:rsidRDefault="00A80D60">
      <w:pPr>
        <w:pStyle w:val="BodyText"/>
      </w:pPr>
      <w:r>
        <w:t>Traditionally, three standard model subdivision designs have been the basis upon which each IOU submits URD tariff changes for Commission approval: low density, high density, and a high density subdivision where dwelling units take service at ganged meter pedestals (groups of</w:t>
      </w:r>
      <w:r w:rsidR="0075294B">
        <w:t xml:space="preserve"> </w:t>
      </w:r>
      <w:r>
        <w:t>meters at the same physical location). Examples of this last subdivision type include mobile home and recreational vehicle parks. While actual construction may differ from the model subdivisions, the model subdivisions are designed to reflect average overhead and underground subdivisions.</w:t>
      </w:r>
    </w:p>
    <w:p w:rsidR="0010695F" w:rsidRDefault="00A80D60" w:rsidP="00A92FE8">
      <w:pPr>
        <w:pStyle w:val="FootnoteText"/>
        <w:rPr>
          <w:sz w:val="24"/>
          <w:szCs w:val="24"/>
        </w:rPr>
      </w:pPr>
      <w:r w:rsidRPr="00A92FE8">
        <w:rPr>
          <w:sz w:val="24"/>
          <w:szCs w:val="24"/>
        </w:rPr>
        <w:t>Table 1-1 shows the current and proposed URD differential</w:t>
      </w:r>
      <w:r w:rsidR="00661FF4">
        <w:rPr>
          <w:sz w:val="24"/>
          <w:szCs w:val="24"/>
        </w:rPr>
        <w:t>s</w:t>
      </w:r>
      <w:r w:rsidRPr="00A92FE8">
        <w:rPr>
          <w:sz w:val="24"/>
          <w:szCs w:val="24"/>
        </w:rPr>
        <w:t xml:space="preserve"> for the low density, high density, and ganged meter subdivisions. </w:t>
      </w:r>
      <w:r w:rsidR="0010695F">
        <w:rPr>
          <w:sz w:val="24"/>
          <w:szCs w:val="24"/>
        </w:rPr>
        <w:t>The charges shown are per-lot charges.</w:t>
      </w:r>
    </w:p>
    <w:p w:rsidR="00106C48" w:rsidRDefault="009F61ED" w:rsidP="009F61ED">
      <w:pPr>
        <w:pStyle w:val="TableNumber"/>
        <w:keepNext/>
      </w:pPr>
      <w:r>
        <w:t xml:space="preserve">Table </w:t>
      </w:r>
      <w:r w:rsidR="005B5828">
        <w:fldChar w:fldCharType="begin"/>
      </w:r>
      <w:r w:rsidR="005B5828">
        <w:instrText xml:space="preserve"> SEQ Issue \c </w:instrText>
      </w:r>
      <w:r w:rsidR="005B5828">
        <w:fldChar w:fldCharType="separate"/>
      </w:r>
      <w:r w:rsidR="00BA1060">
        <w:rPr>
          <w:noProof/>
        </w:rPr>
        <w:t>1</w:t>
      </w:r>
      <w:r w:rsidR="005B5828">
        <w:rPr>
          <w:noProof/>
        </w:rPr>
        <w:fldChar w:fldCharType="end"/>
      </w:r>
      <w:r>
        <w:t>-1</w:t>
      </w:r>
    </w:p>
    <w:p w:rsidR="009F61ED" w:rsidRDefault="009F61ED" w:rsidP="009F61ED">
      <w:pPr>
        <w:pStyle w:val="TableTitle"/>
        <w:keepNext/>
      </w:pPr>
      <w:r>
        <w:t xml:space="preserve">Comparison of </w:t>
      </w:r>
      <w:r w:rsidR="00661FF4">
        <w:t xml:space="preserve">URD </w:t>
      </w:r>
      <w:r>
        <w:t xml:space="preserve">Differential </w:t>
      </w:r>
      <w:r w:rsidR="00FA545A">
        <w:t>p</w:t>
      </w:r>
      <w:r>
        <w:t xml:space="preserve">er </w:t>
      </w:r>
      <w:r w:rsidR="00661FF4">
        <w:t>Lot</w:t>
      </w:r>
    </w:p>
    <w:tbl>
      <w:tblPr>
        <w:tblStyle w:val="TableGrid"/>
        <w:tblW w:w="0" w:type="auto"/>
        <w:tblInd w:w="918" w:type="dxa"/>
        <w:tblLook w:val="04A0" w:firstRow="1" w:lastRow="0" w:firstColumn="1" w:lastColumn="0" w:noHBand="0" w:noVBand="1"/>
      </w:tblPr>
      <w:tblGrid>
        <w:gridCol w:w="2700"/>
        <w:gridCol w:w="2766"/>
        <w:gridCol w:w="2454"/>
      </w:tblGrid>
      <w:tr w:rsidR="009F61ED" w:rsidTr="00075DA1">
        <w:tc>
          <w:tcPr>
            <w:tcW w:w="2700" w:type="dxa"/>
          </w:tcPr>
          <w:p w:rsidR="009F61ED" w:rsidRPr="009F61ED" w:rsidRDefault="009F61ED" w:rsidP="009F61ED">
            <w:pPr>
              <w:rPr>
                <w:b/>
              </w:rPr>
            </w:pPr>
          </w:p>
        </w:tc>
        <w:tc>
          <w:tcPr>
            <w:tcW w:w="2766" w:type="dxa"/>
          </w:tcPr>
          <w:p w:rsidR="009F61ED" w:rsidRPr="009F61ED" w:rsidRDefault="009F61ED" w:rsidP="0035608B">
            <w:pPr>
              <w:jc w:val="right"/>
              <w:rPr>
                <w:b/>
              </w:rPr>
            </w:pPr>
            <w:r w:rsidRPr="009F61ED">
              <w:rPr>
                <w:b/>
              </w:rPr>
              <w:t>Current Differential</w:t>
            </w:r>
          </w:p>
        </w:tc>
        <w:tc>
          <w:tcPr>
            <w:tcW w:w="2454" w:type="dxa"/>
          </w:tcPr>
          <w:p w:rsidR="009F61ED" w:rsidRPr="009F61ED" w:rsidRDefault="009F61ED" w:rsidP="0035608B">
            <w:pPr>
              <w:jc w:val="right"/>
              <w:rPr>
                <w:b/>
              </w:rPr>
            </w:pPr>
            <w:r w:rsidRPr="009F61ED">
              <w:rPr>
                <w:b/>
              </w:rPr>
              <w:t>Proposed Differential</w:t>
            </w:r>
          </w:p>
        </w:tc>
      </w:tr>
      <w:tr w:rsidR="009F61ED" w:rsidTr="00075DA1">
        <w:tc>
          <w:tcPr>
            <w:tcW w:w="2700" w:type="dxa"/>
          </w:tcPr>
          <w:p w:rsidR="009F61ED" w:rsidRDefault="009F61ED" w:rsidP="009F61ED">
            <w:r>
              <w:t>Low Density</w:t>
            </w:r>
          </w:p>
        </w:tc>
        <w:tc>
          <w:tcPr>
            <w:tcW w:w="2766" w:type="dxa"/>
          </w:tcPr>
          <w:p w:rsidR="009F61ED" w:rsidRDefault="00655A1B" w:rsidP="0035608B">
            <w:pPr>
              <w:jc w:val="right"/>
            </w:pPr>
            <w:r>
              <w:t>$768</w:t>
            </w:r>
          </w:p>
        </w:tc>
        <w:tc>
          <w:tcPr>
            <w:tcW w:w="2454" w:type="dxa"/>
          </w:tcPr>
          <w:p w:rsidR="009F61ED" w:rsidRDefault="00655A1B" w:rsidP="0035608B">
            <w:pPr>
              <w:jc w:val="right"/>
            </w:pPr>
            <w:r>
              <w:t>$694</w:t>
            </w:r>
            <w:r w:rsidR="0010695F">
              <w:rPr>
                <w:rStyle w:val="FootnoteReference"/>
              </w:rPr>
              <w:footnoteReference w:id="3"/>
            </w:r>
          </w:p>
        </w:tc>
      </w:tr>
      <w:tr w:rsidR="009F61ED" w:rsidTr="00075DA1">
        <w:tc>
          <w:tcPr>
            <w:tcW w:w="2700" w:type="dxa"/>
          </w:tcPr>
          <w:p w:rsidR="009F61ED" w:rsidRDefault="009F61ED" w:rsidP="009F61ED">
            <w:r>
              <w:t>High Density</w:t>
            </w:r>
          </w:p>
        </w:tc>
        <w:tc>
          <w:tcPr>
            <w:tcW w:w="2766" w:type="dxa"/>
          </w:tcPr>
          <w:p w:rsidR="009F61ED" w:rsidRDefault="00655A1B" w:rsidP="0035608B">
            <w:pPr>
              <w:jc w:val="right"/>
            </w:pPr>
            <w:r>
              <w:t>$459</w:t>
            </w:r>
          </w:p>
        </w:tc>
        <w:tc>
          <w:tcPr>
            <w:tcW w:w="2454" w:type="dxa"/>
          </w:tcPr>
          <w:p w:rsidR="009F61ED" w:rsidRDefault="00655A1B" w:rsidP="0035608B">
            <w:pPr>
              <w:jc w:val="right"/>
            </w:pPr>
            <w:r>
              <w:t>$403</w:t>
            </w:r>
          </w:p>
        </w:tc>
      </w:tr>
      <w:tr w:rsidR="009F61ED" w:rsidTr="00075DA1">
        <w:tc>
          <w:tcPr>
            <w:tcW w:w="2700" w:type="dxa"/>
          </w:tcPr>
          <w:p w:rsidR="009F61ED" w:rsidRDefault="009F61ED" w:rsidP="009F61ED">
            <w:r>
              <w:t>Ganged Meter</w:t>
            </w:r>
          </w:p>
        </w:tc>
        <w:tc>
          <w:tcPr>
            <w:tcW w:w="2766" w:type="dxa"/>
          </w:tcPr>
          <w:p w:rsidR="009F61ED" w:rsidRDefault="00655A1B" w:rsidP="0035608B">
            <w:pPr>
              <w:jc w:val="right"/>
            </w:pPr>
            <w:r>
              <w:t>$211</w:t>
            </w:r>
          </w:p>
        </w:tc>
        <w:tc>
          <w:tcPr>
            <w:tcW w:w="2454" w:type="dxa"/>
          </w:tcPr>
          <w:p w:rsidR="009F61ED" w:rsidRDefault="00655A1B" w:rsidP="0035608B">
            <w:pPr>
              <w:jc w:val="right"/>
            </w:pPr>
            <w:r>
              <w:t>$158</w:t>
            </w:r>
          </w:p>
        </w:tc>
      </w:tr>
    </w:tbl>
    <w:p w:rsidR="00106C48" w:rsidRPr="00BC1381" w:rsidRDefault="00BC1381" w:rsidP="00BC1381">
      <w:pPr>
        <w:pStyle w:val="TableSource"/>
        <w:ind w:firstLine="720"/>
        <w:rPr>
          <w:sz w:val="20"/>
          <w:szCs w:val="20"/>
        </w:rPr>
      </w:pPr>
      <w:r>
        <w:t xml:space="preserve"> </w:t>
      </w:r>
      <w:r w:rsidR="009F61ED" w:rsidRPr="00BC1381">
        <w:rPr>
          <w:sz w:val="20"/>
          <w:szCs w:val="20"/>
        </w:rPr>
        <w:t>Source:</w:t>
      </w:r>
      <w:r w:rsidR="004A14C4" w:rsidRPr="00BC1381">
        <w:rPr>
          <w:sz w:val="20"/>
          <w:szCs w:val="20"/>
        </w:rPr>
        <w:t xml:space="preserve"> 2014 Order and</w:t>
      </w:r>
      <w:r w:rsidR="009F61ED" w:rsidRPr="00BC1381">
        <w:rPr>
          <w:sz w:val="20"/>
          <w:szCs w:val="20"/>
        </w:rPr>
        <w:t xml:space="preserve"> </w:t>
      </w:r>
      <w:r w:rsidR="0019253D" w:rsidRPr="00BC1381">
        <w:rPr>
          <w:sz w:val="20"/>
          <w:szCs w:val="20"/>
        </w:rPr>
        <w:t xml:space="preserve">2017 </w:t>
      </w:r>
      <w:r w:rsidR="00BC0D2F" w:rsidRPr="00BC1381">
        <w:rPr>
          <w:sz w:val="20"/>
          <w:szCs w:val="20"/>
        </w:rPr>
        <w:t>Petition</w:t>
      </w:r>
    </w:p>
    <w:p w:rsidR="00661FF4" w:rsidRPr="00661FF4" w:rsidRDefault="00661FF4" w:rsidP="0019253D">
      <w:pPr>
        <w:pStyle w:val="First-LevelSubheading"/>
        <w:rPr>
          <w:rFonts w:ascii="Times New Roman" w:hAnsi="Times New Roman" w:cs="Times New Roman"/>
          <w:b w:val="0"/>
        </w:rPr>
      </w:pPr>
      <w:r w:rsidRPr="00661FF4">
        <w:rPr>
          <w:rFonts w:ascii="Times New Roman" w:hAnsi="Times New Roman" w:cs="Times New Roman"/>
          <w:b w:val="0"/>
          <w:szCs w:val="24"/>
        </w:rPr>
        <w:t xml:space="preserve">As shown in Table 1-1, the proposed URD differentials show a decrease for all </w:t>
      </w:r>
      <w:r w:rsidR="0021556F">
        <w:rPr>
          <w:rFonts w:ascii="Times New Roman" w:hAnsi="Times New Roman" w:cs="Times New Roman"/>
          <w:b w:val="0"/>
          <w:szCs w:val="24"/>
        </w:rPr>
        <w:t xml:space="preserve">model </w:t>
      </w:r>
      <w:r w:rsidRPr="00661FF4">
        <w:rPr>
          <w:rFonts w:ascii="Times New Roman" w:hAnsi="Times New Roman" w:cs="Times New Roman"/>
          <w:b w:val="0"/>
          <w:szCs w:val="24"/>
        </w:rPr>
        <w:t>subdivisions. The calculations of the proposed URD charges include updated labor and material costs</w:t>
      </w:r>
      <w:r w:rsidR="007A2BC5">
        <w:rPr>
          <w:rFonts w:ascii="Times New Roman" w:hAnsi="Times New Roman" w:cs="Times New Roman"/>
          <w:b w:val="0"/>
          <w:szCs w:val="24"/>
        </w:rPr>
        <w:t>,</w:t>
      </w:r>
      <w:r w:rsidRPr="00661FF4">
        <w:rPr>
          <w:rFonts w:ascii="Times New Roman" w:hAnsi="Times New Roman" w:cs="Times New Roman"/>
          <w:b w:val="0"/>
          <w:szCs w:val="24"/>
        </w:rPr>
        <w:t xml:space="preserve"> as well as updated operational costs.</w:t>
      </w:r>
    </w:p>
    <w:p w:rsidR="00661FF4" w:rsidRDefault="00661FF4" w:rsidP="0019253D">
      <w:pPr>
        <w:pStyle w:val="First-LevelSubheading"/>
      </w:pPr>
    </w:p>
    <w:p w:rsidR="009F61ED" w:rsidRDefault="00FB0A00" w:rsidP="0019253D">
      <w:pPr>
        <w:pStyle w:val="First-LevelSubheading"/>
      </w:pPr>
      <w:r>
        <w:t xml:space="preserve">Updated </w:t>
      </w:r>
      <w:r w:rsidR="0019253D">
        <w:t>Labor and Material Costs</w:t>
      </w:r>
    </w:p>
    <w:p w:rsidR="004F1C5D" w:rsidRDefault="003D24A6" w:rsidP="004F1C5D">
      <w:pPr>
        <w:pStyle w:val="BodyText"/>
      </w:pPr>
      <w:r>
        <w:t>The installation costs of both overhead and underground facilities include the labor and material costs to provide primary, secondary, and service distribution lines</w:t>
      </w:r>
      <w:r w:rsidR="007A2BC5">
        <w:t>,</w:t>
      </w:r>
      <w:r w:rsidR="00EA2E36">
        <w:t xml:space="preserve"> as well as</w:t>
      </w:r>
      <w:r>
        <w:t xml:space="preserve"> transformers. The cost to provide overhead service also includes poles. The cost to provide underground service includes the cost of trenching and backfilling. </w:t>
      </w:r>
      <w:r w:rsidR="004F1C5D" w:rsidRPr="00661C83">
        <w:t>Duke reevaluated each subdivision design to determine if the designs still met current construction standards for the National Electric Safety Code (NESC) and Duke. According to Duke, all subdivision designs had minor modifications to meet NESC and Duke standards. Duke reported that it upgraded certain padmounted transformers in the underground designs, resulting in a minor increase in the differential cost.</w:t>
      </w:r>
      <w:r w:rsidR="00352D58">
        <w:t xml:space="preserve"> </w:t>
      </w:r>
    </w:p>
    <w:p w:rsidR="00C44C25" w:rsidRDefault="00C44C25" w:rsidP="0016097D">
      <w:pPr>
        <w:pStyle w:val="BodyText"/>
      </w:pPr>
      <w:r>
        <w:t xml:space="preserve">Labor and material costs decreased from 2014 to 2017. Duke explained that material costs have fluctuated marginally, i.e., plus or minus five percent; thus, the decrease in labor </w:t>
      </w:r>
      <w:r w:rsidR="00BC0D2F">
        <w:t xml:space="preserve">cost </w:t>
      </w:r>
      <w:r>
        <w:t xml:space="preserve">is the primary driver in cost reduction. </w:t>
      </w:r>
      <w:r w:rsidR="004F1C5D" w:rsidRPr="000860F0">
        <w:t>Overhead construction continues to be performed by Duke employees and underground construction continues to be performed by contractors.</w:t>
      </w:r>
      <w:r w:rsidR="004F1C5D">
        <w:t xml:space="preserve"> </w:t>
      </w:r>
      <w:r w:rsidR="00BF3392">
        <w:t>L</w:t>
      </w:r>
      <w:r>
        <w:t>abor rates for Duke employees have remained relative</w:t>
      </w:r>
      <w:r w:rsidR="002F432B">
        <w:t>ly</w:t>
      </w:r>
      <w:r>
        <w:t xml:space="preserve"> flat</w:t>
      </w:r>
      <w:r w:rsidR="007F5AF9">
        <w:t xml:space="preserve">; the decrease is due to </w:t>
      </w:r>
      <w:r w:rsidR="00A64496">
        <w:t xml:space="preserve">a decrease in </w:t>
      </w:r>
      <w:r w:rsidR="00C01B51">
        <w:t xml:space="preserve">Duke’s </w:t>
      </w:r>
      <w:r w:rsidR="00A64496">
        <w:t>other (i.e., non-p</w:t>
      </w:r>
      <w:r w:rsidR="00F120C0">
        <w:t>ension) post-employment benefit plan</w:t>
      </w:r>
      <w:r w:rsidR="002B4AAD">
        <w:t>.</w:t>
      </w:r>
      <w:r w:rsidR="002D7CD8">
        <w:t xml:space="preserve"> </w:t>
      </w:r>
      <w:r w:rsidR="00EF603A">
        <w:t xml:space="preserve">Other post-employment benefits do not include pension, but may include healthcare or life insurance premiums. </w:t>
      </w:r>
      <w:r w:rsidR="002D7CD8">
        <w:t xml:space="preserve">In response to staff’s data request, Duke explained that </w:t>
      </w:r>
      <w:r w:rsidR="007F3E96">
        <w:t>its</w:t>
      </w:r>
      <w:r w:rsidR="00F120C0">
        <w:t xml:space="preserve"> predecessor company</w:t>
      </w:r>
      <w:r w:rsidR="003A1504">
        <w:t>’s</w:t>
      </w:r>
      <w:r w:rsidR="007F3E96">
        <w:t xml:space="preserve"> (Progress Energy</w:t>
      </w:r>
      <w:r w:rsidR="00C365F4">
        <w:t xml:space="preserve"> Florida, Inc.</w:t>
      </w:r>
      <w:r w:rsidR="007F3E96">
        <w:t>)</w:t>
      </w:r>
      <w:r w:rsidR="002D7CD8">
        <w:t xml:space="preserve"> </w:t>
      </w:r>
      <w:r w:rsidR="002B4AAD">
        <w:t xml:space="preserve">benefit </w:t>
      </w:r>
      <w:r w:rsidR="00A64496">
        <w:t>plan was</w:t>
      </w:r>
      <w:r w:rsidR="002D7CD8">
        <w:t xml:space="preserve"> harmonized</w:t>
      </w:r>
      <w:r w:rsidR="00EF603A">
        <w:t xml:space="preserve">, i.e., </w:t>
      </w:r>
      <w:r w:rsidR="002D7CD8">
        <w:t>blen</w:t>
      </w:r>
      <w:r w:rsidR="00EF603A">
        <w:t>ded,</w:t>
      </w:r>
      <w:r w:rsidR="002F432B">
        <w:t xml:space="preserve"> with Duke’s </w:t>
      </w:r>
      <w:r w:rsidR="00A64496">
        <w:t>plan</w:t>
      </w:r>
      <w:r w:rsidR="002F432B">
        <w:t xml:space="preserve">, resulting in a plan amendment which reduced benefits for a four-year period </w:t>
      </w:r>
      <w:r w:rsidR="002D7CD8">
        <w:t>beginning in the fourth quarter of 2014.</w:t>
      </w:r>
    </w:p>
    <w:p w:rsidR="0016097D" w:rsidRDefault="00A64496">
      <w:pPr>
        <w:pStyle w:val="BodyText"/>
      </w:pPr>
      <w:r>
        <w:t xml:space="preserve">Contractor labor costs decreased due to the move from hourly pricing to unit-based pricing. Duke explained that hourly pricing compensates contractors for the duration to complete the work, including, for example, any unforeseen delays. Under unit-based pricing, contractors are compensated based on fixed prices for specific work; therefore, contractors absorb the cost of any unforeseen delays. </w:t>
      </w:r>
    </w:p>
    <w:p w:rsidR="00FB0A00" w:rsidRDefault="000248A0">
      <w:pPr>
        <w:pStyle w:val="BodyText"/>
      </w:pPr>
      <w:r>
        <w:t xml:space="preserve">Loading factors decreased </w:t>
      </w:r>
      <w:r w:rsidR="00BC1381">
        <w:t>from 2014 to 2017. T</w:t>
      </w:r>
      <w:r>
        <w:t xml:space="preserve">he Design and Project Management </w:t>
      </w:r>
      <w:r w:rsidR="00BC1381">
        <w:t xml:space="preserve">loading factor decreased from 17.90 to 13.90 percent of labor. The </w:t>
      </w:r>
      <w:r>
        <w:t xml:space="preserve">Management and Supervision </w:t>
      </w:r>
      <w:r w:rsidR="00EA2E36">
        <w:t xml:space="preserve">loading </w:t>
      </w:r>
      <w:r>
        <w:t xml:space="preserve">factor decreased </w:t>
      </w:r>
      <w:r w:rsidR="00BC1381">
        <w:t xml:space="preserve">from 35.67 to 28.86 percent of labor. Both factors decreased </w:t>
      </w:r>
      <w:r>
        <w:t xml:space="preserve">because the investment </w:t>
      </w:r>
      <w:r w:rsidR="00EA2E36">
        <w:t xml:space="preserve">in distribution costs </w:t>
      </w:r>
      <w:r>
        <w:t xml:space="preserve">increased at a greater rate than the actual management and supervision costs. </w:t>
      </w:r>
    </w:p>
    <w:p w:rsidR="0019253D" w:rsidRDefault="003D24A6">
      <w:pPr>
        <w:pStyle w:val="BodyText"/>
      </w:pPr>
      <w:r>
        <w:t>Table 1-</w:t>
      </w:r>
      <w:r w:rsidR="00BC1381">
        <w:t>2</w:t>
      </w:r>
      <w:r>
        <w:t xml:space="preserve"> </w:t>
      </w:r>
      <w:r w:rsidR="00A64496">
        <w:t xml:space="preserve">below </w:t>
      </w:r>
      <w:r>
        <w:t xml:space="preserve">compares </w:t>
      </w:r>
      <w:r w:rsidR="004A14C4">
        <w:t xml:space="preserve">total </w:t>
      </w:r>
      <w:r>
        <w:t xml:space="preserve">2014 and 2017 </w:t>
      </w:r>
      <w:r w:rsidR="000248A0">
        <w:t xml:space="preserve">labor and material costs for </w:t>
      </w:r>
      <w:r w:rsidR="00EC197E">
        <w:t>the three subdivisions.</w:t>
      </w:r>
      <w:r w:rsidR="00E95F48">
        <w:t xml:space="preserve"> As Table 1-</w:t>
      </w:r>
      <w:r w:rsidR="00075DA1">
        <w:t>2</w:t>
      </w:r>
      <w:r w:rsidR="00E95F48">
        <w:t xml:space="preserve"> shows,</w:t>
      </w:r>
      <w:r w:rsidR="00EA2E36">
        <w:t xml:space="preserve"> the total labor and material cost differentials decreased for all three model subdivisions because the cost of underground construction decreased at a greater rate than the cost of overhead construction.</w:t>
      </w:r>
    </w:p>
    <w:p w:rsidR="00075DA1" w:rsidRDefault="00075DA1">
      <w:pPr>
        <w:pStyle w:val="BodyText"/>
      </w:pPr>
    </w:p>
    <w:p w:rsidR="00075DA1" w:rsidRDefault="00075DA1">
      <w:pPr>
        <w:pStyle w:val="BodyText"/>
      </w:pPr>
    </w:p>
    <w:p w:rsidR="000641AA" w:rsidRDefault="000641AA">
      <w:pPr>
        <w:pStyle w:val="BodyText"/>
      </w:pPr>
    </w:p>
    <w:p w:rsidR="00106C48" w:rsidRDefault="00011423" w:rsidP="00011423">
      <w:pPr>
        <w:pStyle w:val="TableNumber"/>
        <w:keepNext/>
      </w:pPr>
      <w:r>
        <w:lastRenderedPageBreak/>
        <w:t xml:space="preserve">Table </w:t>
      </w:r>
      <w:r w:rsidR="005B5828">
        <w:fldChar w:fldCharType="begin"/>
      </w:r>
      <w:r w:rsidR="005B5828">
        <w:instrText xml:space="preserve"> SEQ Issue \c </w:instrText>
      </w:r>
      <w:r w:rsidR="005B5828">
        <w:fldChar w:fldCharType="separate"/>
      </w:r>
      <w:r w:rsidR="00BA1060">
        <w:rPr>
          <w:noProof/>
        </w:rPr>
        <w:t>1</w:t>
      </w:r>
      <w:r w:rsidR="005B5828">
        <w:rPr>
          <w:noProof/>
        </w:rPr>
        <w:fldChar w:fldCharType="end"/>
      </w:r>
      <w:r>
        <w:t>-</w:t>
      </w:r>
      <w:r w:rsidR="00BC1381">
        <w:t>2</w:t>
      </w:r>
    </w:p>
    <w:p w:rsidR="00011423" w:rsidRDefault="00011423" w:rsidP="00011423">
      <w:pPr>
        <w:pStyle w:val="TableTitle"/>
        <w:keepNext/>
      </w:pPr>
      <w:r>
        <w:t xml:space="preserve">Labor and Material Costs </w:t>
      </w:r>
      <w:r w:rsidR="00FA545A">
        <w:t>p</w:t>
      </w:r>
      <w:r>
        <w:t xml:space="preserve">er </w:t>
      </w:r>
      <w:r w:rsidR="00075DA1">
        <w:t>Lot</w:t>
      </w:r>
    </w:p>
    <w:tbl>
      <w:tblPr>
        <w:tblStyle w:val="TableGrid"/>
        <w:tblW w:w="0" w:type="auto"/>
        <w:tblInd w:w="918" w:type="dxa"/>
        <w:tblLook w:val="04A0" w:firstRow="1" w:lastRow="0" w:firstColumn="1" w:lastColumn="0" w:noHBand="0" w:noVBand="1"/>
      </w:tblPr>
      <w:tblGrid>
        <w:gridCol w:w="3600"/>
        <w:gridCol w:w="1440"/>
        <w:gridCol w:w="1530"/>
        <w:gridCol w:w="1530"/>
      </w:tblGrid>
      <w:tr w:rsidR="00011423" w:rsidTr="0035608B">
        <w:tc>
          <w:tcPr>
            <w:tcW w:w="3600" w:type="dxa"/>
            <w:vAlign w:val="center"/>
          </w:tcPr>
          <w:p w:rsidR="00011423" w:rsidRPr="00011423" w:rsidRDefault="00011423" w:rsidP="00567EE8">
            <w:pPr>
              <w:jc w:val="center"/>
              <w:rPr>
                <w:b/>
              </w:rPr>
            </w:pPr>
          </w:p>
        </w:tc>
        <w:tc>
          <w:tcPr>
            <w:tcW w:w="1440" w:type="dxa"/>
            <w:vAlign w:val="center"/>
          </w:tcPr>
          <w:p w:rsidR="00011423" w:rsidRPr="00011423" w:rsidRDefault="00011423" w:rsidP="0035608B">
            <w:pPr>
              <w:jc w:val="right"/>
              <w:rPr>
                <w:b/>
              </w:rPr>
            </w:pPr>
            <w:r w:rsidRPr="00011423">
              <w:rPr>
                <w:b/>
              </w:rPr>
              <w:t>201</w:t>
            </w:r>
            <w:r w:rsidR="0014179E">
              <w:rPr>
                <w:b/>
              </w:rPr>
              <w:t>4</w:t>
            </w:r>
            <w:r w:rsidRPr="00011423">
              <w:rPr>
                <w:b/>
              </w:rPr>
              <w:t xml:space="preserve"> Costs</w:t>
            </w:r>
          </w:p>
        </w:tc>
        <w:tc>
          <w:tcPr>
            <w:tcW w:w="1530" w:type="dxa"/>
            <w:vAlign w:val="center"/>
          </w:tcPr>
          <w:p w:rsidR="00011423" w:rsidRPr="00011423" w:rsidRDefault="00011423" w:rsidP="0035608B">
            <w:pPr>
              <w:jc w:val="right"/>
              <w:rPr>
                <w:b/>
              </w:rPr>
            </w:pPr>
            <w:r w:rsidRPr="00011423">
              <w:rPr>
                <w:b/>
              </w:rPr>
              <w:t>2017 Costs</w:t>
            </w:r>
          </w:p>
        </w:tc>
        <w:tc>
          <w:tcPr>
            <w:tcW w:w="1530" w:type="dxa"/>
            <w:vAlign w:val="center"/>
          </w:tcPr>
          <w:p w:rsidR="00011423" w:rsidRPr="00011423" w:rsidRDefault="00011423" w:rsidP="0035608B">
            <w:pPr>
              <w:jc w:val="right"/>
              <w:rPr>
                <w:b/>
              </w:rPr>
            </w:pPr>
            <w:r w:rsidRPr="00011423">
              <w:rPr>
                <w:b/>
              </w:rPr>
              <w:t>Difference</w:t>
            </w:r>
          </w:p>
        </w:tc>
      </w:tr>
      <w:tr w:rsidR="00075DA1" w:rsidTr="0035608B">
        <w:tc>
          <w:tcPr>
            <w:tcW w:w="8100" w:type="dxa"/>
            <w:gridSpan w:val="4"/>
            <w:vAlign w:val="center"/>
          </w:tcPr>
          <w:p w:rsidR="00075DA1" w:rsidRDefault="00075DA1" w:rsidP="00075DA1">
            <w:r w:rsidRPr="00011423">
              <w:rPr>
                <w:b/>
              </w:rPr>
              <w:t>Low Density</w:t>
            </w:r>
          </w:p>
        </w:tc>
      </w:tr>
      <w:tr w:rsidR="00011423" w:rsidTr="0035608B">
        <w:tc>
          <w:tcPr>
            <w:tcW w:w="3600" w:type="dxa"/>
            <w:vAlign w:val="center"/>
          </w:tcPr>
          <w:p w:rsidR="00011423" w:rsidRDefault="00011423" w:rsidP="00E0142B">
            <w:r>
              <w:t>Underground</w:t>
            </w:r>
            <w:r w:rsidR="00E0142B">
              <w:t xml:space="preserve"> L</w:t>
            </w:r>
            <w:r w:rsidR="00B12E32">
              <w:t>abor/m</w:t>
            </w:r>
            <w:r>
              <w:t xml:space="preserve">aterial </w:t>
            </w:r>
            <w:r w:rsidR="00E0142B">
              <w:t>C</w:t>
            </w:r>
            <w:r>
              <w:t>osts</w:t>
            </w:r>
          </w:p>
        </w:tc>
        <w:tc>
          <w:tcPr>
            <w:tcW w:w="1440" w:type="dxa"/>
            <w:vAlign w:val="center"/>
          </w:tcPr>
          <w:p w:rsidR="00011423" w:rsidRDefault="00011423" w:rsidP="00075DA1">
            <w:pPr>
              <w:jc w:val="right"/>
            </w:pPr>
            <w:r>
              <w:t>$1,654</w:t>
            </w:r>
          </w:p>
        </w:tc>
        <w:tc>
          <w:tcPr>
            <w:tcW w:w="1530" w:type="dxa"/>
            <w:vAlign w:val="center"/>
          </w:tcPr>
          <w:p w:rsidR="00011423" w:rsidRDefault="00011423" w:rsidP="00075DA1">
            <w:pPr>
              <w:jc w:val="right"/>
            </w:pPr>
            <w:r>
              <w:t>$1,477</w:t>
            </w:r>
          </w:p>
        </w:tc>
        <w:tc>
          <w:tcPr>
            <w:tcW w:w="1530" w:type="dxa"/>
            <w:vAlign w:val="center"/>
          </w:tcPr>
          <w:p w:rsidR="00011423" w:rsidRDefault="006C5126" w:rsidP="00075DA1">
            <w:pPr>
              <w:jc w:val="right"/>
            </w:pPr>
            <w:r>
              <w:t>($177)</w:t>
            </w:r>
          </w:p>
        </w:tc>
      </w:tr>
      <w:tr w:rsidR="00011423" w:rsidTr="0035608B">
        <w:tc>
          <w:tcPr>
            <w:tcW w:w="3600" w:type="dxa"/>
            <w:vAlign w:val="center"/>
          </w:tcPr>
          <w:p w:rsidR="00011423" w:rsidRDefault="00011423" w:rsidP="00E0142B">
            <w:r>
              <w:t xml:space="preserve">Overhead </w:t>
            </w:r>
            <w:r w:rsidR="00E0142B">
              <w:t>L</w:t>
            </w:r>
            <w:r>
              <w:t xml:space="preserve">abor/material </w:t>
            </w:r>
            <w:r w:rsidR="00E0142B">
              <w:t>C</w:t>
            </w:r>
            <w:r>
              <w:t>osts</w:t>
            </w:r>
          </w:p>
        </w:tc>
        <w:tc>
          <w:tcPr>
            <w:tcW w:w="1440" w:type="dxa"/>
            <w:vAlign w:val="center"/>
          </w:tcPr>
          <w:p w:rsidR="00011423" w:rsidRDefault="00011423" w:rsidP="00075DA1">
            <w:pPr>
              <w:jc w:val="right"/>
            </w:pPr>
            <w:r>
              <w:t>$1,168</w:t>
            </w:r>
          </w:p>
        </w:tc>
        <w:tc>
          <w:tcPr>
            <w:tcW w:w="1530" w:type="dxa"/>
            <w:vAlign w:val="center"/>
          </w:tcPr>
          <w:p w:rsidR="00011423" w:rsidRDefault="00011423" w:rsidP="00075DA1">
            <w:pPr>
              <w:jc w:val="right"/>
            </w:pPr>
            <w:r>
              <w:t>$1,069</w:t>
            </w:r>
          </w:p>
        </w:tc>
        <w:tc>
          <w:tcPr>
            <w:tcW w:w="1530" w:type="dxa"/>
            <w:vAlign w:val="center"/>
          </w:tcPr>
          <w:p w:rsidR="00011423" w:rsidRDefault="006C5126" w:rsidP="00075DA1">
            <w:pPr>
              <w:jc w:val="right"/>
            </w:pPr>
            <w:r>
              <w:t>($99)</w:t>
            </w:r>
          </w:p>
        </w:tc>
      </w:tr>
      <w:tr w:rsidR="00011423" w:rsidTr="0035608B">
        <w:tc>
          <w:tcPr>
            <w:tcW w:w="3600" w:type="dxa"/>
            <w:vAlign w:val="center"/>
          </w:tcPr>
          <w:p w:rsidR="00011423" w:rsidRDefault="00011423" w:rsidP="00162812">
            <w:r>
              <w:t xml:space="preserve">Per </w:t>
            </w:r>
            <w:r w:rsidR="00162812">
              <w:t>l</w:t>
            </w:r>
            <w:r w:rsidR="00075DA1">
              <w:t>ot</w:t>
            </w:r>
            <w:r>
              <w:t xml:space="preserve"> </w:t>
            </w:r>
            <w:r w:rsidR="00E0142B">
              <w:t>D</w:t>
            </w:r>
            <w:r>
              <w:t>ifferential</w:t>
            </w:r>
          </w:p>
        </w:tc>
        <w:tc>
          <w:tcPr>
            <w:tcW w:w="1440" w:type="dxa"/>
            <w:vAlign w:val="center"/>
          </w:tcPr>
          <w:p w:rsidR="00011423" w:rsidRDefault="00011423" w:rsidP="00075DA1">
            <w:pPr>
              <w:jc w:val="right"/>
            </w:pPr>
            <w:r>
              <w:t>$486</w:t>
            </w:r>
          </w:p>
        </w:tc>
        <w:tc>
          <w:tcPr>
            <w:tcW w:w="1530" w:type="dxa"/>
            <w:vAlign w:val="center"/>
          </w:tcPr>
          <w:p w:rsidR="00011423" w:rsidRDefault="00011423" w:rsidP="00075DA1">
            <w:pPr>
              <w:jc w:val="right"/>
            </w:pPr>
            <w:r>
              <w:t>$408</w:t>
            </w:r>
          </w:p>
        </w:tc>
        <w:tc>
          <w:tcPr>
            <w:tcW w:w="1530" w:type="dxa"/>
            <w:vAlign w:val="center"/>
          </w:tcPr>
          <w:p w:rsidR="00011423" w:rsidRDefault="006C5126" w:rsidP="00075DA1">
            <w:pPr>
              <w:jc w:val="right"/>
            </w:pPr>
            <w:r>
              <w:t>($78)</w:t>
            </w:r>
          </w:p>
        </w:tc>
      </w:tr>
      <w:tr w:rsidR="00011423" w:rsidTr="0035608B">
        <w:tc>
          <w:tcPr>
            <w:tcW w:w="3600" w:type="dxa"/>
            <w:vAlign w:val="center"/>
          </w:tcPr>
          <w:p w:rsidR="00011423" w:rsidRPr="00011423" w:rsidRDefault="00011423" w:rsidP="00075DA1">
            <w:pPr>
              <w:rPr>
                <w:b/>
              </w:rPr>
            </w:pPr>
            <w:r w:rsidRPr="00011423">
              <w:rPr>
                <w:b/>
              </w:rPr>
              <w:t>High Density</w:t>
            </w:r>
          </w:p>
        </w:tc>
        <w:tc>
          <w:tcPr>
            <w:tcW w:w="1440" w:type="dxa"/>
            <w:vAlign w:val="center"/>
          </w:tcPr>
          <w:p w:rsidR="00011423" w:rsidRDefault="00011423" w:rsidP="00075DA1">
            <w:pPr>
              <w:jc w:val="right"/>
            </w:pPr>
          </w:p>
        </w:tc>
        <w:tc>
          <w:tcPr>
            <w:tcW w:w="1530" w:type="dxa"/>
            <w:vAlign w:val="center"/>
          </w:tcPr>
          <w:p w:rsidR="00011423" w:rsidRDefault="00011423" w:rsidP="00075DA1">
            <w:pPr>
              <w:jc w:val="right"/>
            </w:pPr>
          </w:p>
        </w:tc>
        <w:tc>
          <w:tcPr>
            <w:tcW w:w="1530" w:type="dxa"/>
            <w:vAlign w:val="center"/>
          </w:tcPr>
          <w:p w:rsidR="00011423" w:rsidRDefault="00011423" w:rsidP="00075DA1">
            <w:pPr>
              <w:jc w:val="right"/>
            </w:pPr>
          </w:p>
        </w:tc>
      </w:tr>
      <w:tr w:rsidR="00011423" w:rsidTr="0035608B">
        <w:tc>
          <w:tcPr>
            <w:tcW w:w="3600" w:type="dxa"/>
            <w:vAlign w:val="center"/>
          </w:tcPr>
          <w:p w:rsidR="00011423" w:rsidRDefault="00011423" w:rsidP="00E0142B">
            <w:r>
              <w:t xml:space="preserve">Underground </w:t>
            </w:r>
            <w:r w:rsidR="00E0142B">
              <w:t>L</w:t>
            </w:r>
            <w:r>
              <w:t xml:space="preserve">abor/material </w:t>
            </w:r>
            <w:r w:rsidR="00E0142B">
              <w:t>C</w:t>
            </w:r>
            <w:r>
              <w:t>osts</w:t>
            </w:r>
          </w:p>
        </w:tc>
        <w:tc>
          <w:tcPr>
            <w:tcW w:w="1440" w:type="dxa"/>
            <w:vAlign w:val="center"/>
          </w:tcPr>
          <w:p w:rsidR="00011423" w:rsidRDefault="00011423" w:rsidP="00075DA1">
            <w:pPr>
              <w:jc w:val="right"/>
            </w:pPr>
            <w:r>
              <w:t>$1,309</w:t>
            </w:r>
          </w:p>
        </w:tc>
        <w:tc>
          <w:tcPr>
            <w:tcW w:w="1530" w:type="dxa"/>
            <w:vAlign w:val="center"/>
          </w:tcPr>
          <w:p w:rsidR="00011423" w:rsidRDefault="00011423" w:rsidP="00075DA1">
            <w:pPr>
              <w:jc w:val="right"/>
            </w:pPr>
            <w:r>
              <w:t>$1,181</w:t>
            </w:r>
          </w:p>
        </w:tc>
        <w:tc>
          <w:tcPr>
            <w:tcW w:w="1530" w:type="dxa"/>
            <w:vAlign w:val="center"/>
          </w:tcPr>
          <w:p w:rsidR="00011423" w:rsidRDefault="006C5126" w:rsidP="00075DA1">
            <w:pPr>
              <w:jc w:val="right"/>
            </w:pPr>
            <w:r>
              <w:t>($128)</w:t>
            </w:r>
          </w:p>
        </w:tc>
      </w:tr>
      <w:tr w:rsidR="00011423" w:rsidTr="0035608B">
        <w:tc>
          <w:tcPr>
            <w:tcW w:w="3600" w:type="dxa"/>
            <w:vAlign w:val="center"/>
          </w:tcPr>
          <w:p w:rsidR="00011423" w:rsidRDefault="00011423" w:rsidP="00E0142B">
            <w:r>
              <w:t xml:space="preserve">Overhead </w:t>
            </w:r>
            <w:r w:rsidR="00E0142B">
              <w:t>L</w:t>
            </w:r>
            <w:r>
              <w:t xml:space="preserve">abor/material </w:t>
            </w:r>
            <w:r w:rsidR="00E0142B">
              <w:t>C</w:t>
            </w:r>
            <w:r>
              <w:t>osts</w:t>
            </w:r>
          </w:p>
        </w:tc>
        <w:tc>
          <w:tcPr>
            <w:tcW w:w="1440" w:type="dxa"/>
            <w:vAlign w:val="center"/>
          </w:tcPr>
          <w:p w:rsidR="00011423" w:rsidRDefault="00011423" w:rsidP="00075DA1">
            <w:pPr>
              <w:jc w:val="right"/>
            </w:pPr>
            <w:r>
              <w:t>$946</w:t>
            </w:r>
          </w:p>
        </w:tc>
        <w:tc>
          <w:tcPr>
            <w:tcW w:w="1530" w:type="dxa"/>
            <w:vAlign w:val="center"/>
          </w:tcPr>
          <w:p w:rsidR="00011423" w:rsidRDefault="00011423" w:rsidP="00075DA1">
            <w:pPr>
              <w:jc w:val="right"/>
            </w:pPr>
            <w:r>
              <w:t>$865</w:t>
            </w:r>
          </w:p>
        </w:tc>
        <w:tc>
          <w:tcPr>
            <w:tcW w:w="1530" w:type="dxa"/>
            <w:vAlign w:val="center"/>
          </w:tcPr>
          <w:p w:rsidR="00011423" w:rsidRDefault="006C5126" w:rsidP="00075DA1">
            <w:pPr>
              <w:jc w:val="right"/>
            </w:pPr>
            <w:r>
              <w:t>($81)</w:t>
            </w:r>
          </w:p>
        </w:tc>
      </w:tr>
      <w:tr w:rsidR="00011423" w:rsidTr="0035608B">
        <w:tc>
          <w:tcPr>
            <w:tcW w:w="3600" w:type="dxa"/>
            <w:vAlign w:val="center"/>
          </w:tcPr>
          <w:p w:rsidR="00011423" w:rsidRDefault="00011423" w:rsidP="00162812">
            <w:r>
              <w:t xml:space="preserve">Per </w:t>
            </w:r>
            <w:r w:rsidR="00162812">
              <w:t>l</w:t>
            </w:r>
            <w:r w:rsidR="00075DA1">
              <w:t>ot</w:t>
            </w:r>
            <w:r>
              <w:t xml:space="preserve"> </w:t>
            </w:r>
            <w:r w:rsidR="00E0142B">
              <w:t>D</w:t>
            </w:r>
            <w:r>
              <w:t>ifferential</w:t>
            </w:r>
          </w:p>
        </w:tc>
        <w:tc>
          <w:tcPr>
            <w:tcW w:w="1440" w:type="dxa"/>
            <w:vAlign w:val="center"/>
          </w:tcPr>
          <w:p w:rsidR="00011423" w:rsidRDefault="00011423" w:rsidP="00075DA1">
            <w:pPr>
              <w:jc w:val="right"/>
            </w:pPr>
            <w:r>
              <w:t>$363</w:t>
            </w:r>
          </w:p>
        </w:tc>
        <w:tc>
          <w:tcPr>
            <w:tcW w:w="1530" w:type="dxa"/>
            <w:vAlign w:val="center"/>
          </w:tcPr>
          <w:p w:rsidR="00011423" w:rsidRDefault="00011423" w:rsidP="00075DA1">
            <w:pPr>
              <w:jc w:val="right"/>
            </w:pPr>
            <w:r>
              <w:t>$316</w:t>
            </w:r>
          </w:p>
        </w:tc>
        <w:tc>
          <w:tcPr>
            <w:tcW w:w="1530" w:type="dxa"/>
            <w:vAlign w:val="center"/>
          </w:tcPr>
          <w:p w:rsidR="00011423" w:rsidRDefault="006C5126" w:rsidP="00075DA1">
            <w:pPr>
              <w:jc w:val="right"/>
            </w:pPr>
            <w:r>
              <w:t>($47)</w:t>
            </w:r>
          </w:p>
        </w:tc>
      </w:tr>
      <w:tr w:rsidR="00011423" w:rsidTr="0035608B">
        <w:tc>
          <w:tcPr>
            <w:tcW w:w="3600" w:type="dxa"/>
            <w:vAlign w:val="center"/>
          </w:tcPr>
          <w:p w:rsidR="00011423" w:rsidRPr="00011423" w:rsidRDefault="00011423" w:rsidP="00075DA1">
            <w:pPr>
              <w:rPr>
                <w:b/>
              </w:rPr>
            </w:pPr>
            <w:r w:rsidRPr="00011423">
              <w:rPr>
                <w:b/>
              </w:rPr>
              <w:t>Ganged Meter</w:t>
            </w:r>
          </w:p>
        </w:tc>
        <w:tc>
          <w:tcPr>
            <w:tcW w:w="1440" w:type="dxa"/>
            <w:vAlign w:val="center"/>
          </w:tcPr>
          <w:p w:rsidR="00011423" w:rsidRDefault="00011423" w:rsidP="00075DA1">
            <w:pPr>
              <w:jc w:val="right"/>
            </w:pPr>
          </w:p>
        </w:tc>
        <w:tc>
          <w:tcPr>
            <w:tcW w:w="1530" w:type="dxa"/>
            <w:vAlign w:val="center"/>
          </w:tcPr>
          <w:p w:rsidR="00011423" w:rsidRDefault="00011423" w:rsidP="00075DA1">
            <w:pPr>
              <w:jc w:val="right"/>
            </w:pPr>
          </w:p>
        </w:tc>
        <w:tc>
          <w:tcPr>
            <w:tcW w:w="1530" w:type="dxa"/>
            <w:vAlign w:val="center"/>
          </w:tcPr>
          <w:p w:rsidR="00011423" w:rsidRDefault="00011423" w:rsidP="00075DA1">
            <w:pPr>
              <w:jc w:val="right"/>
            </w:pPr>
          </w:p>
        </w:tc>
      </w:tr>
      <w:tr w:rsidR="00011423" w:rsidTr="0035608B">
        <w:tc>
          <w:tcPr>
            <w:tcW w:w="3600" w:type="dxa"/>
            <w:vAlign w:val="center"/>
          </w:tcPr>
          <w:p w:rsidR="00011423" w:rsidRDefault="00011423" w:rsidP="00E0142B">
            <w:r>
              <w:t xml:space="preserve">Underground </w:t>
            </w:r>
            <w:r w:rsidR="00E0142B">
              <w:t>L</w:t>
            </w:r>
            <w:r>
              <w:t xml:space="preserve">abor/material </w:t>
            </w:r>
            <w:r w:rsidR="00E0142B">
              <w:t>C</w:t>
            </w:r>
            <w:r>
              <w:t>osts</w:t>
            </w:r>
          </w:p>
        </w:tc>
        <w:tc>
          <w:tcPr>
            <w:tcW w:w="1440" w:type="dxa"/>
            <w:vAlign w:val="center"/>
          </w:tcPr>
          <w:p w:rsidR="00011423" w:rsidRDefault="00011423" w:rsidP="00075DA1">
            <w:pPr>
              <w:jc w:val="right"/>
            </w:pPr>
            <w:r>
              <w:t>$</w:t>
            </w:r>
            <w:r w:rsidR="00653DBB">
              <w:t>753</w:t>
            </w:r>
          </w:p>
        </w:tc>
        <w:tc>
          <w:tcPr>
            <w:tcW w:w="1530" w:type="dxa"/>
            <w:vAlign w:val="center"/>
          </w:tcPr>
          <w:p w:rsidR="00011423" w:rsidRDefault="00011423" w:rsidP="00075DA1">
            <w:pPr>
              <w:jc w:val="right"/>
            </w:pPr>
            <w:r>
              <w:t>$686</w:t>
            </w:r>
          </w:p>
        </w:tc>
        <w:tc>
          <w:tcPr>
            <w:tcW w:w="1530" w:type="dxa"/>
            <w:vAlign w:val="center"/>
          </w:tcPr>
          <w:p w:rsidR="00011423" w:rsidRDefault="00653DBB" w:rsidP="00075DA1">
            <w:pPr>
              <w:jc w:val="right"/>
            </w:pPr>
            <w:r>
              <w:t>($67)</w:t>
            </w:r>
          </w:p>
        </w:tc>
      </w:tr>
      <w:tr w:rsidR="00011423" w:rsidTr="0035608B">
        <w:tc>
          <w:tcPr>
            <w:tcW w:w="3600" w:type="dxa"/>
            <w:vAlign w:val="center"/>
          </w:tcPr>
          <w:p w:rsidR="00011423" w:rsidRDefault="00011423" w:rsidP="00E0142B">
            <w:r>
              <w:t xml:space="preserve">Overhead </w:t>
            </w:r>
            <w:r w:rsidR="00E0142B">
              <w:t>L</w:t>
            </w:r>
            <w:r>
              <w:t xml:space="preserve">abor/material </w:t>
            </w:r>
            <w:r w:rsidR="00E0142B">
              <w:t>C</w:t>
            </w:r>
            <w:r>
              <w:t>osts</w:t>
            </w:r>
          </w:p>
        </w:tc>
        <w:tc>
          <w:tcPr>
            <w:tcW w:w="1440" w:type="dxa"/>
            <w:vAlign w:val="center"/>
          </w:tcPr>
          <w:p w:rsidR="00011423" w:rsidRDefault="00653DBB" w:rsidP="00075DA1">
            <w:pPr>
              <w:jc w:val="right"/>
            </w:pPr>
            <w:r>
              <w:t>$627</w:t>
            </w:r>
          </w:p>
        </w:tc>
        <w:tc>
          <w:tcPr>
            <w:tcW w:w="1530" w:type="dxa"/>
            <w:vAlign w:val="center"/>
          </w:tcPr>
          <w:p w:rsidR="00011423" w:rsidRDefault="00011423" w:rsidP="00075DA1">
            <w:pPr>
              <w:jc w:val="right"/>
            </w:pPr>
            <w:r>
              <w:t>$609</w:t>
            </w:r>
          </w:p>
        </w:tc>
        <w:tc>
          <w:tcPr>
            <w:tcW w:w="1530" w:type="dxa"/>
            <w:vAlign w:val="center"/>
          </w:tcPr>
          <w:p w:rsidR="00011423" w:rsidRDefault="00653DBB" w:rsidP="00075DA1">
            <w:pPr>
              <w:jc w:val="right"/>
            </w:pPr>
            <w:r>
              <w:t>($18)</w:t>
            </w:r>
          </w:p>
        </w:tc>
      </w:tr>
      <w:tr w:rsidR="00011423" w:rsidTr="0035608B">
        <w:tc>
          <w:tcPr>
            <w:tcW w:w="3600" w:type="dxa"/>
            <w:vAlign w:val="center"/>
          </w:tcPr>
          <w:p w:rsidR="00011423" w:rsidRDefault="00011423" w:rsidP="00162812">
            <w:r>
              <w:t xml:space="preserve">Per </w:t>
            </w:r>
            <w:r w:rsidR="00162812">
              <w:t>l</w:t>
            </w:r>
            <w:r w:rsidR="00075DA1">
              <w:t>ot</w:t>
            </w:r>
            <w:r>
              <w:t xml:space="preserve"> </w:t>
            </w:r>
            <w:r w:rsidR="00E0142B">
              <w:t>D</w:t>
            </w:r>
            <w:r>
              <w:t>ifferential</w:t>
            </w:r>
          </w:p>
        </w:tc>
        <w:tc>
          <w:tcPr>
            <w:tcW w:w="1440" w:type="dxa"/>
            <w:vAlign w:val="center"/>
          </w:tcPr>
          <w:p w:rsidR="00011423" w:rsidRDefault="00653DBB" w:rsidP="00075DA1">
            <w:pPr>
              <w:jc w:val="right"/>
            </w:pPr>
            <w:r>
              <w:t>$126</w:t>
            </w:r>
          </w:p>
        </w:tc>
        <w:tc>
          <w:tcPr>
            <w:tcW w:w="1530" w:type="dxa"/>
            <w:vAlign w:val="center"/>
          </w:tcPr>
          <w:p w:rsidR="00011423" w:rsidRDefault="00011423" w:rsidP="00075DA1">
            <w:pPr>
              <w:jc w:val="right"/>
            </w:pPr>
            <w:r>
              <w:t>$77</w:t>
            </w:r>
          </w:p>
        </w:tc>
        <w:tc>
          <w:tcPr>
            <w:tcW w:w="1530" w:type="dxa"/>
            <w:vAlign w:val="center"/>
          </w:tcPr>
          <w:p w:rsidR="00011423" w:rsidRDefault="00653DBB" w:rsidP="00075DA1">
            <w:pPr>
              <w:jc w:val="right"/>
            </w:pPr>
            <w:r>
              <w:t>($49)</w:t>
            </w:r>
          </w:p>
        </w:tc>
      </w:tr>
    </w:tbl>
    <w:p w:rsidR="00106C48" w:rsidRPr="00075DA1" w:rsidRDefault="00075DA1" w:rsidP="00075DA1">
      <w:pPr>
        <w:pStyle w:val="TableSource"/>
        <w:ind w:firstLine="720"/>
        <w:rPr>
          <w:sz w:val="20"/>
          <w:szCs w:val="20"/>
        </w:rPr>
      </w:pPr>
      <w:r w:rsidRPr="00075DA1">
        <w:rPr>
          <w:sz w:val="20"/>
          <w:szCs w:val="20"/>
        </w:rPr>
        <w:t xml:space="preserve"> </w:t>
      </w:r>
      <w:r w:rsidR="00011423" w:rsidRPr="00075DA1">
        <w:rPr>
          <w:sz w:val="20"/>
          <w:szCs w:val="20"/>
        </w:rPr>
        <w:t xml:space="preserve">Source: </w:t>
      </w:r>
      <w:r w:rsidR="00EC197E" w:rsidRPr="00075DA1">
        <w:rPr>
          <w:sz w:val="20"/>
          <w:szCs w:val="20"/>
        </w:rPr>
        <w:t>2014 Order and 2017 Petition</w:t>
      </w:r>
    </w:p>
    <w:p w:rsidR="00706D1F" w:rsidRDefault="00FB0A00" w:rsidP="00706D1F">
      <w:pPr>
        <w:pStyle w:val="First-LevelSubheading"/>
      </w:pPr>
      <w:r>
        <w:t xml:space="preserve">Updated </w:t>
      </w:r>
      <w:r w:rsidR="00706D1F">
        <w:t>Operational Costs</w:t>
      </w:r>
    </w:p>
    <w:p w:rsidR="007A126E" w:rsidRDefault="00706D1F" w:rsidP="00706D1F">
      <w:pPr>
        <w:pStyle w:val="BodyText"/>
      </w:pPr>
      <w:r>
        <w:t>Rule 25-6.078(4), F.A.C.</w:t>
      </w:r>
      <w:r w:rsidR="00491681">
        <w:t xml:space="preserve">, </w:t>
      </w:r>
      <w:r w:rsidR="002A64C5">
        <w:t xml:space="preserve">requires that the differences in net present value </w:t>
      </w:r>
      <w:r w:rsidR="00314908">
        <w:t>(NPV)</w:t>
      </w:r>
      <w:r w:rsidR="00EA2E36">
        <w:t xml:space="preserve"> </w:t>
      </w:r>
      <w:r w:rsidR="002A64C5">
        <w:t xml:space="preserve">of operational costs between overhead and underground systems, including average historical storm restoration costs over the life of the facilities, be included in the URD charge. </w:t>
      </w:r>
      <w:r w:rsidR="00CE00B7">
        <w:t xml:space="preserve">The inclusion of the operational cost is intended to capture longer term costs and benefits of undergrounding. </w:t>
      </w:r>
    </w:p>
    <w:p w:rsidR="007A126E" w:rsidRDefault="00CE00B7" w:rsidP="00706D1F">
      <w:pPr>
        <w:pStyle w:val="BodyText"/>
      </w:pPr>
      <w:r>
        <w:t>Operational costs include operations and mai</w:t>
      </w:r>
      <w:r w:rsidR="009F5C18">
        <w:t xml:space="preserve">ntenance costs and capital costs and represent </w:t>
      </w:r>
      <w:r w:rsidR="002A64C5">
        <w:t>the cost differential between maintaining and operating an underground versus an overhead system over the life of the facilities.</w:t>
      </w:r>
      <w:r w:rsidR="00B24E37">
        <w:t xml:space="preserve"> </w:t>
      </w:r>
      <w:r w:rsidR="007A126E">
        <w:t xml:space="preserve">The inclusion of the storm </w:t>
      </w:r>
      <w:r w:rsidR="00EA2E36">
        <w:t xml:space="preserve">restoration </w:t>
      </w:r>
      <w:r w:rsidR="007A126E">
        <w:t xml:space="preserve">cost in the URD differential lowers the differential, since an underground distribution system generally incurs less damage than an overhead system as a result of a storm, and therefore, less restoration costs when compared to an overhead system. Duke’s operational costs, last updated for the 2014 filing, </w:t>
      </w:r>
      <w:r w:rsidR="00A2708D">
        <w:t>represent</w:t>
      </w:r>
      <w:r w:rsidR="007A126E">
        <w:t xml:space="preserve"> a five-year average (2012 – 2016)</w:t>
      </w:r>
      <w:r w:rsidR="00E62E55">
        <w:t>.</w:t>
      </w:r>
      <w:r w:rsidR="003D0412">
        <w:t xml:space="preserve"> The methodology used by Duke in this filing for calculating the NPV of operational costs was approved in Order No. PSC-12-0348-TRF-EI.</w:t>
      </w:r>
      <w:r w:rsidR="003D0412">
        <w:rPr>
          <w:rStyle w:val="FootnoteReference"/>
        </w:rPr>
        <w:footnoteReference w:id="4"/>
      </w:r>
    </w:p>
    <w:p w:rsidR="00314908" w:rsidRDefault="00314908" w:rsidP="00706D1F">
      <w:pPr>
        <w:pStyle w:val="BodyText"/>
      </w:pPr>
      <w:r>
        <w:t>Duke’s NPV calculation used a 34-year life of the facilities and a 6.80 percent discount rate. Staff notes that operational costs may vary among IOUs as a result of differences in size of service territory, miles of coastline, regions subject to extreme winds, age of the distribution system, or construction standards.</w:t>
      </w:r>
    </w:p>
    <w:p w:rsidR="00FB0A00" w:rsidRDefault="00C937F9" w:rsidP="00706D1F">
      <w:pPr>
        <w:pStyle w:val="BodyText"/>
      </w:pPr>
      <w:r>
        <w:t>T</w:t>
      </w:r>
      <w:r w:rsidR="00706D1F">
        <w:t>able 1-</w:t>
      </w:r>
      <w:r w:rsidR="0035608B">
        <w:t>3</w:t>
      </w:r>
      <w:r w:rsidR="00706D1F">
        <w:t xml:space="preserve"> below compares the 2014 and 2017 NPV calculations of operational and storm restoration cost differentials between overhead and underground systems on a per </w:t>
      </w:r>
      <w:r w:rsidR="008E2B6E">
        <w:t>lot</w:t>
      </w:r>
      <w:r w:rsidR="00706D1F">
        <w:t xml:space="preserve"> basis.</w:t>
      </w:r>
      <w:r w:rsidR="00B611D8">
        <w:t xml:space="preserve"> As Table 1-</w:t>
      </w:r>
      <w:r w:rsidR="0035608B">
        <w:t>3</w:t>
      </w:r>
      <w:r w:rsidR="00B611D8">
        <w:t xml:space="preserve"> shows, there are minor differences in the differentials from 2014 to 2017.</w:t>
      </w:r>
      <w:r w:rsidR="00FB0A00">
        <w:t xml:space="preserve"> </w:t>
      </w:r>
    </w:p>
    <w:p w:rsidR="008E2B6E" w:rsidRDefault="008E2B6E" w:rsidP="008E2B6E">
      <w:pPr>
        <w:pStyle w:val="TableNumber"/>
        <w:keepNext/>
      </w:pPr>
      <w:r>
        <w:lastRenderedPageBreak/>
        <w:t xml:space="preserve">Table </w:t>
      </w:r>
      <w:r w:rsidR="005B5828">
        <w:fldChar w:fldCharType="begin"/>
      </w:r>
      <w:r w:rsidR="005B5828">
        <w:instrText xml:space="preserve"> SEQ Issu</w:instrText>
      </w:r>
      <w:r w:rsidR="005B5828">
        <w:instrText xml:space="preserve">e \c </w:instrText>
      </w:r>
      <w:r w:rsidR="005B5828">
        <w:fldChar w:fldCharType="separate"/>
      </w:r>
      <w:r w:rsidR="00BA1060">
        <w:rPr>
          <w:noProof/>
        </w:rPr>
        <w:t>1</w:t>
      </w:r>
      <w:r w:rsidR="005B5828">
        <w:rPr>
          <w:noProof/>
        </w:rPr>
        <w:fldChar w:fldCharType="end"/>
      </w:r>
      <w:r>
        <w:t>-3</w:t>
      </w:r>
    </w:p>
    <w:p w:rsidR="008E2B6E" w:rsidRDefault="008E2B6E" w:rsidP="008E2B6E">
      <w:pPr>
        <w:pStyle w:val="TableTitle"/>
        <w:keepNext/>
      </w:pPr>
      <w:r>
        <w:t>NPV of Operational Costs Differential per Lot</w:t>
      </w:r>
    </w:p>
    <w:tbl>
      <w:tblPr>
        <w:tblStyle w:val="TableGrid"/>
        <w:tblW w:w="0" w:type="auto"/>
        <w:tblInd w:w="108" w:type="dxa"/>
        <w:tblLayout w:type="fixed"/>
        <w:tblLook w:val="04A0" w:firstRow="1" w:lastRow="0" w:firstColumn="1" w:lastColumn="0" w:noHBand="0" w:noVBand="1"/>
      </w:tblPr>
      <w:tblGrid>
        <w:gridCol w:w="4050"/>
        <w:gridCol w:w="1980"/>
        <w:gridCol w:w="1980"/>
        <w:gridCol w:w="1350"/>
      </w:tblGrid>
      <w:tr w:rsidR="008E2B6E" w:rsidTr="006E6F43">
        <w:tc>
          <w:tcPr>
            <w:tcW w:w="4050" w:type="dxa"/>
          </w:tcPr>
          <w:p w:rsidR="008E2B6E" w:rsidRDefault="008E2B6E" w:rsidP="006E6F43"/>
        </w:tc>
        <w:tc>
          <w:tcPr>
            <w:tcW w:w="1980" w:type="dxa"/>
          </w:tcPr>
          <w:p w:rsidR="008E2B6E" w:rsidRPr="00ED7F1B" w:rsidRDefault="008E2B6E" w:rsidP="0067560C">
            <w:pPr>
              <w:jc w:val="center"/>
              <w:rPr>
                <w:b/>
              </w:rPr>
            </w:pPr>
            <w:r w:rsidRPr="00ED7F1B">
              <w:rPr>
                <w:b/>
              </w:rPr>
              <w:t>201</w:t>
            </w:r>
            <w:r w:rsidR="0067560C">
              <w:rPr>
                <w:b/>
              </w:rPr>
              <w:t>4</w:t>
            </w:r>
            <w:r w:rsidRPr="00ED7F1B">
              <w:rPr>
                <w:b/>
              </w:rPr>
              <w:t xml:space="preserve"> Calculation</w:t>
            </w:r>
          </w:p>
        </w:tc>
        <w:tc>
          <w:tcPr>
            <w:tcW w:w="1980" w:type="dxa"/>
          </w:tcPr>
          <w:p w:rsidR="008E2B6E" w:rsidRPr="00ED7F1B" w:rsidRDefault="008E2B6E" w:rsidP="006E6F43">
            <w:pPr>
              <w:jc w:val="center"/>
              <w:rPr>
                <w:b/>
              </w:rPr>
            </w:pPr>
            <w:r w:rsidRPr="00ED7F1B">
              <w:rPr>
                <w:b/>
              </w:rPr>
              <w:t>2017 Calculation</w:t>
            </w:r>
          </w:p>
        </w:tc>
        <w:tc>
          <w:tcPr>
            <w:tcW w:w="1350" w:type="dxa"/>
          </w:tcPr>
          <w:p w:rsidR="008E2B6E" w:rsidRPr="00ED7F1B" w:rsidRDefault="008E2B6E" w:rsidP="006E6F43">
            <w:pPr>
              <w:jc w:val="center"/>
              <w:rPr>
                <w:b/>
              </w:rPr>
            </w:pPr>
            <w:r w:rsidRPr="00ED7F1B">
              <w:rPr>
                <w:b/>
              </w:rPr>
              <w:t>Difference</w:t>
            </w:r>
          </w:p>
        </w:tc>
      </w:tr>
      <w:tr w:rsidR="008E2B6E" w:rsidTr="006E6F43">
        <w:tc>
          <w:tcPr>
            <w:tcW w:w="9360" w:type="dxa"/>
            <w:gridSpan w:val="4"/>
          </w:tcPr>
          <w:p w:rsidR="008E2B6E" w:rsidRDefault="008E2B6E" w:rsidP="006E6F43">
            <w:r w:rsidRPr="00364451">
              <w:rPr>
                <w:b/>
              </w:rPr>
              <w:t>Low Density</w:t>
            </w:r>
          </w:p>
        </w:tc>
      </w:tr>
      <w:tr w:rsidR="008E2B6E" w:rsidTr="006E6F43">
        <w:tc>
          <w:tcPr>
            <w:tcW w:w="4050" w:type="dxa"/>
          </w:tcPr>
          <w:p w:rsidR="008E2B6E" w:rsidRDefault="008E2B6E" w:rsidP="006E6F43">
            <w:r>
              <w:t>Underground NPV - Operational Costs</w:t>
            </w:r>
          </w:p>
        </w:tc>
        <w:tc>
          <w:tcPr>
            <w:tcW w:w="1980" w:type="dxa"/>
          </w:tcPr>
          <w:p w:rsidR="008E2B6E" w:rsidRDefault="00CF2C1C" w:rsidP="00466141">
            <w:pPr>
              <w:jc w:val="right"/>
            </w:pPr>
            <w:r>
              <w:t>$</w:t>
            </w:r>
            <w:r w:rsidR="00466141">
              <w:t>1,022</w:t>
            </w:r>
          </w:p>
        </w:tc>
        <w:tc>
          <w:tcPr>
            <w:tcW w:w="1980" w:type="dxa"/>
          </w:tcPr>
          <w:p w:rsidR="008E2B6E" w:rsidRDefault="008E2B6E" w:rsidP="00CF2C1C">
            <w:pPr>
              <w:jc w:val="right"/>
            </w:pPr>
            <w:r>
              <w:t>$</w:t>
            </w:r>
            <w:r w:rsidR="00CF2C1C">
              <w:t>1,189</w:t>
            </w:r>
          </w:p>
        </w:tc>
        <w:tc>
          <w:tcPr>
            <w:tcW w:w="1350" w:type="dxa"/>
          </w:tcPr>
          <w:p w:rsidR="008E2B6E" w:rsidRDefault="00CF2C1C" w:rsidP="0036724D">
            <w:pPr>
              <w:jc w:val="right"/>
            </w:pPr>
            <w:r>
              <w:t>$</w:t>
            </w:r>
            <w:r w:rsidR="00466141">
              <w:t>1</w:t>
            </w:r>
            <w:r w:rsidR="0036724D">
              <w:t>67</w:t>
            </w:r>
          </w:p>
        </w:tc>
      </w:tr>
      <w:tr w:rsidR="008E2B6E" w:rsidTr="006E6F43">
        <w:tc>
          <w:tcPr>
            <w:tcW w:w="4050" w:type="dxa"/>
          </w:tcPr>
          <w:p w:rsidR="008E2B6E" w:rsidRDefault="008E2B6E" w:rsidP="006E6F43">
            <w:r>
              <w:t>Overhead NPV - Operational Costs</w:t>
            </w:r>
          </w:p>
        </w:tc>
        <w:tc>
          <w:tcPr>
            <w:tcW w:w="1980" w:type="dxa"/>
          </w:tcPr>
          <w:p w:rsidR="008E2B6E" w:rsidRDefault="00466141" w:rsidP="006E6F43">
            <w:pPr>
              <w:jc w:val="right"/>
            </w:pPr>
            <w:r>
              <w:t>$741</w:t>
            </w:r>
          </w:p>
        </w:tc>
        <w:tc>
          <w:tcPr>
            <w:tcW w:w="1980" w:type="dxa"/>
          </w:tcPr>
          <w:p w:rsidR="008E2B6E" w:rsidRDefault="008E2B6E" w:rsidP="00CF2C1C">
            <w:pPr>
              <w:jc w:val="right"/>
            </w:pPr>
            <w:r>
              <w:t>$</w:t>
            </w:r>
            <w:r w:rsidR="00CF2C1C">
              <w:t>903</w:t>
            </w:r>
          </w:p>
        </w:tc>
        <w:tc>
          <w:tcPr>
            <w:tcW w:w="1350" w:type="dxa"/>
          </w:tcPr>
          <w:p w:rsidR="008E2B6E" w:rsidRDefault="00466141" w:rsidP="006E6F43">
            <w:pPr>
              <w:jc w:val="right"/>
            </w:pPr>
            <w:r>
              <w:t>$162</w:t>
            </w:r>
          </w:p>
        </w:tc>
      </w:tr>
      <w:tr w:rsidR="008E2B6E" w:rsidTr="006E6F43">
        <w:tc>
          <w:tcPr>
            <w:tcW w:w="4050" w:type="dxa"/>
          </w:tcPr>
          <w:p w:rsidR="008E2B6E" w:rsidRDefault="008E2B6E" w:rsidP="006E6F43">
            <w:r>
              <w:t>Per lot Differential</w:t>
            </w:r>
          </w:p>
        </w:tc>
        <w:tc>
          <w:tcPr>
            <w:tcW w:w="1980" w:type="dxa"/>
          </w:tcPr>
          <w:p w:rsidR="008E2B6E" w:rsidRDefault="00CF2C1C" w:rsidP="006E6F43">
            <w:pPr>
              <w:jc w:val="right"/>
            </w:pPr>
            <w:r>
              <w:t>$282</w:t>
            </w:r>
          </w:p>
        </w:tc>
        <w:tc>
          <w:tcPr>
            <w:tcW w:w="1980" w:type="dxa"/>
          </w:tcPr>
          <w:p w:rsidR="008E2B6E" w:rsidRDefault="00CF2C1C" w:rsidP="006E6F43">
            <w:pPr>
              <w:jc w:val="right"/>
            </w:pPr>
            <w:r>
              <w:t>$286</w:t>
            </w:r>
          </w:p>
        </w:tc>
        <w:tc>
          <w:tcPr>
            <w:tcW w:w="1350" w:type="dxa"/>
          </w:tcPr>
          <w:p w:rsidR="008E2B6E" w:rsidRDefault="00CF2C1C" w:rsidP="006E6F43">
            <w:pPr>
              <w:jc w:val="right"/>
            </w:pPr>
            <w:r>
              <w:t>$4</w:t>
            </w:r>
          </w:p>
        </w:tc>
      </w:tr>
      <w:tr w:rsidR="008E2B6E" w:rsidTr="006E6F43">
        <w:tc>
          <w:tcPr>
            <w:tcW w:w="9360" w:type="dxa"/>
            <w:gridSpan w:val="4"/>
          </w:tcPr>
          <w:p w:rsidR="008E2B6E" w:rsidRDefault="008E2B6E" w:rsidP="006E6F43">
            <w:r>
              <w:rPr>
                <w:b/>
              </w:rPr>
              <w:t>High</w:t>
            </w:r>
            <w:r w:rsidRPr="00364451">
              <w:rPr>
                <w:b/>
              </w:rPr>
              <w:t xml:space="preserve"> Density</w:t>
            </w:r>
          </w:p>
        </w:tc>
      </w:tr>
      <w:tr w:rsidR="008E2B6E" w:rsidTr="006E6F43">
        <w:tc>
          <w:tcPr>
            <w:tcW w:w="4050" w:type="dxa"/>
          </w:tcPr>
          <w:p w:rsidR="008E2B6E" w:rsidRDefault="008E2B6E" w:rsidP="006E6F43">
            <w:r>
              <w:t>Underground NPV - Operational Costs</w:t>
            </w:r>
          </w:p>
        </w:tc>
        <w:tc>
          <w:tcPr>
            <w:tcW w:w="1980" w:type="dxa"/>
          </w:tcPr>
          <w:p w:rsidR="008E2B6E" w:rsidRDefault="00CF2C1C" w:rsidP="00466141">
            <w:pPr>
              <w:jc w:val="right"/>
            </w:pPr>
            <w:r>
              <w:t>$</w:t>
            </w:r>
            <w:r w:rsidR="00466141">
              <w:t>520</w:t>
            </w:r>
          </w:p>
        </w:tc>
        <w:tc>
          <w:tcPr>
            <w:tcW w:w="1980" w:type="dxa"/>
          </w:tcPr>
          <w:p w:rsidR="008E2B6E" w:rsidRDefault="00CF2C1C" w:rsidP="00466141">
            <w:pPr>
              <w:jc w:val="right"/>
            </w:pPr>
            <w:r>
              <w:t>$</w:t>
            </w:r>
            <w:r w:rsidR="00466141">
              <w:t>605</w:t>
            </w:r>
          </w:p>
        </w:tc>
        <w:tc>
          <w:tcPr>
            <w:tcW w:w="1350" w:type="dxa"/>
          </w:tcPr>
          <w:p w:rsidR="008E2B6E" w:rsidRDefault="00CF2C1C" w:rsidP="00466141">
            <w:pPr>
              <w:jc w:val="right"/>
            </w:pPr>
            <w:r>
              <w:t>$</w:t>
            </w:r>
            <w:r w:rsidR="00466141">
              <w:t>85</w:t>
            </w:r>
          </w:p>
        </w:tc>
      </w:tr>
      <w:tr w:rsidR="008E2B6E" w:rsidTr="006E6F43">
        <w:tc>
          <w:tcPr>
            <w:tcW w:w="4050" w:type="dxa"/>
          </w:tcPr>
          <w:p w:rsidR="008E2B6E" w:rsidRDefault="008E2B6E" w:rsidP="006E6F43">
            <w:r>
              <w:t>Overhead NPV - Operational Costs</w:t>
            </w:r>
          </w:p>
        </w:tc>
        <w:tc>
          <w:tcPr>
            <w:tcW w:w="1980" w:type="dxa"/>
          </w:tcPr>
          <w:p w:rsidR="008E2B6E" w:rsidRDefault="00466141" w:rsidP="006E6F43">
            <w:pPr>
              <w:jc w:val="right"/>
            </w:pPr>
            <w:r>
              <w:t>$424</w:t>
            </w:r>
          </w:p>
        </w:tc>
        <w:tc>
          <w:tcPr>
            <w:tcW w:w="1980" w:type="dxa"/>
          </w:tcPr>
          <w:p w:rsidR="008E2B6E" w:rsidRDefault="00466141" w:rsidP="006E6F43">
            <w:pPr>
              <w:jc w:val="right"/>
            </w:pPr>
            <w:r>
              <w:t>$517</w:t>
            </w:r>
          </w:p>
        </w:tc>
        <w:tc>
          <w:tcPr>
            <w:tcW w:w="1350" w:type="dxa"/>
          </w:tcPr>
          <w:p w:rsidR="008E2B6E" w:rsidRDefault="00CF2C1C" w:rsidP="00466141">
            <w:pPr>
              <w:jc w:val="right"/>
            </w:pPr>
            <w:r>
              <w:t>$</w:t>
            </w:r>
            <w:r w:rsidR="00466141">
              <w:t>93</w:t>
            </w:r>
          </w:p>
        </w:tc>
      </w:tr>
      <w:tr w:rsidR="008E2B6E" w:rsidTr="006E6F43">
        <w:tc>
          <w:tcPr>
            <w:tcW w:w="4050" w:type="dxa"/>
          </w:tcPr>
          <w:p w:rsidR="008E2B6E" w:rsidRDefault="008E2B6E" w:rsidP="006E6F43">
            <w:r>
              <w:t>Per lot Differential</w:t>
            </w:r>
          </w:p>
        </w:tc>
        <w:tc>
          <w:tcPr>
            <w:tcW w:w="1980" w:type="dxa"/>
          </w:tcPr>
          <w:p w:rsidR="008E2B6E" w:rsidRDefault="00CF2C1C" w:rsidP="006E6F43">
            <w:pPr>
              <w:jc w:val="right"/>
            </w:pPr>
            <w:r>
              <w:t>$96</w:t>
            </w:r>
          </w:p>
        </w:tc>
        <w:tc>
          <w:tcPr>
            <w:tcW w:w="1980" w:type="dxa"/>
          </w:tcPr>
          <w:p w:rsidR="008E2B6E" w:rsidRDefault="00CF2C1C" w:rsidP="006E6F43">
            <w:pPr>
              <w:jc w:val="right"/>
            </w:pPr>
            <w:r>
              <w:t>$87</w:t>
            </w:r>
          </w:p>
        </w:tc>
        <w:tc>
          <w:tcPr>
            <w:tcW w:w="1350" w:type="dxa"/>
          </w:tcPr>
          <w:p w:rsidR="008E2B6E" w:rsidRDefault="00CF2C1C" w:rsidP="006E6F43">
            <w:pPr>
              <w:jc w:val="right"/>
            </w:pPr>
            <w:r>
              <w:t>($9)</w:t>
            </w:r>
          </w:p>
        </w:tc>
      </w:tr>
      <w:tr w:rsidR="00CF2C1C" w:rsidTr="00126807">
        <w:tc>
          <w:tcPr>
            <w:tcW w:w="9360" w:type="dxa"/>
            <w:gridSpan w:val="4"/>
          </w:tcPr>
          <w:p w:rsidR="00CF2C1C" w:rsidRDefault="00CF2C1C" w:rsidP="00CF2C1C">
            <w:r w:rsidRPr="00CF2C1C">
              <w:rPr>
                <w:b/>
              </w:rPr>
              <w:t>Ganged Meter</w:t>
            </w:r>
          </w:p>
        </w:tc>
      </w:tr>
      <w:tr w:rsidR="00CF2C1C" w:rsidTr="006E6F43">
        <w:tc>
          <w:tcPr>
            <w:tcW w:w="4050" w:type="dxa"/>
          </w:tcPr>
          <w:p w:rsidR="00CF2C1C" w:rsidRDefault="00CF2C1C" w:rsidP="006E6F43">
            <w:r>
              <w:t>Underground NPV - Operational Costs</w:t>
            </w:r>
          </w:p>
        </w:tc>
        <w:tc>
          <w:tcPr>
            <w:tcW w:w="1980" w:type="dxa"/>
          </w:tcPr>
          <w:p w:rsidR="00CF2C1C" w:rsidRDefault="00466141" w:rsidP="006E6F43">
            <w:pPr>
              <w:jc w:val="right"/>
            </w:pPr>
            <w:r>
              <w:t>$400</w:t>
            </w:r>
          </w:p>
        </w:tc>
        <w:tc>
          <w:tcPr>
            <w:tcW w:w="1980" w:type="dxa"/>
          </w:tcPr>
          <w:p w:rsidR="00CF2C1C" w:rsidRDefault="00CF2C1C" w:rsidP="00466141">
            <w:pPr>
              <w:jc w:val="right"/>
            </w:pPr>
            <w:r>
              <w:t>$</w:t>
            </w:r>
            <w:r w:rsidR="00466141">
              <w:t>466</w:t>
            </w:r>
          </w:p>
        </w:tc>
        <w:tc>
          <w:tcPr>
            <w:tcW w:w="1350" w:type="dxa"/>
          </w:tcPr>
          <w:p w:rsidR="00CF2C1C" w:rsidRDefault="00CF2C1C" w:rsidP="00466141">
            <w:pPr>
              <w:jc w:val="right"/>
            </w:pPr>
            <w:r>
              <w:t>$</w:t>
            </w:r>
            <w:r w:rsidR="00466141">
              <w:t>66</w:t>
            </w:r>
          </w:p>
        </w:tc>
      </w:tr>
      <w:tr w:rsidR="00CF2C1C" w:rsidTr="006E6F43">
        <w:tc>
          <w:tcPr>
            <w:tcW w:w="4050" w:type="dxa"/>
          </w:tcPr>
          <w:p w:rsidR="00CF2C1C" w:rsidRDefault="00CF2C1C" w:rsidP="006E6F43">
            <w:r>
              <w:t>Overhead NPV - Operational Costs</w:t>
            </w:r>
          </w:p>
        </w:tc>
        <w:tc>
          <w:tcPr>
            <w:tcW w:w="1980" w:type="dxa"/>
          </w:tcPr>
          <w:p w:rsidR="00CF2C1C" w:rsidRDefault="00466141" w:rsidP="006E6F43">
            <w:pPr>
              <w:jc w:val="right"/>
            </w:pPr>
            <w:r>
              <w:t>$315</w:t>
            </w:r>
          </w:p>
        </w:tc>
        <w:tc>
          <w:tcPr>
            <w:tcW w:w="1980" w:type="dxa"/>
          </w:tcPr>
          <w:p w:rsidR="00CF2C1C" w:rsidRDefault="00466141" w:rsidP="006E6F43">
            <w:pPr>
              <w:jc w:val="right"/>
            </w:pPr>
            <w:r>
              <w:t>$385</w:t>
            </w:r>
          </w:p>
        </w:tc>
        <w:tc>
          <w:tcPr>
            <w:tcW w:w="1350" w:type="dxa"/>
          </w:tcPr>
          <w:p w:rsidR="00CF2C1C" w:rsidRDefault="00CF2C1C" w:rsidP="00466141">
            <w:pPr>
              <w:jc w:val="right"/>
            </w:pPr>
            <w:r>
              <w:t>$</w:t>
            </w:r>
            <w:r w:rsidR="00466141">
              <w:t>70</w:t>
            </w:r>
          </w:p>
        </w:tc>
      </w:tr>
      <w:tr w:rsidR="00CF2C1C" w:rsidTr="006E6F43">
        <w:tc>
          <w:tcPr>
            <w:tcW w:w="4050" w:type="dxa"/>
          </w:tcPr>
          <w:p w:rsidR="00CF2C1C" w:rsidRDefault="00CF2C1C" w:rsidP="006E6F43">
            <w:r>
              <w:t>Per lot Differential</w:t>
            </w:r>
          </w:p>
        </w:tc>
        <w:tc>
          <w:tcPr>
            <w:tcW w:w="1980" w:type="dxa"/>
          </w:tcPr>
          <w:p w:rsidR="00CF2C1C" w:rsidRDefault="00CF2C1C" w:rsidP="00CF2C1C">
            <w:pPr>
              <w:jc w:val="right"/>
            </w:pPr>
            <w:r>
              <w:t>$85</w:t>
            </w:r>
          </w:p>
        </w:tc>
        <w:tc>
          <w:tcPr>
            <w:tcW w:w="1980" w:type="dxa"/>
          </w:tcPr>
          <w:p w:rsidR="00CF2C1C" w:rsidRDefault="00CF2C1C" w:rsidP="006E6F43">
            <w:pPr>
              <w:jc w:val="right"/>
            </w:pPr>
            <w:r>
              <w:t>$81</w:t>
            </w:r>
          </w:p>
        </w:tc>
        <w:tc>
          <w:tcPr>
            <w:tcW w:w="1350" w:type="dxa"/>
          </w:tcPr>
          <w:p w:rsidR="00CF2C1C" w:rsidRDefault="00CF2C1C" w:rsidP="006E6F43">
            <w:pPr>
              <w:jc w:val="right"/>
            </w:pPr>
            <w:r>
              <w:t>($4)</w:t>
            </w:r>
          </w:p>
        </w:tc>
      </w:tr>
    </w:tbl>
    <w:p w:rsidR="00706D1F" w:rsidRDefault="00667676" w:rsidP="00667676">
      <w:pPr>
        <w:pStyle w:val="TableSource"/>
      </w:pPr>
      <w:r>
        <w:t>Source: 2014 and 2017 Petition</w:t>
      </w:r>
      <w:r w:rsidR="00F45AA2">
        <w:t>s</w:t>
      </w:r>
    </w:p>
    <w:p w:rsidR="00314908" w:rsidRPr="00B27CA6" w:rsidRDefault="00314908" w:rsidP="00314908">
      <w:pPr>
        <w:pStyle w:val="First-LevelSubheading"/>
      </w:pPr>
      <w:r w:rsidRPr="00B27CA6">
        <w:t>Other Proposed Tariff Changes</w:t>
      </w:r>
    </w:p>
    <w:p w:rsidR="00314908" w:rsidRPr="00314908" w:rsidRDefault="00314908" w:rsidP="00314908">
      <w:pPr>
        <w:pStyle w:val="BodyText"/>
      </w:pPr>
      <w:r w:rsidRPr="00B27CA6">
        <w:t xml:space="preserve">In addition to the proposed tariff changes discussed above, Duke proposed </w:t>
      </w:r>
      <w:r w:rsidR="00B27CA6" w:rsidRPr="00B27CA6">
        <w:t>modifications</w:t>
      </w:r>
      <w:r w:rsidR="00B27CA6">
        <w:t xml:space="preserve"> to the charges and credits for</w:t>
      </w:r>
      <w:r w:rsidR="0039261F">
        <w:t xml:space="preserve"> </w:t>
      </w:r>
      <w:r w:rsidR="008C7BDB">
        <w:t xml:space="preserve">feeder mains within the subdivision, </w:t>
      </w:r>
      <w:r w:rsidR="0039261F">
        <w:t xml:space="preserve">customer-provided trenching and backfilling, </w:t>
      </w:r>
      <w:r w:rsidR="00B27CA6">
        <w:t xml:space="preserve">new underground service laterals from overhead distribution systems, </w:t>
      </w:r>
      <w:r w:rsidR="009C202B">
        <w:t xml:space="preserve">and </w:t>
      </w:r>
      <w:r w:rsidR="00B27CA6">
        <w:t>for the conversion of existing service laterals from overhead to underground</w:t>
      </w:r>
      <w:r w:rsidR="009C202B">
        <w:t>. Factors which contributed to the changes include the updated labor and material charges. In addition, Duke proposed</w:t>
      </w:r>
      <w:r w:rsidR="00B27CA6">
        <w:t xml:space="preserve"> a change </w:t>
      </w:r>
      <w:r w:rsidR="009C202B">
        <w:t xml:space="preserve">in language in the construction contract’s facility charge from cost-specific information to a description of the costs themselves. </w:t>
      </w:r>
    </w:p>
    <w:p w:rsidR="00F9423C" w:rsidRDefault="00F9423C" w:rsidP="00F9423C">
      <w:pPr>
        <w:pStyle w:val="First-LevelSubheading"/>
      </w:pPr>
      <w:r>
        <w:t>Conclusion</w:t>
      </w:r>
    </w:p>
    <w:p w:rsidR="0064339A" w:rsidRPr="00F9423C" w:rsidRDefault="00F9423C" w:rsidP="0064339A">
      <w:pPr>
        <w:pStyle w:val="BodyText"/>
      </w:pPr>
      <w:r>
        <w:t>Staff has reviewed Duke’s propose</w:t>
      </w:r>
      <w:r w:rsidR="000B4EC1">
        <w:t>d</w:t>
      </w:r>
      <w:r>
        <w:t xml:space="preserve"> URD tariffs and associated charges, its accompanying work paper</w:t>
      </w:r>
      <w:r w:rsidR="000B4EC1">
        <w:t>s</w:t>
      </w:r>
      <w:r>
        <w:t>, and its responses to staff’s data request. Staff believes the proposed URD tariffs and associated charges are reasonable</w:t>
      </w:r>
      <w:r w:rsidR="0071485B">
        <w:t>. Staff</w:t>
      </w:r>
      <w:r>
        <w:t xml:space="preserve"> recommends approval </w:t>
      </w:r>
      <w:r w:rsidR="0064339A">
        <w:t>of Duke’s proposed URD tariffs and associated charges as shown in Attachment A, effective July 13, 2017</w:t>
      </w:r>
      <w:r w:rsidR="0071485B">
        <w:t>.</w:t>
      </w:r>
    </w:p>
    <w:p w:rsidR="0064339A" w:rsidRPr="00F9423C" w:rsidRDefault="0064339A" w:rsidP="00F9423C">
      <w:pPr>
        <w:pStyle w:val="BodyText"/>
      </w:pPr>
      <w:r>
        <w:t xml:space="preserve"> </w:t>
      </w:r>
    </w:p>
    <w:p w:rsidR="000A4503" w:rsidRDefault="000A4503">
      <w:pPr>
        <w:pStyle w:val="IssueHeading"/>
      </w:pPr>
    </w:p>
    <w:p w:rsidR="000A4503" w:rsidRDefault="000A4503">
      <w:pPr>
        <w:pStyle w:val="IssueHeading"/>
      </w:pPr>
    </w:p>
    <w:p w:rsidR="000A4503" w:rsidRDefault="000A4503">
      <w:pPr>
        <w:pStyle w:val="IssueHeading"/>
      </w:pPr>
    </w:p>
    <w:p w:rsidR="000A4503" w:rsidRDefault="000A4503">
      <w:pPr>
        <w:pStyle w:val="IssueHeading"/>
      </w:pPr>
    </w:p>
    <w:p w:rsidR="000A4503" w:rsidRDefault="000A4503">
      <w:pPr>
        <w:pStyle w:val="IssueHeading"/>
      </w:pPr>
    </w:p>
    <w:p w:rsidR="000A4503" w:rsidRDefault="000A4503">
      <w:pPr>
        <w:pStyle w:val="IssueHeading"/>
      </w:pPr>
    </w:p>
    <w:p w:rsidR="00105F31" w:rsidRDefault="00105F31">
      <w:pPr>
        <w:pStyle w:val="IssueHeading"/>
        <w:rPr>
          <w:vanish/>
          <w:specVanish/>
        </w:rPr>
      </w:pPr>
      <w:r w:rsidRPr="004C3641">
        <w:lastRenderedPageBreak/>
        <w:t xml:space="preserve">Issue </w:t>
      </w:r>
      <w:r w:rsidR="005B5828">
        <w:fldChar w:fldCharType="begin"/>
      </w:r>
      <w:r w:rsidR="005B5828">
        <w:instrText xml:space="preserve"> SEQ Issue \* MERGEFORMAT </w:instrText>
      </w:r>
      <w:r w:rsidR="005B5828">
        <w:fldChar w:fldCharType="separate"/>
      </w:r>
      <w:r w:rsidR="00BA1060">
        <w:rPr>
          <w:noProof/>
        </w:rPr>
        <w:t>2</w:t>
      </w:r>
      <w:r w:rsidR="005B582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A1060">
        <w:rPr>
          <w:noProof/>
        </w:rPr>
        <w:instrText>2</w:instrText>
      </w:r>
      <w:r>
        <w:fldChar w:fldCharType="end"/>
      </w:r>
      <w:r>
        <w:tab/>
        <w:instrText xml:space="preserve">(DuVal)" \l 1 </w:instrText>
      </w:r>
      <w:r>
        <w:fldChar w:fldCharType="end"/>
      </w:r>
      <w:r>
        <w:t> </w:t>
      </w:r>
    </w:p>
    <w:p w:rsidR="00105F31" w:rsidRDefault="00105F31">
      <w:pPr>
        <w:pStyle w:val="BodyText"/>
      </w:pPr>
      <w:r>
        <w:t> Should this docket be closed?</w:t>
      </w:r>
    </w:p>
    <w:p w:rsidR="00105F31" w:rsidRPr="004C3641" w:rsidRDefault="00105F31">
      <w:pPr>
        <w:pStyle w:val="IssueSubsectionHeading"/>
        <w:rPr>
          <w:vanish/>
          <w:specVanish/>
        </w:rPr>
      </w:pPr>
      <w:r w:rsidRPr="004C3641">
        <w:t>Recommendation: </w:t>
      </w:r>
    </w:p>
    <w:p w:rsidR="00105F31" w:rsidRDefault="00105F31">
      <w:pPr>
        <w:pStyle w:val="BodyText"/>
      </w:pPr>
      <w:r>
        <w:t xml:space="preserve"> If </w:t>
      </w:r>
      <w:r w:rsidR="0035608B">
        <w:t>Issue 1 is approved and a</w:t>
      </w:r>
      <w:r>
        <w:t xml:space="preserve"> protest is filed within 21 days of the issuance of the order, th</w:t>
      </w:r>
      <w:r w:rsidR="00557323">
        <w:t>e</w:t>
      </w:r>
      <w:r>
        <w:t xml:space="preserve"> tariff</w:t>
      </w:r>
      <w:r w:rsidR="00557323">
        <w:t>s</w:t>
      </w:r>
      <w:r>
        <w:t xml:space="preserve"> should remain in effect, with any revenues held subject to refund, pending resolution of the protest. If no timely protest is filed, this docket should be closed upon the issuance of a consummating order. (DuVal)</w:t>
      </w:r>
    </w:p>
    <w:p w:rsidR="00105F31" w:rsidRPr="004C3641" w:rsidRDefault="00105F31">
      <w:pPr>
        <w:pStyle w:val="IssueSubsectionHeading"/>
        <w:rPr>
          <w:vanish/>
          <w:specVanish/>
        </w:rPr>
      </w:pPr>
      <w:r w:rsidRPr="004C3641">
        <w:t>Staff Analysis: </w:t>
      </w:r>
    </w:p>
    <w:p w:rsidR="00105F31" w:rsidRDefault="00105F31">
      <w:pPr>
        <w:pStyle w:val="BodyText"/>
      </w:pPr>
      <w:r>
        <w:t xml:space="preserve"> If </w:t>
      </w:r>
      <w:r w:rsidR="0035608B">
        <w:t xml:space="preserve">Issue 1 is approved and </w:t>
      </w:r>
      <w:r>
        <w:t>a protest is filed within 21 days of the issuance of the order, th</w:t>
      </w:r>
      <w:r w:rsidR="00557323">
        <w:t>e</w:t>
      </w:r>
      <w:r>
        <w:t xml:space="preserve"> tariff</w:t>
      </w:r>
      <w:r w:rsidR="00557323">
        <w:t>s</w:t>
      </w:r>
      <w:r>
        <w:t xml:space="preserve"> should remain in effect, with any revenues held subject to refund, pending resolution of the protest. If no timely protest is filed, this docket should be closed upon the issuance of a consummating order.</w:t>
      </w:r>
    </w:p>
    <w:p w:rsidR="00BB7164" w:rsidRDefault="00BB7164" w:rsidP="00E275D8">
      <w:pPr>
        <w:pStyle w:val="BodyText"/>
        <w:sectPr w:rsidR="00BB716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55B60" w:rsidRDefault="00C55B60" w:rsidP="00E275D8">
      <w:pPr>
        <w:pStyle w:val="BodyText"/>
        <w:sectPr w:rsidR="00C55B60"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81C3CEA" wp14:editId="09AA853B">
            <wp:extent cx="5705475" cy="7600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05475" cy="7600950"/>
                    </a:xfrm>
                    <a:prstGeom prst="rect">
                      <a:avLst/>
                    </a:prstGeom>
                  </pic:spPr>
                </pic:pic>
              </a:graphicData>
            </a:graphic>
          </wp:inline>
        </w:drawing>
      </w:r>
    </w:p>
    <w:p w:rsidR="00B72F2F" w:rsidRDefault="00B60467" w:rsidP="00E275D8">
      <w:pPr>
        <w:pStyle w:val="BodyText"/>
        <w:sectPr w:rsidR="00B72F2F"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C47062E" wp14:editId="60EC7E57">
            <wp:extent cx="5514975" cy="7610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14975" cy="7610475"/>
                    </a:xfrm>
                    <a:prstGeom prst="rect">
                      <a:avLst/>
                    </a:prstGeom>
                  </pic:spPr>
                </pic:pic>
              </a:graphicData>
            </a:graphic>
          </wp:inline>
        </w:drawing>
      </w:r>
    </w:p>
    <w:p w:rsidR="00B72F2F" w:rsidRDefault="00B72F2F" w:rsidP="00E275D8">
      <w:pPr>
        <w:pStyle w:val="BodyText"/>
        <w:sectPr w:rsidR="00B72F2F"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CB05297" wp14:editId="6FF8462E">
            <wp:extent cx="5524500" cy="7534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524500" cy="7534275"/>
                    </a:xfrm>
                    <a:prstGeom prst="rect">
                      <a:avLst/>
                    </a:prstGeom>
                  </pic:spPr>
                </pic:pic>
              </a:graphicData>
            </a:graphic>
          </wp:inline>
        </w:drawing>
      </w:r>
    </w:p>
    <w:p w:rsidR="00E06484" w:rsidRDefault="00B72F2F" w:rsidP="00E275D8">
      <w:pPr>
        <w:pStyle w:val="BodyText"/>
      </w:pPr>
      <w:r>
        <w:rPr>
          <w:noProof/>
        </w:rPr>
        <w:lastRenderedPageBreak/>
        <w:drawing>
          <wp:inline distT="0" distB="0" distL="0" distR="0" wp14:anchorId="1851165E" wp14:editId="4BA1222D">
            <wp:extent cx="5505450" cy="7553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505450" cy="7553325"/>
                    </a:xfrm>
                    <a:prstGeom prst="rect">
                      <a:avLst/>
                    </a:prstGeom>
                  </pic:spPr>
                </pic:pic>
              </a:graphicData>
            </a:graphic>
          </wp:inline>
        </w:drawing>
      </w:r>
    </w:p>
    <w:sectPr w:rsidR="00E06484"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31" w:rsidRDefault="00105F31">
      <w:r>
        <w:separator/>
      </w:r>
    </w:p>
  </w:endnote>
  <w:endnote w:type="continuationSeparator" w:id="0">
    <w:p w:rsidR="00105F31" w:rsidRDefault="0010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B37BF">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31" w:rsidRDefault="00105F31">
      <w:r>
        <w:separator/>
      </w:r>
    </w:p>
  </w:footnote>
  <w:footnote w:type="continuationSeparator" w:id="0">
    <w:p w:rsidR="00105F31" w:rsidRDefault="00105F31">
      <w:r>
        <w:continuationSeparator/>
      </w:r>
    </w:p>
  </w:footnote>
  <w:footnote w:id="1">
    <w:p w:rsidR="00804C19" w:rsidRPr="00A8295B" w:rsidRDefault="00804C19">
      <w:pPr>
        <w:pStyle w:val="FootnoteText"/>
      </w:pPr>
      <w:r>
        <w:rPr>
          <w:rStyle w:val="FootnoteReference"/>
        </w:rPr>
        <w:footnoteRef/>
      </w:r>
      <w:r>
        <w:t xml:space="preserve"> Order No. PSC-14-0396-TRF-EI, issued July 31, 2014, in Docket No. 140067-EI, </w:t>
      </w:r>
      <w:r w:rsidRPr="00804C19">
        <w:rPr>
          <w:i/>
        </w:rPr>
        <w:t>In re: Petition for approval of revised underground distribution tariffs, by Duke Energy Florida, Inc.</w:t>
      </w:r>
    </w:p>
  </w:footnote>
  <w:footnote w:id="2">
    <w:p w:rsidR="00804C19" w:rsidRPr="00804C19" w:rsidRDefault="00804C19">
      <w:pPr>
        <w:pStyle w:val="FootnoteText"/>
        <w:rPr>
          <w:i/>
        </w:rPr>
      </w:pPr>
      <w:r>
        <w:rPr>
          <w:rStyle w:val="FootnoteReference"/>
        </w:rPr>
        <w:footnoteRef/>
      </w:r>
      <w:r>
        <w:t xml:space="preserve"> Order No. PSC-17-0166-PCO-EI, issued May 11, 2017, </w:t>
      </w:r>
      <w:r w:rsidRPr="00A8295B">
        <w:t>in Docket No. 17006</w:t>
      </w:r>
      <w:r w:rsidR="00E40DA7" w:rsidRPr="00A8295B">
        <w:t>9</w:t>
      </w:r>
      <w:r w:rsidRPr="00A8295B">
        <w:t xml:space="preserve">-EI, </w:t>
      </w:r>
      <w:r w:rsidRPr="00804C19">
        <w:rPr>
          <w:i/>
        </w:rPr>
        <w:t>In re: Petition for approval of revised underground residential distribution tariffs, by Duke Energy Florida, Inc.</w:t>
      </w:r>
    </w:p>
  </w:footnote>
  <w:footnote w:id="3">
    <w:p w:rsidR="0010695F" w:rsidRDefault="0010695F">
      <w:pPr>
        <w:pStyle w:val="FootnoteText"/>
      </w:pPr>
      <w:r>
        <w:rPr>
          <w:rStyle w:val="FootnoteReference"/>
        </w:rPr>
        <w:footnoteRef/>
      </w:r>
      <w:r>
        <w:t xml:space="preserve"> $694 is calculated as follows: $408 (Table 1-2) + $286 (Table 1-3) = $694.</w:t>
      </w:r>
    </w:p>
  </w:footnote>
  <w:footnote w:id="4">
    <w:p w:rsidR="003D0412" w:rsidRDefault="003D0412">
      <w:pPr>
        <w:pStyle w:val="FootnoteText"/>
      </w:pPr>
      <w:r>
        <w:rPr>
          <w:rStyle w:val="FootnoteReference"/>
        </w:rPr>
        <w:footnoteRef/>
      </w:r>
      <w:r>
        <w:t xml:space="preserve"> Order No. PSC-12-0348-TRF-EI, issued July 5, 2012, in Docket No. 110293-EI, </w:t>
      </w:r>
      <w:r w:rsidRPr="003D0412">
        <w:rPr>
          <w:i/>
        </w:rPr>
        <w:t>In re: Petition for approval of revised underground residential distribution tariffs, by Progress Energy Florida, Inc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105F31"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170069-EI</w:t>
    </w:r>
    <w:bookmarkEnd w:id="15"/>
  </w:p>
  <w:p w:rsidR="00212B17" w:rsidRDefault="00212B17">
    <w:pPr>
      <w:pStyle w:val="Header"/>
    </w:pPr>
    <w:r>
      <w:t xml:space="preserve">Date: </w:t>
    </w:r>
    <w:r w:rsidR="005B5828">
      <w:fldChar w:fldCharType="begin"/>
    </w:r>
    <w:r w:rsidR="005B5828">
      <w:instrText xml:space="preserve"> REF FilingDate </w:instrText>
    </w:r>
    <w:r w:rsidR="005B5828">
      <w:fldChar w:fldCharType="separate"/>
    </w:r>
    <w:r w:rsidR="00BA1060">
      <w:t>June 29, 2017</w:t>
    </w:r>
    <w:r w:rsidR="005B582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BA1060">
      <w:t>Docket No.</w:t>
    </w:r>
    <w:r>
      <w:fldChar w:fldCharType="end"/>
    </w:r>
    <w:r>
      <w:t xml:space="preserve"> </w:t>
    </w:r>
    <w:r>
      <w:fldChar w:fldCharType="begin"/>
    </w:r>
    <w:r>
      <w:instrText xml:space="preserve"> REF DocketList</w:instrText>
    </w:r>
    <w:r>
      <w:fldChar w:fldCharType="separate"/>
    </w:r>
    <w:r w:rsidR="00BA1060">
      <w:t>170069-EI</w:t>
    </w:r>
    <w:r>
      <w:fldChar w:fldCharType="end"/>
    </w:r>
    <w:r>
      <w:tab/>
      <w:t xml:space="preserve">Issue </w:t>
    </w:r>
    <w:r w:rsidR="005B5828">
      <w:fldChar w:fldCharType="begin"/>
    </w:r>
    <w:r w:rsidR="005B5828">
      <w:instrText xml:space="preserve"> Seq Issue \c \* Arabic </w:instrText>
    </w:r>
    <w:r w:rsidR="005B5828">
      <w:fldChar w:fldCharType="separate"/>
    </w:r>
    <w:r w:rsidR="00BB37BF">
      <w:rPr>
        <w:noProof/>
      </w:rPr>
      <w:t>2</w:t>
    </w:r>
    <w:r w:rsidR="005B5828">
      <w:rPr>
        <w:noProof/>
      </w:rPr>
      <w:fldChar w:fldCharType="end"/>
    </w:r>
  </w:p>
  <w:p w:rsidR="00212B17" w:rsidRDefault="00212B17">
    <w:pPr>
      <w:pStyle w:val="Header"/>
    </w:pPr>
    <w:r>
      <w:t xml:space="preserve">Date: </w:t>
    </w:r>
    <w:r w:rsidR="005B5828">
      <w:fldChar w:fldCharType="begin"/>
    </w:r>
    <w:r w:rsidR="005B5828">
      <w:instrText xml:space="preserve"> REF FilingDate </w:instrText>
    </w:r>
    <w:r w:rsidR="005B5828">
      <w:fldChar w:fldCharType="separate"/>
    </w:r>
    <w:r w:rsidR="00BA1060">
      <w:t>June 29, 2017</w:t>
    </w:r>
    <w:r w:rsidR="005B582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164" w:rsidRDefault="00BB7164" w:rsidP="00220732">
    <w:pPr>
      <w:pStyle w:val="Header"/>
      <w:tabs>
        <w:tab w:val="clear" w:pos="4320"/>
        <w:tab w:val="clear" w:pos="8640"/>
        <w:tab w:val="right" w:pos="9360"/>
      </w:tabs>
    </w:pPr>
    <w:r>
      <w:fldChar w:fldCharType="begin"/>
    </w:r>
    <w:r>
      <w:instrText xml:space="preserve"> REF DocketLabel</w:instrText>
    </w:r>
    <w:r>
      <w:fldChar w:fldCharType="separate"/>
    </w:r>
    <w:r w:rsidR="00BA1060">
      <w:t>Docket No.</w:t>
    </w:r>
    <w:r>
      <w:fldChar w:fldCharType="end"/>
    </w:r>
    <w:r>
      <w:t xml:space="preserve"> </w:t>
    </w:r>
    <w:r>
      <w:fldChar w:fldCharType="begin"/>
    </w:r>
    <w:r>
      <w:instrText xml:space="preserve"> REF DocketList</w:instrText>
    </w:r>
    <w:r>
      <w:fldChar w:fldCharType="separate"/>
    </w:r>
    <w:r w:rsidR="00BA1060">
      <w:t>170069-EI</w:t>
    </w:r>
    <w:r>
      <w:fldChar w:fldCharType="end"/>
    </w:r>
    <w:r>
      <w:tab/>
      <w:t xml:space="preserve">Attachment </w:t>
    </w:r>
    <w:r w:rsidR="009560CE">
      <w:t>A</w:t>
    </w:r>
  </w:p>
  <w:p w:rsidR="00BB7164" w:rsidRDefault="00BB7164" w:rsidP="00BB7164">
    <w:pPr>
      <w:pStyle w:val="Header"/>
      <w:tabs>
        <w:tab w:val="clear" w:pos="8640"/>
        <w:tab w:val="right" w:pos="9360"/>
      </w:tabs>
    </w:pPr>
    <w:r>
      <w:t xml:space="preserve">Date: </w:t>
    </w:r>
    <w:r w:rsidR="005B5828">
      <w:fldChar w:fldCharType="begin"/>
    </w:r>
    <w:r w:rsidR="005B5828">
      <w:instrText xml:space="preserve"> R</w:instrText>
    </w:r>
    <w:r w:rsidR="005B5828">
      <w:instrText xml:space="preserve">EF FilingDate </w:instrText>
    </w:r>
    <w:r w:rsidR="005B5828">
      <w:fldChar w:fldCharType="separate"/>
    </w:r>
    <w:r w:rsidR="00BA1060">
      <w:t>June 29, 2017</w:t>
    </w:r>
    <w:r w:rsidR="005B5828">
      <w:fldChar w:fldCharType="end"/>
    </w:r>
    <w:r>
      <w:tab/>
    </w:r>
    <w:r>
      <w:tab/>
      <w:t>Page 1 of 4</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60" w:rsidRDefault="00C55B60" w:rsidP="00220732">
    <w:pPr>
      <w:pStyle w:val="Header"/>
      <w:tabs>
        <w:tab w:val="clear" w:pos="4320"/>
        <w:tab w:val="clear" w:pos="8640"/>
        <w:tab w:val="right" w:pos="9360"/>
      </w:tabs>
    </w:pPr>
    <w:r>
      <w:fldChar w:fldCharType="begin"/>
    </w:r>
    <w:r>
      <w:instrText xml:space="preserve"> REF DocketLabel</w:instrText>
    </w:r>
    <w:r>
      <w:fldChar w:fldCharType="separate"/>
    </w:r>
    <w:r w:rsidR="00BA1060">
      <w:t>Docket No.</w:t>
    </w:r>
    <w:r>
      <w:fldChar w:fldCharType="end"/>
    </w:r>
    <w:r>
      <w:t xml:space="preserve"> </w:t>
    </w:r>
    <w:r>
      <w:fldChar w:fldCharType="begin"/>
    </w:r>
    <w:r>
      <w:instrText xml:space="preserve"> REF DocketList</w:instrText>
    </w:r>
    <w:r>
      <w:fldChar w:fldCharType="separate"/>
    </w:r>
    <w:r w:rsidR="00BA1060">
      <w:t>170069-EI</w:t>
    </w:r>
    <w:r>
      <w:fldChar w:fldCharType="end"/>
    </w:r>
    <w:r>
      <w:tab/>
      <w:t xml:space="preserve">Attachment </w:t>
    </w:r>
    <w:r w:rsidR="009560CE">
      <w:t>A</w:t>
    </w:r>
  </w:p>
  <w:p w:rsidR="00C55B60" w:rsidRDefault="00C55B60" w:rsidP="00BB7164">
    <w:pPr>
      <w:pStyle w:val="Header"/>
      <w:tabs>
        <w:tab w:val="clear" w:pos="8640"/>
        <w:tab w:val="right" w:pos="9360"/>
      </w:tabs>
    </w:pPr>
    <w:r>
      <w:t xml:space="preserve">Date: </w:t>
    </w:r>
    <w:r w:rsidR="005B5828">
      <w:fldChar w:fldCharType="begin"/>
    </w:r>
    <w:r w:rsidR="005B5828">
      <w:instrText xml:space="preserve"> REF FilingDate </w:instrText>
    </w:r>
    <w:r w:rsidR="005B5828">
      <w:fldChar w:fldCharType="separate"/>
    </w:r>
    <w:r w:rsidR="00BA1060">
      <w:t>June 29, 2017</w:t>
    </w:r>
    <w:r w:rsidR="005B5828">
      <w:fldChar w:fldCharType="end"/>
    </w:r>
    <w:r>
      <w:tab/>
    </w:r>
    <w:r>
      <w:tab/>
      <w:t>Page 2 of 4</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F2F" w:rsidRDefault="00B72F2F" w:rsidP="00220732">
    <w:pPr>
      <w:pStyle w:val="Header"/>
      <w:tabs>
        <w:tab w:val="clear" w:pos="4320"/>
        <w:tab w:val="clear" w:pos="8640"/>
        <w:tab w:val="right" w:pos="9360"/>
      </w:tabs>
    </w:pPr>
    <w:r>
      <w:fldChar w:fldCharType="begin"/>
    </w:r>
    <w:r>
      <w:instrText xml:space="preserve"> REF DocketLabel</w:instrText>
    </w:r>
    <w:r>
      <w:fldChar w:fldCharType="separate"/>
    </w:r>
    <w:r w:rsidR="00BA1060">
      <w:t>Docket No.</w:t>
    </w:r>
    <w:r>
      <w:fldChar w:fldCharType="end"/>
    </w:r>
    <w:r>
      <w:t xml:space="preserve"> </w:t>
    </w:r>
    <w:r>
      <w:fldChar w:fldCharType="begin"/>
    </w:r>
    <w:r>
      <w:instrText xml:space="preserve"> REF DocketList</w:instrText>
    </w:r>
    <w:r>
      <w:fldChar w:fldCharType="separate"/>
    </w:r>
    <w:r w:rsidR="00BA1060">
      <w:t>170069-EI</w:t>
    </w:r>
    <w:r>
      <w:fldChar w:fldCharType="end"/>
    </w:r>
    <w:r>
      <w:tab/>
      <w:t xml:space="preserve">Attachment </w:t>
    </w:r>
    <w:r w:rsidR="009560CE">
      <w:t>A</w:t>
    </w:r>
  </w:p>
  <w:p w:rsidR="00B72F2F" w:rsidRDefault="00B72F2F" w:rsidP="00BB7164">
    <w:pPr>
      <w:pStyle w:val="Header"/>
      <w:tabs>
        <w:tab w:val="clear" w:pos="8640"/>
        <w:tab w:val="right" w:pos="9360"/>
      </w:tabs>
    </w:pPr>
    <w:r>
      <w:t xml:space="preserve">Date: </w:t>
    </w:r>
    <w:r w:rsidR="005B5828">
      <w:fldChar w:fldCharType="begin"/>
    </w:r>
    <w:r w:rsidR="005B5828">
      <w:instrText xml:space="preserve"> REF FilingDate </w:instrText>
    </w:r>
    <w:r w:rsidR="005B5828">
      <w:fldChar w:fldCharType="separate"/>
    </w:r>
    <w:r w:rsidR="00BA1060">
      <w:t>June 29, 2017</w:t>
    </w:r>
    <w:r w:rsidR="005B5828">
      <w:fldChar w:fldCharType="end"/>
    </w:r>
    <w:r>
      <w:tab/>
    </w:r>
    <w:r>
      <w:tab/>
      <w:t>Page 3 of 4</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F2F" w:rsidRDefault="00B72F2F" w:rsidP="00220732">
    <w:pPr>
      <w:pStyle w:val="Header"/>
      <w:tabs>
        <w:tab w:val="clear" w:pos="4320"/>
        <w:tab w:val="clear" w:pos="8640"/>
        <w:tab w:val="right" w:pos="9360"/>
      </w:tabs>
    </w:pPr>
    <w:r>
      <w:fldChar w:fldCharType="begin"/>
    </w:r>
    <w:r>
      <w:instrText xml:space="preserve"> REF DocketLabel</w:instrText>
    </w:r>
    <w:r>
      <w:fldChar w:fldCharType="separate"/>
    </w:r>
    <w:r w:rsidR="00BA1060">
      <w:t>Docket No.</w:t>
    </w:r>
    <w:r>
      <w:fldChar w:fldCharType="end"/>
    </w:r>
    <w:r>
      <w:t xml:space="preserve"> </w:t>
    </w:r>
    <w:r>
      <w:fldChar w:fldCharType="begin"/>
    </w:r>
    <w:r>
      <w:instrText xml:space="preserve"> REF DocketList</w:instrText>
    </w:r>
    <w:r>
      <w:fldChar w:fldCharType="separate"/>
    </w:r>
    <w:r w:rsidR="00BA1060">
      <w:t>170069-EI</w:t>
    </w:r>
    <w:r>
      <w:fldChar w:fldCharType="end"/>
    </w:r>
    <w:r>
      <w:tab/>
      <w:t xml:space="preserve">Attachment </w:t>
    </w:r>
    <w:r w:rsidR="009560CE">
      <w:t>A</w:t>
    </w:r>
  </w:p>
  <w:p w:rsidR="00B72F2F" w:rsidRDefault="00B72F2F" w:rsidP="00BB7164">
    <w:pPr>
      <w:pStyle w:val="Header"/>
      <w:tabs>
        <w:tab w:val="clear" w:pos="8640"/>
        <w:tab w:val="right" w:pos="9360"/>
      </w:tabs>
    </w:pPr>
    <w:r>
      <w:t xml:space="preserve">Date: </w:t>
    </w:r>
    <w:r w:rsidR="005B5828">
      <w:fldChar w:fldCharType="begin"/>
    </w:r>
    <w:r w:rsidR="005B5828">
      <w:instrText xml:space="preserve"> REF FilingDate </w:instrText>
    </w:r>
    <w:r w:rsidR="005B5828">
      <w:fldChar w:fldCharType="separate"/>
    </w:r>
    <w:r w:rsidR="00BA1060">
      <w:t>June 29, 2017</w:t>
    </w:r>
    <w:r w:rsidR="005B5828">
      <w:fldChar w:fldCharType="end"/>
    </w:r>
    <w:r>
      <w:tab/>
    </w:r>
    <w:r>
      <w:tab/>
      <w:t>Page 4 of 4</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05F31"/>
    <w:rsid w:val="000043D5"/>
    <w:rsid w:val="00010E37"/>
    <w:rsid w:val="00011423"/>
    <w:rsid w:val="00011E98"/>
    <w:rsid w:val="000172DA"/>
    <w:rsid w:val="000247C5"/>
    <w:rsid w:val="000248A0"/>
    <w:rsid w:val="000277C2"/>
    <w:rsid w:val="00034C84"/>
    <w:rsid w:val="00035B48"/>
    <w:rsid w:val="00036CE2"/>
    <w:rsid w:val="000437FE"/>
    <w:rsid w:val="000513BE"/>
    <w:rsid w:val="000641AA"/>
    <w:rsid w:val="00065A06"/>
    <w:rsid w:val="000666F3"/>
    <w:rsid w:val="00070DCB"/>
    <w:rsid w:val="00073120"/>
    <w:rsid w:val="00075DA1"/>
    <w:rsid w:val="000764D0"/>
    <w:rsid w:val="000828D3"/>
    <w:rsid w:val="000860F0"/>
    <w:rsid w:val="000A2B57"/>
    <w:rsid w:val="000A418B"/>
    <w:rsid w:val="000A4503"/>
    <w:rsid w:val="000B4EC1"/>
    <w:rsid w:val="000C4431"/>
    <w:rsid w:val="000D1C06"/>
    <w:rsid w:val="000D4319"/>
    <w:rsid w:val="000F374A"/>
    <w:rsid w:val="000F42B8"/>
    <w:rsid w:val="00105F31"/>
    <w:rsid w:val="0010695F"/>
    <w:rsid w:val="00106C48"/>
    <w:rsid w:val="00117C8C"/>
    <w:rsid w:val="00124E2E"/>
    <w:rsid w:val="00125ED4"/>
    <w:rsid w:val="001305E9"/>
    <w:rsid w:val="001307AF"/>
    <w:rsid w:val="00135293"/>
    <w:rsid w:val="00135687"/>
    <w:rsid w:val="0014179E"/>
    <w:rsid w:val="00143257"/>
    <w:rsid w:val="0015506E"/>
    <w:rsid w:val="0016097D"/>
    <w:rsid w:val="00162812"/>
    <w:rsid w:val="00162845"/>
    <w:rsid w:val="00163031"/>
    <w:rsid w:val="00171A90"/>
    <w:rsid w:val="00180254"/>
    <w:rsid w:val="00191E1F"/>
    <w:rsid w:val="0019253D"/>
    <w:rsid w:val="00192943"/>
    <w:rsid w:val="00196513"/>
    <w:rsid w:val="0019686F"/>
    <w:rsid w:val="001A7406"/>
    <w:rsid w:val="001B4FEE"/>
    <w:rsid w:val="001B51C5"/>
    <w:rsid w:val="001B6F3F"/>
    <w:rsid w:val="001C08B9"/>
    <w:rsid w:val="001C52B5"/>
    <w:rsid w:val="001D0D3E"/>
    <w:rsid w:val="001E11BB"/>
    <w:rsid w:val="001E4E1E"/>
    <w:rsid w:val="001F2245"/>
    <w:rsid w:val="001F6DA1"/>
    <w:rsid w:val="002044E6"/>
    <w:rsid w:val="00205C82"/>
    <w:rsid w:val="00205DC2"/>
    <w:rsid w:val="00212B17"/>
    <w:rsid w:val="0021556F"/>
    <w:rsid w:val="002163B6"/>
    <w:rsid w:val="00220732"/>
    <w:rsid w:val="00221D32"/>
    <w:rsid w:val="00225C3F"/>
    <w:rsid w:val="002271F9"/>
    <w:rsid w:val="00237325"/>
    <w:rsid w:val="00256C02"/>
    <w:rsid w:val="00263D44"/>
    <w:rsid w:val="002702AD"/>
    <w:rsid w:val="00292D82"/>
    <w:rsid w:val="002963CB"/>
    <w:rsid w:val="002A487A"/>
    <w:rsid w:val="002A64C5"/>
    <w:rsid w:val="002B4AAD"/>
    <w:rsid w:val="002D226D"/>
    <w:rsid w:val="002D7CD8"/>
    <w:rsid w:val="002F432B"/>
    <w:rsid w:val="002F6030"/>
    <w:rsid w:val="003037E1"/>
    <w:rsid w:val="00307E51"/>
    <w:rsid w:val="003103EC"/>
    <w:rsid w:val="003144EF"/>
    <w:rsid w:val="00314908"/>
    <w:rsid w:val="00322F74"/>
    <w:rsid w:val="00340073"/>
    <w:rsid w:val="00352D58"/>
    <w:rsid w:val="0035608B"/>
    <w:rsid w:val="00364338"/>
    <w:rsid w:val="0036724D"/>
    <w:rsid w:val="00372805"/>
    <w:rsid w:val="00373180"/>
    <w:rsid w:val="00375AB9"/>
    <w:rsid w:val="003821A0"/>
    <w:rsid w:val="00385B04"/>
    <w:rsid w:val="003864CF"/>
    <w:rsid w:val="0039261F"/>
    <w:rsid w:val="003A1504"/>
    <w:rsid w:val="003A22A6"/>
    <w:rsid w:val="003A5494"/>
    <w:rsid w:val="003B2510"/>
    <w:rsid w:val="003C2CC4"/>
    <w:rsid w:val="003C72A7"/>
    <w:rsid w:val="003D0412"/>
    <w:rsid w:val="003D24A6"/>
    <w:rsid w:val="003D5557"/>
    <w:rsid w:val="003E0EFC"/>
    <w:rsid w:val="003E4A2B"/>
    <w:rsid w:val="003E76C2"/>
    <w:rsid w:val="003F1679"/>
    <w:rsid w:val="003F4A35"/>
    <w:rsid w:val="003F4EFB"/>
    <w:rsid w:val="003F6930"/>
    <w:rsid w:val="003F7FDD"/>
    <w:rsid w:val="00402481"/>
    <w:rsid w:val="004042B4"/>
    <w:rsid w:val="00412DAE"/>
    <w:rsid w:val="00431598"/>
    <w:rsid w:val="004319AD"/>
    <w:rsid w:val="00437742"/>
    <w:rsid w:val="004426B8"/>
    <w:rsid w:val="00443C54"/>
    <w:rsid w:val="00444432"/>
    <w:rsid w:val="00466141"/>
    <w:rsid w:val="00471860"/>
    <w:rsid w:val="0047536B"/>
    <w:rsid w:val="00491681"/>
    <w:rsid w:val="00494C23"/>
    <w:rsid w:val="004A14C4"/>
    <w:rsid w:val="004B60BD"/>
    <w:rsid w:val="004C243D"/>
    <w:rsid w:val="004C3150"/>
    <w:rsid w:val="004C3641"/>
    <w:rsid w:val="004C4390"/>
    <w:rsid w:val="004C46A3"/>
    <w:rsid w:val="004C4AF7"/>
    <w:rsid w:val="004D2881"/>
    <w:rsid w:val="004D385F"/>
    <w:rsid w:val="004D5B39"/>
    <w:rsid w:val="004E330D"/>
    <w:rsid w:val="004E5147"/>
    <w:rsid w:val="004F1C5D"/>
    <w:rsid w:val="004F5C43"/>
    <w:rsid w:val="004F7DB6"/>
    <w:rsid w:val="0050652D"/>
    <w:rsid w:val="00506C03"/>
    <w:rsid w:val="00511A11"/>
    <w:rsid w:val="00516496"/>
    <w:rsid w:val="0052572A"/>
    <w:rsid w:val="00540BF2"/>
    <w:rsid w:val="00543CB3"/>
    <w:rsid w:val="00557323"/>
    <w:rsid w:val="00560FF0"/>
    <w:rsid w:val="005614BD"/>
    <w:rsid w:val="00567EE8"/>
    <w:rsid w:val="0057154F"/>
    <w:rsid w:val="00581CA3"/>
    <w:rsid w:val="00582C45"/>
    <w:rsid w:val="00583D4D"/>
    <w:rsid w:val="00587A44"/>
    <w:rsid w:val="00597730"/>
    <w:rsid w:val="005977EC"/>
    <w:rsid w:val="00597A31"/>
    <w:rsid w:val="00597DE7"/>
    <w:rsid w:val="005A4AA2"/>
    <w:rsid w:val="005B34B6"/>
    <w:rsid w:val="005B6C8F"/>
    <w:rsid w:val="005B6EC3"/>
    <w:rsid w:val="005D0F74"/>
    <w:rsid w:val="005D2E7D"/>
    <w:rsid w:val="005D4A8F"/>
    <w:rsid w:val="005D561B"/>
    <w:rsid w:val="005D5ECF"/>
    <w:rsid w:val="005F468D"/>
    <w:rsid w:val="005F69A3"/>
    <w:rsid w:val="00602067"/>
    <w:rsid w:val="00604CC7"/>
    <w:rsid w:val="00613BAA"/>
    <w:rsid w:val="00615423"/>
    <w:rsid w:val="006165B2"/>
    <w:rsid w:val="00617276"/>
    <w:rsid w:val="0062527B"/>
    <w:rsid w:val="00625D97"/>
    <w:rsid w:val="00625F1C"/>
    <w:rsid w:val="006279E1"/>
    <w:rsid w:val="00630CEB"/>
    <w:rsid w:val="00632264"/>
    <w:rsid w:val="0064339A"/>
    <w:rsid w:val="006470BC"/>
    <w:rsid w:val="00653DBB"/>
    <w:rsid w:val="006554D3"/>
    <w:rsid w:val="00655A1B"/>
    <w:rsid w:val="00661C83"/>
    <w:rsid w:val="00661FF4"/>
    <w:rsid w:val="00667036"/>
    <w:rsid w:val="00667676"/>
    <w:rsid w:val="00673BDB"/>
    <w:rsid w:val="0067560C"/>
    <w:rsid w:val="006771B8"/>
    <w:rsid w:val="006843B6"/>
    <w:rsid w:val="0068481F"/>
    <w:rsid w:val="0068749C"/>
    <w:rsid w:val="00696F5D"/>
    <w:rsid w:val="00697249"/>
    <w:rsid w:val="006B3947"/>
    <w:rsid w:val="006B4293"/>
    <w:rsid w:val="006B624F"/>
    <w:rsid w:val="006C31E3"/>
    <w:rsid w:val="006C5126"/>
    <w:rsid w:val="006D18D3"/>
    <w:rsid w:val="006E08CB"/>
    <w:rsid w:val="006E598D"/>
    <w:rsid w:val="0070437D"/>
    <w:rsid w:val="00704CF1"/>
    <w:rsid w:val="00705B04"/>
    <w:rsid w:val="00706D1F"/>
    <w:rsid w:val="0071485B"/>
    <w:rsid w:val="00734820"/>
    <w:rsid w:val="007349DC"/>
    <w:rsid w:val="0074365E"/>
    <w:rsid w:val="007515FD"/>
    <w:rsid w:val="0075294B"/>
    <w:rsid w:val="00760D80"/>
    <w:rsid w:val="00780790"/>
    <w:rsid w:val="00780C09"/>
    <w:rsid w:val="00780DDF"/>
    <w:rsid w:val="007834E9"/>
    <w:rsid w:val="007856DF"/>
    <w:rsid w:val="00787DBC"/>
    <w:rsid w:val="0079019A"/>
    <w:rsid w:val="00792935"/>
    <w:rsid w:val="007A04A1"/>
    <w:rsid w:val="007A126E"/>
    <w:rsid w:val="007A1840"/>
    <w:rsid w:val="007A2BC5"/>
    <w:rsid w:val="007C0528"/>
    <w:rsid w:val="007C3D38"/>
    <w:rsid w:val="007D0F35"/>
    <w:rsid w:val="007D4FEB"/>
    <w:rsid w:val="007D6146"/>
    <w:rsid w:val="007E0CE7"/>
    <w:rsid w:val="007F1193"/>
    <w:rsid w:val="007F3E96"/>
    <w:rsid w:val="007F417F"/>
    <w:rsid w:val="007F5AF9"/>
    <w:rsid w:val="008042BD"/>
    <w:rsid w:val="00804C19"/>
    <w:rsid w:val="00816624"/>
    <w:rsid w:val="00822427"/>
    <w:rsid w:val="00822562"/>
    <w:rsid w:val="00823663"/>
    <w:rsid w:val="00832DDC"/>
    <w:rsid w:val="00845EDA"/>
    <w:rsid w:val="00850BAC"/>
    <w:rsid w:val="00854A3E"/>
    <w:rsid w:val="00855D08"/>
    <w:rsid w:val="00866C0E"/>
    <w:rsid w:val="00874344"/>
    <w:rsid w:val="00882155"/>
    <w:rsid w:val="0088233B"/>
    <w:rsid w:val="0088599E"/>
    <w:rsid w:val="00886C37"/>
    <w:rsid w:val="00890CE9"/>
    <w:rsid w:val="00892D99"/>
    <w:rsid w:val="008B0F31"/>
    <w:rsid w:val="008B62AE"/>
    <w:rsid w:val="008B6509"/>
    <w:rsid w:val="008C04B5"/>
    <w:rsid w:val="008C14FA"/>
    <w:rsid w:val="008C7BDB"/>
    <w:rsid w:val="008D4057"/>
    <w:rsid w:val="008D6CA7"/>
    <w:rsid w:val="008E1F19"/>
    <w:rsid w:val="008E2B6E"/>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C2C"/>
    <w:rsid w:val="009271A7"/>
    <w:rsid w:val="0093658B"/>
    <w:rsid w:val="009429FF"/>
    <w:rsid w:val="00945BD6"/>
    <w:rsid w:val="009479FB"/>
    <w:rsid w:val="00951C45"/>
    <w:rsid w:val="009560CE"/>
    <w:rsid w:val="009656F2"/>
    <w:rsid w:val="00966A08"/>
    <w:rsid w:val="00971207"/>
    <w:rsid w:val="00975CB4"/>
    <w:rsid w:val="009863B0"/>
    <w:rsid w:val="00987DE1"/>
    <w:rsid w:val="00990571"/>
    <w:rsid w:val="0099673A"/>
    <w:rsid w:val="009A3330"/>
    <w:rsid w:val="009A7C96"/>
    <w:rsid w:val="009C202B"/>
    <w:rsid w:val="009C3DB9"/>
    <w:rsid w:val="009D46E5"/>
    <w:rsid w:val="009D568A"/>
    <w:rsid w:val="009F04EC"/>
    <w:rsid w:val="009F2A7C"/>
    <w:rsid w:val="009F3B36"/>
    <w:rsid w:val="009F5C18"/>
    <w:rsid w:val="009F61ED"/>
    <w:rsid w:val="00A019B9"/>
    <w:rsid w:val="00A12508"/>
    <w:rsid w:val="00A1282B"/>
    <w:rsid w:val="00A13A27"/>
    <w:rsid w:val="00A16339"/>
    <w:rsid w:val="00A175B6"/>
    <w:rsid w:val="00A21835"/>
    <w:rsid w:val="00A2374B"/>
    <w:rsid w:val="00A2708D"/>
    <w:rsid w:val="00A27CC0"/>
    <w:rsid w:val="00A27D6E"/>
    <w:rsid w:val="00A328EC"/>
    <w:rsid w:val="00A33A51"/>
    <w:rsid w:val="00A41CA6"/>
    <w:rsid w:val="00A47927"/>
    <w:rsid w:val="00A47FFC"/>
    <w:rsid w:val="00A5442F"/>
    <w:rsid w:val="00A54FF9"/>
    <w:rsid w:val="00A56765"/>
    <w:rsid w:val="00A620D0"/>
    <w:rsid w:val="00A64496"/>
    <w:rsid w:val="00A675AC"/>
    <w:rsid w:val="00A7581F"/>
    <w:rsid w:val="00A80D60"/>
    <w:rsid w:val="00A8295B"/>
    <w:rsid w:val="00A8342F"/>
    <w:rsid w:val="00A92FB1"/>
    <w:rsid w:val="00A92FE8"/>
    <w:rsid w:val="00A95A0C"/>
    <w:rsid w:val="00AA2765"/>
    <w:rsid w:val="00AA77B5"/>
    <w:rsid w:val="00AB6C5D"/>
    <w:rsid w:val="00AC51A7"/>
    <w:rsid w:val="00AD444B"/>
    <w:rsid w:val="00AD6C78"/>
    <w:rsid w:val="00AE2EAB"/>
    <w:rsid w:val="00AF5F89"/>
    <w:rsid w:val="00AF73CB"/>
    <w:rsid w:val="00B002D6"/>
    <w:rsid w:val="00B05B51"/>
    <w:rsid w:val="00B12E32"/>
    <w:rsid w:val="00B14E5A"/>
    <w:rsid w:val="00B15370"/>
    <w:rsid w:val="00B15AC4"/>
    <w:rsid w:val="00B16DA4"/>
    <w:rsid w:val="00B17BEB"/>
    <w:rsid w:val="00B21A3C"/>
    <w:rsid w:val="00B223C0"/>
    <w:rsid w:val="00B234ED"/>
    <w:rsid w:val="00B249B2"/>
    <w:rsid w:val="00B24E37"/>
    <w:rsid w:val="00B25CA3"/>
    <w:rsid w:val="00B2765A"/>
    <w:rsid w:val="00B27CA6"/>
    <w:rsid w:val="00B57A6A"/>
    <w:rsid w:val="00B60467"/>
    <w:rsid w:val="00B611D8"/>
    <w:rsid w:val="00B72F2F"/>
    <w:rsid w:val="00B760F1"/>
    <w:rsid w:val="00B7669E"/>
    <w:rsid w:val="00B77DA1"/>
    <w:rsid w:val="00B858AE"/>
    <w:rsid w:val="00B85964"/>
    <w:rsid w:val="00B96250"/>
    <w:rsid w:val="00BA0D55"/>
    <w:rsid w:val="00BA1060"/>
    <w:rsid w:val="00BA37B3"/>
    <w:rsid w:val="00BA4CC6"/>
    <w:rsid w:val="00BB3493"/>
    <w:rsid w:val="00BB37BF"/>
    <w:rsid w:val="00BB7164"/>
    <w:rsid w:val="00BB7468"/>
    <w:rsid w:val="00BC0D2F"/>
    <w:rsid w:val="00BC1381"/>
    <w:rsid w:val="00BC188A"/>
    <w:rsid w:val="00BC7463"/>
    <w:rsid w:val="00BD0F48"/>
    <w:rsid w:val="00BF1623"/>
    <w:rsid w:val="00BF3392"/>
    <w:rsid w:val="00BF5010"/>
    <w:rsid w:val="00C01B51"/>
    <w:rsid w:val="00C03D5F"/>
    <w:rsid w:val="00C13791"/>
    <w:rsid w:val="00C30930"/>
    <w:rsid w:val="00C31BB3"/>
    <w:rsid w:val="00C365F4"/>
    <w:rsid w:val="00C36977"/>
    <w:rsid w:val="00C44C25"/>
    <w:rsid w:val="00C467DA"/>
    <w:rsid w:val="00C477D9"/>
    <w:rsid w:val="00C55B60"/>
    <w:rsid w:val="00C60BA3"/>
    <w:rsid w:val="00C623F7"/>
    <w:rsid w:val="00C75BC5"/>
    <w:rsid w:val="00C81670"/>
    <w:rsid w:val="00C81773"/>
    <w:rsid w:val="00C82861"/>
    <w:rsid w:val="00C86896"/>
    <w:rsid w:val="00C907A8"/>
    <w:rsid w:val="00C93211"/>
    <w:rsid w:val="00C937F9"/>
    <w:rsid w:val="00C942EC"/>
    <w:rsid w:val="00C96047"/>
    <w:rsid w:val="00C979D0"/>
    <w:rsid w:val="00CA0818"/>
    <w:rsid w:val="00CA2C8F"/>
    <w:rsid w:val="00CA30DA"/>
    <w:rsid w:val="00CA3A24"/>
    <w:rsid w:val="00CA7674"/>
    <w:rsid w:val="00CB0300"/>
    <w:rsid w:val="00CB1777"/>
    <w:rsid w:val="00CB33E9"/>
    <w:rsid w:val="00CC10A9"/>
    <w:rsid w:val="00CE00B7"/>
    <w:rsid w:val="00CE2BF8"/>
    <w:rsid w:val="00CE484E"/>
    <w:rsid w:val="00CE656F"/>
    <w:rsid w:val="00CE78B7"/>
    <w:rsid w:val="00CF0DA8"/>
    <w:rsid w:val="00CF2C1C"/>
    <w:rsid w:val="00CF2E25"/>
    <w:rsid w:val="00CF4453"/>
    <w:rsid w:val="00CF5D94"/>
    <w:rsid w:val="00CF7E0F"/>
    <w:rsid w:val="00D034D7"/>
    <w:rsid w:val="00D04BE4"/>
    <w:rsid w:val="00D12565"/>
    <w:rsid w:val="00D14127"/>
    <w:rsid w:val="00D42AD4"/>
    <w:rsid w:val="00D503BC"/>
    <w:rsid w:val="00D60B16"/>
    <w:rsid w:val="00D60F02"/>
    <w:rsid w:val="00D66E49"/>
    <w:rsid w:val="00D70D71"/>
    <w:rsid w:val="00D72F74"/>
    <w:rsid w:val="00D81563"/>
    <w:rsid w:val="00D85907"/>
    <w:rsid w:val="00D9073E"/>
    <w:rsid w:val="00D9221D"/>
    <w:rsid w:val="00D958DF"/>
    <w:rsid w:val="00D96DA1"/>
    <w:rsid w:val="00DA0F72"/>
    <w:rsid w:val="00DA51E7"/>
    <w:rsid w:val="00DB1C78"/>
    <w:rsid w:val="00DB7D96"/>
    <w:rsid w:val="00DC1C82"/>
    <w:rsid w:val="00DC23FE"/>
    <w:rsid w:val="00DC59E6"/>
    <w:rsid w:val="00DD150B"/>
    <w:rsid w:val="00DD5025"/>
    <w:rsid w:val="00DF1510"/>
    <w:rsid w:val="00E0142B"/>
    <w:rsid w:val="00E020EE"/>
    <w:rsid w:val="00E02F1F"/>
    <w:rsid w:val="00E06484"/>
    <w:rsid w:val="00E20A7D"/>
    <w:rsid w:val="00E23EE9"/>
    <w:rsid w:val="00E275D8"/>
    <w:rsid w:val="00E30F6A"/>
    <w:rsid w:val="00E375CA"/>
    <w:rsid w:val="00E37869"/>
    <w:rsid w:val="00E4044E"/>
    <w:rsid w:val="00E40DA7"/>
    <w:rsid w:val="00E567E8"/>
    <w:rsid w:val="00E62E55"/>
    <w:rsid w:val="00E64679"/>
    <w:rsid w:val="00E65EBC"/>
    <w:rsid w:val="00E73432"/>
    <w:rsid w:val="00E77B0C"/>
    <w:rsid w:val="00E77FB8"/>
    <w:rsid w:val="00E838B0"/>
    <w:rsid w:val="00E86A7C"/>
    <w:rsid w:val="00E878E1"/>
    <w:rsid w:val="00E87F2C"/>
    <w:rsid w:val="00E95278"/>
    <w:rsid w:val="00E95F48"/>
    <w:rsid w:val="00E96604"/>
    <w:rsid w:val="00EA2273"/>
    <w:rsid w:val="00EA2E36"/>
    <w:rsid w:val="00EB2DB3"/>
    <w:rsid w:val="00EC197E"/>
    <w:rsid w:val="00EC3FBB"/>
    <w:rsid w:val="00EC6B7A"/>
    <w:rsid w:val="00ED3A87"/>
    <w:rsid w:val="00ED4324"/>
    <w:rsid w:val="00ED5B67"/>
    <w:rsid w:val="00EF264C"/>
    <w:rsid w:val="00EF3FEE"/>
    <w:rsid w:val="00EF603A"/>
    <w:rsid w:val="00F04B59"/>
    <w:rsid w:val="00F11741"/>
    <w:rsid w:val="00F120C0"/>
    <w:rsid w:val="00F12B1C"/>
    <w:rsid w:val="00F13CF8"/>
    <w:rsid w:val="00F15855"/>
    <w:rsid w:val="00F32978"/>
    <w:rsid w:val="00F45AA2"/>
    <w:rsid w:val="00F45CB2"/>
    <w:rsid w:val="00F46A2B"/>
    <w:rsid w:val="00F544C0"/>
    <w:rsid w:val="00F55332"/>
    <w:rsid w:val="00F6504A"/>
    <w:rsid w:val="00F65519"/>
    <w:rsid w:val="00F70593"/>
    <w:rsid w:val="00F713C0"/>
    <w:rsid w:val="00F75DDC"/>
    <w:rsid w:val="00F7792F"/>
    <w:rsid w:val="00F842AA"/>
    <w:rsid w:val="00F8476F"/>
    <w:rsid w:val="00F853E1"/>
    <w:rsid w:val="00F85604"/>
    <w:rsid w:val="00F9423C"/>
    <w:rsid w:val="00F94B7A"/>
    <w:rsid w:val="00FA0027"/>
    <w:rsid w:val="00FA17AC"/>
    <w:rsid w:val="00FA30A9"/>
    <w:rsid w:val="00FA32DE"/>
    <w:rsid w:val="00FA3382"/>
    <w:rsid w:val="00FA545A"/>
    <w:rsid w:val="00FA59CD"/>
    <w:rsid w:val="00FB0A00"/>
    <w:rsid w:val="00FB1740"/>
    <w:rsid w:val="00FC5469"/>
    <w:rsid w:val="00FC6D7D"/>
    <w:rsid w:val="00FD16B0"/>
    <w:rsid w:val="00FD4FED"/>
    <w:rsid w:val="00FD6210"/>
    <w:rsid w:val="00FE0577"/>
    <w:rsid w:val="00FE59EC"/>
    <w:rsid w:val="00FE5B67"/>
    <w:rsid w:val="00FF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04C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04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1186-000E-4B0E-B140-BDAC4686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1649</Words>
  <Characters>9873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2017-06-28T13:24:00Z</cp:lastPrinted>
  <dcterms:created xsi:type="dcterms:W3CDTF">2017-06-29T14:01:00Z</dcterms:created>
  <dcterms:modified xsi:type="dcterms:W3CDTF">2017-06-29T14:01:00Z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170069-EI</vt:lpwstr>
  </property>
  <property fmtid="{D5CDD505-2E9C-101B-9397-08002B2CF9AE}" pid="3" name="MasterDocument">
    <vt:bool>false</vt:bool>
  </property>
</Properties>
</file>