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1A9A" w:rsidP="00481A9A">
      <w:pPr>
        <w:pStyle w:val="OrderHeading"/>
      </w:pPr>
      <w:bookmarkStart w:id="0" w:name="_GoBack"/>
      <w:bookmarkEnd w:id="0"/>
      <w:r>
        <w:t>BEFORE THE FLORIDA PUBLIC SERVICE COMMISSION</w:t>
      </w:r>
    </w:p>
    <w:p w:rsidR="00481A9A" w:rsidRDefault="00481A9A" w:rsidP="00481A9A">
      <w:pPr>
        <w:pStyle w:val="OrderHeading"/>
      </w:pPr>
    </w:p>
    <w:p w:rsidR="00481A9A" w:rsidRDefault="00481A9A" w:rsidP="00481A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1A9A" w:rsidRPr="00C63FCF" w:rsidTr="0053475F">
        <w:trPr>
          <w:trHeight w:val="828"/>
        </w:trPr>
        <w:tc>
          <w:tcPr>
            <w:tcW w:w="4788" w:type="dxa"/>
            <w:tcBorders>
              <w:bottom w:val="single" w:sz="8" w:space="0" w:color="auto"/>
              <w:right w:val="double" w:sz="6" w:space="0" w:color="auto"/>
            </w:tcBorders>
            <w:shd w:val="clear" w:color="auto" w:fill="auto"/>
          </w:tcPr>
          <w:p w:rsidR="00481A9A" w:rsidRDefault="00481A9A" w:rsidP="0053475F">
            <w:pPr>
              <w:pStyle w:val="OrderBody"/>
              <w:tabs>
                <w:tab w:val="center" w:pos="4320"/>
                <w:tab w:val="right" w:pos="8640"/>
              </w:tabs>
              <w:jc w:val="left"/>
            </w:pPr>
            <w:r>
              <w:t xml:space="preserve">In re: </w:t>
            </w:r>
            <w:bookmarkStart w:id="1" w:name="SSInRe"/>
            <w:bookmarkEnd w:id="1"/>
            <w:r>
              <w:t>Application for transfer of Certificate No. 390-W from County-Wide Utility Co., Inc. to Southwest Ocala Utility, Inc. in Marion County.</w:t>
            </w:r>
          </w:p>
        </w:tc>
        <w:tc>
          <w:tcPr>
            <w:tcW w:w="4788" w:type="dxa"/>
            <w:tcBorders>
              <w:left w:val="double" w:sz="6" w:space="0" w:color="auto"/>
            </w:tcBorders>
            <w:shd w:val="clear" w:color="auto" w:fill="auto"/>
          </w:tcPr>
          <w:p w:rsidR="00481A9A" w:rsidRDefault="00481A9A" w:rsidP="00481A9A">
            <w:pPr>
              <w:pStyle w:val="OrderBody"/>
            </w:pPr>
            <w:r>
              <w:t xml:space="preserve">DOCKET NO. </w:t>
            </w:r>
            <w:bookmarkStart w:id="2" w:name="SSDocketNo"/>
            <w:bookmarkEnd w:id="2"/>
            <w:r>
              <w:t>20150012-WU</w:t>
            </w:r>
          </w:p>
          <w:p w:rsidR="00481A9A" w:rsidRDefault="00481A9A" w:rsidP="0053475F">
            <w:pPr>
              <w:pStyle w:val="OrderBody"/>
              <w:tabs>
                <w:tab w:val="center" w:pos="4320"/>
                <w:tab w:val="right" w:pos="8640"/>
              </w:tabs>
              <w:jc w:val="left"/>
            </w:pPr>
            <w:r>
              <w:t xml:space="preserve">ORDER NO. </w:t>
            </w:r>
            <w:bookmarkStart w:id="3" w:name="OrderNo0311"/>
            <w:r w:rsidR="00331475">
              <w:t>PSC-2017-0311-FOF-WU</w:t>
            </w:r>
            <w:bookmarkEnd w:id="3"/>
          </w:p>
          <w:p w:rsidR="00481A9A" w:rsidRDefault="00481A9A" w:rsidP="0053475F">
            <w:pPr>
              <w:pStyle w:val="OrderBody"/>
              <w:tabs>
                <w:tab w:val="center" w:pos="4320"/>
                <w:tab w:val="right" w:pos="8640"/>
              </w:tabs>
              <w:jc w:val="left"/>
            </w:pPr>
            <w:r>
              <w:t xml:space="preserve">ISSUED: </w:t>
            </w:r>
            <w:r w:rsidR="00331475">
              <w:t>August 7, 2017</w:t>
            </w:r>
          </w:p>
        </w:tc>
      </w:tr>
    </w:tbl>
    <w:p w:rsidR="00481A9A" w:rsidRDefault="00481A9A" w:rsidP="00481A9A"/>
    <w:p w:rsidR="00481A9A" w:rsidRDefault="00481A9A" w:rsidP="00481A9A"/>
    <w:p w:rsidR="00481A9A" w:rsidRDefault="00481A9A">
      <w:pPr>
        <w:ind w:firstLine="720"/>
        <w:jc w:val="both"/>
      </w:pPr>
      <w:bookmarkStart w:id="4" w:name="Commissioners"/>
      <w:bookmarkEnd w:id="4"/>
      <w:r>
        <w:t>The following Commissioners participated in the disposition of this matter:</w:t>
      </w:r>
    </w:p>
    <w:p w:rsidR="00481A9A" w:rsidRDefault="00481A9A"/>
    <w:p w:rsidR="00481A9A" w:rsidRDefault="00481A9A">
      <w:pPr>
        <w:jc w:val="center"/>
      </w:pPr>
      <w:r>
        <w:t>JULIE I. BROWN, Chairman</w:t>
      </w:r>
    </w:p>
    <w:p w:rsidR="00481A9A" w:rsidRDefault="00481A9A">
      <w:pPr>
        <w:jc w:val="center"/>
      </w:pPr>
      <w:r>
        <w:t>ART GRAHAM</w:t>
      </w:r>
    </w:p>
    <w:p w:rsidR="00481A9A" w:rsidRDefault="00481A9A">
      <w:pPr>
        <w:jc w:val="center"/>
      </w:pPr>
      <w:r>
        <w:t>RONALD A. BRISÉ</w:t>
      </w:r>
    </w:p>
    <w:p w:rsidR="00481A9A" w:rsidRDefault="00481A9A">
      <w:pPr>
        <w:jc w:val="center"/>
      </w:pPr>
      <w:r>
        <w:t>DONALD J. POLMANN</w:t>
      </w:r>
    </w:p>
    <w:p w:rsidR="00481A9A" w:rsidRDefault="00481A9A" w:rsidP="00481A9A">
      <w:pPr>
        <w:pStyle w:val="OrderBody"/>
      </w:pPr>
    </w:p>
    <w:p w:rsidR="00481A9A" w:rsidRDefault="00481A9A" w:rsidP="00481A9A">
      <w:pPr>
        <w:pStyle w:val="OrderBody"/>
      </w:pPr>
    </w:p>
    <w:p w:rsidR="00481A9A" w:rsidRPr="003E4B2D" w:rsidRDefault="00481A9A">
      <w:pPr>
        <w:pStyle w:val="OrderBody"/>
        <w:jc w:val="center"/>
        <w:rPr>
          <w:u w:val="single"/>
        </w:rPr>
      </w:pPr>
      <w:bookmarkStart w:id="5" w:name="OrderText"/>
      <w:bookmarkEnd w:id="5"/>
      <w:r w:rsidRPr="003E4B2D">
        <w:rPr>
          <w:u w:val="single"/>
        </w:rPr>
        <w:t>ORDER</w:t>
      </w:r>
      <w:bookmarkStart w:id="6" w:name="OrderTitle"/>
      <w:r w:rsidR="00FE3B07" w:rsidRPr="00FE3B07">
        <w:rPr>
          <w:u w:val="single"/>
        </w:rPr>
        <w:t xml:space="preserve"> </w:t>
      </w:r>
      <w:r w:rsidR="00FE3B07">
        <w:rPr>
          <w:u w:val="single"/>
        </w:rPr>
        <w:t>APPROVING APPLICATION FOR TRANSFER OF UTILITY</w:t>
      </w:r>
      <w:r>
        <w:rPr>
          <w:u w:val="single"/>
        </w:rPr>
        <w:t xml:space="preserve"> </w:t>
      </w:r>
      <w:bookmarkEnd w:id="6"/>
    </w:p>
    <w:p w:rsidR="00481A9A" w:rsidRPr="003E4B2D" w:rsidRDefault="00481A9A">
      <w:pPr>
        <w:pStyle w:val="OrderBody"/>
      </w:pPr>
    </w:p>
    <w:p w:rsidR="00481A9A" w:rsidRPr="003E4B2D" w:rsidRDefault="00481A9A">
      <w:pPr>
        <w:pStyle w:val="OrderBody"/>
      </w:pPr>
    </w:p>
    <w:p w:rsidR="00481A9A" w:rsidRPr="003E4B2D" w:rsidRDefault="00481A9A">
      <w:pPr>
        <w:pStyle w:val="OrderBody"/>
      </w:pPr>
      <w:r w:rsidRPr="003E4B2D">
        <w:t>BY THE COMMISSION:</w:t>
      </w:r>
    </w:p>
    <w:p w:rsidR="00481A9A" w:rsidRPr="003E4B2D" w:rsidRDefault="00481A9A">
      <w:pPr>
        <w:pStyle w:val="OrderBody"/>
      </w:pPr>
    </w:p>
    <w:p w:rsidR="00D57E57" w:rsidRPr="00481A9A" w:rsidRDefault="00481A9A" w:rsidP="00481A9A">
      <w:pPr>
        <w:jc w:val="center"/>
        <w:rPr>
          <w:b/>
        </w:rPr>
      </w:pPr>
      <w:r w:rsidRPr="00481A9A">
        <w:rPr>
          <w:b/>
        </w:rPr>
        <w:t>Background</w:t>
      </w:r>
    </w:p>
    <w:p w:rsidR="00481A9A" w:rsidRDefault="00481A9A" w:rsidP="00D57E57"/>
    <w:p w:rsidR="00481A9A" w:rsidRPr="00481A9A" w:rsidRDefault="00481A9A" w:rsidP="00481A9A">
      <w:pPr>
        <w:spacing w:after="240"/>
        <w:ind w:firstLine="720"/>
        <w:jc w:val="both"/>
      </w:pPr>
      <w:r w:rsidRPr="00481A9A">
        <w:t>On January 2, 2015, County-Wide Utility Co., Inc. (County-Wide or Seller) filed an application for the transfer of Certificate No. 390-W to Southwest Ocala Utility, Inc. (SOU, Utility, or Buyer) in Marion County. County-Wide is a Class C utility that only provides water service. The service area is located in the St. Johns River Water Management District (SJRWMD), and is not in a water use caution area. According to County-Wide’s 2014 Annual Report, the Utility serves 539 residential customers, three general service customers, and had total revenues of $139,624.</w:t>
      </w:r>
    </w:p>
    <w:p w:rsidR="00481A9A" w:rsidRPr="00481A9A" w:rsidRDefault="00481A9A" w:rsidP="00481A9A">
      <w:pPr>
        <w:spacing w:after="240"/>
        <w:ind w:firstLine="720"/>
        <w:jc w:val="both"/>
      </w:pPr>
      <w:r w:rsidRPr="00481A9A">
        <w:t>Certificate No. 390-W was originally granted in 1983 under the name of Bahia Oaks, Inc. d/b/a County-Wide Utility Company, Inc.</w:t>
      </w:r>
      <w:r w:rsidRPr="00481A9A">
        <w:rPr>
          <w:vertAlign w:val="superscript"/>
        </w:rPr>
        <w:footnoteReference w:id="1"/>
      </w:r>
      <w:r w:rsidRPr="00481A9A">
        <w:t xml:space="preserve"> In 1997, </w:t>
      </w:r>
      <w:r w:rsidR="007D6EF7">
        <w:t>we</w:t>
      </w:r>
      <w:r w:rsidRPr="00481A9A">
        <w:t xml:space="preserve"> extended County-Wide’s territory to include Units Three, Four, and Five of the Bahia Oaks Subdivision.</w:t>
      </w:r>
      <w:r w:rsidRPr="00481A9A">
        <w:rPr>
          <w:vertAlign w:val="superscript"/>
        </w:rPr>
        <w:footnoteReference w:id="2"/>
      </w:r>
      <w:r w:rsidRPr="00481A9A">
        <w:t xml:space="preserve"> Water rates for the Utility were last approved in 2007, pursuant to a staff assisted rate case docketed in 2005 (2005 SARC)</w:t>
      </w:r>
      <w:r w:rsidR="00DD44E9" w:rsidRPr="00481A9A">
        <w:t>.</w:t>
      </w:r>
      <w:r w:rsidRPr="00481A9A">
        <w:rPr>
          <w:vertAlign w:val="superscript"/>
        </w:rPr>
        <w:footnoteReference w:id="3"/>
      </w:r>
    </w:p>
    <w:p w:rsidR="00FF04A6" w:rsidRDefault="00481A9A" w:rsidP="007D6EF7">
      <w:pPr>
        <w:spacing w:after="240"/>
        <w:ind w:firstLine="720"/>
        <w:jc w:val="both"/>
      </w:pPr>
      <w:r w:rsidRPr="00481A9A">
        <w:t xml:space="preserve">On October 16, 2016, </w:t>
      </w:r>
      <w:r w:rsidR="007D6EF7">
        <w:t>we were presented with a recommendation that the transfer be granted</w:t>
      </w:r>
      <w:r w:rsidRPr="00481A9A">
        <w:t xml:space="preserve">, with a proposed net book value and a negative acquisition adjustment. However, </w:t>
      </w:r>
      <w:r w:rsidR="007D6EF7">
        <w:lastRenderedPageBreak/>
        <w:t xml:space="preserve">Commission </w:t>
      </w:r>
      <w:r w:rsidRPr="00481A9A">
        <w:t xml:space="preserve">staff’s recommendation was based on incomplete information due to the Utility’s assertion that it could not provide the requested information </w:t>
      </w:r>
      <w:r w:rsidR="00042B72">
        <w:t xml:space="preserve">related to purchase price </w:t>
      </w:r>
      <w:r w:rsidRPr="00481A9A">
        <w:t xml:space="preserve">as the information is protected by a confidentiality agreement with its bank. </w:t>
      </w:r>
      <w:r w:rsidR="007D6EF7">
        <w:t>We</w:t>
      </w:r>
      <w:r w:rsidRPr="00481A9A">
        <w:t xml:space="preserve"> rejected </w:t>
      </w:r>
      <w:r w:rsidR="007D6EF7">
        <w:t xml:space="preserve">Commission </w:t>
      </w:r>
      <w:r w:rsidRPr="00481A9A">
        <w:t xml:space="preserve">staff’s recommendation, deferred the item, and directed the Utility to provide the most accurate information to </w:t>
      </w:r>
      <w:r w:rsidR="007D6EF7">
        <w:t xml:space="preserve">Commission </w:t>
      </w:r>
      <w:r w:rsidRPr="00481A9A">
        <w:t>staff. The Utility maintains that it still cannot provide the precise</w:t>
      </w:r>
      <w:r w:rsidR="00042B72">
        <w:t xml:space="preserve"> purchase price</w:t>
      </w:r>
      <w:r w:rsidRPr="00481A9A">
        <w:t xml:space="preserve"> data without violating</w:t>
      </w:r>
      <w:r w:rsidR="00FF04A6">
        <w:t xml:space="preserve"> the confidentiality agreement. In lieu of supporting documentation for the purchase price, the Utility provided an affidavit attesting the amount paid was in excess of 80 per</w:t>
      </w:r>
      <w:r w:rsidR="00A21979">
        <w:t>cent</w:t>
      </w:r>
      <w:r w:rsidR="00FF04A6">
        <w:t xml:space="preserve"> of the</w:t>
      </w:r>
      <w:r w:rsidR="00012BFB">
        <w:t xml:space="preserve"> net book value.</w:t>
      </w:r>
    </w:p>
    <w:p w:rsidR="00FF04A6" w:rsidRDefault="001105F8" w:rsidP="007D6EF7">
      <w:pPr>
        <w:spacing w:after="240"/>
        <w:ind w:firstLine="720"/>
        <w:jc w:val="both"/>
      </w:pPr>
      <w:r>
        <w:t xml:space="preserve">This Order addresses our decision on </w:t>
      </w:r>
      <w:r w:rsidR="00012BFB">
        <w:t xml:space="preserve">the July 13, 2017 Commission Conference, </w:t>
      </w:r>
      <w:r>
        <w:t xml:space="preserve">where </w:t>
      </w:r>
      <w:r w:rsidR="00012BFB">
        <w:t>we</w:t>
      </w:r>
      <w:r w:rsidR="00FF04A6">
        <w:t xml:space="preserve"> were presented with a revised recommendation</w:t>
      </w:r>
      <w:r>
        <w:t xml:space="preserve"> regarding</w:t>
      </w:r>
      <w:r w:rsidR="00FF04A6">
        <w:t xml:space="preserve"> t</w:t>
      </w:r>
      <w:r w:rsidR="00FF04A6" w:rsidRPr="00481A9A">
        <w:t>he transfer of County-Wide’s water system under Certificate No. 390-W, the net book value of the water system at the time of transfer, and whether an acquisition adjustment should be approved.</w:t>
      </w:r>
      <w:r w:rsidR="00FF04A6" w:rsidRPr="00FF04A6">
        <w:t xml:space="preserve"> </w:t>
      </w:r>
      <w:r w:rsidR="00007784">
        <w:t xml:space="preserve">We have </w:t>
      </w:r>
      <w:r w:rsidR="00FF04A6" w:rsidRPr="00481A9A">
        <w:t>jurisdiction pursuant to Section 367.071, Florida Statutes (F.S.).</w:t>
      </w:r>
    </w:p>
    <w:p w:rsidR="00481A9A" w:rsidRPr="00481A9A" w:rsidRDefault="00481A9A" w:rsidP="00481A9A">
      <w:pPr>
        <w:spacing w:after="240"/>
        <w:jc w:val="center"/>
        <w:rPr>
          <w:b/>
        </w:rPr>
      </w:pPr>
      <w:r w:rsidRPr="00481A9A">
        <w:rPr>
          <w:b/>
        </w:rPr>
        <w:t>Decision</w:t>
      </w:r>
    </w:p>
    <w:p w:rsidR="00481A9A" w:rsidRPr="00481A9A" w:rsidRDefault="00481A9A" w:rsidP="00481A9A">
      <w:pPr>
        <w:spacing w:after="240"/>
        <w:jc w:val="both"/>
        <w:rPr>
          <w:b/>
          <w:bCs/>
        </w:rPr>
      </w:pPr>
      <w:r>
        <w:rPr>
          <w:b/>
          <w:bCs/>
        </w:rPr>
        <w:t>Transfer of Water System and Certificate No. 390-W</w:t>
      </w:r>
    </w:p>
    <w:p w:rsidR="00481A9A" w:rsidRPr="00481A9A" w:rsidRDefault="00481A9A" w:rsidP="00481A9A">
      <w:pPr>
        <w:spacing w:after="240"/>
        <w:ind w:firstLine="720"/>
        <w:jc w:val="both"/>
      </w:pPr>
      <w:r w:rsidRPr="00481A9A">
        <w:t xml:space="preserve">On January 2, 2015, County-Wide filed an application for approval of the transfer of its water system and Certificate No. 390-W to SOU. The application is in compliance with the governing Statute, Section 367.071, F.S., and </w:t>
      </w:r>
      <w:r w:rsidR="001105F8">
        <w:t>a</w:t>
      </w:r>
      <w:r w:rsidRPr="00481A9A">
        <w:t xml:space="preserve">dministrative </w:t>
      </w:r>
      <w:r w:rsidR="001105F8">
        <w:t>r</w:t>
      </w:r>
      <w:r w:rsidRPr="00481A9A">
        <w:t xml:space="preserve">ules concerning applications for transfer of certificates. </w:t>
      </w:r>
    </w:p>
    <w:p w:rsidR="00481A9A" w:rsidRPr="00481A9A" w:rsidRDefault="00481A9A" w:rsidP="00481A9A">
      <w:pPr>
        <w:spacing w:after="240"/>
        <w:ind w:firstLine="720"/>
        <w:jc w:val="both"/>
        <w:rPr>
          <w:b/>
        </w:rPr>
      </w:pPr>
      <w:r w:rsidRPr="00481A9A">
        <w:rPr>
          <w:b/>
        </w:rPr>
        <w:t>Noticing, Territory, and Land Ownership</w:t>
      </w:r>
    </w:p>
    <w:p w:rsidR="00481A9A" w:rsidRPr="00481A9A" w:rsidRDefault="00481A9A" w:rsidP="00481A9A">
      <w:pPr>
        <w:spacing w:after="240"/>
        <w:ind w:firstLine="720"/>
        <w:jc w:val="both"/>
      </w:pPr>
      <w:r w:rsidRPr="00481A9A">
        <w:t xml:space="preserve">The application contains proof of compliance with the noticing provisions set forth in Section 367.071, F.S., and Rule 25-30.030, F.A.C. No objections to the transfer were filed with </w:t>
      </w:r>
      <w:r w:rsidR="007D6EF7">
        <w:t>this</w:t>
      </w:r>
      <w:r w:rsidRPr="00481A9A">
        <w:t xml:space="preserve"> Commission and the time for doing so has expired. The application contains a description of the Utility’s water service territory, which is appended to this</w:t>
      </w:r>
      <w:r w:rsidR="007D6EF7">
        <w:t xml:space="preserve"> Order</w:t>
      </w:r>
      <w:r w:rsidRPr="00481A9A">
        <w:t xml:space="preserve"> as Attachment A. As the Utility is a reseller of bulk water purchased from the City of Ocala, it has no water treatment facilities. Therefore, no proof of land ownership pursuant to Rule 25-30.037(2)(s), F.A.C., is required.</w:t>
      </w:r>
    </w:p>
    <w:p w:rsidR="00481A9A" w:rsidRPr="00481A9A" w:rsidRDefault="00481A9A" w:rsidP="00481A9A">
      <w:pPr>
        <w:spacing w:after="240"/>
        <w:ind w:firstLine="720"/>
        <w:jc w:val="both"/>
        <w:rPr>
          <w:b/>
        </w:rPr>
      </w:pPr>
      <w:r w:rsidRPr="00481A9A">
        <w:rPr>
          <w:b/>
        </w:rPr>
        <w:t>Purchase Agreement and Financing</w:t>
      </w:r>
    </w:p>
    <w:p w:rsidR="00481A9A" w:rsidRPr="00481A9A" w:rsidRDefault="00481A9A" w:rsidP="00042B72">
      <w:pPr>
        <w:spacing w:after="240"/>
        <w:ind w:firstLine="720"/>
        <w:jc w:val="both"/>
      </w:pPr>
      <w:r w:rsidRPr="00481A9A">
        <w:t>Pursuant to Rules 25-30.037(2)(i) and (j), F.A.C., the application must contain a statement regarding financing and a copy of the Purchase Agreement, which includes the purchase price, terms of payment, and a list of the assets purchased. According to the application, Dirk and Donna Leeward own 100 percent of B</w:t>
      </w:r>
      <w:r w:rsidR="00DD44E9">
        <w:t xml:space="preserve">rick City Management, LLC (BCM), </w:t>
      </w:r>
      <w:r w:rsidRPr="00481A9A">
        <w:t xml:space="preserve">which manages and owns 100 percent of SOU. According to the application and subsequently filed support documents, on July 19, 2012, Mr. Leeward purchased, at a discount, an outstanding note from BBVA Compass Bank (Compass Bank) that County-Wide owed to Compass Bank. The note was comprised of principal, accrued interest, costs, and fees totaling $1,067,747. </w:t>
      </w:r>
      <w:r w:rsidR="00042B72">
        <w:t>However, t</w:t>
      </w:r>
      <w:r w:rsidRPr="00481A9A">
        <w:t xml:space="preserve">he amount Mr. Leeward paid for the note is unknown. After purchasing the note, Mr. Leeward foreclosed on County-Wide on March 4, 2013. On April 8, 2013, Mr. Leeward acquired </w:t>
      </w:r>
      <w:r w:rsidRPr="00481A9A">
        <w:lastRenderedPageBreak/>
        <w:t>the Utility assets at a public foreclosure auction for a total of $301, which was comprised of the winning bid amount and associated documentary stamps. On January 1, 2014, the assets were transferred to SOU.</w:t>
      </w:r>
      <w:r w:rsidR="00042B72">
        <w:t xml:space="preserve"> </w:t>
      </w:r>
      <w:r w:rsidR="00012BFB">
        <w:t xml:space="preserve">Commission </w:t>
      </w:r>
      <w:r w:rsidRPr="00481A9A">
        <w:t>Staff made several attempts to obtain the purchase price of the note, including stating that the information could be filed under a confidential request, but the Buyer did not provide the requested information.</w:t>
      </w:r>
    </w:p>
    <w:p w:rsidR="00012BFB" w:rsidRPr="00042B72" w:rsidRDefault="004514BA" w:rsidP="00042B72">
      <w:pPr>
        <w:ind w:firstLine="720"/>
        <w:jc w:val="both"/>
      </w:pPr>
      <w:r>
        <w:t xml:space="preserve">On November 19, 2015, the Buyer submitted a letter stating that the Buyer is unable to provide information regarding the amount paid to acquire the mortgage note from the bank because there is a non-disclosure and confidentiality agreement attached to the transaction between the Buyer and Compass Bank. The Buyer contends that the purchase price cannot be provided without violating the non-disclosure agreement with the bank. On May 17, 2017, the Buyer provided a signed affidavit stating that the mortgage and note on the assets were acquired </w:t>
      </w:r>
      <w:r w:rsidRPr="001105F8">
        <w:t>for a dollar amount in excess of 80</w:t>
      </w:r>
      <w:r w:rsidR="00042B72">
        <w:t xml:space="preserve"> percent of the net book value of </w:t>
      </w:r>
      <w:r w:rsidRPr="001105F8">
        <w:t>$79,051, as of January 1, 2014</w:t>
      </w:r>
      <w:r w:rsidR="00042B72">
        <w:t xml:space="preserve">, the netbook value of which was identified in the Commission staff audit. </w:t>
      </w:r>
      <w:r w:rsidRPr="001105F8">
        <w:rPr>
          <w:bCs/>
        </w:rPr>
        <w:t xml:space="preserve">On June 30, 2017, the Buyer informed </w:t>
      </w:r>
      <w:r w:rsidR="00012BFB" w:rsidRPr="001105F8">
        <w:rPr>
          <w:bCs/>
        </w:rPr>
        <w:t xml:space="preserve">Commission </w:t>
      </w:r>
      <w:r w:rsidRPr="001105F8">
        <w:rPr>
          <w:bCs/>
        </w:rPr>
        <w:t>staff</w:t>
      </w:r>
      <w:r w:rsidRPr="001105F8">
        <w:rPr>
          <w:bCs/>
          <w:color w:val="1F497D"/>
        </w:rPr>
        <w:t xml:space="preserve"> </w:t>
      </w:r>
      <w:r w:rsidRPr="001105F8">
        <w:rPr>
          <w:bCs/>
        </w:rPr>
        <w:t xml:space="preserve">that an adjustment was necessary to correct the amount of contributions in aid of construction (CIAC) contained in </w:t>
      </w:r>
      <w:r w:rsidR="00012BFB" w:rsidRPr="001105F8">
        <w:rPr>
          <w:bCs/>
        </w:rPr>
        <w:t>Commission staff’s recommendation. Commission staff agreed</w:t>
      </w:r>
      <w:r w:rsidRPr="001105F8">
        <w:rPr>
          <w:bCs/>
        </w:rPr>
        <w:t xml:space="preserve"> that CIAC should be reduced along with the associated accumulated amortization (AA) of the CIAC. As the correction to the balance of CIAC and AA of the CIAC increases the net book value from $79,051 to $90,065, a revised affidavit needed to be obtained from the Buyer. On July 11, 2017, the Buyer submitted an updated affidavit attesting he paid in excess of 80 percent of the </w:t>
      </w:r>
      <w:r w:rsidR="00042B72">
        <w:rPr>
          <w:bCs/>
        </w:rPr>
        <w:t xml:space="preserve">Commission staff </w:t>
      </w:r>
      <w:r w:rsidRPr="001105F8">
        <w:rPr>
          <w:bCs/>
        </w:rPr>
        <w:t>recalculated net book value of $90,065.</w:t>
      </w:r>
      <w:r w:rsidRPr="001105F8">
        <w:t xml:space="preserve"> </w:t>
      </w:r>
    </w:p>
    <w:p w:rsidR="00012BFB" w:rsidRDefault="00012BFB" w:rsidP="00012BFB">
      <w:pPr>
        <w:ind w:firstLine="720"/>
        <w:jc w:val="both"/>
      </w:pPr>
    </w:p>
    <w:p w:rsidR="00007784" w:rsidRDefault="00012BFB" w:rsidP="00007784">
      <w:pPr>
        <w:spacing w:after="240"/>
        <w:ind w:firstLine="720"/>
        <w:jc w:val="both"/>
      </w:pPr>
      <w:r w:rsidRPr="00481A9A">
        <w:t>According to the application, there are no customer deposits, guaranteed revenue contracts, developer agreements, customer advances, or leases of County-Wide that must be disposed of with regard to the transfer.</w:t>
      </w:r>
    </w:p>
    <w:p w:rsidR="00481A9A" w:rsidRPr="00481A9A" w:rsidRDefault="00481A9A" w:rsidP="00481A9A">
      <w:pPr>
        <w:spacing w:after="240"/>
        <w:ind w:firstLine="720"/>
        <w:jc w:val="both"/>
        <w:rPr>
          <w:b/>
        </w:rPr>
      </w:pPr>
      <w:r w:rsidRPr="00481A9A">
        <w:rPr>
          <w:b/>
        </w:rPr>
        <w:t>Facility Description and Compliance</w:t>
      </w:r>
    </w:p>
    <w:p w:rsidR="009A745E" w:rsidRDefault="001105F8" w:rsidP="00DD44E9">
      <w:pPr>
        <w:spacing w:after="240"/>
        <w:ind w:firstLine="720"/>
        <w:jc w:val="both"/>
      </w:pPr>
      <w:r>
        <w:t>Utility</w:t>
      </w:r>
      <w:r w:rsidR="00481A9A" w:rsidRPr="00481A9A">
        <w:t>’s water system is a consecutive system composed of water mains, as listed in Table 1 below, and nine fire hydrants. A consecutive system provides treated water purchased from another entity. On June 15, 2016, the Florida Department of Environmental Protection (DEP) conducted a Sanitary Survey. During DEP’s inspection, it found that the Utility had neither a cross-connection control program in place, nor a cross-connection control plan on file. The Utility corrected these deficiencies on July 13, 2016. The report issued on July 26, 2016, stated that the Utility was in compliance with its rules and regulations.</w:t>
      </w:r>
    </w:p>
    <w:p w:rsidR="007D6EF7" w:rsidRDefault="009A745E" w:rsidP="002158E5">
      <w:r>
        <w:br w:type="page"/>
      </w:r>
    </w:p>
    <w:tbl>
      <w:tblPr>
        <w:tblW w:w="9375" w:type="dxa"/>
        <w:tblInd w:w="93" w:type="dxa"/>
        <w:tblLook w:val="04A0" w:firstRow="1" w:lastRow="0" w:firstColumn="1" w:lastColumn="0" w:noHBand="0" w:noVBand="1"/>
      </w:tblPr>
      <w:tblGrid>
        <w:gridCol w:w="1905"/>
        <w:gridCol w:w="3960"/>
        <w:gridCol w:w="3510"/>
      </w:tblGrid>
      <w:tr w:rsidR="00481A9A" w:rsidRPr="000C52D6" w:rsidTr="0053475F">
        <w:trPr>
          <w:trHeight w:val="315"/>
        </w:trPr>
        <w:tc>
          <w:tcPr>
            <w:tcW w:w="9375" w:type="dxa"/>
            <w:gridSpan w:val="3"/>
            <w:tcBorders>
              <w:top w:val="nil"/>
              <w:left w:val="nil"/>
              <w:bottom w:val="nil"/>
              <w:right w:val="nil"/>
            </w:tcBorders>
            <w:shd w:val="clear" w:color="auto" w:fill="auto"/>
            <w:noWrap/>
            <w:vAlign w:val="bottom"/>
            <w:hideMark/>
          </w:tcPr>
          <w:p w:rsidR="00481A9A" w:rsidRPr="00481A9A" w:rsidRDefault="00481A9A" w:rsidP="00481A9A">
            <w:pPr>
              <w:jc w:val="center"/>
              <w:rPr>
                <w:b/>
                <w:bCs/>
                <w:color w:val="000000"/>
              </w:rPr>
            </w:pPr>
            <w:r w:rsidRPr="00481A9A">
              <w:rPr>
                <w:b/>
                <w:bCs/>
                <w:color w:val="000000"/>
              </w:rPr>
              <w:lastRenderedPageBreak/>
              <w:t>Table 1</w:t>
            </w:r>
          </w:p>
        </w:tc>
      </w:tr>
      <w:tr w:rsidR="00481A9A" w:rsidRPr="000C52D6" w:rsidTr="0053475F">
        <w:trPr>
          <w:trHeight w:val="315"/>
        </w:trPr>
        <w:tc>
          <w:tcPr>
            <w:tcW w:w="9375" w:type="dxa"/>
            <w:gridSpan w:val="3"/>
            <w:tcBorders>
              <w:top w:val="nil"/>
              <w:left w:val="nil"/>
              <w:bottom w:val="nil"/>
              <w:right w:val="nil"/>
            </w:tcBorders>
            <w:shd w:val="clear" w:color="auto" w:fill="auto"/>
            <w:noWrap/>
            <w:vAlign w:val="bottom"/>
            <w:hideMark/>
          </w:tcPr>
          <w:p w:rsidR="00481A9A" w:rsidRPr="00481A9A" w:rsidRDefault="001105F8" w:rsidP="0053475F">
            <w:pPr>
              <w:jc w:val="center"/>
              <w:rPr>
                <w:b/>
                <w:bCs/>
                <w:color w:val="000000"/>
              </w:rPr>
            </w:pPr>
            <w:r>
              <w:rPr>
                <w:b/>
                <w:bCs/>
                <w:color w:val="000000"/>
              </w:rPr>
              <w:t>County-Wide</w:t>
            </w:r>
            <w:r w:rsidR="00481A9A" w:rsidRPr="00481A9A">
              <w:rPr>
                <w:b/>
                <w:bCs/>
                <w:color w:val="000000"/>
              </w:rPr>
              <w:t xml:space="preserve"> Utility</w:t>
            </w:r>
            <w:r>
              <w:rPr>
                <w:b/>
                <w:bCs/>
                <w:color w:val="000000"/>
              </w:rPr>
              <w:t xml:space="preserve"> Co.</w:t>
            </w:r>
            <w:r w:rsidR="00481A9A" w:rsidRPr="00481A9A">
              <w:rPr>
                <w:b/>
                <w:bCs/>
                <w:color w:val="000000"/>
              </w:rPr>
              <w:t>, Inc. Water Mains</w:t>
            </w:r>
          </w:p>
        </w:tc>
      </w:tr>
      <w:tr w:rsidR="00481A9A" w:rsidRPr="000C52D6" w:rsidTr="0053475F">
        <w:trPr>
          <w:trHeight w:val="315"/>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Material</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Diameter Pipe (inches)</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Length (linear feet)</w:t>
            </w:r>
          </w:p>
        </w:tc>
      </w:tr>
      <w:tr w:rsidR="00481A9A" w:rsidRPr="000C52D6" w:rsidTr="0053475F">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1</w:t>
            </w:r>
          </w:p>
        </w:tc>
        <w:tc>
          <w:tcPr>
            <w:tcW w:w="351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100</w:t>
            </w:r>
          </w:p>
        </w:tc>
      </w:tr>
      <w:tr w:rsidR="00481A9A" w:rsidRPr="000C52D6" w:rsidTr="0053475F">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2</w:t>
            </w:r>
          </w:p>
        </w:tc>
        <w:tc>
          <w:tcPr>
            <w:tcW w:w="351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5,630</w:t>
            </w:r>
          </w:p>
        </w:tc>
      </w:tr>
      <w:tr w:rsidR="00481A9A" w:rsidRPr="000C52D6" w:rsidTr="0053475F">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2 1/2</w:t>
            </w:r>
          </w:p>
        </w:tc>
        <w:tc>
          <w:tcPr>
            <w:tcW w:w="351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4,300</w:t>
            </w:r>
          </w:p>
        </w:tc>
      </w:tr>
      <w:tr w:rsidR="00481A9A" w:rsidRPr="000C52D6" w:rsidTr="0053475F">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4</w:t>
            </w:r>
          </w:p>
        </w:tc>
        <w:tc>
          <w:tcPr>
            <w:tcW w:w="351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4,360</w:t>
            </w:r>
          </w:p>
        </w:tc>
      </w:tr>
      <w:tr w:rsidR="00481A9A" w:rsidRPr="000C52D6" w:rsidTr="0053475F">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6</w:t>
            </w:r>
          </w:p>
        </w:tc>
        <w:tc>
          <w:tcPr>
            <w:tcW w:w="351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750</w:t>
            </w:r>
          </w:p>
        </w:tc>
      </w:tr>
      <w:tr w:rsidR="00481A9A" w:rsidRPr="000C52D6" w:rsidTr="0053475F">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8</w:t>
            </w:r>
          </w:p>
        </w:tc>
        <w:tc>
          <w:tcPr>
            <w:tcW w:w="351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750</w:t>
            </w:r>
          </w:p>
        </w:tc>
      </w:tr>
      <w:tr w:rsidR="00481A9A" w:rsidRPr="000C52D6" w:rsidTr="0053475F">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12</w:t>
            </w:r>
          </w:p>
        </w:tc>
        <w:tc>
          <w:tcPr>
            <w:tcW w:w="3510" w:type="dxa"/>
            <w:tcBorders>
              <w:top w:val="nil"/>
              <w:left w:val="nil"/>
              <w:bottom w:val="single" w:sz="4" w:space="0" w:color="auto"/>
              <w:right w:val="single" w:sz="4" w:space="0" w:color="auto"/>
            </w:tcBorders>
            <w:shd w:val="clear" w:color="auto" w:fill="auto"/>
            <w:noWrap/>
            <w:vAlign w:val="bottom"/>
            <w:hideMark/>
          </w:tcPr>
          <w:p w:rsidR="00481A9A" w:rsidRPr="000C52D6" w:rsidRDefault="00481A9A" w:rsidP="0053475F">
            <w:pPr>
              <w:jc w:val="center"/>
              <w:rPr>
                <w:color w:val="000000"/>
              </w:rPr>
            </w:pPr>
            <w:r w:rsidRPr="000C52D6">
              <w:rPr>
                <w:color w:val="000000"/>
              </w:rPr>
              <w:t>100</w:t>
            </w:r>
          </w:p>
        </w:tc>
      </w:tr>
      <w:tr w:rsidR="00481A9A" w:rsidRPr="000C52D6" w:rsidTr="0053475F">
        <w:trPr>
          <w:trHeight w:val="300"/>
        </w:trPr>
        <w:tc>
          <w:tcPr>
            <w:tcW w:w="9375" w:type="dxa"/>
            <w:gridSpan w:val="3"/>
            <w:tcBorders>
              <w:top w:val="nil"/>
              <w:left w:val="nil"/>
              <w:bottom w:val="nil"/>
              <w:right w:val="nil"/>
            </w:tcBorders>
            <w:shd w:val="clear" w:color="auto" w:fill="auto"/>
            <w:noWrap/>
            <w:vAlign w:val="bottom"/>
            <w:hideMark/>
          </w:tcPr>
          <w:p w:rsidR="00481A9A" w:rsidRPr="00233896" w:rsidRDefault="00481A9A" w:rsidP="0053475F">
            <w:pPr>
              <w:rPr>
                <w:color w:val="000000"/>
                <w:sz w:val="22"/>
              </w:rPr>
            </w:pPr>
            <w:r w:rsidRPr="00233896">
              <w:rPr>
                <w:color w:val="000000"/>
                <w:sz w:val="22"/>
              </w:rPr>
              <w:t>Source: County-Wide Utility Co., Inc. 2014 Annual Report</w:t>
            </w:r>
          </w:p>
        </w:tc>
      </w:tr>
    </w:tbl>
    <w:p w:rsidR="009A745E" w:rsidRDefault="009A745E" w:rsidP="00481A9A">
      <w:pPr>
        <w:spacing w:after="240"/>
        <w:ind w:firstLine="720"/>
        <w:jc w:val="both"/>
        <w:rPr>
          <w:b/>
        </w:rPr>
      </w:pPr>
    </w:p>
    <w:p w:rsidR="00481A9A" w:rsidRPr="00481A9A" w:rsidRDefault="00481A9A" w:rsidP="00481A9A">
      <w:pPr>
        <w:spacing w:after="240"/>
        <w:ind w:firstLine="720"/>
        <w:jc w:val="both"/>
        <w:rPr>
          <w:b/>
        </w:rPr>
      </w:pPr>
      <w:r w:rsidRPr="00481A9A">
        <w:rPr>
          <w:b/>
        </w:rPr>
        <w:t>Technical and Financial Ability</w:t>
      </w:r>
    </w:p>
    <w:p w:rsidR="00481A9A" w:rsidRPr="00481A9A" w:rsidRDefault="00481A9A" w:rsidP="00481A9A">
      <w:pPr>
        <w:spacing w:after="240"/>
        <w:ind w:firstLine="720"/>
        <w:jc w:val="both"/>
      </w:pPr>
      <w:r w:rsidRPr="00481A9A">
        <w:t xml:space="preserve">Pursuant to Rules 25-30.037(1)(l) and (m), F.A.C., the application contains statements describing the technical and financial ability of the applicant to provide service to the proposed service area. According to the application, Mr. Leeward has been the general manager of County-Wide since 1986 and has extensive knowledge of the operations and management of the system. As referenced in the transfer application, SOU will fulfill the commitments, obligations and representations of the Seller with regards to utility matters. </w:t>
      </w:r>
    </w:p>
    <w:p w:rsidR="00481A9A" w:rsidRPr="00481A9A" w:rsidRDefault="00012BFB" w:rsidP="00481A9A">
      <w:pPr>
        <w:spacing w:after="240"/>
        <w:ind w:firstLine="720"/>
        <w:jc w:val="both"/>
      </w:pPr>
      <w:r>
        <w:t xml:space="preserve">We </w:t>
      </w:r>
      <w:r w:rsidR="00481A9A" w:rsidRPr="00481A9A">
        <w:t>reviewed the financial statements of BCM, the sole manager and owner of SOU. According to the application, BCM has provided working capital funding to the Utility and will ensure the availability of any necessary funds for future capital needs. Based on the above, SOU has demonstrated the technical and financial ability to provide service to the existing service territory.</w:t>
      </w:r>
    </w:p>
    <w:p w:rsidR="00481A9A" w:rsidRPr="00481A9A" w:rsidRDefault="00481A9A" w:rsidP="00481A9A">
      <w:pPr>
        <w:spacing w:after="240"/>
        <w:ind w:firstLine="720"/>
        <w:jc w:val="both"/>
        <w:rPr>
          <w:b/>
        </w:rPr>
      </w:pPr>
      <w:r w:rsidRPr="00481A9A">
        <w:rPr>
          <w:b/>
        </w:rPr>
        <w:t xml:space="preserve">Rates and Charges </w:t>
      </w:r>
    </w:p>
    <w:p w:rsidR="00481A9A" w:rsidRPr="00481A9A" w:rsidRDefault="00481A9A" w:rsidP="00481A9A">
      <w:pPr>
        <w:spacing w:after="240"/>
        <w:ind w:firstLine="720"/>
        <w:jc w:val="both"/>
      </w:pPr>
      <w:r w:rsidRPr="00481A9A">
        <w:t>The Utility’s rates and charges were last approved in 2007 pursuant to its 2005 SARC.</w:t>
      </w:r>
      <w:r w:rsidRPr="00481A9A">
        <w:rPr>
          <w:vertAlign w:val="superscript"/>
        </w:rPr>
        <w:footnoteReference w:id="4"/>
      </w:r>
      <w:r w:rsidRPr="00481A9A">
        <w:t xml:space="preserve"> The rates were subsequently amended to reflect a four-year rate reduction required by Section 367.0816, F.S., in 2011, and numerous price indexes. The Utility’s existing rates are shown on Schedule No. 1. Rule 25-9.044(1), F.A.C., provides that, in the case of a change of ownership or control of a utility, the rates, classifications, and regulations of the former owner must continue unless authorized to change by this Commission. Therefore, </w:t>
      </w:r>
      <w:r w:rsidR="00012BFB">
        <w:t>we find</w:t>
      </w:r>
      <w:r w:rsidRPr="00481A9A">
        <w:t xml:space="preserve"> that the Utility’s existing rates and charges </w:t>
      </w:r>
      <w:r w:rsidR="00012BFB">
        <w:t xml:space="preserve">shall </w:t>
      </w:r>
      <w:r w:rsidRPr="00481A9A">
        <w:t>remain in effect until a change is authorized by this Commission in a subsequent proceeding.</w:t>
      </w:r>
    </w:p>
    <w:p w:rsidR="002158E5" w:rsidRDefault="002158E5" w:rsidP="00481A9A">
      <w:pPr>
        <w:spacing w:after="240"/>
        <w:ind w:firstLine="720"/>
        <w:jc w:val="both"/>
        <w:rPr>
          <w:b/>
        </w:rPr>
      </w:pPr>
    </w:p>
    <w:p w:rsidR="00481A9A" w:rsidRPr="00481A9A" w:rsidRDefault="00042B72" w:rsidP="00481A9A">
      <w:pPr>
        <w:spacing w:after="240"/>
        <w:ind w:firstLine="720"/>
        <w:jc w:val="both"/>
        <w:rPr>
          <w:b/>
        </w:rPr>
      </w:pPr>
      <w:r w:rsidRPr="00481A9A">
        <w:rPr>
          <w:b/>
        </w:rPr>
        <w:lastRenderedPageBreak/>
        <w:t xml:space="preserve">Annual Reports and </w:t>
      </w:r>
      <w:r w:rsidR="00481A9A" w:rsidRPr="00481A9A">
        <w:rPr>
          <w:b/>
        </w:rPr>
        <w:t xml:space="preserve">Regulatory Assessment Fees (RAFs) </w:t>
      </w:r>
    </w:p>
    <w:p w:rsidR="00481A9A" w:rsidRPr="00481A9A" w:rsidRDefault="00012BFB" w:rsidP="00481A9A">
      <w:pPr>
        <w:spacing w:after="240"/>
        <w:ind w:firstLine="720"/>
        <w:jc w:val="both"/>
      </w:pPr>
      <w:r>
        <w:t>We have</w:t>
      </w:r>
      <w:r w:rsidR="00481A9A" w:rsidRPr="00481A9A">
        <w:t xml:space="preserve"> verified that the annual reports have been filed through December 31, 2014, and RAFs have been paid through December 31, 2016. The 2015 and 2016 Annual Reports have not been filed. SOU will be responsible for filing the Utility’s annual reports and paying RAFs for all future years.</w:t>
      </w:r>
    </w:p>
    <w:p w:rsidR="00481A9A" w:rsidRPr="00481A9A" w:rsidRDefault="00481A9A" w:rsidP="00481A9A">
      <w:pPr>
        <w:spacing w:after="240"/>
        <w:ind w:firstLine="720"/>
        <w:jc w:val="both"/>
        <w:rPr>
          <w:b/>
        </w:rPr>
      </w:pPr>
      <w:r w:rsidRPr="00481A9A">
        <w:rPr>
          <w:b/>
        </w:rPr>
        <w:t>Conclusion</w:t>
      </w:r>
    </w:p>
    <w:p w:rsidR="00007784" w:rsidRDefault="00007784" w:rsidP="00E874AF">
      <w:pPr>
        <w:spacing w:after="240"/>
        <w:ind w:firstLine="720"/>
        <w:jc w:val="both"/>
      </w:pPr>
      <w:r w:rsidRPr="00AA2075">
        <w:t xml:space="preserve">The Utility has provided information regarding the transfer of County-Wide’s water system and the transfer of Certificate No. 390-W to SOU that is necessary for us to make a determination that the transfer is in the public interest and shall be approved effective the date of our vote. </w:t>
      </w:r>
      <w:r w:rsidR="00B6542B" w:rsidRPr="00AA2075">
        <w:t xml:space="preserve">The resultant order </w:t>
      </w:r>
      <w:r w:rsidR="00E874AF" w:rsidRPr="00AA2075">
        <w:t>shall</w:t>
      </w:r>
      <w:r w:rsidR="00B6542B" w:rsidRPr="00AA2075">
        <w:t xml:space="preserve"> serve as SOU’s certificate and </w:t>
      </w:r>
      <w:r w:rsidR="00E874AF" w:rsidRPr="00AA2075">
        <w:t>shall</w:t>
      </w:r>
      <w:r w:rsidR="00B6542B" w:rsidRPr="00AA2075">
        <w:t xml:space="preserve"> be retained by the Utility. The existing rates and charges </w:t>
      </w:r>
      <w:r w:rsidR="00E874AF" w:rsidRPr="00AA2075">
        <w:t>shall</w:t>
      </w:r>
      <w:r w:rsidR="00B6542B" w:rsidRPr="00AA2075">
        <w:t xml:space="preserve"> remain in effect until a change is authorized by</w:t>
      </w:r>
      <w:r w:rsidR="00E874AF" w:rsidRPr="00AA2075">
        <w:t xml:space="preserve"> this</w:t>
      </w:r>
      <w:r w:rsidR="00B6542B" w:rsidRPr="00AA2075">
        <w:t xml:space="preserve"> </w:t>
      </w:r>
      <w:r w:rsidR="00B6542B" w:rsidRPr="00481A9A">
        <w:t>Commission in a subsequent proceeding. The tariffs reflecting the transfer s</w:t>
      </w:r>
      <w:r w:rsidR="00E874AF">
        <w:t>hall</w:t>
      </w:r>
      <w:r w:rsidR="00B6542B" w:rsidRPr="00481A9A">
        <w:t xml:space="preserve"> be effective for services rendered or connections made on or after the stamped approval date on the tariffs pursuant to Rule 25-30.475, F.A.C. SOU sh</w:t>
      </w:r>
      <w:r w:rsidR="00E874AF">
        <w:t>all</w:t>
      </w:r>
      <w:r w:rsidR="00B6542B" w:rsidRPr="00481A9A">
        <w:t xml:space="preserve"> be responsible for filing the Utility’s 2015 and 2016 annual reports and all future annual reports. RAFs have been paid through December 31, 2016. SOU s</w:t>
      </w:r>
      <w:r w:rsidR="00E874AF">
        <w:t>hall</w:t>
      </w:r>
      <w:r w:rsidR="00B6542B" w:rsidRPr="00481A9A">
        <w:t xml:space="preserve"> be responsible for all future RAFs.</w:t>
      </w:r>
    </w:p>
    <w:p w:rsidR="00E874AF" w:rsidRDefault="00B6542B" w:rsidP="00042B72">
      <w:pPr>
        <w:spacing w:after="240"/>
        <w:ind w:firstLine="720"/>
        <w:jc w:val="both"/>
      </w:pPr>
      <w:r>
        <w:t xml:space="preserve">We recognize that the Buyer provided an affidavit attesting he paid in excess of 80 percent of the recalculated net book value of $90,065. </w:t>
      </w:r>
      <w:r w:rsidR="00E874AF">
        <w:t>While the affidavit was provided, this Commission did not rely upon it or use it</w:t>
      </w:r>
      <w:r w:rsidR="00DD44E9">
        <w:t xml:space="preserve"> and</w:t>
      </w:r>
      <w:r w:rsidR="00E874AF">
        <w:t xml:space="preserve"> ultimately, </w:t>
      </w:r>
      <w:r w:rsidR="00042B72">
        <w:t xml:space="preserve">declined to make a determination as to the </w:t>
      </w:r>
      <w:r w:rsidR="00E874AF">
        <w:t>net book value and the acquisition adjustment</w:t>
      </w:r>
      <w:r w:rsidR="00042B72">
        <w:t xml:space="preserve"> at this time</w:t>
      </w:r>
      <w:r w:rsidR="00E874AF">
        <w:t xml:space="preserve">. Therefore, the matter shall be taken up at the next rate proceeding for this Utility. </w:t>
      </w:r>
    </w:p>
    <w:p w:rsidR="00481A9A" w:rsidRDefault="00481A9A" w:rsidP="00481A9A">
      <w:pPr>
        <w:pStyle w:val="OrderBody"/>
      </w:pPr>
      <w:r>
        <w:tab/>
        <w:t>Based on the foregoing, it is</w:t>
      </w:r>
    </w:p>
    <w:p w:rsidR="00481A9A" w:rsidRDefault="00481A9A" w:rsidP="00481A9A">
      <w:pPr>
        <w:pStyle w:val="OrderBody"/>
      </w:pPr>
    </w:p>
    <w:p w:rsidR="00481A9A" w:rsidRDefault="00481A9A" w:rsidP="00481A9A">
      <w:pPr>
        <w:pStyle w:val="OrderBody"/>
      </w:pPr>
      <w:r>
        <w:tab/>
        <w:t>ORDERED by the Florida Public Service Commission that</w:t>
      </w:r>
      <w:r w:rsidR="0069201B">
        <w:t xml:space="preserve"> the application for approval of transfer of County-Wide Utility Co., Inc.’s water system and Certificate No. 390-W to Southwest Ocala Utility, Inc., is in the public interest and approved effective July 13, 2017. The transferred territory is described </w:t>
      </w:r>
      <w:r w:rsidR="00967596">
        <w:t>in Attachment A. This Order shall serve as Southwest Ocala Utility, Inc.’s certificate and shall be retained. The tariffs reflecting the transfer shall be effective for</w:t>
      </w:r>
      <w:r w:rsidR="00967596" w:rsidRPr="00481A9A">
        <w:t xml:space="preserve"> services rendered or connections made on or after the stamped approval date on the tariffs pursuant to Rule 25-30.475, F.A.C.</w:t>
      </w:r>
      <w:r w:rsidR="00967596">
        <w:t xml:space="preserve"> It is further</w:t>
      </w:r>
    </w:p>
    <w:p w:rsidR="00967596" w:rsidRDefault="00967596" w:rsidP="00481A9A">
      <w:pPr>
        <w:pStyle w:val="OrderBody"/>
      </w:pPr>
    </w:p>
    <w:p w:rsidR="00967596" w:rsidRDefault="00967596" w:rsidP="00481A9A">
      <w:pPr>
        <w:pStyle w:val="OrderBody"/>
      </w:pPr>
      <w:r>
        <w:tab/>
        <w:t>ORDERED that the existing rates and charges shall remain in effect until a change is authorized by this Commission in a subsequent proceeding. It is further</w:t>
      </w:r>
    </w:p>
    <w:p w:rsidR="00967596" w:rsidRDefault="00967596" w:rsidP="00481A9A">
      <w:pPr>
        <w:pStyle w:val="OrderBody"/>
      </w:pPr>
    </w:p>
    <w:p w:rsidR="00967596" w:rsidRDefault="00967596" w:rsidP="00967596">
      <w:pPr>
        <w:pStyle w:val="OrderBody"/>
      </w:pPr>
      <w:r>
        <w:tab/>
        <w:t xml:space="preserve">OREDERED that Southwest Ocala Utility, Inc. shall be responsible for filing the Utility’s 2015 and 2016 </w:t>
      </w:r>
      <w:r w:rsidR="00DD44E9">
        <w:t>A</w:t>
      </w:r>
      <w:r>
        <w:t xml:space="preserve">nnual </w:t>
      </w:r>
      <w:r w:rsidR="00DD44E9">
        <w:t>R</w:t>
      </w:r>
      <w:r>
        <w:t xml:space="preserve">eports and all future </w:t>
      </w:r>
      <w:r w:rsidR="00DD44E9">
        <w:t>A</w:t>
      </w:r>
      <w:r>
        <w:t xml:space="preserve">nnual </w:t>
      </w:r>
      <w:r w:rsidR="00DD44E9">
        <w:t>R</w:t>
      </w:r>
      <w:r>
        <w:t>eports.</w:t>
      </w:r>
      <w:r w:rsidR="00DD44E9">
        <w:t xml:space="preserve"> </w:t>
      </w:r>
      <w:r w:rsidRPr="00481A9A">
        <w:t xml:space="preserve">RAFs have been paid through December 31, 2016. </w:t>
      </w:r>
      <w:r w:rsidR="00042B72">
        <w:t xml:space="preserve">Southwest Ocala Utility, Inc. </w:t>
      </w:r>
      <w:r w:rsidRPr="00481A9A">
        <w:t>s</w:t>
      </w:r>
      <w:r>
        <w:t>hall</w:t>
      </w:r>
      <w:r w:rsidRPr="00481A9A">
        <w:t xml:space="preserve"> be responsible for </w:t>
      </w:r>
      <w:r w:rsidR="00DD44E9">
        <w:t xml:space="preserve">paying </w:t>
      </w:r>
      <w:r w:rsidRPr="00481A9A">
        <w:t>all future RAFs.</w:t>
      </w:r>
      <w:r w:rsidR="00DD44E9">
        <w:t xml:space="preserve"> It is further</w:t>
      </w:r>
    </w:p>
    <w:p w:rsidR="00DD44E9" w:rsidRDefault="00DD44E9" w:rsidP="00967596">
      <w:pPr>
        <w:pStyle w:val="OrderBody"/>
      </w:pPr>
    </w:p>
    <w:p w:rsidR="00042B72" w:rsidRDefault="00DD44E9" w:rsidP="00042B72">
      <w:pPr>
        <w:spacing w:after="240"/>
        <w:ind w:firstLine="720"/>
        <w:jc w:val="both"/>
      </w:pPr>
      <w:r>
        <w:lastRenderedPageBreak/>
        <w:t xml:space="preserve">OREDERED that this Commission </w:t>
      </w:r>
      <w:r w:rsidR="00042B72">
        <w:t xml:space="preserve">declined to make a determination as to the net book value and the acquisition adjustment at this time and we find that the matter shall be taken up at the next rate proceeding for this Utility. </w:t>
      </w:r>
    </w:p>
    <w:p w:rsidR="00895D4B" w:rsidRDefault="00895D4B" w:rsidP="00967596">
      <w:pPr>
        <w:pStyle w:val="OrderBody"/>
      </w:pPr>
      <w:r>
        <w:tab/>
        <w:t xml:space="preserve">ORDERED that this docket shall be closed. </w:t>
      </w:r>
    </w:p>
    <w:p w:rsidR="00713980" w:rsidRDefault="00895D4B" w:rsidP="00481A9A">
      <w:pPr>
        <w:pStyle w:val="OrderBody"/>
      </w:pPr>
      <w:r>
        <w:tab/>
      </w:r>
      <w:r>
        <w:tab/>
      </w:r>
      <w:r>
        <w:tab/>
      </w:r>
    </w:p>
    <w:p w:rsidR="00481A9A" w:rsidRDefault="00481A9A" w:rsidP="00331475">
      <w:pPr>
        <w:pStyle w:val="OrderBody"/>
      </w:pPr>
      <w:r>
        <w:tab/>
        <w:t xml:space="preserve">By ORDER of the Florida Public Service Commission this </w:t>
      </w:r>
      <w:bookmarkStart w:id="7" w:name="replaceDate"/>
      <w:bookmarkEnd w:id="7"/>
      <w:r w:rsidR="00331475">
        <w:rPr>
          <w:u w:val="single"/>
        </w:rPr>
        <w:t>7th</w:t>
      </w:r>
      <w:r w:rsidR="00331475">
        <w:t xml:space="preserve"> day of </w:t>
      </w:r>
      <w:r w:rsidR="00331475">
        <w:rPr>
          <w:u w:val="single"/>
        </w:rPr>
        <w:t>August</w:t>
      </w:r>
      <w:r w:rsidR="00331475">
        <w:t xml:space="preserve">, </w:t>
      </w:r>
      <w:r w:rsidR="00331475">
        <w:rPr>
          <w:u w:val="single"/>
        </w:rPr>
        <w:t>2017</w:t>
      </w:r>
      <w:r w:rsidR="00331475">
        <w:t>.</w:t>
      </w:r>
    </w:p>
    <w:p w:rsidR="00331475" w:rsidRPr="00331475" w:rsidRDefault="00331475" w:rsidP="00331475">
      <w:pPr>
        <w:pStyle w:val="OrderBody"/>
      </w:pPr>
    </w:p>
    <w:p w:rsidR="00481A9A" w:rsidRDefault="00481A9A" w:rsidP="00481A9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81A9A" w:rsidTr="00481A9A">
        <w:tc>
          <w:tcPr>
            <w:tcW w:w="720" w:type="dxa"/>
            <w:shd w:val="clear" w:color="auto" w:fill="auto"/>
          </w:tcPr>
          <w:p w:rsidR="00481A9A" w:rsidRDefault="00481A9A" w:rsidP="00481A9A">
            <w:pPr>
              <w:pStyle w:val="OrderBody"/>
              <w:keepNext/>
              <w:keepLines/>
            </w:pPr>
            <w:bookmarkStart w:id="8" w:name="bkmrkSignature" w:colFirst="0" w:colLast="0"/>
          </w:p>
        </w:tc>
        <w:tc>
          <w:tcPr>
            <w:tcW w:w="4320" w:type="dxa"/>
            <w:tcBorders>
              <w:bottom w:val="single" w:sz="4" w:space="0" w:color="auto"/>
            </w:tcBorders>
            <w:shd w:val="clear" w:color="auto" w:fill="auto"/>
          </w:tcPr>
          <w:p w:rsidR="00481A9A" w:rsidRDefault="00331475" w:rsidP="00481A9A">
            <w:pPr>
              <w:pStyle w:val="OrderBody"/>
              <w:keepNext/>
              <w:keepLines/>
            </w:pPr>
            <w:r>
              <w:t>/s/ Carlotta S. Stauffer</w:t>
            </w:r>
          </w:p>
        </w:tc>
      </w:tr>
      <w:bookmarkEnd w:id="8"/>
      <w:tr w:rsidR="00481A9A" w:rsidTr="00481A9A">
        <w:tc>
          <w:tcPr>
            <w:tcW w:w="720" w:type="dxa"/>
            <w:shd w:val="clear" w:color="auto" w:fill="auto"/>
          </w:tcPr>
          <w:p w:rsidR="00481A9A" w:rsidRDefault="00481A9A" w:rsidP="00481A9A">
            <w:pPr>
              <w:pStyle w:val="OrderBody"/>
              <w:keepNext/>
              <w:keepLines/>
            </w:pPr>
          </w:p>
        </w:tc>
        <w:tc>
          <w:tcPr>
            <w:tcW w:w="4320" w:type="dxa"/>
            <w:tcBorders>
              <w:top w:val="single" w:sz="4" w:space="0" w:color="auto"/>
            </w:tcBorders>
            <w:shd w:val="clear" w:color="auto" w:fill="auto"/>
          </w:tcPr>
          <w:p w:rsidR="00481A9A" w:rsidRDefault="00481A9A" w:rsidP="00481A9A">
            <w:pPr>
              <w:pStyle w:val="OrderBody"/>
              <w:keepNext/>
              <w:keepLines/>
            </w:pPr>
            <w:r>
              <w:t>CARLOTTA S. STAUFFER</w:t>
            </w:r>
          </w:p>
          <w:p w:rsidR="00481A9A" w:rsidRDefault="00481A9A" w:rsidP="00481A9A">
            <w:pPr>
              <w:pStyle w:val="OrderBody"/>
              <w:keepNext/>
              <w:keepLines/>
            </w:pPr>
            <w:r>
              <w:t>Commission Clerk</w:t>
            </w:r>
          </w:p>
        </w:tc>
      </w:tr>
    </w:tbl>
    <w:p w:rsidR="00481A9A" w:rsidRDefault="00481A9A" w:rsidP="00481A9A">
      <w:pPr>
        <w:pStyle w:val="OrderSigInfo"/>
        <w:keepNext/>
        <w:keepLines/>
      </w:pPr>
      <w:r>
        <w:t>Florida Public Service Commission</w:t>
      </w:r>
    </w:p>
    <w:p w:rsidR="00481A9A" w:rsidRDefault="00481A9A" w:rsidP="00481A9A">
      <w:pPr>
        <w:pStyle w:val="OrderSigInfo"/>
        <w:keepNext/>
        <w:keepLines/>
      </w:pPr>
      <w:r>
        <w:t>2540 Shumard Oak Boulevard</w:t>
      </w:r>
    </w:p>
    <w:p w:rsidR="00481A9A" w:rsidRDefault="00481A9A" w:rsidP="00481A9A">
      <w:pPr>
        <w:pStyle w:val="OrderSigInfo"/>
        <w:keepNext/>
        <w:keepLines/>
      </w:pPr>
      <w:r>
        <w:t>Tallahassee, Florida  32399</w:t>
      </w:r>
    </w:p>
    <w:p w:rsidR="00481A9A" w:rsidRDefault="00481A9A" w:rsidP="00481A9A">
      <w:pPr>
        <w:pStyle w:val="OrderSigInfo"/>
        <w:keepNext/>
        <w:keepLines/>
      </w:pPr>
      <w:r>
        <w:t>(850) 413</w:t>
      </w:r>
      <w:r>
        <w:noBreakHyphen/>
        <w:t>6770</w:t>
      </w:r>
    </w:p>
    <w:p w:rsidR="00481A9A" w:rsidRDefault="00481A9A" w:rsidP="00481A9A">
      <w:pPr>
        <w:pStyle w:val="OrderSigInfo"/>
        <w:keepNext/>
        <w:keepLines/>
      </w:pPr>
      <w:r>
        <w:t>www.floridapsc.com</w:t>
      </w:r>
    </w:p>
    <w:p w:rsidR="00481A9A" w:rsidRDefault="00481A9A" w:rsidP="00481A9A">
      <w:pPr>
        <w:pStyle w:val="OrderSigInfo"/>
        <w:keepNext/>
        <w:keepLines/>
      </w:pPr>
    </w:p>
    <w:p w:rsidR="00481A9A" w:rsidRDefault="00481A9A" w:rsidP="00481A9A">
      <w:pPr>
        <w:pStyle w:val="OrderSigInfo"/>
        <w:keepNext/>
        <w:keepLines/>
      </w:pPr>
      <w:r>
        <w:t>Copies furnished:  A copy of this document is provided to the parties of record at the time of issuance and, if applicable, interested persons.</w:t>
      </w:r>
    </w:p>
    <w:p w:rsidR="00481A9A" w:rsidRDefault="00481A9A" w:rsidP="00481A9A">
      <w:pPr>
        <w:pStyle w:val="OrderBody"/>
        <w:keepNext/>
        <w:keepLines/>
      </w:pPr>
    </w:p>
    <w:p w:rsidR="00481A9A" w:rsidRDefault="00481A9A" w:rsidP="00481A9A">
      <w:pPr>
        <w:pStyle w:val="OrderBody"/>
        <w:keepNext/>
        <w:keepLines/>
      </w:pPr>
      <w:r>
        <w:t>DJ</w:t>
      </w:r>
    </w:p>
    <w:p w:rsidR="00481A9A" w:rsidRDefault="00481A9A" w:rsidP="00481A9A">
      <w:pPr>
        <w:pStyle w:val="OrderBody"/>
      </w:pPr>
    </w:p>
    <w:p w:rsidR="009A745E" w:rsidRDefault="009A745E" w:rsidP="009A745E">
      <w:pPr>
        <w:pStyle w:val="CenterUnderline"/>
      </w:pPr>
      <w:r>
        <w:t>NOTICE OF FURTHER PROCEEDINGS OR JUDICIAL REVIEW</w:t>
      </w:r>
    </w:p>
    <w:p w:rsidR="009A745E" w:rsidRDefault="009A745E" w:rsidP="009A745E">
      <w:pPr>
        <w:pStyle w:val="OrderBody"/>
      </w:pPr>
    </w:p>
    <w:p w:rsidR="009A745E" w:rsidRDefault="009A745E" w:rsidP="009A74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A745E" w:rsidRDefault="009A745E" w:rsidP="009A745E">
      <w:pPr>
        <w:pStyle w:val="OrderBody"/>
      </w:pPr>
    </w:p>
    <w:p w:rsidR="009A745E" w:rsidRDefault="009A745E" w:rsidP="009A745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A745E" w:rsidRPr="009A745E" w:rsidRDefault="009A745E" w:rsidP="009A745E">
      <w:pPr>
        <w:pStyle w:val="OrderBody"/>
      </w:pPr>
    </w:p>
    <w:p w:rsidR="00233FBF" w:rsidRDefault="00233FBF" w:rsidP="00481A9A">
      <w:pPr>
        <w:pStyle w:val="OrderBody"/>
        <w:sectPr w:rsidR="00233FBF">
          <w:headerReference w:type="default" r:id="rId9"/>
          <w:footerReference w:type="first" r:id="rId10"/>
          <w:pgSz w:w="12240" w:h="15840" w:code="1"/>
          <w:pgMar w:top="1440" w:right="1440" w:bottom="1440" w:left="1440" w:header="720" w:footer="720" w:gutter="0"/>
          <w:cols w:space="720"/>
          <w:titlePg/>
          <w:docGrid w:linePitch="360"/>
        </w:sectPr>
      </w:pPr>
    </w:p>
    <w:p w:rsidR="00233FBF" w:rsidRPr="00233FBF" w:rsidRDefault="00233FBF" w:rsidP="00233FBF">
      <w:pPr>
        <w:tabs>
          <w:tab w:val="left" w:pos="360"/>
          <w:tab w:val="left" w:pos="720"/>
        </w:tabs>
        <w:suppressAutoHyphens/>
        <w:overflowPunct w:val="0"/>
        <w:autoSpaceDE w:val="0"/>
        <w:autoSpaceDN w:val="0"/>
        <w:adjustRightInd w:val="0"/>
        <w:jc w:val="center"/>
        <w:rPr>
          <w:bCs/>
        </w:rPr>
      </w:pPr>
      <w:r w:rsidRPr="00233FBF">
        <w:rPr>
          <w:bCs/>
        </w:rPr>
        <w:lastRenderedPageBreak/>
        <w:t>Southwest Ocala Utility, Inc.</w:t>
      </w:r>
    </w:p>
    <w:p w:rsidR="00233FBF" w:rsidRPr="00233FBF" w:rsidRDefault="00233FBF" w:rsidP="00233FBF">
      <w:pPr>
        <w:tabs>
          <w:tab w:val="left" w:pos="360"/>
          <w:tab w:val="left" w:pos="720"/>
        </w:tabs>
        <w:suppressAutoHyphens/>
        <w:overflowPunct w:val="0"/>
        <w:autoSpaceDE w:val="0"/>
        <w:autoSpaceDN w:val="0"/>
        <w:adjustRightInd w:val="0"/>
        <w:jc w:val="center"/>
        <w:rPr>
          <w:bCs/>
        </w:rPr>
      </w:pPr>
      <w:r w:rsidRPr="00233FBF">
        <w:rPr>
          <w:bCs/>
        </w:rPr>
        <w:t>Water Territory Description</w:t>
      </w:r>
    </w:p>
    <w:p w:rsidR="00233FBF" w:rsidRPr="00233FBF" w:rsidRDefault="00233FBF" w:rsidP="00233FBF">
      <w:pPr>
        <w:tabs>
          <w:tab w:val="left" w:pos="360"/>
          <w:tab w:val="left" w:pos="720"/>
        </w:tabs>
        <w:suppressAutoHyphens/>
        <w:overflowPunct w:val="0"/>
        <w:autoSpaceDE w:val="0"/>
        <w:autoSpaceDN w:val="0"/>
        <w:adjustRightInd w:val="0"/>
        <w:jc w:val="center"/>
        <w:rPr>
          <w:bCs/>
        </w:rPr>
      </w:pPr>
      <w:r w:rsidRPr="00233FBF">
        <w:rPr>
          <w:bCs/>
        </w:rPr>
        <w:t>Marion County</w:t>
      </w:r>
    </w:p>
    <w:p w:rsidR="00233FBF" w:rsidRPr="00233FBF" w:rsidRDefault="00233FBF" w:rsidP="00233FBF">
      <w:pPr>
        <w:tabs>
          <w:tab w:val="left" w:pos="360"/>
          <w:tab w:val="left" w:pos="720"/>
        </w:tabs>
        <w:suppressAutoHyphens/>
        <w:overflowPunct w:val="0"/>
        <w:autoSpaceDE w:val="0"/>
        <w:autoSpaceDN w:val="0"/>
        <w:adjustRightInd w:val="0"/>
        <w:jc w:val="center"/>
        <w:rPr>
          <w:b/>
          <w:spacing w:val="-2"/>
        </w:rPr>
      </w:pPr>
    </w:p>
    <w:p w:rsidR="00233FBF" w:rsidRPr="00233FBF" w:rsidRDefault="00233FBF" w:rsidP="00233FBF">
      <w:pPr>
        <w:tabs>
          <w:tab w:val="left" w:pos="360"/>
          <w:tab w:val="left" w:pos="720"/>
        </w:tabs>
        <w:suppressAutoHyphens/>
        <w:overflowPunct w:val="0"/>
        <w:autoSpaceDE w:val="0"/>
        <w:autoSpaceDN w:val="0"/>
        <w:adjustRightInd w:val="0"/>
        <w:jc w:val="both"/>
        <w:rPr>
          <w:b/>
          <w:spacing w:val="-2"/>
        </w:rPr>
      </w:pPr>
    </w:p>
    <w:p w:rsidR="00233FBF" w:rsidRPr="00233FBF" w:rsidRDefault="00233FBF" w:rsidP="00233FBF">
      <w:pPr>
        <w:tabs>
          <w:tab w:val="left" w:pos="360"/>
          <w:tab w:val="left" w:pos="720"/>
        </w:tabs>
        <w:suppressAutoHyphens/>
        <w:overflowPunct w:val="0"/>
        <w:autoSpaceDE w:val="0"/>
        <w:autoSpaceDN w:val="0"/>
        <w:adjustRightInd w:val="0"/>
        <w:jc w:val="both"/>
        <w:rPr>
          <w:b/>
          <w:spacing w:val="-2"/>
        </w:rPr>
      </w:pPr>
      <w:r w:rsidRPr="00233FBF">
        <w:rPr>
          <w:b/>
          <w:spacing w:val="-2"/>
        </w:rPr>
        <w:t>Township 16 South, Range 21 East</w:t>
      </w:r>
    </w:p>
    <w:p w:rsidR="00233FBF" w:rsidRPr="00233FBF" w:rsidRDefault="00233FBF" w:rsidP="00233FBF">
      <w:pPr>
        <w:tabs>
          <w:tab w:val="left" w:pos="360"/>
          <w:tab w:val="left" w:pos="720"/>
        </w:tabs>
        <w:suppressAutoHyphens/>
        <w:overflowPunct w:val="0"/>
        <w:autoSpaceDE w:val="0"/>
        <w:autoSpaceDN w:val="0"/>
        <w:adjustRightInd w:val="0"/>
        <w:jc w:val="both"/>
        <w:rPr>
          <w:spacing w:val="-2"/>
        </w:rPr>
      </w:pPr>
    </w:p>
    <w:p w:rsidR="00233FBF" w:rsidRPr="00233FBF" w:rsidRDefault="00233FBF" w:rsidP="00233FBF">
      <w:pPr>
        <w:tabs>
          <w:tab w:val="left" w:pos="360"/>
          <w:tab w:val="left" w:pos="720"/>
        </w:tabs>
        <w:suppressAutoHyphens/>
        <w:overflowPunct w:val="0"/>
        <w:autoSpaceDE w:val="0"/>
        <w:autoSpaceDN w:val="0"/>
        <w:adjustRightInd w:val="0"/>
        <w:jc w:val="both"/>
        <w:rPr>
          <w:b/>
          <w:spacing w:val="-2"/>
        </w:rPr>
      </w:pPr>
      <w:r w:rsidRPr="00233FBF">
        <w:rPr>
          <w:spacing w:val="-2"/>
        </w:rPr>
        <w:tab/>
      </w:r>
      <w:r w:rsidRPr="00233FBF">
        <w:rPr>
          <w:spacing w:val="-2"/>
        </w:rPr>
        <w:tab/>
      </w:r>
      <w:r w:rsidRPr="00233FBF">
        <w:rPr>
          <w:b/>
          <w:spacing w:val="-2"/>
        </w:rPr>
        <w:t>Section 4</w:t>
      </w:r>
    </w:p>
    <w:p w:rsidR="00233FBF" w:rsidRPr="00233FBF" w:rsidRDefault="00233FBF" w:rsidP="00233FBF">
      <w:pPr>
        <w:tabs>
          <w:tab w:val="left" w:pos="360"/>
          <w:tab w:val="left" w:pos="720"/>
        </w:tabs>
        <w:suppressAutoHyphens/>
        <w:overflowPunct w:val="0"/>
        <w:autoSpaceDE w:val="0"/>
        <w:autoSpaceDN w:val="0"/>
        <w:adjustRightInd w:val="0"/>
        <w:jc w:val="both"/>
        <w:rPr>
          <w:b/>
          <w:spacing w:val="-2"/>
        </w:rPr>
      </w:pPr>
    </w:p>
    <w:p w:rsidR="00233FBF" w:rsidRPr="00233FBF" w:rsidRDefault="00233FBF" w:rsidP="00233FBF">
      <w:pPr>
        <w:tabs>
          <w:tab w:val="left" w:pos="360"/>
        </w:tabs>
        <w:suppressAutoHyphens/>
        <w:overflowPunct w:val="0"/>
        <w:autoSpaceDE w:val="0"/>
        <w:autoSpaceDN w:val="0"/>
        <w:adjustRightInd w:val="0"/>
        <w:ind w:left="720" w:hanging="720"/>
        <w:jc w:val="both"/>
        <w:rPr>
          <w:spacing w:val="-2"/>
        </w:rPr>
      </w:pPr>
      <w:r w:rsidRPr="00233FBF">
        <w:rPr>
          <w:spacing w:val="-2"/>
        </w:rPr>
        <w:tab/>
      </w:r>
      <w:r w:rsidRPr="00233FBF">
        <w:rPr>
          <w:spacing w:val="-2"/>
        </w:rPr>
        <w:tab/>
        <w:t>The Southwest ¼</w:t>
      </w:r>
    </w:p>
    <w:p w:rsidR="00233FBF" w:rsidRPr="00233FBF" w:rsidRDefault="00233FBF" w:rsidP="00233FBF">
      <w:pPr>
        <w:tabs>
          <w:tab w:val="left" w:pos="360"/>
        </w:tabs>
        <w:suppressAutoHyphens/>
        <w:overflowPunct w:val="0"/>
        <w:autoSpaceDE w:val="0"/>
        <w:autoSpaceDN w:val="0"/>
        <w:adjustRightInd w:val="0"/>
        <w:ind w:left="720" w:hanging="720"/>
        <w:jc w:val="both"/>
        <w:rPr>
          <w:spacing w:val="-2"/>
        </w:rPr>
      </w:pPr>
    </w:p>
    <w:p w:rsidR="00233FBF" w:rsidRPr="00233FBF" w:rsidRDefault="00233FBF" w:rsidP="00233FBF">
      <w:pPr>
        <w:tabs>
          <w:tab w:val="left" w:pos="360"/>
        </w:tabs>
        <w:suppressAutoHyphens/>
        <w:overflowPunct w:val="0"/>
        <w:autoSpaceDE w:val="0"/>
        <w:autoSpaceDN w:val="0"/>
        <w:adjustRightInd w:val="0"/>
        <w:ind w:left="720" w:hanging="720"/>
        <w:jc w:val="both"/>
        <w:rPr>
          <w:spacing w:val="-2"/>
        </w:rPr>
      </w:pPr>
      <w:r w:rsidRPr="00233FBF">
        <w:rPr>
          <w:spacing w:val="-2"/>
        </w:rPr>
        <w:tab/>
      </w:r>
      <w:r w:rsidRPr="00233FBF">
        <w:rPr>
          <w:spacing w:val="-2"/>
        </w:rPr>
        <w:tab/>
        <w:t>Less and except that portion of the Northeast ¼ of said Southwest ¼ of said Section 4 lying North and West of State Road 200</w:t>
      </w:r>
    </w:p>
    <w:p w:rsidR="00233FBF" w:rsidRPr="00233FBF" w:rsidRDefault="00233FBF" w:rsidP="00233FBF">
      <w:pPr>
        <w:tabs>
          <w:tab w:val="left" w:pos="360"/>
        </w:tabs>
        <w:suppressAutoHyphens/>
        <w:overflowPunct w:val="0"/>
        <w:autoSpaceDE w:val="0"/>
        <w:autoSpaceDN w:val="0"/>
        <w:adjustRightInd w:val="0"/>
        <w:ind w:left="720" w:hanging="720"/>
        <w:jc w:val="both"/>
        <w:rPr>
          <w:spacing w:val="-2"/>
        </w:rPr>
      </w:pPr>
    </w:p>
    <w:p w:rsidR="00233FBF" w:rsidRPr="00233FBF" w:rsidRDefault="00233FBF" w:rsidP="00233FBF">
      <w:pPr>
        <w:tabs>
          <w:tab w:val="left" w:pos="360"/>
        </w:tabs>
        <w:suppressAutoHyphens/>
        <w:overflowPunct w:val="0"/>
        <w:autoSpaceDE w:val="0"/>
        <w:autoSpaceDN w:val="0"/>
        <w:adjustRightInd w:val="0"/>
        <w:ind w:left="720" w:hanging="720"/>
        <w:jc w:val="both"/>
        <w:rPr>
          <w:spacing w:val="-2"/>
        </w:rPr>
      </w:pPr>
      <w:r w:rsidRPr="00233FBF">
        <w:rPr>
          <w:spacing w:val="-2"/>
        </w:rPr>
        <w:tab/>
      </w:r>
      <w:r w:rsidRPr="00233FBF">
        <w:rPr>
          <w:spacing w:val="-2"/>
        </w:rPr>
        <w:tab/>
        <w:t>and</w:t>
      </w:r>
    </w:p>
    <w:p w:rsidR="00233FBF" w:rsidRPr="00233FBF" w:rsidRDefault="00233FBF" w:rsidP="00233FBF">
      <w:pPr>
        <w:tabs>
          <w:tab w:val="left" w:pos="360"/>
        </w:tabs>
        <w:suppressAutoHyphens/>
        <w:overflowPunct w:val="0"/>
        <w:autoSpaceDE w:val="0"/>
        <w:autoSpaceDN w:val="0"/>
        <w:adjustRightInd w:val="0"/>
        <w:ind w:left="720" w:hanging="720"/>
        <w:jc w:val="both"/>
        <w:rPr>
          <w:spacing w:val="-2"/>
        </w:rPr>
      </w:pPr>
    </w:p>
    <w:p w:rsidR="00233FBF" w:rsidRPr="00233FBF" w:rsidRDefault="00233FBF" w:rsidP="00233FBF">
      <w:pPr>
        <w:tabs>
          <w:tab w:val="left" w:pos="360"/>
        </w:tabs>
        <w:suppressAutoHyphens/>
        <w:overflowPunct w:val="0"/>
        <w:autoSpaceDE w:val="0"/>
        <w:autoSpaceDN w:val="0"/>
        <w:adjustRightInd w:val="0"/>
        <w:ind w:left="720" w:hanging="720"/>
        <w:jc w:val="both"/>
        <w:rPr>
          <w:spacing w:val="-2"/>
        </w:rPr>
      </w:pPr>
      <w:r w:rsidRPr="00233FBF">
        <w:rPr>
          <w:spacing w:val="-2"/>
        </w:rPr>
        <w:tab/>
      </w:r>
      <w:r w:rsidRPr="00233FBF">
        <w:rPr>
          <w:spacing w:val="-2"/>
        </w:rPr>
        <w:tab/>
        <w:t>Less and except that portion of the Northeast ¼ of said Southeast ¼ of the Southwest ¼ of said Section 4 lying North and West of State Road 200.</w:t>
      </w:r>
    </w:p>
    <w:p w:rsidR="00233FBF" w:rsidRPr="00233FBF" w:rsidRDefault="00233FBF" w:rsidP="00233FBF">
      <w:pPr>
        <w:tabs>
          <w:tab w:val="left" w:pos="360"/>
        </w:tabs>
        <w:suppressAutoHyphens/>
        <w:overflowPunct w:val="0"/>
        <w:autoSpaceDE w:val="0"/>
        <w:autoSpaceDN w:val="0"/>
        <w:adjustRightInd w:val="0"/>
        <w:jc w:val="both"/>
        <w:rPr>
          <w:spacing w:val="-2"/>
        </w:rPr>
      </w:pPr>
    </w:p>
    <w:p w:rsidR="00233FBF" w:rsidRPr="00233FBF" w:rsidRDefault="00233FBF" w:rsidP="00233FBF">
      <w:pPr>
        <w:tabs>
          <w:tab w:val="left" w:pos="360"/>
          <w:tab w:val="left" w:pos="720"/>
        </w:tabs>
        <w:suppressAutoHyphens/>
        <w:overflowPunct w:val="0"/>
        <w:autoSpaceDE w:val="0"/>
        <w:autoSpaceDN w:val="0"/>
        <w:adjustRightInd w:val="0"/>
        <w:jc w:val="both"/>
        <w:rPr>
          <w:b/>
          <w:spacing w:val="-2"/>
        </w:rPr>
      </w:pPr>
      <w:r w:rsidRPr="00233FBF">
        <w:rPr>
          <w:spacing w:val="-2"/>
        </w:rPr>
        <w:tab/>
      </w:r>
      <w:r w:rsidRPr="00233FBF">
        <w:rPr>
          <w:spacing w:val="-2"/>
        </w:rPr>
        <w:tab/>
      </w:r>
      <w:r w:rsidRPr="00233FBF">
        <w:rPr>
          <w:b/>
          <w:spacing w:val="-2"/>
        </w:rPr>
        <w:t>Section 5</w:t>
      </w:r>
    </w:p>
    <w:p w:rsidR="00233FBF" w:rsidRPr="00233FBF" w:rsidRDefault="00233FBF" w:rsidP="00233FBF">
      <w:pPr>
        <w:tabs>
          <w:tab w:val="left" w:pos="360"/>
          <w:tab w:val="left" w:pos="720"/>
        </w:tabs>
        <w:suppressAutoHyphens/>
        <w:overflowPunct w:val="0"/>
        <w:autoSpaceDE w:val="0"/>
        <w:autoSpaceDN w:val="0"/>
        <w:adjustRightInd w:val="0"/>
        <w:jc w:val="both"/>
        <w:rPr>
          <w:spacing w:val="-2"/>
        </w:rPr>
      </w:pPr>
    </w:p>
    <w:p w:rsidR="00233FBF" w:rsidRPr="00233FBF" w:rsidRDefault="00233FBF" w:rsidP="00233FBF">
      <w:pPr>
        <w:tabs>
          <w:tab w:val="left" w:pos="360"/>
        </w:tabs>
        <w:suppressAutoHyphens/>
        <w:overflowPunct w:val="0"/>
        <w:autoSpaceDE w:val="0"/>
        <w:autoSpaceDN w:val="0"/>
        <w:adjustRightInd w:val="0"/>
        <w:jc w:val="both"/>
        <w:rPr>
          <w:spacing w:val="-2"/>
        </w:rPr>
      </w:pPr>
      <w:r w:rsidRPr="00233FBF">
        <w:rPr>
          <w:spacing w:val="-2"/>
        </w:rPr>
        <w:tab/>
      </w:r>
      <w:r w:rsidRPr="00233FBF">
        <w:rPr>
          <w:spacing w:val="-2"/>
        </w:rPr>
        <w:tab/>
        <w:t>The East ¾ of the South ½ of the Southeast ¼.</w:t>
      </w:r>
    </w:p>
    <w:p w:rsidR="00233FBF" w:rsidRPr="00233FBF" w:rsidRDefault="00233FBF" w:rsidP="00233FBF">
      <w:pPr>
        <w:tabs>
          <w:tab w:val="left" w:pos="360"/>
        </w:tabs>
        <w:suppressAutoHyphens/>
        <w:overflowPunct w:val="0"/>
        <w:autoSpaceDE w:val="0"/>
        <w:autoSpaceDN w:val="0"/>
        <w:adjustRightInd w:val="0"/>
        <w:jc w:val="both"/>
        <w:rPr>
          <w:spacing w:val="-2"/>
        </w:rPr>
      </w:pPr>
    </w:p>
    <w:p w:rsidR="00233FBF" w:rsidRPr="00233FBF" w:rsidRDefault="00233FBF" w:rsidP="00233FBF">
      <w:pPr>
        <w:tabs>
          <w:tab w:val="left" w:pos="360"/>
          <w:tab w:val="left" w:pos="720"/>
        </w:tabs>
        <w:suppressAutoHyphens/>
        <w:overflowPunct w:val="0"/>
        <w:autoSpaceDE w:val="0"/>
        <w:autoSpaceDN w:val="0"/>
        <w:adjustRightInd w:val="0"/>
        <w:jc w:val="both"/>
        <w:rPr>
          <w:b/>
          <w:spacing w:val="-2"/>
        </w:rPr>
      </w:pPr>
      <w:r w:rsidRPr="00233FBF">
        <w:rPr>
          <w:spacing w:val="-2"/>
        </w:rPr>
        <w:tab/>
      </w:r>
      <w:r w:rsidRPr="00233FBF">
        <w:rPr>
          <w:spacing w:val="-2"/>
        </w:rPr>
        <w:tab/>
      </w:r>
      <w:r w:rsidRPr="00233FBF">
        <w:rPr>
          <w:b/>
          <w:spacing w:val="-2"/>
        </w:rPr>
        <w:t>Section 8</w:t>
      </w:r>
    </w:p>
    <w:p w:rsidR="00233FBF" w:rsidRPr="00233FBF" w:rsidRDefault="00233FBF" w:rsidP="00233FBF">
      <w:pPr>
        <w:tabs>
          <w:tab w:val="left" w:pos="360"/>
          <w:tab w:val="left" w:pos="720"/>
        </w:tabs>
        <w:suppressAutoHyphens/>
        <w:overflowPunct w:val="0"/>
        <w:autoSpaceDE w:val="0"/>
        <w:autoSpaceDN w:val="0"/>
        <w:adjustRightInd w:val="0"/>
        <w:jc w:val="both"/>
        <w:rPr>
          <w:spacing w:val="-2"/>
        </w:rPr>
      </w:pPr>
    </w:p>
    <w:p w:rsidR="00233FBF" w:rsidRPr="00233FBF" w:rsidRDefault="00233FBF" w:rsidP="00233FBF">
      <w:pPr>
        <w:tabs>
          <w:tab w:val="left" w:pos="360"/>
        </w:tabs>
        <w:suppressAutoHyphens/>
        <w:overflowPunct w:val="0"/>
        <w:autoSpaceDE w:val="0"/>
        <w:autoSpaceDN w:val="0"/>
        <w:adjustRightInd w:val="0"/>
        <w:ind w:left="720" w:hanging="720"/>
        <w:jc w:val="both"/>
        <w:rPr>
          <w:rFonts w:ascii="Calibri" w:hAnsi="Calibri" w:cs="Calibri"/>
          <w:spacing w:val="-2"/>
        </w:rPr>
      </w:pPr>
      <w:r w:rsidRPr="00233FBF">
        <w:rPr>
          <w:spacing w:val="-2"/>
        </w:rPr>
        <w:tab/>
      </w:r>
      <w:r w:rsidRPr="00233FBF">
        <w:rPr>
          <w:spacing w:val="-2"/>
        </w:rPr>
        <w:tab/>
        <w:t>That portion of the Northeast ¼ lying North and West of State Road 200. Except: Beginning at the intersection of the South boundary of the Northeast ¼ and the Northerly right-of-way of State Road 200; thence North 89° 53’ 23” West a distance of 1,458.52 feet; thence North 00° 00’ 34” East a  distance of 665.08 feet; thence North 89° 53’ 23” East a distance of 1,326.73 feet; thence South 69° 21’ 33” East a distance of 557.40 feet; thence Southwesterly along the Northwestern right-of-way line of State Road 200 to the POINT OF BEGINNING.</w:t>
      </w:r>
    </w:p>
    <w:p w:rsidR="00233FBF" w:rsidRPr="00233FBF" w:rsidRDefault="00233FBF" w:rsidP="00233FBF">
      <w:pPr>
        <w:tabs>
          <w:tab w:val="left" w:pos="360"/>
        </w:tabs>
        <w:suppressAutoHyphens/>
        <w:overflowPunct w:val="0"/>
        <w:autoSpaceDE w:val="0"/>
        <w:autoSpaceDN w:val="0"/>
        <w:adjustRightInd w:val="0"/>
        <w:jc w:val="both"/>
        <w:rPr>
          <w:spacing w:val="-2"/>
        </w:rPr>
      </w:pPr>
    </w:p>
    <w:p w:rsidR="00233FBF" w:rsidRPr="00233FBF" w:rsidRDefault="00233FBF" w:rsidP="00233FBF">
      <w:pPr>
        <w:tabs>
          <w:tab w:val="left" w:pos="360"/>
          <w:tab w:val="left" w:pos="720"/>
        </w:tabs>
        <w:suppressAutoHyphens/>
        <w:overflowPunct w:val="0"/>
        <w:autoSpaceDE w:val="0"/>
        <w:autoSpaceDN w:val="0"/>
        <w:adjustRightInd w:val="0"/>
        <w:jc w:val="both"/>
        <w:rPr>
          <w:b/>
          <w:spacing w:val="-2"/>
        </w:rPr>
      </w:pPr>
      <w:r w:rsidRPr="00233FBF">
        <w:rPr>
          <w:spacing w:val="-2"/>
        </w:rPr>
        <w:tab/>
      </w:r>
      <w:r w:rsidRPr="00233FBF">
        <w:rPr>
          <w:spacing w:val="-2"/>
        </w:rPr>
        <w:tab/>
      </w:r>
      <w:r w:rsidRPr="00233FBF">
        <w:rPr>
          <w:b/>
          <w:spacing w:val="-2"/>
        </w:rPr>
        <w:t>Section 9</w:t>
      </w:r>
    </w:p>
    <w:p w:rsidR="00233FBF" w:rsidRPr="00233FBF" w:rsidRDefault="00233FBF" w:rsidP="00233FBF">
      <w:pPr>
        <w:tabs>
          <w:tab w:val="left" w:pos="360"/>
          <w:tab w:val="left" w:pos="720"/>
        </w:tabs>
        <w:suppressAutoHyphens/>
        <w:overflowPunct w:val="0"/>
        <w:autoSpaceDE w:val="0"/>
        <w:autoSpaceDN w:val="0"/>
        <w:adjustRightInd w:val="0"/>
        <w:jc w:val="both"/>
        <w:rPr>
          <w:b/>
          <w:spacing w:val="-2"/>
        </w:rPr>
      </w:pPr>
    </w:p>
    <w:p w:rsidR="00233FBF" w:rsidRPr="00233FBF" w:rsidRDefault="00233FBF" w:rsidP="00233FBF">
      <w:pPr>
        <w:spacing w:after="240"/>
        <w:jc w:val="both"/>
        <w:rPr>
          <w:spacing w:val="-2"/>
        </w:rPr>
      </w:pPr>
      <w:r w:rsidRPr="00233FBF">
        <w:rPr>
          <w:spacing w:val="-2"/>
        </w:rPr>
        <w:tab/>
        <w:t>That portion of the Northwest ¼, lying North and West of State Road 200.</w:t>
      </w:r>
    </w:p>
    <w:p w:rsidR="00233FBF" w:rsidRDefault="00233FBF" w:rsidP="00481A9A">
      <w:pPr>
        <w:pStyle w:val="OrderBody"/>
        <w:sectPr w:rsidR="00233FBF" w:rsidSect="00233FBF">
          <w:headerReference w:type="default" r:id="rId11"/>
          <w:headerReference w:type="first" r:id="rId12"/>
          <w:pgSz w:w="12240" w:h="15840" w:code="1"/>
          <w:pgMar w:top="1440" w:right="1440" w:bottom="1440" w:left="1440" w:header="720" w:footer="720" w:gutter="0"/>
          <w:cols w:space="720"/>
          <w:docGrid w:linePitch="360"/>
        </w:sectPr>
      </w:pPr>
    </w:p>
    <w:p w:rsidR="00233FBF" w:rsidRPr="00233FBF" w:rsidRDefault="00233FBF" w:rsidP="00233FBF">
      <w:pPr>
        <w:jc w:val="center"/>
        <w:rPr>
          <w:b/>
        </w:rPr>
      </w:pPr>
      <w:r w:rsidRPr="00233FBF">
        <w:rPr>
          <w:b/>
        </w:rPr>
        <w:lastRenderedPageBreak/>
        <w:t>FLORIDA PUBLIC SERVICE COMMISSION</w:t>
      </w:r>
    </w:p>
    <w:p w:rsidR="00233FBF" w:rsidRPr="00233FBF" w:rsidRDefault="00233FBF" w:rsidP="00233FBF">
      <w:pPr>
        <w:jc w:val="center"/>
        <w:rPr>
          <w:b/>
        </w:rPr>
      </w:pPr>
      <w:r w:rsidRPr="00233FBF">
        <w:rPr>
          <w:b/>
        </w:rPr>
        <w:t>authorizes</w:t>
      </w:r>
    </w:p>
    <w:p w:rsidR="00233FBF" w:rsidRPr="00233FBF" w:rsidRDefault="00233FBF" w:rsidP="00233FBF">
      <w:pPr>
        <w:jc w:val="center"/>
        <w:rPr>
          <w:b/>
        </w:rPr>
      </w:pPr>
      <w:r w:rsidRPr="00233FBF">
        <w:rPr>
          <w:b/>
        </w:rPr>
        <w:t>Southwest Ocala Utility, Inc.</w:t>
      </w:r>
    </w:p>
    <w:p w:rsidR="00233FBF" w:rsidRPr="00233FBF" w:rsidRDefault="00233FBF" w:rsidP="00233FBF">
      <w:pPr>
        <w:jc w:val="center"/>
        <w:rPr>
          <w:b/>
        </w:rPr>
      </w:pPr>
      <w:r w:rsidRPr="00233FBF">
        <w:rPr>
          <w:b/>
        </w:rPr>
        <w:t xml:space="preserve">pursuant to </w:t>
      </w:r>
    </w:p>
    <w:p w:rsidR="00233FBF" w:rsidRPr="00233FBF" w:rsidRDefault="00233FBF" w:rsidP="00233FBF">
      <w:pPr>
        <w:jc w:val="center"/>
        <w:rPr>
          <w:b/>
        </w:rPr>
      </w:pPr>
      <w:r w:rsidRPr="00233FBF">
        <w:rPr>
          <w:b/>
        </w:rPr>
        <w:t>Certificate Number 390-W</w:t>
      </w:r>
    </w:p>
    <w:p w:rsidR="00233FBF" w:rsidRPr="00233FBF" w:rsidRDefault="00233FBF" w:rsidP="00233FBF">
      <w:pPr>
        <w:jc w:val="both"/>
      </w:pPr>
    </w:p>
    <w:p w:rsidR="00233FBF" w:rsidRPr="00233FBF" w:rsidRDefault="00233FBF" w:rsidP="00233FBF">
      <w:pPr>
        <w:jc w:val="both"/>
      </w:pPr>
      <w:r w:rsidRPr="00233FBF">
        <w:t xml:space="preserve">to provide water service in Marion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233FBF" w:rsidRPr="00233FBF" w:rsidRDefault="00233FBF" w:rsidP="00233F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1620"/>
        <w:gridCol w:w="2484"/>
        <w:gridCol w:w="2394"/>
      </w:tblGrid>
      <w:tr w:rsidR="00233FBF" w:rsidRPr="00233FBF" w:rsidTr="00233FBF">
        <w:tc>
          <w:tcPr>
            <w:tcW w:w="3078" w:type="dxa"/>
          </w:tcPr>
          <w:p w:rsidR="00233FBF" w:rsidRPr="00233FBF" w:rsidRDefault="00233FBF" w:rsidP="0053475F">
            <w:r w:rsidRPr="00233FBF">
              <w:rPr>
                <w:u w:val="single"/>
              </w:rPr>
              <w:t>Order Number</w:t>
            </w:r>
          </w:p>
        </w:tc>
        <w:tc>
          <w:tcPr>
            <w:tcW w:w="1620" w:type="dxa"/>
          </w:tcPr>
          <w:p w:rsidR="00233FBF" w:rsidRPr="00233FBF" w:rsidRDefault="00233FBF" w:rsidP="0053475F">
            <w:r w:rsidRPr="00233FBF">
              <w:rPr>
                <w:u w:val="single"/>
              </w:rPr>
              <w:t>Date Issued</w:t>
            </w:r>
          </w:p>
        </w:tc>
        <w:tc>
          <w:tcPr>
            <w:tcW w:w="2484" w:type="dxa"/>
          </w:tcPr>
          <w:p w:rsidR="00233FBF" w:rsidRPr="00233FBF" w:rsidRDefault="00233FBF" w:rsidP="0053475F">
            <w:r w:rsidRPr="00233FBF">
              <w:rPr>
                <w:u w:val="single"/>
              </w:rPr>
              <w:t>Docket Number</w:t>
            </w:r>
          </w:p>
        </w:tc>
        <w:tc>
          <w:tcPr>
            <w:tcW w:w="2394" w:type="dxa"/>
          </w:tcPr>
          <w:p w:rsidR="00233FBF" w:rsidRPr="00233FBF" w:rsidRDefault="00233FBF" w:rsidP="0053475F">
            <w:r w:rsidRPr="00233FBF">
              <w:rPr>
                <w:u w:val="single"/>
              </w:rPr>
              <w:t>Filing Type</w:t>
            </w:r>
          </w:p>
        </w:tc>
      </w:tr>
      <w:tr w:rsidR="00233FBF" w:rsidRPr="00233FBF" w:rsidTr="00233FBF">
        <w:tc>
          <w:tcPr>
            <w:tcW w:w="3078" w:type="dxa"/>
          </w:tcPr>
          <w:p w:rsidR="00233FBF" w:rsidRPr="00233FBF" w:rsidRDefault="00233FBF" w:rsidP="0053475F">
            <w:r w:rsidRPr="00233FBF">
              <w:t>11868</w:t>
            </w:r>
          </w:p>
        </w:tc>
        <w:tc>
          <w:tcPr>
            <w:tcW w:w="1620" w:type="dxa"/>
          </w:tcPr>
          <w:p w:rsidR="00233FBF" w:rsidRPr="00233FBF" w:rsidRDefault="00233FBF" w:rsidP="0053475F">
            <w:r w:rsidRPr="00233FBF">
              <w:t>04/21/83</w:t>
            </w:r>
          </w:p>
        </w:tc>
        <w:tc>
          <w:tcPr>
            <w:tcW w:w="2484" w:type="dxa"/>
          </w:tcPr>
          <w:p w:rsidR="00233FBF" w:rsidRPr="00233FBF" w:rsidRDefault="00233FBF" w:rsidP="0053475F">
            <w:r w:rsidRPr="00233FBF">
              <w:t>810369-W</w:t>
            </w:r>
          </w:p>
        </w:tc>
        <w:tc>
          <w:tcPr>
            <w:tcW w:w="2394" w:type="dxa"/>
          </w:tcPr>
          <w:p w:rsidR="00233FBF" w:rsidRPr="00233FBF" w:rsidRDefault="00233FBF" w:rsidP="0053475F">
            <w:r w:rsidRPr="00233FBF">
              <w:t>Grandfather Certificate</w:t>
            </w:r>
          </w:p>
        </w:tc>
      </w:tr>
      <w:tr w:rsidR="00233FBF" w:rsidRPr="00233FBF" w:rsidTr="00233FBF">
        <w:tc>
          <w:tcPr>
            <w:tcW w:w="3078" w:type="dxa"/>
          </w:tcPr>
          <w:p w:rsidR="00233FBF" w:rsidRPr="00233FBF" w:rsidRDefault="00233FBF" w:rsidP="0053475F">
            <w:r w:rsidRPr="00233FBF">
              <w:t>PSC-97-0578-FOF-WU</w:t>
            </w:r>
          </w:p>
        </w:tc>
        <w:tc>
          <w:tcPr>
            <w:tcW w:w="1620" w:type="dxa"/>
          </w:tcPr>
          <w:p w:rsidR="00233FBF" w:rsidRPr="00233FBF" w:rsidRDefault="00233FBF" w:rsidP="0053475F">
            <w:r w:rsidRPr="00233FBF">
              <w:t>05/20/97</w:t>
            </w:r>
          </w:p>
        </w:tc>
        <w:tc>
          <w:tcPr>
            <w:tcW w:w="2484" w:type="dxa"/>
          </w:tcPr>
          <w:p w:rsidR="00233FBF" w:rsidRPr="00233FBF" w:rsidRDefault="00233FBF" w:rsidP="0053475F">
            <w:r w:rsidRPr="00233FBF">
              <w:t>970085-WU</w:t>
            </w:r>
          </w:p>
        </w:tc>
        <w:tc>
          <w:tcPr>
            <w:tcW w:w="2394" w:type="dxa"/>
          </w:tcPr>
          <w:p w:rsidR="00233FBF" w:rsidRPr="00233FBF" w:rsidRDefault="00233FBF" w:rsidP="0053475F">
            <w:r w:rsidRPr="00233FBF">
              <w:t>Amendment</w:t>
            </w:r>
          </w:p>
        </w:tc>
      </w:tr>
      <w:tr w:rsidR="00233FBF" w:rsidRPr="00233FBF" w:rsidTr="00233FBF">
        <w:tc>
          <w:tcPr>
            <w:tcW w:w="3078" w:type="dxa"/>
          </w:tcPr>
          <w:p w:rsidR="00233FBF" w:rsidRPr="00233FBF" w:rsidRDefault="00233FBF" w:rsidP="0053475F">
            <w:r w:rsidRPr="00233FBF">
              <w:t>PSC-03-0792-FOF-WU</w:t>
            </w:r>
          </w:p>
        </w:tc>
        <w:tc>
          <w:tcPr>
            <w:tcW w:w="1620" w:type="dxa"/>
          </w:tcPr>
          <w:p w:rsidR="00233FBF" w:rsidRPr="00233FBF" w:rsidRDefault="00233FBF" w:rsidP="0053475F">
            <w:r w:rsidRPr="00233FBF">
              <w:t>07/03/93</w:t>
            </w:r>
          </w:p>
        </w:tc>
        <w:tc>
          <w:tcPr>
            <w:tcW w:w="2484" w:type="dxa"/>
          </w:tcPr>
          <w:p w:rsidR="00233FBF" w:rsidRPr="00233FBF" w:rsidRDefault="00233FBF" w:rsidP="0053475F">
            <w:r w:rsidRPr="00233FBF">
              <w:t>030453-WU</w:t>
            </w:r>
          </w:p>
        </w:tc>
        <w:tc>
          <w:tcPr>
            <w:tcW w:w="2394" w:type="dxa"/>
          </w:tcPr>
          <w:p w:rsidR="00233FBF" w:rsidRPr="00233FBF" w:rsidRDefault="00233FBF" w:rsidP="0053475F">
            <w:r w:rsidRPr="00233FBF">
              <w:t>Name Correction</w:t>
            </w:r>
          </w:p>
        </w:tc>
      </w:tr>
      <w:tr w:rsidR="00233FBF" w:rsidRPr="00233FBF" w:rsidTr="00233FBF">
        <w:tc>
          <w:tcPr>
            <w:tcW w:w="3078" w:type="dxa"/>
          </w:tcPr>
          <w:p w:rsidR="00233FBF" w:rsidRPr="00754A23" w:rsidRDefault="00754A23" w:rsidP="0053475F">
            <w:r w:rsidRPr="00754A23">
              <w:t>PSC-2017-0311-FOF-WU</w:t>
            </w:r>
          </w:p>
        </w:tc>
        <w:tc>
          <w:tcPr>
            <w:tcW w:w="1620" w:type="dxa"/>
          </w:tcPr>
          <w:p w:rsidR="00233FBF" w:rsidRPr="00754A23" w:rsidRDefault="00754A23" w:rsidP="0053475F">
            <w:r w:rsidRPr="00754A23">
              <w:t>08/07/17</w:t>
            </w:r>
          </w:p>
        </w:tc>
        <w:tc>
          <w:tcPr>
            <w:tcW w:w="2484" w:type="dxa"/>
          </w:tcPr>
          <w:p w:rsidR="00233FBF" w:rsidRPr="00754A23" w:rsidRDefault="00233FBF" w:rsidP="0053475F">
            <w:r w:rsidRPr="00754A23">
              <w:t>20150012-WU</w:t>
            </w:r>
          </w:p>
        </w:tc>
        <w:tc>
          <w:tcPr>
            <w:tcW w:w="2394" w:type="dxa"/>
          </w:tcPr>
          <w:p w:rsidR="00233FBF" w:rsidRPr="00754A23" w:rsidRDefault="00233FBF" w:rsidP="0053475F">
            <w:pPr>
              <w:rPr>
                <w:b/>
              </w:rPr>
            </w:pPr>
            <w:r w:rsidRPr="00754A23">
              <w:t>Transfer</w:t>
            </w:r>
          </w:p>
        </w:tc>
      </w:tr>
    </w:tbl>
    <w:p w:rsidR="00233FBF" w:rsidRPr="00233FBF" w:rsidRDefault="00233FBF" w:rsidP="00233FBF">
      <w:pPr>
        <w:rPr>
          <w:b/>
        </w:rPr>
      </w:pPr>
    </w:p>
    <w:p w:rsidR="00233FBF" w:rsidRDefault="00233FBF" w:rsidP="00233FBF">
      <w:pPr>
        <w:spacing w:after="240"/>
        <w:jc w:val="both"/>
        <w:rPr>
          <w:b/>
        </w:rPr>
      </w:pPr>
    </w:p>
    <w:p w:rsidR="00754A23" w:rsidRPr="00233FBF" w:rsidRDefault="00754A23" w:rsidP="00233FBF">
      <w:pPr>
        <w:spacing w:after="240"/>
        <w:jc w:val="both"/>
        <w:rPr>
          <w:b/>
        </w:rPr>
      </w:pPr>
    </w:p>
    <w:p w:rsidR="00233FBF" w:rsidRDefault="00233FBF" w:rsidP="00481A9A">
      <w:pPr>
        <w:pStyle w:val="OrderBody"/>
        <w:sectPr w:rsidR="00233FBF" w:rsidSect="00233FBF">
          <w:headerReference w:type="default" r:id="rId13"/>
          <w:pgSz w:w="12240" w:h="15840" w:code="1"/>
          <w:pgMar w:top="1440" w:right="1440" w:bottom="1440" w:left="1440" w:header="720" w:footer="720" w:gutter="0"/>
          <w:cols w:space="720"/>
          <w:docGrid w:linePitch="360"/>
        </w:sectPr>
      </w:pPr>
    </w:p>
    <w:p w:rsidR="00233FBF" w:rsidRPr="00233FBF" w:rsidRDefault="00233FBF" w:rsidP="00233FBF">
      <w:pPr>
        <w:pStyle w:val="BodyText"/>
        <w:spacing w:after="0"/>
        <w:jc w:val="center"/>
        <w:rPr>
          <w:b/>
        </w:rPr>
      </w:pPr>
      <w:r w:rsidRPr="00233FBF">
        <w:rPr>
          <w:b/>
        </w:rPr>
        <w:lastRenderedPageBreak/>
        <w:t>Southwest Ocala Utility, Inc.</w:t>
      </w:r>
    </w:p>
    <w:p w:rsidR="00233FBF" w:rsidRPr="00233FBF" w:rsidRDefault="00233FBF" w:rsidP="00233FBF">
      <w:pPr>
        <w:pStyle w:val="BodyText"/>
        <w:spacing w:after="0"/>
        <w:jc w:val="center"/>
        <w:rPr>
          <w:b/>
        </w:rPr>
      </w:pPr>
      <w:r w:rsidRPr="00233FBF">
        <w:rPr>
          <w:b/>
        </w:rPr>
        <w:t>Monthly Water Rates</w:t>
      </w:r>
    </w:p>
    <w:tbl>
      <w:tblPr>
        <w:tblW w:w="9540" w:type="dxa"/>
        <w:tblInd w:w="-72" w:type="dxa"/>
        <w:tblLook w:val="01E0" w:firstRow="1" w:lastRow="1" w:firstColumn="1" w:lastColumn="1" w:noHBand="0" w:noVBand="0"/>
      </w:tblPr>
      <w:tblGrid>
        <w:gridCol w:w="4500"/>
        <w:gridCol w:w="810"/>
        <w:gridCol w:w="4230"/>
      </w:tblGrid>
      <w:tr w:rsidR="00233FBF" w:rsidRPr="00233FBF" w:rsidTr="0053475F">
        <w:trPr>
          <w:trHeight w:val="297"/>
        </w:trPr>
        <w:tc>
          <w:tcPr>
            <w:tcW w:w="4500" w:type="dxa"/>
            <w:hideMark/>
          </w:tcPr>
          <w:p w:rsidR="00233FBF" w:rsidRPr="00233FBF" w:rsidRDefault="00233FBF" w:rsidP="0053475F">
            <w:pPr>
              <w:rPr>
                <w:b/>
              </w:rPr>
            </w:pPr>
            <w:r w:rsidRPr="00233FBF">
              <w:rPr>
                <w:b/>
              </w:rPr>
              <w:t>Residential and General Service</w:t>
            </w:r>
          </w:p>
        </w:tc>
        <w:tc>
          <w:tcPr>
            <w:tcW w:w="810" w:type="dxa"/>
          </w:tcPr>
          <w:p w:rsidR="00233FBF" w:rsidRPr="00233FBF" w:rsidRDefault="00233FBF" w:rsidP="0053475F"/>
        </w:tc>
        <w:tc>
          <w:tcPr>
            <w:tcW w:w="4230" w:type="dxa"/>
          </w:tcPr>
          <w:p w:rsidR="00233FBF" w:rsidRPr="00233FBF" w:rsidRDefault="00233FBF" w:rsidP="0053475F">
            <w:pPr>
              <w:jc w:val="right"/>
            </w:pPr>
          </w:p>
        </w:tc>
      </w:tr>
      <w:tr w:rsidR="00233FBF" w:rsidRPr="00233FBF" w:rsidTr="0053475F">
        <w:tc>
          <w:tcPr>
            <w:tcW w:w="4500" w:type="dxa"/>
          </w:tcPr>
          <w:p w:rsidR="00233FBF" w:rsidRPr="00233FBF" w:rsidRDefault="00233FBF" w:rsidP="0053475F">
            <w:r w:rsidRPr="00233FBF">
              <w:t>Base Facility Charge by Meter Size</w:t>
            </w:r>
          </w:p>
        </w:tc>
        <w:tc>
          <w:tcPr>
            <w:tcW w:w="810" w:type="dxa"/>
          </w:tcPr>
          <w:p w:rsidR="00233FBF" w:rsidRPr="00233FBF" w:rsidRDefault="00233FBF" w:rsidP="0053475F"/>
        </w:tc>
        <w:tc>
          <w:tcPr>
            <w:tcW w:w="4230" w:type="dxa"/>
          </w:tcPr>
          <w:p w:rsidR="00233FBF" w:rsidRPr="00233FBF" w:rsidRDefault="00233FBF" w:rsidP="0053475F">
            <w:pPr>
              <w:jc w:val="right"/>
            </w:pPr>
          </w:p>
        </w:tc>
      </w:tr>
      <w:tr w:rsidR="00233FBF" w:rsidRPr="00233FBF" w:rsidTr="0053475F">
        <w:tc>
          <w:tcPr>
            <w:tcW w:w="4500" w:type="dxa"/>
            <w:hideMark/>
          </w:tcPr>
          <w:p w:rsidR="00233FBF" w:rsidRPr="00233FBF" w:rsidRDefault="00233FBF" w:rsidP="0053475F">
            <w:r w:rsidRPr="00233FBF">
              <w:t>5/8” x 3/4"</w:t>
            </w:r>
          </w:p>
        </w:tc>
        <w:tc>
          <w:tcPr>
            <w:tcW w:w="810" w:type="dxa"/>
          </w:tcPr>
          <w:p w:rsidR="00233FBF" w:rsidRPr="00233FBF" w:rsidRDefault="00233FBF" w:rsidP="0053475F"/>
        </w:tc>
        <w:tc>
          <w:tcPr>
            <w:tcW w:w="4230" w:type="dxa"/>
            <w:hideMark/>
          </w:tcPr>
          <w:p w:rsidR="00233FBF" w:rsidRPr="00233FBF" w:rsidRDefault="00233FBF" w:rsidP="0053475F">
            <w:pPr>
              <w:jc w:val="right"/>
            </w:pPr>
            <w:r w:rsidRPr="00233FBF">
              <w:t>$10.33</w:t>
            </w:r>
          </w:p>
        </w:tc>
      </w:tr>
      <w:tr w:rsidR="00233FBF" w:rsidRPr="00233FBF" w:rsidTr="0053475F">
        <w:tc>
          <w:tcPr>
            <w:tcW w:w="4500" w:type="dxa"/>
            <w:hideMark/>
          </w:tcPr>
          <w:p w:rsidR="00233FBF" w:rsidRPr="00233FBF" w:rsidRDefault="00233FBF" w:rsidP="0053475F">
            <w:r w:rsidRPr="00233FBF">
              <w:t>3/4"</w:t>
            </w:r>
          </w:p>
        </w:tc>
        <w:tc>
          <w:tcPr>
            <w:tcW w:w="810" w:type="dxa"/>
          </w:tcPr>
          <w:p w:rsidR="00233FBF" w:rsidRPr="00233FBF" w:rsidRDefault="00233FBF" w:rsidP="0053475F"/>
        </w:tc>
        <w:tc>
          <w:tcPr>
            <w:tcW w:w="4230" w:type="dxa"/>
            <w:hideMark/>
          </w:tcPr>
          <w:p w:rsidR="00233FBF" w:rsidRPr="00233FBF" w:rsidRDefault="00233FBF" w:rsidP="0053475F">
            <w:pPr>
              <w:jc w:val="right"/>
            </w:pPr>
            <w:r w:rsidRPr="00233FBF">
              <w:t>$15.50</w:t>
            </w:r>
          </w:p>
        </w:tc>
      </w:tr>
      <w:tr w:rsidR="00233FBF" w:rsidRPr="00233FBF" w:rsidTr="0053475F">
        <w:tc>
          <w:tcPr>
            <w:tcW w:w="4500" w:type="dxa"/>
            <w:hideMark/>
          </w:tcPr>
          <w:p w:rsidR="00233FBF" w:rsidRPr="00233FBF" w:rsidRDefault="00233FBF" w:rsidP="0053475F">
            <w:r w:rsidRPr="00233FBF">
              <w:t>1"</w:t>
            </w:r>
          </w:p>
        </w:tc>
        <w:tc>
          <w:tcPr>
            <w:tcW w:w="810" w:type="dxa"/>
          </w:tcPr>
          <w:p w:rsidR="00233FBF" w:rsidRPr="00233FBF" w:rsidRDefault="00233FBF" w:rsidP="0053475F"/>
        </w:tc>
        <w:tc>
          <w:tcPr>
            <w:tcW w:w="4230" w:type="dxa"/>
            <w:hideMark/>
          </w:tcPr>
          <w:p w:rsidR="00233FBF" w:rsidRPr="00233FBF" w:rsidRDefault="00233FBF" w:rsidP="0053475F">
            <w:pPr>
              <w:jc w:val="right"/>
            </w:pPr>
            <w:r w:rsidRPr="00233FBF">
              <w:t>$25.83</w:t>
            </w:r>
          </w:p>
        </w:tc>
      </w:tr>
      <w:tr w:rsidR="00233FBF" w:rsidRPr="00233FBF" w:rsidTr="0053475F">
        <w:tc>
          <w:tcPr>
            <w:tcW w:w="4500" w:type="dxa"/>
            <w:hideMark/>
          </w:tcPr>
          <w:p w:rsidR="00233FBF" w:rsidRPr="00233FBF" w:rsidRDefault="00233FBF" w:rsidP="0053475F">
            <w:r w:rsidRPr="00233FBF">
              <w:t>1 1/2"</w:t>
            </w:r>
          </w:p>
        </w:tc>
        <w:tc>
          <w:tcPr>
            <w:tcW w:w="810" w:type="dxa"/>
          </w:tcPr>
          <w:p w:rsidR="00233FBF" w:rsidRPr="00233FBF" w:rsidRDefault="00233FBF" w:rsidP="0053475F"/>
        </w:tc>
        <w:tc>
          <w:tcPr>
            <w:tcW w:w="4230" w:type="dxa"/>
            <w:hideMark/>
          </w:tcPr>
          <w:p w:rsidR="00233FBF" w:rsidRPr="00233FBF" w:rsidRDefault="00233FBF" w:rsidP="0053475F">
            <w:pPr>
              <w:jc w:val="right"/>
            </w:pPr>
            <w:r w:rsidRPr="00233FBF">
              <w:t>$51.64</w:t>
            </w:r>
          </w:p>
        </w:tc>
      </w:tr>
      <w:tr w:rsidR="00233FBF" w:rsidRPr="00233FBF" w:rsidTr="0053475F">
        <w:tc>
          <w:tcPr>
            <w:tcW w:w="4500" w:type="dxa"/>
            <w:hideMark/>
          </w:tcPr>
          <w:p w:rsidR="00233FBF" w:rsidRPr="00233FBF" w:rsidRDefault="00233FBF" w:rsidP="0053475F">
            <w:r w:rsidRPr="00233FBF">
              <w:t>2"</w:t>
            </w:r>
          </w:p>
        </w:tc>
        <w:tc>
          <w:tcPr>
            <w:tcW w:w="810" w:type="dxa"/>
          </w:tcPr>
          <w:p w:rsidR="00233FBF" w:rsidRPr="00233FBF" w:rsidRDefault="00233FBF" w:rsidP="0053475F"/>
        </w:tc>
        <w:tc>
          <w:tcPr>
            <w:tcW w:w="4230" w:type="dxa"/>
            <w:hideMark/>
          </w:tcPr>
          <w:p w:rsidR="00233FBF" w:rsidRPr="00233FBF" w:rsidRDefault="00233FBF" w:rsidP="0053475F">
            <w:pPr>
              <w:jc w:val="right"/>
            </w:pPr>
            <w:r w:rsidRPr="00233FBF">
              <w:t>$82.64</w:t>
            </w:r>
          </w:p>
        </w:tc>
      </w:tr>
      <w:tr w:rsidR="00233FBF" w:rsidRPr="00233FBF" w:rsidTr="0053475F">
        <w:tc>
          <w:tcPr>
            <w:tcW w:w="4500" w:type="dxa"/>
            <w:hideMark/>
          </w:tcPr>
          <w:p w:rsidR="00233FBF" w:rsidRPr="00233FBF" w:rsidRDefault="00233FBF" w:rsidP="0053475F">
            <w:r w:rsidRPr="00233FBF">
              <w:t>3"</w:t>
            </w:r>
          </w:p>
        </w:tc>
        <w:tc>
          <w:tcPr>
            <w:tcW w:w="810" w:type="dxa"/>
          </w:tcPr>
          <w:p w:rsidR="00233FBF" w:rsidRPr="00233FBF" w:rsidRDefault="00233FBF" w:rsidP="0053475F"/>
        </w:tc>
        <w:tc>
          <w:tcPr>
            <w:tcW w:w="4230" w:type="dxa"/>
            <w:hideMark/>
          </w:tcPr>
          <w:p w:rsidR="00233FBF" w:rsidRPr="00233FBF" w:rsidRDefault="00233FBF" w:rsidP="0053475F">
            <w:pPr>
              <w:jc w:val="right"/>
            </w:pPr>
            <w:r w:rsidRPr="00233FBF">
              <w:t>$165.27</w:t>
            </w:r>
          </w:p>
        </w:tc>
      </w:tr>
      <w:tr w:rsidR="00233FBF" w:rsidRPr="00233FBF" w:rsidTr="0053475F">
        <w:tc>
          <w:tcPr>
            <w:tcW w:w="4500" w:type="dxa"/>
            <w:hideMark/>
          </w:tcPr>
          <w:p w:rsidR="00233FBF" w:rsidRPr="00233FBF" w:rsidRDefault="00233FBF" w:rsidP="0053475F">
            <w:r w:rsidRPr="00233FBF">
              <w:t>4"</w:t>
            </w:r>
          </w:p>
        </w:tc>
        <w:tc>
          <w:tcPr>
            <w:tcW w:w="810" w:type="dxa"/>
          </w:tcPr>
          <w:p w:rsidR="00233FBF" w:rsidRPr="00233FBF" w:rsidRDefault="00233FBF" w:rsidP="0053475F"/>
        </w:tc>
        <w:tc>
          <w:tcPr>
            <w:tcW w:w="4230" w:type="dxa"/>
            <w:hideMark/>
          </w:tcPr>
          <w:p w:rsidR="00233FBF" w:rsidRPr="00233FBF" w:rsidRDefault="00233FBF" w:rsidP="0053475F">
            <w:pPr>
              <w:jc w:val="right"/>
            </w:pPr>
            <w:r w:rsidRPr="00233FBF">
              <w:t>$258.26</w:t>
            </w:r>
          </w:p>
        </w:tc>
      </w:tr>
      <w:tr w:rsidR="00233FBF" w:rsidRPr="00233FBF" w:rsidTr="0053475F">
        <w:tc>
          <w:tcPr>
            <w:tcW w:w="4500" w:type="dxa"/>
            <w:hideMark/>
          </w:tcPr>
          <w:p w:rsidR="00233FBF" w:rsidRPr="00233FBF" w:rsidRDefault="00233FBF" w:rsidP="0053475F">
            <w:r w:rsidRPr="00233FBF">
              <w:t>6"</w:t>
            </w:r>
          </w:p>
        </w:tc>
        <w:tc>
          <w:tcPr>
            <w:tcW w:w="810" w:type="dxa"/>
          </w:tcPr>
          <w:p w:rsidR="00233FBF" w:rsidRPr="00233FBF" w:rsidRDefault="00233FBF" w:rsidP="0053475F"/>
        </w:tc>
        <w:tc>
          <w:tcPr>
            <w:tcW w:w="4230" w:type="dxa"/>
            <w:hideMark/>
          </w:tcPr>
          <w:p w:rsidR="00233FBF" w:rsidRPr="00233FBF" w:rsidRDefault="00233FBF" w:rsidP="0053475F">
            <w:pPr>
              <w:jc w:val="right"/>
            </w:pPr>
            <w:r w:rsidRPr="00233FBF">
              <w:t>$516.47</w:t>
            </w:r>
          </w:p>
        </w:tc>
      </w:tr>
      <w:tr w:rsidR="00233FBF" w:rsidRPr="00233FBF" w:rsidTr="0053475F">
        <w:tc>
          <w:tcPr>
            <w:tcW w:w="4500" w:type="dxa"/>
          </w:tcPr>
          <w:p w:rsidR="00233FBF" w:rsidRPr="00233FBF" w:rsidRDefault="00233FBF" w:rsidP="0053475F"/>
        </w:tc>
        <w:tc>
          <w:tcPr>
            <w:tcW w:w="810" w:type="dxa"/>
          </w:tcPr>
          <w:p w:rsidR="00233FBF" w:rsidRPr="00233FBF" w:rsidRDefault="00233FBF" w:rsidP="0053475F"/>
        </w:tc>
        <w:tc>
          <w:tcPr>
            <w:tcW w:w="4230" w:type="dxa"/>
          </w:tcPr>
          <w:p w:rsidR="00233FBF" w:rsidRPr="00233FBF" w:rsidRDefault="00233FBF" w:rsidP="0053475F">
            <w:pPr>
              <w:jc w:val="right"/>
            </w:pPr>
          </w:p>
        </w:tc>
      </w:tr>
      <w:tr w:rsidR="00233FBF" w:rsidRPr="00233FBF" w:rsidTr="0053475F">
        <w:tc>
          <w:tcPr>
            <w:tcW w:w="4500" w:type="dxa"/>
          </w:tcPr>
          <w:p w:rsidR="00233FBF" w:rsidRPr="00233FBF" w:rsidRDefault="00233FBF" w:rsidP="0053475F">
            <w:r w:rsidRPr="00233FBF">
              <w:t>Charge per 1,000 gallons – Residential</w:t>
            </w:r>
          </w:p>
        </w:tc>
        <w:tc>
          <w:tcPr>
            <w:tcW w:w="810" w:type="dxa"/>
          </w:tcPr>
          <w:p w:rsidR="00233FBF" w:rsidRPr="00233FBF" w:rsidRDefault="00233FBF" w:rsidP="0053475F"/>
        </w:tc>
        <w:tc>
          <w:tcPr>
            <w:tcW w:w="4230" w:type="dxa"/>
          </w:tcPr>
          <w:p w:rsidR="00233FBF" w:rsidRPr="00233FBF" w:rsidRDefault="00233FBF" w:rsidP="0053475F">
            <w:pPr>
              <w:jc w:val="right"/>
            </w:pPr>
          </w:p>
        </w:tc>
      </w:tr>
      <w:tr w:rsidR="00233FBF" w:rsidRPr="00233FBF" w:rsidTr="0053475F">
        <w:tc>
          <w:tcPr>
            <w:tcW w:w="4500" w:type="dxa"/>
          </w:tcPr>
          <w:p w:rsidR="00233FBF" w:rsidRPr="00233FBF" w:rsidRDefault="00233FBF" w:rsidP="0053475F">
            <w:r w:rsidRPr="00233FBF">
              <w:t>0-10,000 gallons</w:t>
            </w:r>
          </w:p>
        </w:tc>
        <w:tc>
          <w:tcPr>
            <w:tcW w:w="810" w:type="dxa"/>
          </w:tcPr>
          <w:p w:rsidR="00233FBF" w:rsidRPr="00233FBF" w:rsidRDefault="00233FBF" w:rsidP="0053475F"/>
        </w:tc>
        <w:tc>
          <w:tcPr>
            <w:tcW w:w="4230" w:type="dxa"/>
          </w:tcPr>
          <w:p w:rsidR="00233FBF" w:rsidRPr="00233FBF" w:rsidRDefault="00233FBF" w:rsidP="0053475F">
            <w:pPr>
              <w:jc w:val="right"/>
            </w:pPr>
            <w:r w:rsidRPr="00233FBF">
              <w:t>$2.59</w:t>
            </w:r>
          </w:p>
        </w:tc>
      </w:tr>
      <w:tr w:rsidR="00233FBF" w:rsidRPr="00233FBF" w:rsidTr="0053475F">
        <w:tc>
          <w:tcPr>
            <w:tcW w:w="4500" w:type="dxa"/>
          </w:tcPr>
          <w:p w:rsidR="00233FBF" w:rsidRPr="00233FBF" w:rsidRDefault="00233FBF" w:rsidP="0053475F">
            <w:r w:rsidRPr="00233FBF">
              <w:t>10,001-20,000 gallons</w:t>
            </w:r>
          </w:p>
        </w:tc>
        <w:tc>
          <w:tcPr>
            <w:tcW w:w="810" w:type="dxa"/>
          </w:tcPr>
          <w:p w:rsidR="00233FBF" w:rsidRPr="00233FBF" w:rsidRDefault="00233FBF" w:rsidP="0053475F"/>
        </w:tc>
        <w:tc>
          <w:tcPr>
            <w:tcW w:w="4230" w:type="dxa"/>
          </w:tcPr>
          <w:p w:rsidR="00233FBF" w:rsidRPr="00233FBF" w:rsidRDefault="00233FBF" w:rsidP="0053475F">
            <w:pPr>
              <w:jc w:val="right"/>
            </w:pPr>
            <w:r w:rsidRPr="00233FBF">
              <w:t>$3.24</w:t>
            </w:r>
          </w:p>
        </w:tc>
      </w:tr>
      <w:tr w:rsidR="00233FBF" w:rsidRPr="00233FBF" w:rsidTr="0053475F">
        <w:tc>
          <w:tcPr>
            <w:tcW w:w="4500" w:type="dxa"/>
          </w:tcPr>
          <w:p w:rsidR="00233FBF" w:rsidRPr="00233FBF" w:rsidRDefault="00233FBF" w:rsidP="0053475F">
            <w:r w:rsidRPr="00233FBF">
              <w:t>Over 20,000 gallons</w:t>
            </w:r>
          </w:p>
        </w:tc>
        <w:tc>
          <w:tcPr>
            <w:tcW w:w="810" w:type="dxa"/>
          </w:tcPr>
          <w:p w:rsidR="00233FBF" w:rsidRPr="00233FBF" w:rsidRDefault="00233FBF" w:rsidP="0053475F"/>
        </w:tc>
        <w:tc>
          <w:tcPr>
            <w:tcW w:w="4230" w:type="dxa"/>
          </w:tcPr>
          <w:p w:rsidR="00233FBF" w:rsidRPr="00233FBF" w:rsidRDefault="00233FBF" w:rsidP="0053475F">
            <w:pPr>
              <w:jc w:val="right"/>
            </w:pPr>
            <w:r w:rsidRPr="00233FBF">
              <w:t>$3.87</w:t>
            </w:r>
          </w:p>
        </w:tc>
      </w:tr>
      <w:tr w:rsidR="00233FBF" w:rsidRPr="00233FBF" w:rsidTr="0053475F">
        <w:tc>
          <w:tcPr>
            <w:tcW w:w="4500" w:type="dxa"/>
          </w:tcPr>
          <w:p w:rsidR="00233FBF" w:rsidRPr="00233FBF" w:rsidRDefault="00233FBF" w:rsidP="0053475F"/>
        </w:tc>
        <w:tc>
          <w:tcPr>
            <w:tcW w:w="810" w:type="dxa"/>
          </w:tcPr>
          <w:p w:rsidR="00233FBF" w:rsidRPr="00233FBF" w:rsidRDefault="00233FBF" w:rsidP="0053475F"/>
        </w:tc>
        <w:tc>
          <w:tcPr>
            <w:tcW w:w="4230" w:type="dxa"/>
          </w:tcPr>
          <w:p w:rsidR="00233FBF" w:rsidRPr="00233FBF" w:rsidRDefault="00233FBF" w:rsidP="0053475F">
            <w:pPr>
              <w:jc w:val="right"/>
            </w:pPr>
          </w:p>
        </w:tc>
      </w:tr>
      <w:tr w:rsidR="00233FBF" w:rsidRPr="00233FBF" w:rsidTr="0053475F">
        <w:tc>
          <w:tcPr>
            <w:tcW w:w="4500" w:type="dxa"/>
            <w:hideMark/>
          </w:tcPr>
          <w:p w:rsidR="00233FBF" w:rsidRPr="00233FBF" w:rsidRDefault="00233FBF" w:rsidP="0053475F">
            <w:r w:rsidRPr="00233FBF">
              <w:t>Charge Per 1,000 gallons – General Service</w:t>
            </w:r>
          </w:p>
        </w:tc>
        <w:tc>
          <w:tcPr>
            <w:tcW w:w="810" w:type="dxa"/>
          </w:tcPr>
          <w:p w:rsidR="00233FBF" w:rsidRPr="00233FBF" w:rsidRDefault="00233FBF" w:rsidP="0053475F"/>
        </w:tc>
        <w:tc>
          <w:tcPr>
            <w:tcW w:w="4230" w:type="dxa"/>
            <w:hideMark/>
          </w:tcPr>
          <w:p w:rsidR="00233FBF" w:rsidRPr="00233FBF" w:rsidRDefault="00233FBF" w:rsidP="0053475F">
            <w:pPr>
              <w:jc w:val="right"/>
            </w:pPr>
            <w:r w:rsidRPr="00233FBF">
              <w:t>$2.74</w:t>
            </w:r>
          </w:p>
        </w:tc>
      </w:tr>
      <w:tr w:rsidR="00233FBF" w:rsidRPr="00233FBF" w:rsidTr="0053475F">
        <w:tc>
          <w:tcPr>
            <w:tcW w:w="4500" w:type="dxa"/>
          </w:tcPr>
          <w:p w:rsidR="00233FBF" w:rsidRPr="00233FBF" w:rsidRDefault="00233FBF" w:rsidP="0053475F"/>
        </w:tc>
        <w:tc>
          <w:tcPr>
            <w:tcW w:w="810" w:type="dxa"/>
          </w:tcPr>
          <w:p w:rsidR="00233FBF" w:rsidRPr="00233FBF" w:rsidRDefault="00233FBF" w:rsidP="0053475F"/>
        </w:tc>
        <w:tc>
          <w:tcPr>
            <w:tcW w:w="4230" w:type="dxa"/>
          </w:tcPr>
          <w:p w:rsidR="00233FBF" w:rsidRPr="00233FBF" w:rsidRDefault="00233FBF" w:rsidP="0053475F">
            <w:pPr>
              <w:jc w:val="right"/>
            </w:pPr>
          </w:p>
        </w:tc>
      </w:tr>
      <w:tr w:rsidR="00233FBF" w:rsidRPr="00233FBF" w:rsidTr="0053475F">
        <w:trPr>
          <w:trHeight w:val="341"/>
        </w:trPr>
        <w:tc>
          <w:tcPr>
            <w:tcW w:w="4500" w:type="dxa"/>
          </w:tcPr>
          <w:p w:rsidR="00233FBF" w:rsidRPr="00233FBF" w:rsidRDefault="00233FBF" w:rsidP="0053475F">
            <w:pPr>
              <w:rPr>
                <w:b/>
              </w:rPr>
            </w:pPr>
            <w:r w:rsidRPr="00233FBF">
              <w:rPr>
                <w:b/>
              </w:rPr>
              <w:t>Private Fire Protection</w:t>
            </w:r>
          </w:p>
        </w:tc>
        <w:tc>
          <w:tcPr>
            <w:tcW w:w="810" w:type="dxa"/>
          </w:tcPr>
          <w:p w:rsidR="00233FBF" w:rsidRPr="00233FBF" w:rsidRDefault="00233FBF" w:rsidP="0053475F"/>
        </w:tc>
        <w:tc>
          <w:tcPr>
            <w:tcW w:w="4230" w:type="dxa"/>
          </w:tcPr>
          <w:p w:rsidR="00233FBF" w:rsidRPr="00233FBF" w:rsidRDefault="00233FBF" w:rsidP="0053475F">
            <w:pPr>
              <w:jc w:val="right"/>
            </w:pPr>
          </w:p>
        </w:tc>
      </w:tr>
      <w:tr w:rsidR="00233FBF" w:rsidRPr="00233FBF" w:rsidTr="0053475F">
        <w:tc>
          <w:tcPr>
            <w:tcW w:w="4500" w:type="dxa"/>
          </w:tcPr>
          <w:p w:rsidR="00233FBF" w:rsidRPr="00233FBF" w:rsidRDefault="00233FBF" w:rsidP="0053475F">
            <w:r w:rsidRPr="00233FBF">
              <w:t>Base Facility Charge by Meter Size</w:t>
            </w:r>
          </w:p>
        </w:tc>
        <w:tc>
          <w:tcPr>
            <w:tcW w:w="810" w:type="dxa"/>
          </w:tcPr>
          <w:p w:rsidR="00233FBF" w:rsidRPr="00233FBF" w:rsidRDefault="00233FBF" w:rsidP="0053475F"/>
        </w:tc>
        <w:tc>
          <w:tcPr>
            <w:tcW w:w="4230" w:type="dxa"/>
          </w:tcPr>
          <w:p w:rsidR="00233FBF" w:rsidRPr="00233FBF" w:rsidRDefault="00233FBF" w:rsidP="0053475F">
            <w:pPr>
              <w:jc w:val="right"/>
            </w:pPr>
          </w:p>
        </w:tc>
      </w:tr>
      <w:tr w:rsidR="00233FBF" w:rsidRPr="00233FBF" w:rsidTr="0053475F">
        <w:tc>
          <w:tcPr>
            <w:tcW w:w="4500" w:type="dxa"/>
          </w:tcPr>
          <w:p w:rsidR="00233FBF" w:rsidRPr="00233FBF" w:rsidRDefault="00233FBF" w:rsidP="0053475F">
            <w:r w:rsidRPr="00233FBF">
              <w:t>4"</w:t>
            </w:r>
          </w:p>
        </w:tc>
        <w:tc>
          <w:tcPr>
            <w:tcW w:w="810" w:type="dxa"/>
          </w:tcPr>
          <w:p w:rsidR="00233FBF" w:rsidRPr="00233FBF" w:rsidRDefault="00233FBF" w:rsidP="0053475F"/>
        </w:tc>
        <w:tc>
          <w:tcPr>
            <w:tcW w:w="4230" w:type="dxa"/>
          </w:tcPr>
          <w:p w:rsidR="00233FBF" w:rsidRPr="00233FBF" w:rsidRDefault="00233FBF" w:rsidP="0053475F">
            <w:pPr>
              <w:jc w:val="right"/>
            </w:pPr>
            <w:r w:rsidRPr="00233FBF">
              <w:t>$21.52</w:t>
            </w:r>
          </w:p>
        </w:tc>
      </w:tr>
      <w:tr w:rsidR="00233FBF" w:rsidRPr="00233FBF" w:rsidTr="0053475F">
        <w:tc>
          <w:tcPr>
            <w:tcW w:w="4500" w:type="dxa"/>
          </w:tcPr>
          <w:p w:rsidR="00233FBF" w:rsidRPr="00233FBF" w:rsidRDefault="00233FBF" w:rsidP="0053475F">
            <w:r w:rsidRPr="00233FBF">
              <w:t>6"</w:t>
            </w:r>
          </w:p>
        </w:tc>
        <w:tc>
          <w:tcPr>
            <w:tcW w:w="810" w:type="dxa"/>
          </w:tcPr>
          <w:p w:rsidR="00233FBF" w:rsidRPr="00233FBF" w:rsidRDefault="00233FBF" w:rsidP="0053475F"/>
        </w:tc>
        <w:tc>
          <w:tcPr>
            <w:tcW w:w="4230" w:type="dxa"/>
          </w:tcPr>
          <w:p w:rsidR="00233FBF" w:rsidRPr="00233FBF" w:rsidRDefault="00233FBF" w:rsidP="0053475F">
            <w:pPr>
              <w:jc w:val="right"/>
            </w:pPr>
            <w:r w:rsidRPr="00233FBF">
              <w:t>$43.04</w:t>
            </w:r>
          </w:p>
        </w:tc>
      </w:tr>
      <w:tr w:rsidR="00233FBF" w:rsidRPr="00233FBF" w:rsidTr="0053475F">
        <w:tc>
          <w:tcPr>
            <w:tcW w:w="4500" w:type="dxa"/>
          </w:tcPr>
          <w:p w:rsidR="00233FBF" w:rsidRPr="00233FBF" w:rsidRDefault="00233FBF" w:rsidP="0053475F">
            <w:r w:rsidRPr="00233FBF">
              <w:t>8”</w:t>
            </w:r>
          </w:p>
        </w:tc>
        <w:tc>
          <w:tcPr>
            <w:tcW w:w="810" w:type="dxa"/>
          </w:tcPr>
          <w:p w:rsidR="00233FBF" w:rsidRPr="00233FBF" w:rsidRDefault="00233FBF" w:rsidP="0053475F"/>
        </w:tc>
        <w:tc>
          <w:tcPr>
            <w:tcW w:w="4230" w:type="dxa"/>
          </w:tcPr>
          <w:p w:rsidR="00233FBF" w:rsidRPr="00233FBF" w:rsidRDefault="00233FBF" w:rsidP="0053475F">
            <w:pPr>
              <w:jc w:val="right"/>
            </w:pPr>
            <w:r w:rsidRPr="00233FBF">
              <w:t>$68.87</w:t>
            </w:r>
          </w:p>
        </w:tc>
      </w:tr>
      <w:tr w:rsidR="00233FBF" w:rsidRPr="00233FBF" w:rsidTr="0053475F">
        <w:tc>
          <w:tcPr>
            <w:tcW w:w="4500" w:type="dxa"/>
          </w:tcPr>
          <w:p w:rsidR="00233FBF" w:rsidRPr="00233FBF" w:rsidRDefault="00233FBF" w:rsidP="0053475F">
            <w:r w:rsidRPr="00233FBF">
              <w:t>10”</w:t>
            </w:r>
          </w:p>
        </w:tc>
        <w:tc>
          <w:tcPr>
            <w:tcW w:w="810" w:type="dxa"/>
          </w:tcPr>
          <w:p w:rsidR="00233FBF" w:rsidRPr="00233FBF" w:rsidRDefault="00233FBF" w:rsidP="0053475F"/>
        </w:tc>
        <w:tc>
          <w:tcPr>
            <w:tcW w:w="4230" w:type="dxa"/>
          </w:tcPr>
          <w:p w:rsidR="00233FBF" w:rsidRPr="00233FBF" w:rsidRDefault="00233FBF" w:rsidP="0053475F">
            <w:pPr>
              <w:jc w:val="right"/>
            </w:pPr>
            <w:r w:rsidRPr="00233FBF">
              <w:t>$99.00</w:t>
            </w:r>
          </w:p>
        </w:tc>
      </w:tr>
    </w:tbl>
    <w:p w:rsidR="00233FBF" w:rsidRPr="00233FBF" w:rsidRDefault="00233FBF" w:rsidP="00233FBF">
      <w:pPr>
        <w:pStyle w:val="BodyText"/>
        <w:spacing w:after="0"/>
        <w:jc w:val="center"/>
        <w:rPr>
          <w:b/>
        </w:rPr>
      </w:pPr>
    </w:p>
    <w:tbl>
      <w:tblPr>
        <w:tblW w:w="9630" w:type="dxa"/>
        <w:tblInd w:w="-72" w:type="dxa"/>
        <w:tblLook w:val="01E0" w:firstRow="1" w:lastRow="1" w:firstColumn="1" w:lastColumn="1" w:noHBand="0" w:noVBand="0"/>
      </w:tblPr>
      <w:tblGrid>
        <w:gridCol w:w="4500"/>
        <w:gridCol w:w="1170"/>
        <w:gridCol w:w="1980"/>
        <w:gridCol w:w="1890"/>
        <w:gridCol w:w="90"/>
      </w:tblGrid>
      <w:tr w:rsidR="00233FBF" w:rsidRPr="00233FBF" w:rsidTr="0053475F">
        <w:trPr>
          <w:gridAfter w:val="1"/>
          <w:wAfter w:w="90" w:type="dxa"/>
        </w:trPr>
        <w:tc>
          <w:tcPr>
            <w:tcW w:w="9540" w:type="dxa"/>
            <w:gridSpan w:val="4"/>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233FBF">
              <w:rPr>
                <w:b/>
              </w:rPr>
              <w:t>Initial Customer Deposits</w:t>
            </w:r>
          </w:p>
        </w:tc>
      </w:tr>
      <w:tr w:rsidR="00233FBF" w:rsidRPr="00233FBF" w:rsidTr="0053475F">
        <w:trPr>
          <w:gridAfter w:val="1"/>
          <w:wAfter w:w="90" w:type="dxa"/>
        </w:trPr>
        <w:tc>
          <w:tcPr>
            <w:tcW w:w="4500"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p>
        </w:tc>
        <w:tc>
          <w:tcPr>
            <w:tcW w:w="5040" w:type="dxa"/>
            <w:gridSpan w:val="3"/>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33FBF" w:rsidRPr="00233FBF" w:rsidTr="0053475F">
        <w:trPr>
          <w:gridAfter w:val="1"/>
          <w:wAfter w:w="90" w:type="dxa"/>
        </w:trPr>
        <w:tc>
          <w:tcPr>
            <w:tcW w:w="9540" w:type="dxa"/>
            <w:gridSpan w:val="4"/>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33FBF">
              <w:rPr>
                <w:b/>
              </w:rPr>
              <w:t>Residential Service and General Service</w:t>
            </w:r>
          </w:p>
        </w:tc>
      </w:tr>
      <w:tr w:rsidR="00233FBF" w:rsidRPr="00233FBF" w:rsidTr="0053475F">
        <w:trPr>
          <w:gridAfter w:val="1"/>
          <w:wAfter w:w="90" w:type="dxa"/>
        </w:trPr>
        <w:tc>
          <w:tcPr>
            <w:tcW w:w="4500" w:type="dxa"/>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33FBF">
              <w:t>5/8” x 3/4”</w:t>
            </w:r>
          </w:p>
        </w:tc>
        <w:tc>
          <w:tcPr>
            <w:tcW w:w="5040" w:type="dxa"/>
            <w:gridSpan w:val="3"/>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$50.00</w:t>
            </w:r>
          </w:p>
        </w:tc>
      </w:tr>
      <w:tr w:rsidR="00233FBF" w:rsidRPr="00233FBF" w:rsidTr="0053475F">
        <w:trPr>
          <w:gridAfter w:val="1"/>
          <w:wAfter w:w="90" w:type="dxa"/>
        </w:trPr>
        <w:tc>
          <w:tcPr>
            <w:tcW w:w="4500"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33FBF">
              <w:t>3/4"</w:t>
            </w:r>
          </w:p>
        </w:tc>
        <w:tc>
          <w:tcPr>
            <w:tcW w:w="5040" w:type="dxa"/>
            <w:gridSpan w:val="3"/>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$75.00</w:t>
            </w:r>
          </w:p>
        </w:tc>
      </w:tr>
      <w:tr w:rsidR="00233FBF" w:rsidRPr="00233FBF" w:rsidTr="0053475F">
        <w:trPr>
          <w:gridAfter w:val="1"/>
          <w:wAfter w:w="90" w:type="dxa"/>
        </w:trPr>
        <w:tc>
          <w:tcPr>
            <w:tcW w:w="4500"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33FBF">
              <w:t>1”</w:t>
            </w:r>
          </w:p>
        </w:tc>
        <w:tc>
          <w:tcPr>
            <w:tcW w:w="5040" w:type="dxa"/>
            <w:gridSpan w:val="3"/>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$125.00</w:t>
            </w:r>
          </w:p>
        </w:tc>
      </w:tr>
      <w:tr w:rsidR="00233FBF" w:rsidRPr="00233FBF" w:rsidTr="0053475F">
        <w:trPr>
          <w:gridAfter w:val="1"/>
          <w:wAfter w:w="90" w:type="dxa"/>
        </w:trPr>
        <w:tc>
          <w:tcPr>
            <w:tcW w:w="4500"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33FBF">
              <w:t>Over 1”</w:t>
            </w:r>
          </w:p>
        </w:tc>
        <w:tc>
          <w:tcPr>
            <w:tcW w:w="5040" w:type="dxa"/>
            <w:gridSpan w:val="3"/>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2 times the average estimated bill</w:t>
            </w:r>
          </w:p>
        </w:tc>
      </w:tr>
      <w:tr w:rsidR="00233FBF" w:rsidRPr="00233FBF" w:rsidTr="0053475F">
        <w:trPr>
          <w:trHeight w:val="144"/>
        </w:trPr>
        <w:tc>
          <w:tcPr>
            <w:tcW w:w="9630" w:type="dxa"/>
            <w:gridSpan w:val="5"/>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233FBF">
              <w:rPr>
                <w:b/>
              </w:rPr>
              <w:t>Miscellaneous Service Charges</w:t>
            </w:r>
          </w:p>
        </w:tc>
      </w:tr>
      <w:tr w:rsidR="00233FBF" w:rsidRPr="00233FBF" w:rsidTr="0053475F">
        <w:trPr>
          <w:trHeight w:val="144"/>
        </w:trPr>
        <w:tc>
          <w:tcPr>
            <w:tcW w:w="5670" w:type="dxa"/>
            <w:gridSpan w:val="2"/>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980" w:type="dxa"/>
            <w:gridSpan w:val="2"/>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33FBF" w:rsidRPr="00233FBF" w:rsidTr="0053475F">
        <w:trPr>
          <w:trHeight w:val="144"/>
        </w:trPr>
        <w:tc>
          <w:tcPr>
            <w:tcW w:w="5670" w:type="dxa"/>
            <w:gridSpan w:val="2"/>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233FBF">
              <w:rPr>
                <w:u w:val="single"/>
              </w:rPr>
              <w:t xml:space="preserve">Business Hours </w:t>
            </w:r>
          </w:p>
        </w:tc>
        <w:tc>
          <w:tcPr>
            <w:tcW w:w="1980" w:type="dxa"/>
            <w:gridSpan w:val="2"/>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233FBF">
              <w:rPr>
                <w:u w:val="single"/>
              </w:rPr>
              <w:t>After Hours</w:t>
            </w:r>
          </w:p>
        </w:tc>
      </w:tr>
      <w:tr w:rsidR="00233FBF" w:rsidRPr="00233FBF" w:rsidTr="0053475F">
        <w:trPr>
          <w:trHeight w:val="144"/>
        </w:trPr>
        <w:tc>
          <w:tcPr>
            <w:tcW w:w="5670" w:type="dxa"/>
            <w:gridSpan w:val="2"/>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980" w:type="dxa"/>
            <w:gridSpan w:val="2"/>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33FBF" w:rsidRPr="00233FBF" w:rsidTr="0053475F">
        <w:trPr>
          <w:trHeight w:val="144"/>
        </w:trPr>
        <w:tc>
          <w:tcPr>
            <w:tcW w:w="5670" w:type="dxa"/>
            <w:gridSpan w:val="2"/>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33FBF">
              <w:t>Initial Connection Charge</w:t>
            </w:r>
          </w:p>
        </w:tc>
        <w:tc>
          <w:tcPr>
            <w:tcW w:w="1980" w:type="dxa"/>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$21.00</w:t>
            </w:r>
          </w:p>
        </w:tc>
        <w:tc>
          <w:tcPr>
            <w:tcW w:w="1980" w:type="dxa"/>
            <w:gridSpan w:val="2"/>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N/A</w:t>
            </w:r>
          </w:p>
        </w:tc>
      </w:tr>
      <w:tr w:rsidR="00233FBF" w:rsidRPr="00233FBF" w:rsidTr="0053475F">
        <w:trPr>
          <w:trHeight w:val="144"/>
        </w:trPr>
        <w:tc>
          <w:tcPr>
            <w:tcW w:w="5670" w:type="dxa"/>
            <w:gridSpan w:val="2"/>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33FBF">
              <w:t>Normal Reconnection Charge</w:t>
            </w:r>
          </w:p>
        </w:tc>
        <w:tc>
          <w:tcPr>
            <w:tcW w:w="1980" w:type="dxa"/>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$21.00</w:t>
            </w:r>
          </w:p>
        </w:tc>
        <w:tc>
          <w:tcPr>
            <w:tcW w:w="1980" w:type="dxa"/>
            <w:gridSpan w:val="2"/>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$42.00</w:t>
            </w:r>
          </w:p>
        </w:tc>
      </w:tr>
      <w:tr w:rsidR="00233FBF" w:rsidRPr="00233FBF" w:rsidTr="0053475F">
        <w:trPr>
          <w:trHeight w:val="144"/>
        </w:trPr>
        <w:tc>
          <w:tcPr>
            <w:tcW w:w="5670" w:type="dxa"/>
            <w:gridSpan w:val="2"/>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33FBF">
              <w:t>Violation Reconnection Charge</w:t>
            </w:r>
          </w:p>
        </w:tc>
        <w:tc>
          <w:tcPr>
            <w:tcW w:w="1980" w:type="dxa"/>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$21.00</w:t>
            </w:r>
          </w:p>
        </w:tc>
        <w:tc>
          <w:tcPr>
            <w:tcW w:w="1980" w:type="dxa"/>
            <w:gridSpan w:val="2"/>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$42.00</w:t>
            </w:r>
          </w:p>
        </w:tc>
      </w:tr>
      <w:tr w:rsidR="00233FBF" w:rsidRPr="00233FBF" w:rsidTr="0053475F">
        <w:trPr>
          <w:trHeight w:val="144"/>
        </w:trPr>
        <w:tc>
          <w:tcPr>
            <w:tcW w:w="5670" w:type="dxa"/>
            <w:gridSpan w:val="2"/>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33FBF">
              <w:t>Premises Visit Charge (in lieu of disconnection)</w:t>
            </w:r>
          </w:p>
        </w:tc>
        <w:tc>
          <w:tcPr>
            <w:tcW w:w="1980" w:type="dxa"/>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$21.00</w:t>
            </w:r>
          </w:p>
        </w:tc>
        <w:tc>
          <w:tcPr>
            <w:tcW w:w="1980" w:type="dxa"/>
            <w:gridSpan w:val="2"/>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$42.00</w:t>
            </w:r>
          </w:p>
        </w:tc>
      </w:tr>
      <w:tr w:rsidR="00233FBF" w:rsidRPr="00233FBF" w:rsidTr="0053475F">
        <w:trPr>
          <w:trHeight w:val="144"/>
        </w:trPr>
        <w:tc>
          <w:tcPr>
            <w:tcW w:w="5670" w:type="dxa"/>
            <w:gridSpan w:val="2"/>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33FBF">
              <w:t xml:space="preserve">Late Payment Charge </w:t>
            </w:r>
          </w:p>
        </w:tc>
        <w:tc>
          <w:tcPr>
            <w:tcW w:w="1980"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1980" w:type="dxa"/>
            <w:gridSpan w:val="2"/>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33FBF">
              <w:t>$5.00</w:t>
            </w:r>
          </w:p>
        </w:tc>
      </w:tr>
    </w:tbl>
    <w:p w:rsidR="00233FBF" w:rsidRDefault="00233FBF" w:rsidP="00481A9A">
      <w:pPr>
        <w:pStyle w:val="OrderBody"/>
        <w:sectPr w:rsidR="00233FBF" w:rsidSect="00233FBF">
          <w:headerReference w:type="default" r:id="rId14"/>
          <w:pgSz w:w="12240" w:h="15840" w:code="1"/>
          <w:pgMar w:top="1440" w:right="1440" w:bottom="1440" w:left="1440" w:header="720" w:footer="720" w:gutter="0"/>
          <w:cols w:space="720"/>
          <w:docGrid w:linePitch="360"/>
        </w:sectPr>
      </w:pPr>
    </w:p>
    <w:tbl>
      <w:tblPr>
        <w:tblW w:w="9594" w:type="dxa"/>
        <w:tblInd w:w="-72" w:type="dxa"/>
        <w:tblLook w:val="01E0" w:firstRow="1" w:lastRow="1" w:firstColumn="1" w:lastColumn="1" w:noHBand="0" w:noVBand="0"/>
      </w:tblPr>
      <w:tblGrid>
        <w:gridCol w:w="4568"/>
        <w:gridCol w:w="808"/>
        <w:gridCol w:w="4218"/>
      </w:tblGrid>
      <w:tr w:rsidR="00233FBF" w:rsidRPr="00233FBF" w:rsidTr="0053475F">
        <w:tc>
          <w:tcPr>
            <w:tcW w:w="9594" w:type="dxa"/>
            <w:gridSpan w:val="3"/>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233FBF">
              <w:rPr>
                <w:b/>
              </w:rPr>
              <w:lastRenderedPageBreak/>
              <w:t>Service Availability Charges</w:t>
            </w:r>
          </w:p>
        </w:tc>
      </w:tr>
      <w:tr w:rsidR="00233FBF" w:rsidRPr="00233FBF" w:rsidTr="0053475F">
        <w:trPr>
          <w:trHeight w:val="162"/>
        </w:trPr>
        <w:tc>
          <w:tcPr>
            <w:tcW w:w="4568"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p>
        </w:tc>
        <w:tc>
          <w:tcPr>
            <w:tcW w:w="808"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33FBF" w:rsidRPr="00233FBF" w:rsidTr="0053475F">
        <w:trPr>
          <w:trHeight w:val="162"/>
        </w:trPr>
        <w:tc>
          <w:tcPr>
            <w:tcW w:w="4568" w:type="dxa"/>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233FBF">
              <w:rPr>
                <w:b/>
              </w:rPr>
              <w:t>Main Extension Charge</w:t>
            </w:r>
          </w:p>
        </w:tc>
        <w:tc>
          <w:tcPr>
            <w:tcW w:w="808"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33FBF" w:rsidRPr="00233FBF" w:rsidTr="0053475F">
        <w:trPr>
          <w:trHeight w:val="432"/>
        </w:trPr>
        <w:tc>
          <w:tcPr>
            <w:tcW w:w="4568" w:type="dxa"/>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33FBF">
              <w:t>Residential – Per ERC</w:t>
            </w:r>
            <w:r w:rsidRPr="00233FBF">
              <w:rPr>
                <w:rStyle w:val="FootnoteReference"/>
              </w:rPr>
              <w:footnoteReference w:id="5"/>
            </w:r>
            <w:r w:rsidRPr="00233FBF">
              <w:t xml:space="preserve"> </w:t>
            </w:r>
          </w:p>
        </w:tc>
        <w:tc>
          <w:tcPr>
            <w:tcW w:w="808" w:type="dxa"/>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hideMark/>
          </w:tcPr>
          <w:p w:rsidR="00233FBF" w:rsidRPr="00233FBF" w:rsidRDefault="00233FBF" w:rsidP="0053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33FBF">
              <w:t>$1,540.00</w:t>
            </w:r>
          </w:p>
        </w:tc>
      </w:tr>
    </w:tbl>
    <w:p w:rsidR="00233FBF" w:rsidRPr="00233FBF" w:rsidRDefault="00233FBF" w:rsidP="00233FBF">
      <w:pPr>
        <w:pStyle w:val="BodyText"/>
        <w:spacing w:after="0"/>
      </w:pPr>
    </w:p>
    <w:p w:rsidR="00233FBF" w:rsidRPr="00233FBF" w:rsidRDefault="00233FBF" w:rsidP="00233FBF">
      <w:pPr>
        <w:pStyle w:val="BodyText"/>
        <w:spacing w:after="0"/>
      </w:pPr>
    </w:p>
    <w:tbl>
      <w:tblPr>
        <w:tblW w:w="0" w:type="auto"/>
        <w:tblInd w:w="592" w:type="dxa"/>
        <w:tblLayout w:type="fixed"/>
        <w:tblLook w:val="04A0" w:firstRow="1" w:lastRow="0" w:firstColumn="1" w:lastColumn="0" w:noHBand="0" w:noVBand="1"/>
      </w:tblPr>
      <w:tblGrid>
        <w:gridCol w:w="468"/>
        <w:gridCol w:w="1350"/>
        <w:gridCol w:w="1080"/>
        <w:gridCol w:w="1350"/>
        <w:gridCol w:w="1330"/>
        <w:gridCol w:w="1339"/>
        <w:gridCol w:w="1273"/>
      </w:tblGrid>
      <w:tr w:rsidR="00233FBF" w:rsidRPr="00233FBF" w:rsidTr="0053475F">
        <w:tc>
          <w:tcPr>
            <w:tcW w:w="8190" w:type="dxa"/>
            <w:gridSpan w:val="7"/>
            <w:shd w:val="clear" w:color="auto" w:fill="auto"/>
          </w:tcPr>
          <w:p w:rsidR="00233FBF" w:rsidRPr="00233FBF" w:rsidRDefault="00233FBF" w:rsidP="0053475F">
            <w:pPr>
              <w:tabs>
                <w:tab w:val="left" w:pos="7605"/>
              </w:tabs>
              <w:jc w:val="center"/>
              <w:rPr>
                <w:b/>
              </w:rPr>
            </w:pPr>
            <w:r w:rsidRPr="00233FBF">
              <w:rPr>
                <w:b/>
              </w:rPr>
              <w:t>Allowance for Funds Prudently Invested – Bahia Oaks</w:t>
            </w:r>
          </w:p>
          <w:p w:rsidR="00233FBF" w:rsidRPr="00233FBF" w:rsidRDefault="00233FBF" w:rsidP="0053475F">
            <w:pPr>
              <w:tabs>
                <w:tab w:val="left" w:pos="7605"/>
              </w:tabs>
              <w:jc w:val="center"/>
              <w:rPr>
                <w:b/>
              </w:rPr>
            </w:pPr>
            <w:r w:rsidRPr="00233FBF">
              <w:rPr>
                <w:b/>
              </w:rPr>
              <w:t>Transmission and Distribution</w:t>
            </w:r>
          </w:p>
        </w:tc>
      </w:tr>
      <w:tr w:rsidR="00233FBF" w:rsidRPr="00233FBF" w:rsidTr="0053475F">
        <w:tc>
          <w:tcPr>
            <w:tcW w:w="8190" w:type="dxa"/>
            <w:gridSpan w:val="7"/>
            <w:shd w:val="clear" w:color="auto" w:fill="auto"/>
          </w:tcPr>
          <w:p w:rsidR="00233FBF" w:rsidRPr="00233FBF" w:rsidRDefault="00233FBF" w:rsidP="0053475F">
            <w:pPr>
              <w:tabs>
                <w:tab w:val="left" w:pos="7605"/>
              </w:tabs>
              <w:jc w:val="center"/>
              <w:rPr>
                <w:b/>
              </w:rPr>
            </w:pPr>
            <w:r w:rsidRPr="00233FBF">
              <w:rPr>
                <w:b/>
              </w:rPr>
              <w:t>Calculation of Carrying Cost per ERC by Month:</w:t>
            </w:r>
          </w:p>
        </w:tc>
      </w:tr>
      <w:tr w:rsidR="00233FBF" w:rsidRPr="00233FBF" w:rsidTr="0053475F">
        <w:trPr>
          <w:trHeight w:val="207"/>
        </w:trPr>
        <w:tc>
          <w:tcPr>
            <w:tcW w:w="1818" w:type="dxa"/>
            <w:gridSpan w:val="2"/>
            <w:shd w:val="clear" w:color="auto" w:fill="auto"/>
          </w:tcPr>
          <w:p w:rsidR="00233FBF" w:rsidRPr="00233FBF" w:rsidRDefault="00233FBF" w:rsidP="0053475F">
            <w:pPr>
              <w:tabs>
                <w:tab w:val="left" w:pos="7605"/>
              </w:tabs>
            </w:pPr>
          </w:p>
        </w:tc>
        <w:tc>
          <w:tcPr>
            <w:tcW w:w="1080" w:type="dxa"/>
            <w:shd w:val="clear" w:color="auto" w:fill="auto"/>
          </w:tcPr>
          <w:p w:rsidR="00233FBF" w:rsidRPr="00233FBF" w:rsidRDefault="00233FBF" w:rsidP="0053475F">
            <w:pPr>
              <w:tabs>
                <w:tab w:val="left" w:pos="7605"/>
              </w:tabs>
              <w:jc w:val="center"/>
              <w:rPr>
                <w:u w:val="single"/>
              </w:rPr>
            </w:pPr>
          </w:p>
        </w:tc>
        <w:tc>
          <w:tcPr>
            <w:tcW w:w="1350" w:type="dxa"/>
            <w:shd w:val="clear" w:color="auto" w:fill="auto"/>
          </w:tcPr>
          <w:p w:rsidR="00233FBF" w:rsidRPr="00233FBF" w:rsidRDefault="00233FBF" w:rsidP="0053475F">
            <w:pPr>
              <w:tabs>
                <w:tab w:val="left" w:pos="7605"/>
              </w:tabs>
              <w:jc w:val="center"/>
              <w:rPr>
                <w:u w:val="single"/>
              </w:rPr>
            </w:pPr>
          </w:p>
        </w:tc>
        <w:tc>
          <w:tcPr>
            <w:tcW w:w="1330" w:type="dxa"/>
            <w:shd w:val="clear" w:color="auto" w:fill="auto"/>
          </w:tcPr>
          <w:p w:rsidR="00233FBF" w:rsidRPr="00233FBF" w:rsidRDefault="00233FBF" w:rsidP="0053475F">
            <w:pPr>
              <w:tabs>
                <w:tab w:val="left" w:pos="7605"/>
              </w:tabs>
              <w:jc w:val="center"/>
              <w:rPr>
                <w:u w:val="single"/>
              </w:rPr>
            </w:pPr>
          </w:p>
        </w:tc>
        <w:tc>
          <w:tcPr>
            <w:tcW w:w="1339" w:type="dxa"/>
            <w:shd w:val="clear" w:color="auto" w:fill="auto"/>
          </w:tcPr>
          <w:p w:rsidR="00233FBF" w:rsidRPr="00233FBF" w:rsidRDefault="00233FBF" w:rsidP="0053475F">
            <w:pPr>
              <w:tabs>
                <w:tab w:val="left" w:pos="7605"/>
              </w:tabs>
              <w:jc w:val="center"/>
              <w:rPr>
                <w:u w:val="single"/>
              </w:rPr>
            </w:pPr>
          </w:p>
        </w:tc>
        <w:tc>
          <w:tcPr>
            <w:tcW w:w="1273" w:type="dxa"/>
            <w:shd w:val="clear" w:color="auto" w:fill="auto"/>
          </w:tcPr>
          <w:p w:rsidR="00233FBF" w:rsidRPr="00233FBF" w:rsidRDefault="00233FBF" w:rsidP="0053475F">
            <w:pPr>
              <w:tabs>
                <w:tab w:val="left" w:pos="7605"/>
              </w:tabs>
              <w:jc w:val="center"/>
              <w:rPr>
                <w:u w:val="single"/>
              </w:rPr>
            </w:pPr>
          </w:p>
        </w:tc>
      </w:tr>
      <w:tr w:rsidR="00233FBF" w:rsidRPr="00233FBF" w:rsidTr="0053475F">
        <w:trPr>
          <w:trHeight w:val="117"/>
        </w:trPr>
        <w:tc>
          <w:tcPr>
            <w:tcW w:w="1818" w:type="dxa"/>
            <w:gridSpan w:val="2"/>
            <w:shd w:val="clear" w:color="auto" w:fill="auto"/>
          </w:tcPr>
          <w:p w:rsidR="00233FBF" w:rsidRPr="00233FBF" w:rsidRDefault="00233FBF" w:rsidP="0053475F">
            <w:pPr>
              <w:tabs>
                <w:tab w:val="left" w:pos="7605"/>
              </w:tabs>
              <w:jc w:val="right"/>
            </w:pPr>
          </w:p>
        </w:tc>
        <w:tc>
          <w:tcPr>
            <w:tcW w:w="1080" w:type="dxa"/>
            <w:shd w:val="clear" w:color="auto" w:fill="auto"/>
          </w:tcPr>
          <w:p w:rsidR="00233FBF" w:rsidRPr="00233FBF" w:rsidRDefault="00233FBF" w:rsidP="0053475F">
            <w:pPr>
              <w:tabs>
                <w:tab w:val="left" w:pos="7605"/>
              </w:tabs>
              <w:jc w:val="right"/>
              <w:rPr>
                <w:u w:val="single"/>
              </w:rPr>
            </w:pPr>
            <w:r w:rsidRPr="00233FBF">
              <w:rPr>
                <w:u w:val="single"/>
              </w:rPr>
              <w:t>2006</w:t>
            </w:r>
          </w:p>
        </w:tc>
        <w:tc>
          <w:tcPr>
            <w:tcW w:w="1350" w:type="dxa"/>
            <w:shd w:val="clear" w:color="auto" w:fill="auto"/>
          </w:tcPr>
          <w:p w:rsidR="00233FBF" w:rsidRPr="00233FBF" w:rsidRDefault="00233FBF" w:rsidP="0053475F">
            <w:pPr>
              <w:tabs>
                <w:tab w:val="left" w:pos="7605"/>
              </w:tabs>
              <w:jc w:val="right"/>
              <w:rPr>
                <w:u w:val="single"/>
              </w:rPr>
            </w:pPr>
            <w:r w:rsidRPr="00233FBF">
              <w:rPr>
                <w:u w:val="single"/>
              </w:rPr>
              <w:t>2007</w:t>
            </w:r>
          </w:p>
        </w:tc>
        <w:tc>
          <w:tcPr>
            <w:tcW w:w="1330" w:type="dxa"/>
            <w:shd w:val="clear" w:color="auto" w:fill="auto"/>
          </w:tcPr>
          <w:p w:rsidR="00233FBF" w:rsidRPr="00233FBF" w:rsidRDefault="00233FBF" w:rsidP="0053475F">
            <w:pPr>
              <w:tabs>
                <w:tab w:val="left" w:pos="7605"/>
              </w:tabs>
              <w:jc w:val="right"/>
              <w:rPr>
                <w:u w:val="single"/>
              </w:rPr>
            </w:pPr>
            <w:r w:rsidRPr="00233FBF">
              <w:rPr>
                <w:u w:val="single"/>
              </w:rPr>
              <w:t>2008</w:t>
            </w:r>
          </w:p>
        </w:tc>
        <w:tc>
          <w:tcPr>
            <w:tcW w:w="1339" w:type="dxa"/>
            <w:shd w:val="clear" w:color="auto" w:fill="auto"/>
          </w:tcPr>
          <w:p w:rsidR="00233FBF" w:rsidRPr="00233FBF" w:rsidRDefault="00233FBF" w:rsidP="0053475F">
            <w:pPr>
              <w:tabs>
                <w:tab w:val="left" w:pos="7605"/>
              </w:tabs>
              <w:jc w:val="right"/>
              <w:rPr>
                <w:u w:val="single"/>
              </w:rPr>
            </w:pPr>
            <w:r w:rsidRPr="00233FBF">
              <w:rPr>
                <w:u w:val="single"/>
              </w:rPr>
              <w:t>2009</w:t>
            </w:r>
          </w:p>
        </w:tc>
        <w:tc>
          <w:tcPr>
            <w:tcW w:w="1273" w:type="dxa"/>
            <w:shd w:val="clear" w:color="auto" w:fill="auto"/>
          </w:tcPr>
          <w:p w:rsidR="00233FBF" w:rsidRPr="00233FBF" w:rsidRDefault="00233FBF" w:rsidP="0053475F">
            <w:pPr>
              <w:tabs>
                <w:tab w:val="left" w:pos="7605"/>
              </w:tabs>
              <w:jc w:val="right"/>
              <w:rPr>
                <w:u w:val="single"/>
              </w:rPr>
            </w:pPr>
            <w:r w:rsidRPr="00233FBF">
              <w:rPr>
                <w:u w:val="single"/>
              </w:rPr>
              <w:t>2010</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January</w:t>
            </w:r>
          </w:p>
        </w:tc>
        <w:tc>
          <w:tcPr>
            <w:tcW w:w="1080" w:type="dxa"/>
            <w:shd w:val="clear" w:color="auto" w:fill="auto"/>
          </w:tcPr>
          <w:p w:rsidR="00233FBF" w:rsidRPr="00233FBF" w:rsidRDefault="00233FBF" w:rsidP="0053475F">
            <w:pPr>
              <w:tabs>
                <w:tab w:val="left" w:pos="7605"/>
              </w:tabs>
              <w:jc w:val="right"/>
            </w:pPr>
            <w:r w:rsidRPr="00233FBF">
              <w:t>$28</w:t>
            </w:r>
          </w:p>
        </w:tc>
        <w:tc>
          <w:tcPr>
            <w:tcW w:w="1350" w:type="dxa"/>
            <w:shd w:val="clear" w:color="auto" w:fill="auto"/>
          </w:tcPr>
          <w:p w:rsidR="00233FBF" w:rsidRPr="00233FBF" w:rsidRDefault="00233FBF" w:rsidP="0053475F">
            <w:pPr>
              <w:tabs>
                <w:tab w:val="left" w:pos="7605"/>
              </w:tabs>
              <w:jc w:val="right"/>
            </w:pPr>
            <w:r w:rsidRPr="00233FBF">
              <w:t>$360</w:t>
            </w:r>
          </w:p>
        </w:tc>
        <w:tc>
          <w:tcPr>
            <w:tcW w:w="1330" w:type="dxa"/>
            <w:shd w:val="clear" w:color="auto" w:fill="auto"/>
          </w:tcPr>
          <w:p w:rsidR="00233FBF" w:rsidRPr="00233FBF" w:rsidRDefault="00233FBF" w:rsidP="0053475F">
            <w:pPr>
              <w:tabs>
                <w:tab w:val="left" w:pos="7605"/>
              </w:tabs>
              <w:jc w:val="right"/>
            </w:pPr>
            <w:r w:rsidRPr="00233FBF">
              <w:t>$718</w:t>
            </w:r>
          </w:p>
        </w:tc>
        <w:tc>
          <w:tcPr>
            <w:tcW w:w="1339" w:type="dxa"/>
            <w:shd w:val="clear" w:color="auto" w:fill="auto"/>
          </w:tcPr>
          <w:p w:rsidR="00233FBF" w:rsidRPr="00233FBF" w:rsidRDefault="00233FBF" w:rsidP="0053475F">
            <w:pPr>
              <w:tabs>
                <w:tab w:val="left" w:pos="7605"/>
              </w:tabs>
              <w:jc w:val="right"/>
            </w:pPr>
            <w:r w:rsidRPr="00233FBF">
              <w:t>$1,103</w:t>
            </w:r>
          </w:p>
        </w:tc>
        <w:tc>
          <w:tcPr>
            <w:tcW w:w="1273" w:type="dxa"/>
            <w:shd w:val="clear" w:color="auto" w:fill="auto"/>
          </w:tcPr>
          <w:p w:rsidR="00233FBF" w:rsidRPr="00233FBF" w:rsidRDefault="00233FBF" w:rsidP="0053475F">
            <w:pPr>
              <w:tabs>
                <w:tab w:val="left" w:pos="7605"/>
              </w:tabs>
              <w:jc w:val="right"/>
            </w:pPr>
            <w:r w:rsidRPr="00233FBF">
              <w:t>$1,518</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February</w:t>
            </w:r>
          </w:p>
        </w:tc>
        <w:tc>
          <w:tcPr>
            <w:tcW w:w="1080" w:type="dxa"/>
            <w:shd w:val="clear" w:color="auto" w:fill="auto"/>
          </w:tcPr>
          <w:p w:rsidR="00233FBF" w:rsidRPr="00233FBF" w:rsidRDefault="00233FBF" w:rsidP="0053475F">
            <w:pPr>
              <w:tabs>
                <w:tab w:val="left" w:pos="7605"/>
              </w:tabs>
              <w:jc w:val="right"/>
            </w:pPr>
            <w:r w:rsidRPr="00233FBF">
              <w:t>$55</w:t>
            </w:r>
          </w:p>
        </w:tc>
        <w:tc>
          <w:tcPr>
            <w:tcW w:w="1350" w:type="dxa"/>
            <w:shd w:val="clear" w:color="auto" w:fill="auto"/>
          </w:tcPr>
          <w:p w:rsidR="00233FBF" w:rsidRPr="00233FBF" w:rsidRDefault="00233FBF" w:rsidP="0053475F">
            <w:pPr>
              <w:tabs>
                <w:tab w:val="left" w:pos="7605"/>
              </w:tabs>
              <w:jc w:val="right"/>
            </w:pPr>
            <w:r w:rsidRPr="00233FBF">
              <w:t>$389</w:t>
            </w:r>
          </w:p>
        </w:tc>
        <w:tc>
          <w:tcPr>
            <w:tcW w:w="1330" w:type="dxa"/>
            <w:shd w:val="clear" w:color="auto" w:fill="auto"/>
          </w:tcPr>
          <w:p w:rsidR="00233FBF" w:rsidRPr="00233FBF" w:rsidRDefault="00233FBF" w:rsidP="0053475F">
            <w:pPr>
              <w:tabs>
                <w:tab w:val="left" w:pos="7605"/>
              </w:tabs>
              <w:jc w:val="right"/>
            </w:pPr>
            <w:r w:rsidRPr="00233FBF">
              <w:t>$750</w:t>
            </w:r>
          </w:p>
        </w:tc>
        <w:tc>
          <w:tcPr>
            <w:tcW w:w="1339" w:type="dxa"/>
            <w:shd w:val="clear" w:color="auto" w:fill="auto"/>
          </w:tcPr>
          <w:p w:rsidR="00233FBF" w:rsidRPr="00233FBF" w:rsidRDefault="00233FBF" w:rsidP="0053475F">
            <w:pPr>
              <w:tabs>
                <w:tab w:val="left" w:pos="7605"/>
              </w:tabs>
              <w:jc w:val="right"/>
            </w:pPr>
            <w:r w:rsidRPr="00233FBF">
              <w:t>$1,137</w:t>
            </w:r>
          </w:p>
        </w:tc>
        <w:tc>
          <w:tcPr>
            <w:tcW w:w="1273" w:type="dxa"/>
            <w:shd w:val="clear" w:color="auto" w:fill="auto"/>
          </w:tcPr>
          <w:p w:rsidR="00233FBF" w:rsidRPr="00233FBF" w:rsidRDefault="00233FBF" w:rsidP="0053475F">
            <w:pPr>
              <w:tabs>
                <w:tab w:val="left" w:pos="7605"/>
              </w:tabs>
              <w:jc w:val="right"/>
            </w:pPr>
            <w:r w:rsidRPr="00233FBF">
              <w:t>$1,555</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March</w:t>
            </w:r>
          </w:p>
        </w:tc>
        <w:tc>
          <w:tcPr>
            <w:tcW w:w="1080" w:type="dxa"/>
            <w:shd w:val="clear" w:color="auto" w:fill="auto"/>
          </w:tcPr>
          <w:p w:rsidR="00233FBF" w:rsidRPr="00233FBF" w:rsidRDefault="00233FBF" w:rsidP="0053475F">
            <w:pPr>
              <w:tabs>
                <w:tab w:val="left" w:pos="7605"/>
              </w:tabs>
              <w:jc w:val="right"/>
            </w:pPr>
            <w:r w:rsidRPr="00233FBF">
              <w:t>$83</w:t>
            </w:r>
          </w:p>
        </w:tc>
        <w:tc>
          <w:tcPr>
            <w:tcW w:w="1350" w:type="dxa"/>
            <w:shd w:val="clear" w:color="auto" w:fill="auto"/>
          </w:tcPr>
          <w:p w:rsidR="00233FBF" w:rsidRPr="00233FBF" w:rsidRDefault="00233FBF" w:rsidP="0053475F">
            <w:pPr>
              <w:tabs>
                <w:tab w:val="left" w:pos="7605"/>
              </w:tabs>
              <w:jc w:val="right"/>
            </w:pPr>
            <w:r w:rsidRPr="00233FBF">
              <w:t>$419</w:t>
            </w:r>
          </w:p>
        </w:tc>
        <w:tc>
          <w:tcPr>
            <w:tcW w:w="1330" w:type="dxa"/>
            <w:shd w:val="clear" w:color="auto" w:fill="auto"/>
          </w:tcPr>
          <w:p w:rsidR="00233FBF" w:rsidRPr="00233FBF" w:rsidRDefault="00233FBF" w:rsidP="0053475F">
            <w:pPr>
              <w:tabs>
                <w:tab w:val="left" w:pos="7605"/>
              </w:tabs>
              <w:jc w:val="right"/>
            </w:pPr>
            <w:r w:rsidRPr="00233FBF">
              <w:t>$781</w:t>
            </w:r>
          </w:p>
        </w:tc>
        <w:tc>
          <w:tcPr>
            <w:tcW w:w="1339" w:type="dxa"/>
            <w:shd w:val="clear" w:color="auto" w:fill="auto"/>
          </w:tcPr>
          <w:p w:rsidR="00233FBF" w:rsidRPr="00233FBF" w:rsidRDefault="00233FBF" w:rsidP="0053475F">
            <w:pPr>
              <w:tabs>
                <w:tab w:val="left" w:pos="7605"/>
              </w:tabs>
              <w:jc w:val="right"/>
            </w:pPr>
            <w:r w:rsidRPr="00233FBF">
              <w:t>$1,172</w:t>
            </w:r>
          </w:p>
        </w:tc>
        <w:tc>
          <w:tcPr>
            <w:tcW w:w="1273" w:type="dxa"/>
            <w:shd w:val="clear" w:color="auto" w:fill="auto"/>
          </w:tcPr>
          <w:p w:rsidR="00233FBF" w:rsidRPr="00233FBF" w:rsidRDefault="00233FBF" w:rsidP="0053475F">
            <w:pPr>
              <w:tabs>
                <w:tab w:val="left" w:pos="7605"/>
              </w:tabs>
              <w:jc w:val="right"/>
            </w:pPr>
            <w:r w:rsidRPr="00233FBF">
              <w:t>$1,593</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April</w:t>
            </w:r>
          </w:p>
        </w:tc>
        <w:tc>
          <w:tcPr>
            <w:tcW w:w="1080" w:type="dxa"/>
            <w:shd w:val="clear" w:color="auto" w:fill="auto"/>
          </w:tcPr>
          <w:p w:rsidR="00233FBF" w:rsidRPr="00233FBF" w:rsidRDefault="00233FBF" w:rsidP="0053475F">
            <w:pPr>
              <w:tabs>
                <w:tab w:val="left" w:pos="7605"/>
              </w:tabs>
              <w:jc w:val="right"/>
            </w:pPr>
            <w:r w:rsidRPr="00233FBF">
              <w:t>$110</w:t>
            </w:r>
          </w:p>
        </w:tc>
        <w:tc>
          <w:tcPr>
            <w:tcW w:w="1350" w:type="dxa"/>
            <w:shd w:val="clear" w:color="auto" w:fill="auto"/>
          </w:tcPr>
          <w:p w:rsidR="00233FBF" w:rsidRPr="00233FBF" w:rsidRDefault="00233FBF" w:rsidP="0053475F">
            <w:pPr>
              <w:tabs>
                <w:tab w:val="left" w:pos="7605"/>
              </w:tabs>
              <w:jc w:val="right"/>
            </w:pPr>
            <w:r w:rsidRPr="00233FBF">
              <w:t>$449</w:t>
            </w:r>
          </w:p>
        </w:tc>
        <w:tc>
          <w:tcPr>
            <w:tcW w:w="1330" w:type="dxa"/>
            <w:shd w:val="clear" w:color="auto" w:fill="auto"/>
          </w:tcPr>
          <w:p w:rsidR="00233FBF" w:rsidRPr="00233FBF" w:rsidRDefault="00233FBF" w:rsidP="0053475F">
            <w:pPr>
              <w:tabs>
                <w:tab w:val="left" w:pos="7605"/>
              </w:tabs>
              <w:jc w:val="right"/>
            </w:pPr>
            <w:r w:rsidRPr="00233FBF">
              <w:t>$813</w:t>
            </w:r>
          </w:p>
        </w:tc>
        <w:tc>
          <w:tcPr>
            <w:tcW w:w="1339" w:type="dxa"/>
            <w:shd w:val="clear" w:color="auto" w:fill="auto"/>
          </w:tcPr>
          <w:p w:rsidR="00233FBF" w:rsidRPr="00233FBF" w:rsidRDefault="00233FBF" w:rsidP="0053475F">
            <w:pPr>
              <w:tabs>
                <w:tab w:val="left" w:pos="7605"/>
              </w:tabs>
              <w:jc w:val="right"/>
            </w:pPr>
            <w:r w:rsidRPr="00233FBF">
              <w:t>$1,206</w:t>
            </w:r>
          </w:p>
        </w:tc>
        <w:tc>
          <w:tcPr>
            <w:tcW w:w="1273" w:type="dxa"/>
            <w:shd w:val="clear" w:color="auto" w:fill="auto"/>
          </w:tcPr>
          <w:p w:rsidR="00233FBF" w:rsidRPr="00233FBF" w:rsidRDefault="00233FBF" w:rsidP="0053475F">
            <w:pPr>
              <w:tabs>
                <w:tab w:val="left" w:pos="7605"/>
              </w:tabs>
              <w:jc w:val="right"/>
            </w:pPr>
            <w:r w:rsidRPr="00233FBF">
              <w:t>$1,630</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May</w:t>
            </w:r>
          </w:p>
        </w:tc>
        <w:tc>
          <w:tcPr>
            <w:tcW w:w="1080" w:type="dxa"/>
            <w:shd w:val="clear" w:color="auto" w:fill="auto"/>
          </w:tcPr>
          <w:p w:rsidR="00233FBF" w:rsidRPr="00233FBF" w:rsidRDefault="00233FBF" w:rsidP="0053475F">
            <w:pPr>
              <w:tabs>
                <w:tab w:val="left" w:pos="7605"/>
              </w:tabs>
              <w:jc w:val="right"/>
            </w:pPr>
            <w:r w:rsidRPr="00233FBF">
              <w:t>$138</w:t>
            </w:r>
          </w:p>
        </w:tc>
        <w:tc>
          <w:tcPr>
            <w:tcW w:w="1350" w:type="dxa"/>
            <w:shd w:val="clear" w:color="auto" w:fill="auto"/>
          </w:tcPr>
          <w:p w:rsidR="00233FBF" w:rsidRPr="00233FBF" w:rsidRDefault="00233FBF" w:rsidP="0053475F">
            <w:pPr>
              <w:tabs>
                <w:tab w:val="left" w:pos="7605"/>
              </w:tabs>
              <w:jc w:val="right"/>
            </w:pPr>
            <w:r w:rsidRPr="00233FBF">
              <w:t>$478</w:t>
            </w:r>
          </w:p>
        </w:tc>
        <w:tc>
          <w:tcPr>
            <w:tcW w:w="1330" w:type="dxa"/>
            <w:shd w:val="clear" w:color="auto" w:fill="auto"/>
          </w:tcPr>
          <w:p w:rsidR="00233FBF" w:rsidRPr="00233FBF" w:rsidRDefault="00233FBF" w:rsidP="0053475F">
            <w:pPr>
              <w:tabs>
                <w:tab w:val="left" w:pos="7605"/>
              </w:tabs>
              <w:jc w:val="right"/>
            </w:pPr>
            <w:r w:rsidRPr="00233FBF">
              <w:t>$845</w:t>
            </w:r>
          </w:p>
        </w:tc>
        <w:tc>
          <w:tcPr>
            <w:tcW w:w="1339" w:type="dxa"/>
            <w:shd w:val="clear" w:color="auto" w:fill="auto"/>
          </w:tcPr>
          <w:p w:rsidR="00233FBF" w:rsidRPr="00233FBF" w:rsidRDefault="00233FBF" w:rsidP="0053475F">
            <w:pPr>
              <w:tabs>
                <w:tab w:val="left" w:pos="7605"/>
              </w:tabs>
              <w:jc w:val="right"/>
            </w:pPr>
            <w:r w:rsidRPr="00233FBF">
              <w:t>$1,241</w:t>
            </w:r>
          </w:p>
        </w:tc>
        <w:tc>
          <w:tcPr>
            <w:tcW w:w="1273" w:type="dxa"/>
            <w:shd w:val="clear" w:color="auto" w:fill="auto"/>
          </w:tcPr>
          <w:p w:rsidR="00233FBF" w:rsidRPr="00233FBF" w:rsidRDefault="00233FBF" w:rsidP="0053475F">
            <w:pPr>
              <w:tabs>
                <w:tab w:val="left" w:pos="7605"/>
              </w:tabs>
              <w:jc w:val="right"/>
            </w:pPr>
            <w:r w:rsidRPr="00233FBF">
              <w:t>$1,667</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June</w:t>
            </w:r>
          </w:p>
        </w:tc>
        <w:tc>
          <w:tcPr>
            <w:tcW w:w="1080" w:type="dxa"/>
            <w:shd w:val="clear" w:color="auto" w:fill="auto"/>
          </w:tcPr>
          <w:p w:rsidR="00233FBF" w:rsidRPr="00233FBF" w:rsidRDefault="00233FBF" w:rsidP="0053475F">
            <w:pPr>
              <w:tabs>
                <w:tab w:val="left" w:pos="7605"/>
              </w:tabs>
              <w:jc w:val="right"/>
            </w:pPr>
            <w:r w:rsidRPr="00233FBF">
              <w:t>$165</w:t>
            </w:r>
          </w:p>
        </w:tc>
        <w:tc>
          <w:tcPr>
            <w:tcW w:w="1350" w:type="dxa"/>
            <w:shd w:val="clear" w:color="auto" w:fill="auto"/>
          </w:tcPr>
          <w:p w:rsidR="00233FBF" w:rsidRPr="00233FBF" w:rsidRDefault="00233FBF" w:rsidP="0053475F">
            <w:pPr>
              <w:tabs>
                <w:tab w:val="left" w:pos="7605"/>
              </w:tabs>
              <w:jc w:val="right"/>
            </w:pPr>
            <w:r w:rsidRPr="00233FBF">
              <w:t>$508</w:t>
            </w:r>
          </w:p>
        </w:tc>
        <w:tc>
          <w:tcPr>
            <w:tcW w:w="1330" w:type="dxa"/>
            <w:shd w:val="clear" w:color="auto" w:fill="auto"/>
          </w:tcPr>
          <w:p w:rsidR="00233FBF" w:rsidRPr="00233FBF" w:rsidRDefault="00233FBF" w:rsidP="0053475F">
            <w:pPr>
              <w:tabs>
                <w:tab w:val="left" w:pos="7605"/>
              </w:tabs>
              <w:jc w:val="right"/>
            </w:pPr>
            <w:r w:rsidRPr="00233FBF">
              <w:t>$877</w:t>
            </w:r>
          </w:p>
        </w:tc>
        <w:tc>
          <w:tcPr>
            <w:tcW w:w="1339" w:type="dxa"/>
            <w:shd w:val="clear" w:color="auto" w:fill="auto"/>
          </w:tcPr>
          <w:p w:rsidR="00233FBF" w:rsidRPr="00233FBF" w:rsidRDefault="00233FBF" w:rsidP="0053475F">
            <w:pPr>
              <w:tabs>
                <w:tab w:val="left" w:pos="7605"/>
              </w:tabs>
              <w:jc w:val="right"/>
            </w:pPr>
            <w:r w:rsidRPr="00233FBF">
              <w:t>$1,275</w:t>
            </w:r>
          </w:p>
        </w:tc>
        <w:tc>
          <w:tcPr>
            <w:tcW w:w="1273" w:type="dxa"/>
            <w:shd w:val="clear" w:color="auto" w:fill="auto"/>
          </w:tcPr>
          <w:p w:rsidR="00233FBF" w:rsidRPr="00233FBF" w:rsidRDefault="00233FBF" w:rsidP="0053475F">
            <w:pPr>
              <w:tabs>
                <w:tab w:val="left" w:pos="7605"/>
              </w:tabs>
              <w:jc w:val="right"/>
            </w:pPr>
            <w:r w:rsidRPr="00233FBF">
              <w:t>$1,704</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July</w:t>
            </w:r>
          </w:p>
        </w:tc>
        <w:tc>
          <w:tcPr>
            <w:tcW w:w="1080" w:type="dxa"/>
            <w:shd w:val="clear" w:color="auto" w:fill="auto"/>
          </w:tcPr>
          <w:p w:rsidR="00233FBF" w:rsidRPr="00233FBF" w:rsidRDefault="00233FBF" w:rsidP="0053475F">
            <w:pPr>
              <w:tabs>
                <w:tab w:val="left" w:pos="7605"/>
              </w:tabs>
              <w:jc w:val="right"/>
            </w:pPr>
            <w:r w:rsidRPr="00233FBF">
              <w:t>$193</w:t>
            </w:r>
          </w:p>
        </w:tc>
        <w:tc>
          <w:tcPr>
            <w:tcW w:w="1350" w:type="dxa"/>
            <w:shd w:val="clear" w:color="auto" w:fill="auto"/>
          </w:tcPr>
          <w:p w:rsidR="00233FBF" w:rsidRPr="00233FBF" w:rsidRDefault="00233FBF" w:rsidP="0053475F">
            <w:pPr>
              <w:tabs>
                <w:tab w:val="left" w:pos="7605"/>
              </w:tabs>
              <w:jc w:val="right"/>
            </w:pPr>
            <w:r w:rsidRPr="00233FBF">
              <w:t>$538</w:t>
            </w:r>
          </w:p>
        </w:tc>
        <w:tc>
          <w:tcPr>
            <w:tcW w:w="1330" w:type="dxa"/>
            <w:shd w:val="clear" w:color="auto" w:fill="auto"/>
          </w:tcPr>
          <w:p w:rsidR="00233FBF" w:rsidRPr="00233FBF" w:rsidRDefault="00233FBF" w:rsidP="0053475F">
            <w:pPr>
              <w:tabs>
                <w:tab w:val="left" w:pos="7605"/>
              </w:tabs>
              <w:jc w:val="right"/>
            </w:pPr>
            <w:r w:rsidRPr="00233FBF">
              <w:t>$909</w:t>
            </w:r>
          </w:p>
        </w:tc>
        <w:tc>
          <w:tcPr>
            <w:tcW w:w="1339" w:type="dxa"/>
            <w:shd w:val="clear" w:color="auto" w:fill="auto"/>
          </w:tcPr>
          <w:p w:rsidR="00233FBF" w:rsidRPr="00233FBF" w:rsidRDefault="00233FBF" w:rsidP="0053475F">
            <w:pPr>
              <w:tabs>
                <w:tab w:val="left" w:pos="7605"/>
              </w:tabs>
              <w:jc w:val="right"/>
            </w:pPr>
            <w:r w:rsidRPr="00233FBF">
              <w:t>$1,309</w:t>
            </w:r>
          </w:p>
        </w:tc>
        <w:tc>
          <w:tcPr>
            <w:tcW w:w="1273" w:type="dxa"/>
            <w:shd w:val="clear" w:color="auto" w:fill="auto"/>
          </w:tcPr>
          <w:p w:rsidR="00233FBF" w:rsidRPr="00233FBF" w:rsidRDefault="00233FBF" w:rsidP="0053475F">
            <w:pPr>
              <w:tabs>
                <w:tab w:val="left" w:pos="7605"/>
              </w:tabs>
              <w:jc w:val="right"/>
            </w:pPr>
            <w:r w:rsidRPr="00233FBF">
              <w:t>$1,741</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August</w:t>
            </w:r>
          </w:p>
        </w:tc>
        <w:tc>
          <w:tcPr>
            <w:tcW w:w="1080" w:type="dxa"/>
            <w:shd w:val="clear" w:color="auto" w:fill="auto"/>
          </w:tcPr>
          <w:p w:rsidR="00233FBF" w:rsidRPr="00233FBF" w:rsidRDefault="00233FBF" w:rsidP="0053475F">
            <w:pPr>
              <w:tabs>
                <w:tab w:val="left" w:pos="7605"/>
              </w:tabs>
              <w:jc w:val="right"/>
            </w:pPr>
            <w:r w:rsidRPr="00233FBF">
              <w:t>$220</w:t>
            </w:r>
          </w:p>
        </w:tc>
        <w:tc>
          <w:tcPr>
            <w:tcW w:w="1350" w:type="dxa"/>
            <w:shd w:val="clear" w:color="auto" w:fill="auto"/>
          </w:tcPr>
          <w:p w:rsidR="00233FBF" w:rsidRPr="00233FBF" w:rsidRDefault="00233FBF" w:rsidP="0053475F">
            <w:pPr>
              <w:tabs>
                <w:tab w:val="left" w:pos="7605"/>
              </w:tabs>
              <w:jc w:val="right"/>
            </w:pPr>
            <w:r w:rsidRPr="00233FBF">
              <w:t>$567</w:t>
            </w:r>
          </w:p>
        </w:tc>
        <w:tc>
          <w:tcPr>
            <w:tcW w:w="1330" w:type="dxa"/>
            <w:shd w:val="clear" w:color="auto" w:fill="auto"/>
          </w:tcPr>
          <w:p w:rsidR="00233FBF" w:rsidRPr="00233FBF" w:rsidRDefault="00233FBF" w:rsidP="0053475F">
            <w:pPr>
              <w:tabs>
                <w:tab w:val="left" w:pos="7605"/>
              </w:tabs>
              <w:jc w:val="right"/>
            </w:pPr>
            <w:r w:rsidRPr="00233FBF">
              <w:t>$941</w:t>
            </w:r>
          </w:p>
        </w:tc>
        <w:tc>
          <w:tcPr>
            <w:tcW w:w="1339" w:type="dxa"/>
            <w:shd w:val="clear" w:color="auto" w:fill="auto"/>
          </w:tcPr>
          <w:p w:rsidR="00233FBF" w:rsidRPr="00233FBF" w:rsidRDefault="00233FBF" w:rsidP="0053475F">
            <w:pPr>
              <w:tabs>
                <w:tab w:val="left" w:pos="7605"/>
              </w:tabs>
              <w:jc w:val="right"/>
            </w:pPr>
            <w:r w:rsidRPr="00233FBF">
              <w:t>$1,344</w:t>
            </w:r>
          </w:p>
        </w:tc>
        <w:tc>
          <w:tcPr>
            <w:tcW w:w="1273" w:type="dxa"/>
            <w:shd w:val="clear" w:color="auto" w:fill="auto"/>
          </w:tcPr>
          <w:p w:rsidR="00233FBF" w:rsidRPr="00233FBF" w:rsidRDefault="00233FBF" w:rsidP="0053475F">
            <w:pPr>
              <w:tabs>
                <w:tab w:val="left" w:pos="7605"/>
              </w:tabs>
              <w:jc w:val="right"/>
            </w:pPr>
            <w:r w:rsidRPr="00233FBF">
              <w:t>$1,778</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September</w:t>
            </w:r>
          </w:p>
        </w:tc>
        <w:tc>
          <w:tcPr>
            <w:tcW w:w="1080" w:type="dxa"/>
            <w:shd w:val="clear" w:color="auto" w:fill="auto"/>
          </w:tcPr>
          <w:p w:rsidR="00233FBF" w:rsidRPr="00233FBF" w:rsidRDefault="00233FBF" w:rsidP="0053475F">
            <w:pPr>
              <w:tabs>
                <w:tab w:val="left" w:pos="7605"/>
              </w:tabs>
              <w:jc w:val="right"/>
            </w:pPr>
            <w:r w:rsidRPr="00233FBF">
              <w:t>$248</w:t>
            </w:r>
          </w:p>
        </w:tc>
        <w:tc>
          <w:tcPr>
            <w:tcW w:w="1350" w:type="dxa"/>
            <w:shd w:val="clear" w:color="auto" w:fill="auto"/>
          </w:tcPr>
          <w:p w:rsidR="00233FBF" w:rsidRPr="00233FBF" w:rsidRDefault="00233FBF" w:rsidP="0053475F">
            <w:pPr>
              <w:tabs>
                <w:tab w:val="left" w:pos="7605"/>
              </w:tabs>
              <w:jc w:val="right"/>
            </w:pPr>
            <w:r w:rsidRPr="00233FBF">
              <w:t>$597</w:t>
            </w:r>
          </w:p>
        </w:tc>
        <w:tc>
          <w:tcPr>
            <w:tcW w:w="1330" w:type="dxa"/>
            <w:shd w:val="clear" w:color="auto" w:fill="auto"/>
          </w:tcPr>
          <w:p w:rsidR="00233FBF" w:rsidRPr="00233FBF" w:rsidRDefault="00233FBF" w:rsidP="0053475F">
            <w:pPr>
              <w:tabs>
                <w:tab w:val="left" w:pos="7605"/>
              </w:tabs>
              <w:jc w:val="right"/>
            </w:pPr>
            <w:r w:rsidRPr="00233FBF">
              <w:t>$973</w:t>
            </w:r>
          </w:p>
        </w:tc>
        <w:tc>
          <w:tcPr>
            <w:tcW w:w="1339" w:type="dxa"/>
            <w:shd w:val="clear" w:color="auto" w:fill="auto"/>
          </w:tcPr>
          <w:p w:rsidR="00233FBF" w:rsidRPr="00233FBF" w:rsidRDefault="00233FBF" w:rsidP="0053475F">
            <w:pPr>
              <w:tabs>
                <w:tab w:val="left" w:pos="7605"/>
              </w:tabs>
              <w:jc w:val="right"/>
            </w:pPr>
            <w:r w:rsidRPr="00233FBF">
              <w:t>$1,378</w:t>
            </w:r>
          </w:p>
        </w:tc>
        <w:tc>
          <w:tcPr>
            <w:tcW w:w="1273" w:type="dxa"/>
            <w:shd w:val="clear" w:color="auto" w:fill="auto"/>
          </w:tcPr>
          <w:p w:rsidR="00233FBF" w:rsidRPr="00233FBF" w:rsidRDefault="00233FBF" w:rsidP="0053475F">
            <w:pPr>
              <w:tabs>
                <w:tab w:val="left" w:pos="7605"/>
              </w:tabs>
              <w:jc w:val="right"/>
            </w:pPr>
            <w:r w:rsidRPr="00233FBF">
              <w:t>$1,815</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October</w:t>
            </w:r>
          </w:p>
        </w:tc>
        <w:tc>
          <w:tcPr>
            <w:tcW w:w="1080" w:type="dxa"/>
            <w:shd w:val="clear" w:color="auto" w:fill="auto"/>
          </w:tcPr>
          <w:p w:rsidR="00233FBF" w:rsidRPr="00233FBF" w:rsidRDefault="00233FBF" w:rsidP="0053475F">
            <w:pPr>
              <w:tabs>
                <w:tab w:val="left" w:pos="7605"/>
              </w:tabs>
              <w:jc w:val="right"/>
            </w:pPr>
            <w:r w:rsidRPr="00233FBF">
              <w:t>$275</w:t>
            </w:r>
          </w:p>
        </w:tc>
        <w:tc>
          <w:tcPr>
            <w:tcW w:w="1350" w:type="dxa"/>
            <w:shd w:val="clear" w:color="auto" w:fill="auto"/>
          </w:tcPr>
          <w:p w:rsidR="00233FBF" w:rsidRPr="00233FBF" w:rsidRDefault="00233FBF" w:rsidP="0053475F">
            <w:pPr>
              <w:tabs>
                <w:tab w:val="left" w:pos="7605"/>
              </w:tabs>
              <w:jc w:val="right"/>
            </w:pPr>
            <w:r w:rsidRPr="00233FBF">
              <w:t>$626</w:t>
            </w:r>
          </w:p>
        </w:tc>
        <w:tc>
          <w:tcPr>
            <w:tcW w:w="1330" w:type="dxa"/>
            <w:shd w:val="clear" w:color="auto" w:fill="auto"/>
          </w:tcPr>
          <w:p w:rsidR="00233FBF" w:rsidRPr="00233FBF" w:rsidRDefault="00233FBF" w:rsidP="0053475F">
            <w:pPr>
              <w:tabs>
                <w:tab w:val="left" w:pos="7605"/>
              </w:tabs>
              <w:jc w:val="right"/>
            </w:pPr>
            <w:r w:rsidRPr="00233FBF">
              <w:t>$1,005</w:t>
            </w:r>
          </w:p>
        </w:tc>
        <w:tc>
          <w:tcPr>
            <w:tcW w:w="1339" w:type="dxa"/>
            <w:shd w:val="clear" w:color="auto" w:fill="auto"/>
          </w:tcPr>
          <w:p w:rsidR="00233FBF" w:rsidRPr="00233FBF" w:rsidRDefault="00233FBF" w:rsidP="0053475F">
            <w:pPr>
              <w:tabs>
                <w:tab w:val="left" w:pos="7605"/>
              </w:tabs>
              <w:jc w:val="right"/>
            </w:pPr>
            <w:r w:rsidRPr="00233FBF">
              <w:t>$1,413</w:t>
            </w:r>
          </w:p>
        </w:tc>
        <w:tc>
          <w:tcPr>
            <w:tcW w:w="1273" w:type="dxa"/>
            <w:shd w:val="clear" w:color="auto" w:fill="auto"/>
          </w:tcPr>
          <w:p w:rsidR="00233FBF" w:rsidRPr="00233FBF" w:rsidRDefault="00233FBF" w:rsidP="0053475F">
            <w:pPr>
              <w:tabs>
                <w:tab w:val="left" w:pos="7605"/>
              </w:tabs>
              <w:jc w:val="right"/>
            </w:pPr>
            <w:r w:rsidRPr="00233FBF">
              <w:t>$1,852</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November</w:t>
            </w:r>
          </w:p>
        </w:tc>
        <w:tc>
          <w:tcPr>
            <w:tcW w:w="1080" w:type="dxa"/>
            <w:shd w:val="clear" w:color="auto" w:fill="auto"/>
          </w:tcPr>
          <w:p w:rsidR="00233FBF" w:rsidRPr="00233FBF" w:rsidRDefault="00233FBF" w:rsidP="0053475F">
            <w:pPr>
              <w:tabs>
                <w:tab w:val="left" w:pos="7605"/>
              </w:tabs>
              <w:jc w:val="right"/>
            </w:pPr>
            <w:r w:rsidRPr="00233FBF">
              <w:t>$303</w:t>
            </w:r>
          </w:p>
        </w:tc>
        <w:tc>
          <w:tcPr>
            <w:tcW w:w="1350" w:type="dxa"/>
            <w:shd w:val="clear" w:color="auto" w:fill="auto"/>
          </w:tcPr>
          <w:p w:rsidR="00233FBF" w:rsidRPr="00233FBF" w:rsidRDefault="00233FBF" w:rsidP="0053475F">
            <w:pPr>
              <w:tabs>
                <w:tab w:val="left" w:pos="7605"/>
              </w:tabs>
              <w:jc w:val="right"/>
            </w:pPr>
            <w:r w:rsidRPr="00233FBF">
              <w:t>$656</w:t>
            </w:r>
          </w:p>
        </w:tc>
        <w:tc>
          <w:tcPr>
            <w:tcW w:w="1330" w:type="dxa"/>
            <w:shd w:val="clear" w:color="auto" w:fill="auto"/>
          </w:tcPr>
          <w:p w:rsidR="00233FBF" w:rsidRPr="00233FBF" w:rsidRDefault="00233FBF" w:rsidP="0053475F">
            <w:pPr>
              <w:tabs>
                <w:tab w:val="left" w:pos="7605"/>
              </w:tabs>
              <w:jc w:val="right"/>
            </w:pPr>
            <w:r w:rsidRPr="00233FBF">
              <w:t>$1,037</w:t>
            </w:r>
          </w:p>
        </w:tc>
        <w:tc>
          <w:tcPr>
            <w:tcW w:w="1339" w:type="dxa"/>
            <w:shd w:val="clear" w:color="auto" w:fill="auto"/>
          </w:tcPr>
          <w:p w:rsidR="00233FBF" w:rsidRPr="00233FBF" w:rsidRDefault="00233FBF" w:rsidP="0053475F">
            <w:pPr>
              <w:tabs>
                <w:tab w:val="left" w:pos="7605"/>
              </w:tabs>
              <w:jc w:val="right"/>
            </w:pPr>
            <w:r w:rsidRPr="00233FBF">
              <w:t>$1,447</w:t>
            </w:r>
          </w:p>
        </w:tc>
        <w:tc>
          <w:tcPr>
            <w:tcW w:w="1273" w:type="dxa"/>
            <w:shd w:val="clear" w:color="auto" w:fill="auto"/>
          </w:tcPr>
          <w:p w:rsidR="00233FBF" w:rsidRPr="00233FBF" w:rsidRDefault="00233FBF" w:rsidP="0053475F">
            <w:pPr>
              <w:tabs>
                <w:tab w:val="left" w:pos="7605"/>
              </w:tabs>
              <w:jc w:val="right"/>
            </w:pPr>
            <w:r w:rsidRPr="00233FBF">
              <w:t>$1,889</w:t>
            </w:r>
          </w:p>
        </w:tc>
      </w:tr>
      <w:tr w:rsidR="00233FBF" w:rsidRPr="00233FBF" w:rsidTr="0053475F">
        <w:tc>
          <w:tcPr>
            <w:tcW w:w="1818" w:type="dxa"/>
            <w:gridSpan w:val="2"/>
            <w:shd w:val="clear" w:color="auto" w:fill="auto"/>
          </w:tcPr>
          <w:p w:rsidR="00233FBF" w:rsidRPr="00233FBF" w:rsidRDefault="00233FBF" w:rsidP="0053475F">
            <w:pPr>
              <w:tabs>
                <w:tab w:val="left" w:pos="7605"/>
              </w:tabs>
            </w:pPr>
            <w:r w:rsidRPr="00233FBF">
              <w:t>December</w:t>
            </w:r>
          </w:p>
        </w:tc>
        <w:tc>
          <w:tcPr>
            <w:tcW w:w="1080" w:type="dxa"/>
            <w:shd w:val="clear" w:color="auto" w:fill="auto"/>
          </w:tcPr>
          <w:p w:rsidR="00233FBF" w:rsidRPr="00233FBF" w:rsidRDefault="00233FBF" w:rsidP="0053475F">
            <w:pPr>
              <w:tabs>
                <w:tab w:val="left" w:pos="7605"/>
              </w:tabs>
              <w:jc w:val="right"/>
            </w:pPr>
            <w:r w:rsidRPr="00233FBF">
              <w:t>$330</w:t>
            </w:r>
          </w:p>
        </w:tc>
        <w:tc>
          <w:tcPr>
            <w:tcW w:w="1350" w:type="dxa"/>
            <w:shd w:val="clear" w:color="auto" w:fill="auto"/>
          </w:tcPr>
          <w:p w:rsidR="00233FBF" w:rsidRPr="00233FBF" w:rsidRDefault="00233FBF" w:rsidP="0053475F">
            <w:pPr>
              <w:tabs>
                <w:tab w:val="left" w:pos="7605"/>
              </w:tabs>
              <w:jc w:val="right"/>
            </w:pPr>
            <w:r w:rsidRPr="00233FBF">
              <w:t>$686</w:t>
            </w:r>
          </w:p>
        </w:tc>
        <w:tc>
          <w:tcPr>
            <w:tcW w:w="1330" w:type="dxa"/>
            <w:shd w:val="clear" w:color="auto" w:fill="auto"/>
          </w:tcPr>
          <w:p w:rsidR="00233FBF" w:rsidRPr="00233FBF" w:rsidRDefault="00233FBF" w:rsidP="0053475F">
            <w:pPr>
              <w:tabs>
                <w:tab w:val="left" w:pos="7605"/>
              </w:tabs>
              <w:jc w:val="right"/>
            </w:pPr>
            <w:r w:rsidRPr="00233FBF">
              <w:t>$1,069</w:t>
            </w:r>
          </w:p>
        </w:tc>
        <w:tc>
          <w:tcPr>
            <w:tcW w:w="1339" w:type="dxa"/>
            <w:shd w:val="clear" w:color="auto" w:fill="auto"/>
          </w:tcPr>
          <w:p w:rsidR="00233FBF" w:rsidRPr="00233FBF" w:rsidRDefault="00233FBF" w:rsidP="0053475F">
            <w:pPr>
              <w:tabs>
                <w:tab w:val="left" w:pos="7605"/>
              </w:tabs>
              <w:jc w:val="right"/>
            </w:pPr>
            <w:r w:rsidRPr="00233FBF">
              <w:t>$1,481</w:t>
            </w:r>
          </w:p>
        </w:tc>
        <w:tc>
          <w:tcPr>
            <w:tcW w:w="1273" w:type="dxa"/>
            <w:shd w:val="clear" w:color="auto" w:fill="auto"/>
          </w:tcPr>
          <w:p w:rsidR="00233FBF" w:rsidRPr="00233FBF" w:rsidRDefault="00233FBF" w:rsidP="0053475F">
            <w:pPr>
              <w:tabs>
                <w:tab w:val="left" w:pos="7605"/>
              </w:tabs>
              <w:jc w:val="right"/>
            </w:pPr>
            <w:r w:rsidRPr="00233FBF">
              <w:t>$1,926</w:t>
            </w:r>
          </w:p>
        </w:tc>
      </w:tr>
      <w:tr w:rsidR="00233FBF" w:rsidRPr="00233FBF" w:rsidTr="0053475F">
        <w:tc>
          <w:tcPr>
            <w:tcW w:w="1818" w:type="dxa"/>
            <w:gridSpan w:val="2"/>
            <w:shd w:val="clear" w:color="auto" w:fill="auto"/>
          </w:tcPr>
          <w:p w:rsidR="00233FBF" w:rsidRPr="00233FBF" w:rsidRDefault="00233FBF" w:rsidP="0053475F">
            <w:pPr>
              <w:tabs>
                <w:tab w:val="left" w:pos="7605"/>
              </w:tabs>
            </w:pPr>
          </w:p>
        </w:tc>
        <w:tc>
          <w:tcPr>
            <w:tcW w:w="1080" w:type="dxa"/>
            <w:shd w:val="clear" w:color="auto" w:fill="auto"/>
          </w:tcPr>
          <w:p w:rsidR="00233FBF" w:rsidRPr="00233FBF" w:rsidRDefault="00233FBF" w:rsidP="0053475F">
            <w:pPr>
              <w:tabs>
                <w:tab w:val="left" w:pos="7605"/>
              </w:tabs>
              <w:jc w:val="right"/>
            </w:pPr>
          </w:p>
        </w:tc>
        <w:tc>
          <w:tcPr>
            <w:tcW w:w="1350" w:type="dxa"/>
            <w:shd w:val="clear" w:color="auto" w:fill="auto"/>
          </w:tcPr>
          <w:p w:rsidR="00233FBF" w:rsidRPr="00233FBF" w:rsidRDefault="00233FBF" w:rsidP="0053475F">
            <w:pPr>
              <w:tabs>
                <w:tab w:val="left" w:pos="7605"/>
              </w:tabs>
              <w:jc w:val="right"/>
            </w:pPr>
          </w:p>
        </w:tc>
        <w:tc>
          <w:tcPr>
            <w:tcW w:w="1330" w:type="dxa"/>
            <w:shd w:val="clear" w:color="auto" w:fill="auto"/>
          </w:tcPr>
          <w:p w:rsidR="00233FBF" w:rsidRPr="00233FBF" w:rsidRDefault="00233FBF" w:rsidP="0053475F">
            <w:pPr>
              <w:tabs>
                <w:tab w:val="left" w:pos="7605"/>
              </w:tabs>
              <w:jc w:val="right"/>
            </w:pPr>
          </w:p>
        </w:tc>
        <w:tc>
          <w:tcPr>
            <w:tcW w:w="1339" w:type="dxa"/>
            <w:shd w:val="clear" w:color="auto" w:fill="auto"/>
          </w:tcPr>
          <w:p w:rsidR="00233FBF" w:rsidRPr="00233FBF" w:rsidRDefault="00233FBF" w:rsidP="0053475F">
            <w:pPr>
              <w:tabs>
                <w:tab w:val="left" w:pos="7605"/>
              </w:tabs>
              <w:jc w:val="right"/>
            </w:pPr>
          </w:p>
        </w:tc>
        <w:tc>
          <w:tcPr>
            <w:tcW w:w="1273" w:type="dxa"/>
            <w:shd w:val="clear" w:color="auto" w:fill="auto"/>
          </w:tcPr>
          <w:p w:rsidR="00233FBF" w:rsidRPr="00233FBF" w:rsidRDefault="00233FBF" w:rsidP="0053475F">
            <w:pPr>
              <w:tabs>
                <w:tab w:val="left" w:pos="7605"/>
              </w:tabs>
              <w:jc w:val="right"/>
            </w:pPr>
          </w:p>
        </w:tc>
      </w:tr>
      <w:tr w:rsidR="00233FBF" w:rsidRPr="00233FBF" w:rsidTr="0053475F">
        <w:trPr>
          <w:trHeight w:val="354"/>
        </w:trPr>
        <w:tc>
          <w:tcPr>
            <w:tcW w:w="468" w:type="dxa"/>
            <w:shd w:val="clear" w:color="auto" w:fill="auto"/>
          </w:tcPr>
          <w:p w:rsidR="00233FBF" w:rsidRPr="00233FBF" w:rsidRDefault="00233FBF" w:rsidP="0053475F">
            <w:pPr>
              <w:tabs>
                <w:tab w:val="left" w:pos="7605"/>
              </w:tabs>
            </w:pPr>
            <w:r w:rsidRPr="00233FBF">
              <w:t>1.</w:t>
            </w:r>
          </w:p>
        </w:tc>
        <w:tc>
          <w:tcPr>
            <w:tcW w:w="7722" w:type="dxa"/>
            <w:gridSpan w:val="6"/>
            <w:shd w:val="clear" w:color="auto" w:fill="auto"/>
          </w:tcPr>
          <w:p w:rsidR="00233FBF" w:rsidRPr="00233FBF" w:rsidRDefault="00233FBF" w:rsidP="0053475F">
            <w:pPr>
              <w:tabs>
                <w:tab w:val="left" w:pos="7605"/>
              </w:tabs>
            </w:pPr>
            <w:r w:rsidRPr="00233FBF">
              <w:t>The amounts indicated above are per ERC. (ERC=350)</w:t>
            </w:r>
          </w:p>
        </w:tc>
      </w:tr>
      <w:tr w:rsidR="00233FBF" w:rsidRPr="00233FBF" w:rsidTr="0053475F">
        <w:trPr>
          <w:trHeight w:val="352"/>
        </w:trPr>
        <w:tc>
          <w:tcPr>
            <w:tcW w:w="468" w:type="dxa"/>
            <w:shd w:val="clear" w:color="auto" w:fill="auto"/>
          </w:tcPr>
          <w:p w:rsidR="00233FBF" w:rsidRPr="00233FBF" w:rsidRDefault="00233FBF" w:rsidP="0053475F">
            <w:pPr>
              <w:tabs>
                <w:tab w:val="left" w:pos="7605"/>
              </w:tabs>
            </w:pPr>
            <w:r w:rsidRPr="00233FBF">
              <w:t>2.</w:t>
            </w:r>
          </w:p>
        </w:tc>
        <w:tc>
          <w:tcPr>
            <w:tcW w:w="7722" w:type="dxa"/>
            <w:gridSpan w:val="6"/>
            <w:shd w:val="clear" w:color="auto" w:fill="auto"/>
          </w:tcPr>
          <w:p w:rsidR="00233FBF" w:rsidRPr="00233FBF" w:rsidRDefault="00233FBF" w:rsidP="0053475F">
            <w:pPr>
              <w:tabs>
                <w:tab w:val="left" w:pos="7605"/>
              </w:tabs>
            </w:pPr>
            <w:r w:rsidRPr="00233FBF">
              <w:t>The number of remaining ERCs is 422 as of 1/1/2006.</w:t>
            </w:r>
          </w:p>
        </w:tc>
      </w:tr>
      <w:tr w:rsidR="00233FBF" w:rsidRPr="00233FBF" w:rsidTr="0053475F">
        <w:trPr>
          <w:trHeight w:val="352"/>
        </w:trPr>
        <w:tc>
          <w:tcPr>
            <w:tcW w:w="468" w:type="dxa"/>
            <w:shd w:val="clear" w:color="auto" w:fill="auto"/>
          </w:tcPr>
          <w:p w:rsidR="00233FBF" w:rsidRPr="00233FBF" w:rsidRDefault="00233FBF" w:rsidP="0053475F">
            <w:pPr>
              <w:tabs>
                <w:tab w:val="left" w:pos="7605"/>
              </w:tabs>
            </w:pPr>
            <w:r w:rsidRPr="00233FBF">
              <w:t>3.</w:t>
            </w:r>
          </w:p>
        </w:tc>
        <w:tc>
          <w:tcPr>
            <w:tcW w:w="7722" w:type="dxa"/>
            <w:gridSpan w:val="6"/>
            <w:shd w:val="clear" w:color="auto" w:fill="auto"/>
          </w:tcPr>
          <w:p w:rsidR="00233FBF" w:rsidRPr="00233FBF" w:rsidRDefault="00233FBF" w:rsidP="0053475F">
            <w:pPr>
              <w:tabs>
                <w:tab w:val="left" w:pos="7605"/>
              </w:tabs>
              <w:jc w:val="both"/>
            </w:pPr>
            <w:r w:rsidRPr="00233FBF">
              <w:t>If the number of the remaining ERCs has not connected by December 31, 2010, the maximum charge of $1,926 remains in effect after December 31, 2008.</w:t>
            </w:r>
          </w:p>
        </w:tc>
      </w:tr>
      <w:tr w:rsidR="00233FBF" w:rsidRPr="00233FBF" w:rsidTr="0053475F">
        <w:trPr>
          <w:trHeight w:val="352"/>
        </w:trPr>
        <w:tc>
          <w:tcPr>
            <w:tcW w:w="468" w:type="dxa"/>
            <w:shd w:val="clear" w:color="auto" w:fill="auto"/>
          </w:tcPr>
          <w:p w:rsidR="00233FBF" w:rsidRPr="00233FBF" w:rsidRDefault="00233FBF" w:rsidP="0053475F">
            <w:pPr>
              <w:tabs>
                <w:tab w:val="left" w:pos="7605"/>
              </w:tabs>
            </w:pPr>
            <w:r w:rsidRPr="00233FBF">
              <w:t>4.</w:t>
            </w:r>
          </w:p>
        </w:tc>
        <w:tc>
          <w:tcPr>
            <w:tcW w:w="7722" w:type="dxa"/>
            <w:gridSpan w:val="6"/>
            <w:shd w:val="clear" w:color="auto" w:fill="auto"/>
          </w:tcPr>
          <w:p w:rsidR="00233FBF" w:rsidRPr="00233FBF" w:rsidRDefault="00233FBF" w:rsidP="0053475F">
            <w:pPr>
              <w:tabs>
                <w:tab w:val="left" w:pos="7605"/>
              </w:tabs>
            </w:pPr>
            <w:r w:rsidRPr="00233FBF">
              <w:t>When the number of remaining ERCs have connected, the charge will cease.</w:t>
            </w:r>
          </w:p>
        </w:tc>
      </w:tr>
    </w:tbl>
    <w:p w:rsidR="00707443" w:rsidRPr="00707443" w:rsidRDefault="00707443" w:rsidP="00481A9A">
      <w:pPr>
        <w:pStyle w:val="OrderBody"/>
      </w:pPr>
    </w:p>
    <w:sectPr w:rsidR="00707443" w:rsidRPr="00707443" w:rsidSect="00233FBF">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5CE" w:rsidRDefault="003E25CE">
      <w:r>
        <w:separator/>
      </w:r>
    </w:p>
  </w:endnote>
  <w:endnote w:type="continuationSeparator" w:id="0">
    <w:p w:rsidR="003E25CE" w:rsidRDefault="003E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CE" w:rsidRDefault="003E25CE">
    <w:pPr>
      <w:pStyle w:val="Footer"/>
    </w:pPr>
  </w:p>
  <w:p w:rsidR="003E25CE" w:rsidRDefault="003E2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5CE" w:rsidRDefault="003E25CE">
      <w:r>
        <w:separator/>
      </w:r>
    </w:p>
  </w:footnote>
  <w:footnote w:type="continuationSeparator" w:id="0">
    <w:p w:rsidR="003E25CE" w:rsidRDefault="003E25CE">
      <w:r>
        <w:continuationSeparator/>
      </w:r>
    </w:p>
  </w:footnote>
  <w:footnote w:id="1">
    <w:p w:rsidR="003E25CE" w:rsidRPr="00D77F9A" w:rsidRDefault="003E25CE" w:rsidP="00481A9A">
      <w:pPr>
        <w:pStyle w:val="FootnoteText"/>
      </w:pPr>
      <w:r>
        <w:rPr>
          <w:rStyle w:val="FootnoteReference"/>
        </w:rPr>
        <w:footnoteRef/>
      </w:r>
      <w:r>
        <w:t xml:space="preserve">Order No. </w:t>
      </w:r>
      <w:r w:rsidRPr="00891222">
        <w:t>11868</w:t>
      </w:r>
      <w:r>
        <w:t xml:space="preserve">, issued April 21, 1983, in Docket No. 810369-WU, </w:t>
      </w:r>
      <w:r w:rsidRPr="00CA4922">
        <w:rPr>
          <w:u w:val="single"/>
        </w:rPr>
        <w:t>In re: Application of Bahia Oaks, Inc. d/b/a County-Wide Utility Company, Inc. for a certificate to operate a water utility in Marion County</w:t>
      </w:r>
      <w:r w:rsidRPr="00DD44E9">
        <w:t>.</w:t>
      </w:r>
    </w:p>
  </w:footnote>
  <w:footnote w:id="2">
    <w:p w:rsidR="003E25CE" w:rsidRDefault="003E25CE" w:rsidP="00481A9A">
      <w:pPr>
        <w:pStyle w:val="FootnoteText"/>
      </w:pPr>
      <w:r>
        <w:rPr>
          <w:rStyle w:val="FootnoteReference"/>
        </w:rPr>
        <w:footnoteRef/>
      </w:r>
      <w:r>
        <w:t xml:space="preserve">Order No. </w:t>
      </w:r>
      <w:r w:rsidRPr="00EA527E">
        <w:t>PSC-97-0578-FOF-WU</w:t>
      </w:r>
      <w:r>
        <w:t xml:space="preserve">, issued May 20, 1997, in Docket No. 970085-WU, </w:t>
      </w:r>
      <w:r w:rsidRPr="00CA4922">
        <w:rPr>
          <w:u w:val="single"/>
        </w:rPr>
        <w:t>In re: Application for amendment of Certificate No. 390-W to extend service territory to include unit numbers 3, 4, and 5 of Bahia Oaks Subdivision in Marion County by Countywide Utility Company</w:t>
      </w:r>
      <w:r w:rsidRPr="00DD44E9">
        <w:t>.</w:t>
      </w:r>
    </w:p>
  </w:footnote>
  <w:footnote w:id="3">
    <w:p w:rsidR="003E25CE" w:rsidRPr="00D77F9A" w:rsidRDefault="003E25CE" w:rsidP="00481A9A">
      <w:pPr>
        <w:pStyle w:val="FootnoteText"/>
      </w:pPr>
      <w:r>
        <w:rPr>
          <w:rStyle w:val="FootnoteReference"/>
        </w:rPr>
        <w:footnoteRef/>
      </w:r>
      <w:r>
        <w:t xml:space="preserve">Order No. </w:t>
      </w:r>
      <w:r w:rsidRPr="00B42F17">
        <w:t>PSC-07-0604-PAA-WU</w:t>
      </w:r>
      <w:r>
        <w:t xml:space="preserve">, issued </w:t>
      </w:r>
      <w:r w:rsidRPr="00B42F17">
        <w:t>July 30, 2007</w:t>
      </w:r>
      <w:r>
        <w:t xml:space="preserve">, in Docket No. 050862-WU, </w:t>
      </w:r>
      <w:r w:rsidRPr="00481A9A">
        <w:rPr>
          <w:u w:val="single"/>
        </w:rPr>
        <w:t>In re: Application for staff-assisted rate case in Marion County by County-Wide Utility Co., Inc</w:t>
      </w:r>
      <w:r w:rsidRPr="00CA4922">
        <w:rPr>
          <w:i/>
          <w:u w:val="single"/>
        </w:rPr>
        <w:t>.</w:t>
      </w:r>
    </w:p>
  </w:footnote>
  <w:footnote w:id="4">
    <w:p w:rsidR="003E25CE" w:rsidRDefault="003E25CE" w:rsidP="00481A9A">
      <w:pPr>
        <w:pStyle w:val="FootnoteText"/>
      </w:pPr>
      <w:r>
        <w:rPr>
          <w:rStyle w:val="FootnoteReference"/>
        </w:rPr>
        <w:footnoteRef/>
      </w:r>
      <w:r>
        <w:t xml:space="preserve">Order No. PSC-07-0604-PAA-WU, issued July 30, 2007, in Docket No. 050862-WU, </w:t>
      </w:r>
      <w:r w:rsidRPr="00481A9A">
        <w:rPr>
          <w:u w:val="single"/>
        </w:rPr>
        <w:t>In re: Application for staff-assisted rate case in Marion County by County-Wide Utility Co., Inc</w:t>
      </w:r>
      <w:r>
        <w:rPr>
          <w:i/>
        </w:rPr>
        <w:t>.</w:t>
      </w:r>
      <w:r w:rsidRPr="00270C29">
        <w:rPr>
          <w:i/>
        </w:rPr>
        <w:t xml:space="preserve"> </w:t>
      </w:r>
    </w:p>
  </w:footnote>
  <w:footnote w:id="5">
    <w:p w:rsidR="003E25CE" w:rsidRDefault="003E25CE" w:rsidP="00233FBF">
      <w:pPr>
        <w:pStyle w:val="FootnoteText"/>
      </w:pPr>
      <w:r>
        <w:rPr>
          <w:rStyle w:val="FootnoteReference"/>
        </w:rPr>
        <w:footnoteRef/>
      </w:r>
      <w:r>
        <w:t>Equivalent residential connection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CE" w:rsidRDefault="003E25CE" w:rsidP="00233FBF">
    <w:pPr>
      <w:pStyle w:val="OrderHeader"/>
      <w:tabs>
        <w:tab w:val="clear" w:pos="4320"/>
        <w:tab w:val="clear" w:pos="8640"/>
        <w:tab w:val="right" w:pos="9360"/>
      </w:tabs>
    </w:pPr>
    <w:r>
      <w:t xml:space="preserve">ORDER NO. </w:t>
    </w:r>
    <w:fldSimple w:instr=" REF OrderNo0311 ">
      <w:r w:rsidR="003B719B">
        <w:t>PSC-2017-0311-FOF-WU</w:t>
      </w:r>
    </w:fldSimple>
    <w:r>
      <w:tab/>
    </w:r>
  </w:p>
  <w:p w:rsidR="003E25CE" w:rsidRDefault="003E25CE" w:rsidP="00233FBF">
    <w:pPr>
      <w:pStyle w:val="OrderHeader"/>
      <w:tabs>
        <w:tab w:val="clear" w:pos="4320"/>
        <w:tab w:val="clear" w:pos="8640"/>
        <w:tab w:val="right" w:pos="9360"/>
      </w:tabs>
    </w:pPr>
    <w:bookmarkStart w:id="9" w:name="HeaderDocketNo"/>
    <w:bookmarkEnd w:id="9"/>
    <w:r>
      <w:t>DOCKET NO. 20150012-WU</w:t>
    </w:r>
    <w:r>
      <w:tab/>
    </w:r>
  </w:p>
  <w:p w:rsidR="003E25CE" w:rsidRDefault="003E25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19B">
      <w:rPr>
        <w:rStyle w:val="PageNumber"/>
        <w:noProof/>
      </w:rPr>
      <w:t>6</w:t>
    </w:r>
    <w:r>
      <w:rPr>
        <w:rStyle w:val="PageNumber"/>
      </w:rPr>
      <w:fldChar w:fldCharType="end"/>
    </w:r>
    <w:r>
      <w:rPr>
        <w:rStyle w:val="PageNumber"/>
      </w:rPr>
      <w:tab/>
    </w:r>
  </w:p>
  <w:p w:rsidR="003E25CE" w:rsidRDefault="003E25CE">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CE" w:rsidRDefault="003E25CE" w:rsidP="007E5A58">
    <w:pPr>
      <w:pStyle w:val="OrderHeader"/>
      <w:tabs>
        <w:tab w:val="clear" w:pos="4320"/>
        <w:tab w:val="clear" w:pos="8640"/>
        <w:tab w:val="left" w:pos="1665"/>
        <w:tab w:val="right" w:pos="9360"/>
      </w:tabs>
    </w:pPr>
    <w:r>
      <w:t xml:space="preserve">ORDER NO. </w:t>
    </w:r>
    <w:r w:rsidR="007E5A58" w:rsidRPr="007E5A58">
      <w:t>PSC-2017-0311-FOF-WU</w:t>
    </w:r>
    <w:r w:rsidR="007E5A58">
      <w:tab/>
    </w:r>
    <w:r>
      <w:t>Attachment A</w:t>
    </w:r>
  </w:p>
  <w:p w:rsidR="003E25CE" w:rsidRDefault="003E25CE" w:rsidP="00233FBF">
    <w:pPr>
      <w:pStyle w:val="OrderHeader"/>
      <w:tabs>
        <w:tab w:val="clear" w:pos="4320"/>
        <w:tab w:val="clear" w:pos="8640"/>
        <w:tab w:val="right" w:pos="9360"/>
      </w:tabs>
    </w:pPr>
    <w:r>
      <w:t>DOCKET NO. 20150012-WU</w:t>
    </w:r>
    <w:r>
      <w:tab/>
      <w:t>Page 1 of 2</w:t>
    </w:r>
  </w:p>
  <w:p w:rsidR="003E25CE" w:rsidRDefault="003E25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19B">
      <w:rPr>
        <w:rStyle w:val="PageNumber"/>
        <w:noProof/>
      </w:rPr>
      <w:t>7</w:t>
    </w:r>
    <w:r>
      <w:rPr>
        <w:rStyle w:val="PageNumber"/>
      </w:rPr>
      <w:fldChar w:fldCharType="end"/>
    </w:r>
    <w:r>
      <w:rPr>
        <w:rStyle w:val="PageNumber"/>
      </w:rPr>
      <w:tab/>
    </w:r>
  </w:p>
  <w:p w:rsidR="003E25CE" w:rsidRDefault="003E25CE">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CE" w:rsidRDefault="003E25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CE" w:rsidRDefault="003E25CE" w:rsidP="00233FBF">
    <w:pPr>
      <w:pStyle w:val="OrderHeader"/>
      <w:tabs>
        <w:tab w:val="clear" w:pos="4320"/>
        <w:tab w:val="clear" w:pos="8640"/>
        <w:tab w:val="right" w:pos="9360"/>
      </w:tabs>
    </w:pPr>
    <w:r>
      <w:t>ORDER NO.</w:t>
    </w:r>
    <w:r w:rsidR="007E5A58" w:rsidRPr="007E5A58">
      <w:t xml:space="preserve"> PSC-2017-0311-FOF-WU</w:t>
    </w:r>
    <w:r w:rsidR="007E5A58">
      <w:t xml:space="preserve"> </w:t>
    </w:r>
    <w:r>
      <w:t xml:space="preserve"> </w:t>
    </w:r>
    <w:r>
      <w:tab/>
      <w:t>Attachment A</w:t>
    </w:r>
  </w:p>
  <w:p w:rsidR="003E25CE" w:rsidRDefault="003E25CE" w:rsidP="00233FBF">
    <w:pPr>
      <w:pStyle w:val="OrderHeader"/>
      <w:tabs>
        <w:tab w:val="clear" w:pos="4320"/>
        <w:tab w:val="clear" w:pos="8640"/>
        <w:tab w:val="right" w:pos="9360"/>
      </w:tabs>
    </w:pPr>
    <w:r>
      <w:t>DOCKET NO. 20150012-WU</w:t>
    </w:r>
    <w:r>
      <w:tab/>
      <w:t>Page 2 of 2</w:t>
    </w:r>
  </w:p>
  <w:p w:rsidR="003E25CE" w:rsidRDefault="003E25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19B">
      <w:rPr>
        <w:rStyle w:val="PageNumber"/>
        <w:noProof/>
      </w:rPr>
      <w:t>8</w:t>
    </w:r>
    <w:r>
      <w:rPr>
        <w:rStyle w:val="PageNumber"/>
      </w:rPr>
      <w:fldChar w:fldCharType="end"/>
    </w:r>
    <w:r>
      <w:rPr>
        <w:rStyle w:val="PageNumber"/>
      </w:rPr>
      <w:tab/>
    </w:r>
  </w:p>
  <w:p w:rsidR="003E25CE" w:rsidRDefault="003E25CE">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CE" w:rsidRDefault="003E25CE" w:rsidP="00233FBF">
    <w:pPr>
      <w:pStyle w:val="OrderHeader"/>
      <w:tabs>
        <w:tab w:val="clear" w:pos="4320"/>
        <w:tab w:val="clear" w:pos="8640"/>
        <w:tab w:val="right" w:pos="9360"/>
      </w:tabs>
    </w:pPr>
    <w:r>
      <w:t xml:space="preserve">ORDER NO. </w:t>
    </w:r>
    <w:r w:rsidR="007E5A58" w:rsidRPr="007E5A58">
      <w:t>PSC-2017-0311-FOF-WU</w:t>
    </w:r>
    <w:r>
      <w:tab/>
      <w:t>Schedule No. 1</w:t>
    </w:r>
  </w:p>
  <w:p w:rsidR="003E25CE" w:rsidRDefault="003E25CE" w:rsidP="00233FBF">
    <w:pPr>
      <w:pStyle w:val="OrderHeader"/>
      <w:tabs>
        <w:tab w:val="clear" w:pos="4320"/>
        <w:tab w:val="clear" w:pos="8640"/>
        <w:tab w:val="right" w:pos="9360"/>
      </w:tabs>
    </w:pPr>
    <w:r>
      <w:t>DOCKET NO. 20150012-WU</w:t>
    </w:r>
    <w:r>
      <w:tab/>
      <w:t>Page 1 of 2</w:t>
    </w:r>
  </w:p>
  <w:p w:rsidR="003E25CE" w:rsidRDefault="003E25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19B">
      <w:rPr>
        <w:rStyle w:val="PageNumber"/>
        <w:noProof/>
      </w:rPr>
      <w:t>9</w:t>
    </w:r>
    <w:r>
      <w:rPr>
        <w:rStyle w:val="PageNumber"/>
      </w:rPr>
      <w:fldChar w:fldCharType="end"/>
    </w:r>
    <w:r>
      <w:rPr>
        <w:rStyle w:val="PageNumber"/>
      </w:rPr>
      <w:tab/>
    </w:r>
  </w:p>
  <w:p w:rsidR="003E25CE" w:rsidRDefault="003E25CE">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CE" w:rsidRDefault="003E25CE" w:rsidP="00233FBF">
    <w:pPr>
      <w:pStyle w:val="OrderHeader"/>
      <w:tabs>
        <w:tab w:val="clear" w:pos="4320"/>
        <w:tab w:val="clear" w:pos="8640"/>
        <w:tab w:val="right" w:pos="9360"/>
      </w:tabs>
    </w:pPr>
    <w:r>
      <w:t xml:space="preserve">ORDER NO. </w:t>
    </w:r>
    <w:r w:rsidR="007E5A58" w:rsidRPr="007E5A58">
      <w:t>PSC-2017-0311-FOF-WU</w:t>
    </w:r>
    <w:r>
      <w:tab/>
      <w:t xml:space="preserve">Schedule No. </w:t>
    </w:r>
    <w:r w:rsidR="009A745E">
      <w:t>1</w:t>
    </w:r>
  </w:p>
  <w:p w:rsidR="003E25CE" w:rsidRDefault="003E25CE" w:rsidP="00233FBF">
    <w:pPr>
      <w:pStyle w:val="OrderHeader"/>
      <w:tabs>
        <w:tab w:val="clear" w:pos="4320"/>
        <w:tab w:val="clear" w:pos="8640"/>
        <w:tab w:val="right" w:pos="9360"/>
      </w:tabs>
    </w:pPr>
    <w:r>
      <w:t>DOCKET NO. 20150012-WU</w:t>
    </w:r>
    <w:r>
      <w:tab/>
      <w:t xml:space="preserve">Page </w:t>
    </w:r>
    <w:r w:rsidR="009A745E">
      <w:t>2</w:t>
    </w:r>
    <w:r>
      <w:t xml:space="preserve"> of </w:t>
    </w:r>
    <w:r w:rsidR="009A745E">
      <w:t>2</w:t>
    </w:r>
  </w:p>
  <w:p w:rsidR="003E25CE" w:rsidRDefault="003E25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19B">
      <w:rPr>
        <w:rStyle w:val="PageNumber"/>
        <w:noProof/>
      </w:rPr>
      <w:t>10</w:t>
    </w:r>
    <w:r>
      <w:rPr>
        <w:rStyle w:val="PageNumber"/>
      </w:rPr>
      <w:fldChar w:fldCharType="end"/>
    </w:r>
    <w:r>
      <w:rPr>
        <w:rStyle w:val="PageNumber"/>
      </w:rPr>
      <w:tab/>
    </w:r>
  </w:p>
  <w:p w:rsidR="003E25CE" w:rsidRDefault="003E25CE">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94E"/>
    <w:multiLevelType w:val="hybridMultilevel"/>
    <w:tmpl w:val="20A01328"/>
    <w:lvl w:ilvl="0" w:tplc="32381B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D80E7F"/>
    <w:multiLevelType w:val="hybridMultilevel"/>
    <w:tmpl w:val="C1B2747C"/>
    <w:lvl w:ilvl="0" w:tplc="932ED9D8">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7D228F"/>
    <w:multiLevelType w:val="hybridMultilevel"/>
    <w:tmpl w:val="FCC22FC2"/>
    <w:lvl w:ilvl="0" w:tplc="C0C4ADE2">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0C1956"/>
    <w:multiLevelType w:val="hybridMultilevel"/>
    <w:tmpl w:val="B3241B22"/>
    <w:lvl w:ilvl="0" w:tplc="C0C4ADE2">
      <w:start w:val="1"/>
      <w:numFmt w:val="upperRoman"/>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nsid w:val="44634193"/>
    <w:multiLevelType w:val="hybridMultilevel"/>
    <w:tmpl w:val="CFEE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8F4E3A"/>
    <w:multiLevelType w:val="hybridMultilevel"/>
    <w:tmpl w:val="C1B2747C"/>
    <w:lvl w:ilvl="0" w:tplc="932ED9D8">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012-WU"/>
  </w:docVars>
  <w:rsids>
    <w:rsidRoot w:val="00481A9A"/>
    <w:rsid w:val="000022B8"/>
    <w:rsid w:val="00007784"/>
    <w:rsid w:val="00012BFB"/>
    <w:rsid w:val="00042B72"/>
    <w:rsid w:val="00053AB9"/>
    <w:rsid w:val="00056229"/>
    <w:rsid w:val="00065FC2"/>
    <w:rsid w:val="00067685"/>
    <w:rsid w:val="00090AFC"/>
    <w:rsid w:val="000D02B8"/>
    <w:rsid w:val="000D06E8"/>
    <w:rsid w:val="000E20F0"/>
    <w:rsid w:val="000E344D"/>
    <w:rsid w:val="000F3B2C"/>
    <w:rsid w:val="000F648A"/>
    <w:rsid w:val="000F7BE3"/>
    <w:rsid w:val="001105F8"/>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58E5"/>
    <w:rsid w:val="002170E5"/>
    <w:rsid w:val="00220D57"/>
    <w:rsid w:val="00221C96"/>
    <w:rsid w:val="0022721A"/>
    <w:rsid w:val="00230BB9"/>
    <w:rsid w:val="00233FBF"/>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475"/>
    <w:rsid w:val="00331ED0"/>
    <w:rsid w:val="00332B0A"/>
    <w:rsid w:val="00333A41"/>
    <w:rsid w:val="0035495B"/>
    <w:rsid w:val="003723B7"/>
    <w:rsid w:val="003744F5"/>
    <w:rsid w:val="00390DD8"/>
    <w:rsid w:val="00394DC6"/>
    <w:rsid w:val="00397C3E"/>
    <w:rsid w:val="003B719B"/>
    <w:rsid w:val="003D4CCA"/>
    <w:rsid w:val="003D52A6"/>
    <w:rsid w:val="003D6416"/>
    <w:rsid w:val="003E1D48"/>
    <w:rsid w:val="003E25CE"/>
    <w:rsid w:val="00411DF2"/>
    <w:rsid w:val="0042527B"/>
    <w:rsid w:val="004514BA"/>
    <w:rsid w:val="00457DC7"/>
    <w:rsid w:val="00472BCC"/>
    <w:rsid w:val="00481A9A"/>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27C9A"/>
    <w:rsid w:val="0053475F"/>
    <w:rsid w:val="00556A10"/>
    <w:rsid w:val="00590845"/>
    <w:rsid w:val="005963C2"/>
    <w:rsid w:val="005B45F7"/>
    <w:rsid w:val="005B63EA"/>
    <w:rsid w:val="005B68A2"/>
    <w:rsid w:val="005C1A88"/>
    <w:rsid w:val="005C5033"/>
    <w:rsid w:val="00610E73"/>
    <w:rsid w:val="00632286"/>
    <w:rsid w:val="00660774"/>
    <w:rsid w:val="0066389A"/>
    <w:rsid w:val="0066495C"/>
    <w:rsid w:val="00665CC7"/>
    <w:rsid w:val="00672612"/>
    <w:rsid w:val="0069201B"/>
    <w:rsid w:val="006A0BF3"/>
    <w:rsid w:val="006B0DA6"/>
    <w:rsid w:val="006C547E"/>
    <w:rsid w:val="00704C5D"/>
    <w:rsid w:val="007072BC"/>
    <w:rsid w:val="00707443"/>
    <w:rsid w:val="00713980"/>
    <w:rsid w:val="00715275"/>
    <w:rsid w:val="00733B6B"/>
    <w:rsid w:val="00741BA6"/>
    <w:rsid w:val="007467C4"/>
    <w:rsid w:val="00754A23"/>
    <w:rsid w:val="0076170F"/>
    <w:rsid w:val="0076669C"/>
    <w:rsid w:val="007865E9"/>
    <w:rsid w:val="00792383"/>
    <w:rsid w:val="007A060F"/>
    <w:rsid w:val="007C36E3"/>
    <w:rsid w:val="007C7134"/>
    <w:rsid w:val="007D3D20"/>
    <w:rsid w:val="007D6EF7"/>
    <w:rsid w:val="007E3AFD"/>
    <w:rsid w:val="007E5A58"/>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5D4B"/>
    <w:rsid w:val="008A12EC"/>
    <w:rsid w:val="008B0DAD"/>
    <w:rsid w:val="008C21C8"/>
    <w:rsid w:val="008C6375"/>
    <w:rsid w:val="008C6A5B"/>
    <w:rsid w:val="008E26A5"/>
    <w:rsid w:val="008E42D2"/>
    <w:rsid w:val="009040EE"/>
    <w:rsid w:val="009057FD"/>
    <w:rsid w:val="00906FBA"/>
    <w:rsid w:val="009228C7"/>
    <w:rsid w:val="00922A7F"/>
    <w:rsid w:val="00923A5E"/>
    <w:rsid w:val="0093042C"/>
    <w:rsid w:val="00931C8C"/>
    <w:rsid w:val="0094504B"/>
    <w:rsid w:val="00967596"/>
    <w:rsid w:val="009924CF"/>
    <w:rsid w:val="00994100"/>
    <w:rsid w:val="009A745E"/>
    <w:rsid w:val="009D4C29"/>
    <w:rsid w:val="00A00D8D"/>
    <w:rsid w:val="00A21979"/>
    <w:rsid w:val="00A23E45"/>
    <w:rsid w:val="00A62DAB"/>
    <w:rsid w:val="00A726A6"/>
    <w:rsid w:val="00A97535"/>
    <w:rsid w:val="00AA2075"/>
    <w:rsid w:val="00AA73F1"/>
    <w:rsid w:val="00AB0E1A"/>
    <w:rsid w:val="00AB1A30"/>
    <w:rsid w:val="00AD1ED3"/>
    <w:rsid w:val="00B0777D"/>
    <w:rsid w:val="00B209C7"/>
    <w:rsid w:val="00B4057A"/>
    <w:rsid w:val="00B40894"/>
    <w:rsid w:val="00B45E75"/>
    <w:rsid w:val="00B50876"/>
    <w:rsid w:val="00B55EE5"/>
    <w:rsid w:val="00B6542B"/>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4922"/>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D44E9"/>
    <w:rsid w:val="00DE057F"/>
    <w:rsid w:val="00DE2082"/>
    <w:rsid w:val="00DE2289"/>
    <w:rsid w:val="00E03A76"/>
    <w:rsid w:val="00E04410"/>
    <w:rsid w:val="00E11351"/>
    <w:rsid w:val="00E75AE0"/>
    <w:rsid w:val="00E874AF"/>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3B07"/>
    <w:rsid w:val="00FE53F2"/>
    <w:rsid w:val="00FF04A6"/>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33FBF"/>
  </w:style>
  <w:style w:type="paragraph" w:styleId="ListParagraph">
    <w:name w:val="List Paragraph"/>
    <w:basedOn w:val="Normal"/>
    <w:uiPriority w:val="34"/>
    <w:qFormat/>
    <w:rsid w:val="00707443"/>
    <w:pPr>
      <w:ind w:left="720"/>
      <w:contextualSpacing/>
    </w:pPr>
  </w:style>
  <w:style w:type="paragraph" w:styleId="BalloonText">
    <w:name w:val="Balloon Text"/>
    <w:basedOn w:val="Normal"/>
    <w:link w:val="BalloonTextChar"/>
    <w:rsid w:val="00DD44E9"/>
    <w:rPr>
      <w:rFonts w:ascii="Tahoma" w:hAnsi="Tahoma" w:cs="Tahoma"/>
      <w:sz w:val="16"/>
      <w:szCs w:val="16"/>
    </w:rPr>
  </w:style>
  <w:style w:type="character" w:customStyle="1" w:styleId="BalloonTextChar">
    <w:name w:val="Balloon Text Char"/>
    <w:basedOn w:val="DefaultParagraphFont"/>
    <w:link w:val="BalloonText"/>
    <w:rsid w:val="00DD44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33FBF"/>
  </w:style>
  <w:style w:type="paragraph" w:styleId="ListParagraph">
    <w:name w:val="List Paragraph"/>
    <w:basedOn w:val="Normal"/>
    <w:uiPriority w:val="34"/>
    <w:qFormat/>
    <w:rsid w:val="00707443"/>
    <w:pPr>
      <w:ind w:left="720"/>
      <w:contextualSpacing/>
    </w:pPr>
  </w:style>
  <w:style w:type="paragraph" w:styleId="BalloonText">
    <w:name w:val="Balloon Text"/>
    <w:basedOn w:val="Normal"/>
    <w:link w:val="BalloonTextChar"/>
    <w:rsid w:val="00DD44E9"/>
    <w:rPr>
      <w:rFonts w:ascii="Tahoma" w:hAnsi="Tahoma" w:cs="Tahoma"/>
      <w:sz w:val="16"/>
      <w:szCs w:val="16"/>
    </w:rPr>
  </w:style>
  <w:style w:type="character" w:customStyle="1" w:styleId="BalloonTextChar">
    <w:name w:val="Balloon Text Char"/>
    <w:basedOn w:val="DefaultParagraphFont"/>
    <w:link w:val="BalloonText"/>
    <w:rsid w:val="00DD4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63763607">
      <w:bodyDiv w:val="1"/>
      <w:marLeft w:val="0"/>
      <w:marRight w:val="0"/>
      <w:marTop w:val="0"/>
      <w:marBottom w:val="0"/>
      <w:divBdr>
        <w:top w:val="none" w:sz="0" w:space="0" w:color="auto"/>
        <w:left w:val="none" w:sz="0" w:space="0" w:color="auto"/>
        <w:bottom w:val="none" w:sz="0" w:space="0" w:color="auto"/>
        <w:right w:val="none" w:sz="0" w:space="0" w:color="auto"/>
      </w:divBdr>
    </w:div>
    <w:div w:id="598754193">
      <w:bodyDiv w:val="1"/>
      <w:marLeft w:val="0"/>
      <w:marRight w:val="0"/>
      <w:marTop w:val="0"/>
      <w:marBottom w:val="0"/>
      <w:divBdr>
        <w:top w:val="none" w:sz="0" w:space="0" w:color="auto"/>
        <w:left w:val="none" w:sz="0" w:space="0" w:color="auto"/>
        <w:bottom w:val="none" w:sz="0" w:space="0" w:color="auto"/>
        <w:right w:val="none" w:sz="0" w:space="0" w:color="auto"/>
      </w:divBdr>
    </w:div>
    <w:div w:id="64192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B59B2-DB6D-4D78-ABDA-5C2DC5DB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10</Pages>
  <Words>2832</Words>
  <Characters>15287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2017-08-07T14:35:00Z</dcterms:created>
  <dcterms:modified xsi:type="dcterms:W3CDTF">2017-08-07T14:59:00Z</dcterms:modified>
</cp:coreProperties>
</file>