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FA568D">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A568D">
            <w:pPr>
              <w:pStyle w:val="MemoHeading"/>
            </w:pPr>
            <w:bookmarkStart w:id="1" w:name="FilingDate"/>
            <w:r>
              <w:t>August 24,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A568D" w:rsidRDefault="00FA568D">
            <w:pPr>
              <w:pStyle w:val="MemoHeading"/>
            </w:pPr>
            <w:bookmarkStart w:id="2" w:name="From"/>
            <w:r>
              <w:t>Division of Engineering (M.</w:t>
            </w:r>
            <w:r w:rsidR="00BF633A">
              <w:t xml:space="preserve"> </w:t>
            </w:r>
            <w:r>
              <w:t>Watts)</w:t>
            </w:r>
          </w:p>
          <w:p w:rsidR="00FA568D" w:rsidRDefault="00FA568D">
            <w:pPr>
              <w:pStyle w:val="MemoHeading"/>
            </w:pPr>
            <w:r>
              <w:t>Division of Accounting and Finance (Mick, Norris)</w:t>
            </w:r>
          </w:p>
          <w:p w:rsidR="00FA568D" w:rsidRDefault="00FA568D">
            <w:pPr>
              <w:pStyle w:val="MemoHeading"/>
            </w:pPr>
            <w:r>
              <w:t>Division of Economics (Friedrich)</w:t>
            </w:r>
          </w:p>
          <w:p w:rsidR="007C0528" w:rsidRDefault="00FA568D">
            <w:pPr>
              <w:pStyle w:val="MemoHeading"/>
            </w:pPr>
            <w:r>
              <w:t>Office of the General Counsel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A568D">
            <w:pPr>
              <w:pStyle w:val="MemoHeadingRe"/>
            </w:pPr>
            <w:bookmarkStart w:id="3" w:name="Re"/>
            <w:r>
              <w:t xml:space="preserve">Docket No. 20170018-SU – Application to transfer wastewater system and Certificate No. 137-S in Brevard County from </w:t>
            </w:r>
            <w:r w:rsidR="0030391C" w:rsidRPr="0030391C">
              <w:t>Colony Park Development Utilities, LLC</w:t>
            </w:r>
            <w:r>
              <w:t xml:space="preserve"> to Merritt Island Utility Company, Inc.</w:t>
            </w:r>
            <w:bookmarkEnd w:id="3"/>
          </w:p>
        </w:tc>
      </w:tr>
      <w:tr w:rsidR="007C0528" w:rsidTr="00987C0F">
        <w:trPr>
          <w:trHeight w:val="729"/>
        </w:trPr>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A568D" w:rsidP="00F8600A">
            <w:pPr>
              <w:pStyle w:val="MemoHeading"/>
            </w:pPr>
            <w:bookmarkStart w:id="4" w:name="AgendaDate"/>
            <w:r>
              <w:t>09/07/17</w:t>
            </w:r>
            <w:bookmarkEnd w:id="4"/>
            <w:r w:rsidR="007C0528">
              <w:t xml:space="preserve"> – </w:t>
            </w:r>
            <w:bookmarkStart w:id="5" w:name="PermittedStatus"/>
            <w:r>
              <w:t xml:space="preserve">Regular Agenda – </w:t>
            </w:r>
            <w:r w:rsidR="00987C0F">
              <w:t>Proposed Agency Action for Issue</w:t>
            </w:r>
            <w:r w:rsidR="00F8600A">
              <w:t>s</w:t>
            </w:r>
            <w:r w:rsidR="00987C0F">
              <w:t xml:space="preserve"> 2</w:t>
            </w:r>
            <w:r w:rsidR="00F8600A">
              <w:t xml:space="preserve"> and 3</w:t>
            </w:r>
            <w:r w:rsidR="00987C0F">
              <w:t xml:space="preserve"> –</w:t>
            </w:r>
            <w:bookmarkEnd w:id="5"/>
            <w:r w:rsidR="00987C0F">
              <w:t xml:space="preserve"> Interested Persons May Participate</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A568D">
            <w:pPr>
              <w:pStyle w:val="MemoHeading"/>
            </w:pPr>
            <w:bookmarkStart w:id="6" w:name="CommissionersAssigned"/>
            <w:r>
              <w:t>All Commissioners</w:t>
            </w:r>
            <w:bookmarkEnd w:id="6"/>
          </w:p>
        </w:tc>
      </w:tr>
      <w:tr w:rsidR="007C0528" w:rsidTr="00FF7742">
        <w:trPr>
          <w:trHeight w:val="414"/>
        </w:trPr>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A568D">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A568D">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A568D">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5311F6" w:rsidRDefault="00CA544C" w:rsidP="00CA544C">
      <w:pPr>
        <w:pStyle w:val="BodyText"/>
        <w:rPr>
          <w:color w:val="000000" w:themeColor="text1"/>
        </w:rPr>
      </w:pPr>
      <w:r w:rsidRPr="00C548F6">
        <w:rPr>
          <w:color w:val="000000" w:themeColor="text1"/>
        </w:rPr>
        <w:t>On J</w:t>
      </w:r>
      <w:r w:rsidR="00C548F6" w:rsidRPr="00C548F6">
        <w:rPr>
          <w:color w:val="000000" w:themeColor="text1"/>
        </w:rPr>
        <w:t>anuary</w:t>
      </w:r>
      <w:r w:rsidRPr="00C548F6">
        <w:rPr>
          <w:color w:val="000000" w:themeColor="text1"/>
        </w:rPr>
        <w:t xml:space="preserve"> </w:t>
      </w:r>
      <w:r w:rsidR="00C548F6" w:rsidRPr="00C548F6">
        <w:rPr>
          <w:color w:val="000000" w:themeColor="text1"/>
        </w:rPr>
        <w:t>19</w:t>
      </w:r>
      <w:r w:rsidRPr="00C548F6">
        <w:rPr>
          <w:color w:val="000000" w:themeColor="text1"/>
        </w:rPr>
        <w:t>, 201</w:t>
      </w:r>
      <w:r w:rsidR="00C548F6" w:rsidRPr="00C548F6">
        <w:rPr>
          <w:color w:val="000000" w:themeColor="text1"/>
        </w:rPr>
        <w:t>7</w:t>
      </w:r>
      <w:r w:rsidR="00240768">
        <w:rPr>
          <w:color w:val="000000" w:themeColor="text1"/>
        </w:rPr>
        <w:t>,</w:t>
      </w:r>
      <w:r w:rsidRPr="00C548F6">
        <w:rPr>
          <w:color w:val="000000" w:themeColor="text1"/>
        </w:rPr>
        <w:t xml:space="preserve"> </w:t>
      </w:r>
      <w:r w:rsidR="00522AD5" w:rsidRPr="00C548F6">
        <w:rPr>
          <w:color w:val="000000" w:themeColor="text1"/>
        </w:rPr>
        <w:t>M</w:t>
      </w:r>
      <w:r w:rsidR="00522AD5">
        <w:t>erritt Island Utility Company, Inc.</w:t>
      </w:r>
      <w:r w:rsidR="00522AD5" w:rsidRPr="00522AD5">
        <w:rPr>
          <w:color w:val="000000" w:themeColor="text1"/>
        </w:rPr>
        <w:t xml:space="preserve"> </w:t>
      </w:r>
      <w:r w:rsidRPr="00522AD5">
        <w:rPr>
          <w:color w:val="000000" w:themeColor="text1"/>
        </w:rPr>
        <w:t>(</w:t>
      </w:r>
      <w:r w:rsidR="00522AD5" w:rsidRPr="00522AD5">
        <w:rPr>
          <w:color w:val="000000" w:themeColor="text1"/>
        </w:rPr>
        <w:t>MIU</w:t>
      </w:r>
      <w:r w:rsidRPr="00522AD5">
        <w:rPr>
          <w:color w:val="000000" w:themeColor="text1"/>
        </w:rPr>
        <w:t>, Applicant, or Buyer</w:t>
      </w:r>
      <w:r w:rsidRPr="00C548F6">
        <w:rPr>
          <w:color w:val="000000" w:themeColor="text1"/>
        </w:rPr>
        <w:t>) filed an appl</w:t>
      </w:r>
      <w:r w:rsidRPr="001C0B3A">
        <w:rPr>
          <w:color w:val="000000" w:themeColor="text1"/>
        </w:rPr>
        <w:t xml:space="preserve">ication for the transfer of Certificate No. </w:t>
      </w:r>
      <w:r w:rsidR="00C548F6" w:rsidRPr="001C0B3A">
        <w:rPr>
          <w:color w:val="000000" w:themeColor="text1"/>
        </w:rPr>
        <w:t>137-S</w:t>
      </w:r>
      <w:r w:rsidRPr="001C0B3A">
        <w:rPr>
          <w:color w:val="000000" w:themeColor="text1"/>
        </w:rPr>
        <w:t xml:space="preserve"> from </w:t>
      </w:r>
      <w:r w:rsidR="001C0B3A" w:rsidRPr="001C0B3A">
        <w:rPr>
          <w:color w:val="000000" w:themeColor="text1"/>
        </w:rPr>
        <w:t xml:space="preserve">Colony Park Development Utilities, LLC </w:t>
      </w:r>
      <w:r w:rsidRPr="001C0B3A">
        <w:rPr>
          <w:color w:val="000000" w:themeColor="text1"/>
        </w:rPr>
        <w:t>(</w:t>
      </w:r>
      <w:r w:rsidR="001C0B3A" w:rsidRPr="001C0B3A">
        <w:rPr>
          <w:color w:val="000000" w:themeColor="text1"/>
        </w:rPr>
        <w:t>CPDU</w:t>
      </w:r>
      <w:r w:rsidR="005311F6">
        <w:rPr>
          <w:color w:val="000000" w:themeColor="text1"/>
        </w:rPr>
        <w:t xml:space="preserve"> or Utility</w:t>
      </w:r>
      <w:r w:rsidRPr="001C0B3A">
        <w:rPr>
          <w:color w:val="000000" w:themeColor="text1"/>
        </w:rPr>
        <w:t xml:space="preserve">) in </w:t>
      </w:r>
      <w:r w:rsidR="001C0B3A" w:rsidRPr="001C0B3A">
        <w:rPr>
          <w:color w:val="000000" w:themeColor="text1"/>
        </w:rPr>
        <w:t>Brevard</w:t>
      </w:r>
      <w:r w:rsidRPr="001C0B3A">
        <w:rPr>
          <w:color w:val="000000" w:themeColor="text1"/>
        </w:rPr>
        <w:t xml:space="preserve"> County.</w:t>
      </w:r>
      <w:r w:rsidR="005311F6">
        <w:rPr>
          <w:color w:val="000000" w:themeColor="text1"/>
        </w:rPr>
        <w:t xml:space="preserve"> </w:t>
      </w:r>
      <w:r w:rsidRPr="001C0B3A">
        <w:rPr>
          <w:color w:val="000000" w:themeColor="text1"/>
        </w:rPr>
        <w:t xml:space="preserve">According to the Utility’s 2015 Annual Report, </w:t>
      </w:r>
      <w:r w:rsidR="005311F6">
        <w:rPr>
          <w:color w:val="000000" w:themeColor="text1"/>
        </w:rPr>
        <w:t>CPDU is a Class C utility</w:t>
      </w:r>
      <w:r w:rsidRPr="001C0B3A">
        <w:rPr>
          <w:color w:val="000000" w:themeColor="text1"/>
        </w:rPr>
        <w:t xml:space="preserve"> serv</w:t>
      </w:r>
      <w:r w:rsidR="005311F6">
        <w:rPr>
          <w:color w:val="000000" w:themeColor="text1"/>
        </w:rPr>
        <w:t>ing</w:t>
      </w:r>
      <w:r w:rsidRPr="001C0B3A">
        <w:rPr>
          <w:color w:val="000000" w:themeColor="text1"/>
        </w:rPr>
        <w:t xml:space="preserve"> approximately</w:t>
      </w:r>
      <w:r w:rsidRPr="005311F6">
        <w:rPr>
          <w:color w:val="000000" w:themeColor="text1"/>
        </w:rPr>
        <w:t xml:space="preserve"> </w:t>
      </w:r>
      <w:r w:rsidR="005311F6" w:rsidRPr="005311F6">
        <w:rPr>
          <w:color w:val="000000" w:themeColor="text1"/>
        </w:rPr>
        <w:t>300</w:t>
      </w:r>
      <w:r w:rsidRPr="005311F6">
        <w:rPr>
          <w:color w:val="000000" w:themeColor="text1"/>
        </w:rPr>
        <w:t xml:space="preserve"> </w:t>
      </w:r>
      <w:r w:rsidR="005311F6" w:rsidRPr="005311F6">
        <w:rPr>
          <w:color w:val="000000" w:themeColor="text1"/>
        </w:rPr>
        <w:t>waste</w:t>
      </w:r>
      <w:r w:rsidRPr="005311F6">
        <w:rPr>
          <w:color w:val="000000" w:themeColor="text1"/>
        </w:rPr>
        <w:t>water customers</w:t>
      </w:r>
      <w:r w:rsidR="005311F6" w:rsidRPr="005311F6">
        <w:rPr>
          <w:color w:val="000000" w:themeColor="text1"/>
        </w:rPr>
        <w:t>,</w:t>
      </w:r>
      <w:r w:rsidRPr="005311F6">
        <w:rPr>
          <w:color w:val="000000" w:themeColor="text1"/>
        </w:rPr>
        <w:t xml:space="preserve"> with </w:t>
      </w:r>
      <w:r w:rsidR="005311F6" w:rsidRPr="005311F6">
        <w:rPr>
          <w:color w:val="000000" w:themeColor="text1"/>
        </w:rPr>
        <w:t xml:space="preserve">an </w:t>
      </w:r>
      <w:r w:rsidRPr="005311F6">
        <w:rPr>
          <w:color w:val="000000" w:themeColor="text1"/>
        </w:rPr>
        <w:t xml:space="preserve">operating </w:t>
      </w:r>
      <w:r w:rsidR="005311F6" w:rsidRPr="005311F6">
        <w:rPr>
          <w:color w:val="000000" w:themeColor="text1"/>
        </w:rPr>
        <w:t>loss</w:t>
      </w:r>
      <w:r w:rsidRPr="005311F6">
        <w:rPr>
          <w:color w:val="000000" w:themeColor="text1"/>
        </w:rPr>
        <w:t xml:space="preserve"> of $1</w:t>
      </w:r>
      <w:r w:rsidR="005311F6" w:rsidRPr="005311F6">
        <w:rPr>
          <w:color w:val="000000" w:themeColor="text1"/>
        </w:rPr>
        <w:t>1</w:t>
      </w:r>
      <w:r w:rsidRPr="005311F6">
        <w:rPr>
          <w:color w:val="000000" w:themeColor="text1"/>
        </w:rPr>
        <w:t>,</w:t>
      </w:r>
      <w:r w:rsidR="005311F6" w:rsidRPr="005311F6">
        <w:rPr>
          <w:color w:val="000000" w:themeColor="text1"/>
        </w:rPr>
        <w:t>671</w:t>
      </w:r>
      <w:r w:rsidRPr="005311F6">
        <w:rPr>
          <w:color w:val="000000" w:themeColor="text1"/>
        </w:rPr>
        <w:t xml:space="preserve">. Water </w:t>
      </w:r>
      <w:r w:rsidR="005311F6" w:rsidRPr="005311F6">
        <w:rPr>
          <w:color w:val="000000" w:themeColor="text1"/>
        </w:rPr>
        <w:t>service</w:t>
      </w:r>
      <w:r w:rsidRPr="005311F6">
        <w:rPr>
          <w:color w:val="000000" w:themeColor="text1"/>
        </w:rPr>
        <w:t xml:space="preserve"> is provided by </w:t>
      </w:r>
      <w:r w:rsidR="005311F6" w:rsidRPr="005311F6">
        <w:rPr>
          <w:color w:val="000000" w:themeColor="text1"/>
        </w:rPr>
        <w:t>the City of Cocoa</w:t>
      </w:r>
      <w:r w:rsidRPr="005311F6">
        <w:rPr>
          <w:color w:val="000000" w:themeColor="text1"/>
        </w:rPr>
        <w:t>.</w:t>
      </w:r>
    </w:p>
    <w:p w:rsidR="00CA544C" w:rsidRDefault="008D7B47" w:rsidP="00CA544C">
      <w:pPr>
        <w:pStyle w:val="BodyText"/>
        <w:rPr>
          <w:color w:val="000000" w:themeColor="text1"/>
        </w:rPr>
      </w:pPr>
      <w:r>
        <w:lastRenderedPageBreak/>
        <w:t xml:space="preserve">Mobile Home Investors, Inc. was initially granted a certificate </w:t>
      </w:r>
      <w:r w:rsidR="00FB57BE">
        <w:t>to operate</w:t>
      </w:r>
      <w:r>
        <w:t xml:space="preserve"> a wastewater system in existence in 1974.</w:t>
      </w:r>
      <w:r>
        <w:rPr>
          <w:rStyle w:val="FootnoteReference"/>
        </w:rPr>
        <w:footnoteReference w:id="1"/>
      </w:r>
      <w:r w:rsidR="005311F6">
        <w:rPr>
          <w:color w:val="000000" w:themeColor="text1"/>
        </w:rPr>
        <w:t xml:space="preserve"> </w:t>
      </w:r>
      <w:r w:rsidRPr="008D7B47">
        <w:rPr>
          <w:color w:val="000000" w:themeColor="text1"/>
        </w:rPr>
        <w:t xml:space="preserve">In 1976, the </w:t>
      </w:r>
      <w:r w:rsidR="00FB57BE">
        <w:rPr>
          <w:color w:val="000000" w:themeColor="text1"/>
        </w:rPr>
        <w:t>Florida Public Service Commission (</w:t>
      </w:r>
      <w:r w:rsidRPr="008D7B47">
        <w:rPr>
          <w:color w:val="000000" w:themeColor="text1"/>
        </w:rPr>
        <w:t>Commission</w:t>
      </w:r>
      <w:r w:rsidR="00FB57BE">
        <w:rPr>
          <w:color w:val="000000" w:themeColor="text1"/>
        </w:rPr>
        <w:t>)</w:t>
      </w:r>
      <w:r w:rsidRPr="008D7B47">
        <w:rPr>
          <w:color w:val="000000" w:themeColor="text1"/>
        </w:rPr>
        <w:t xml:space="preserve"> </w:t>
      </w:r>
      <w:r>
        <w:rPr>
          <w:color w:val="000000" w:themeColor="text1"/>
        </w:rPr>
        <w:t>approved the transfer</w:t>
      </w:r>
      <w:r w:rsidRPr="008D7B47">
        <w:rPr>
          <w:color w:val="000000" w:themeColor="text1"/>
        </w:rPr>
        <w:t xml:space="preserve"> </w:t>
      </w:r>
      <w:r w:rsidR="00FB57BE">
        <w:rPr>
          <w:color w:val="000000" w:themeColor="text1"/>
        </w:rPr>
        <w:t xml:space="preserve">of the wastewater system and Certificate No. 137-S </w:t>
      </w:r>
      <w:r w:rsidRPr="008D7B47">
        <w:rPr>
          <w:color w:val="000000" w:themeColor="text1"/>
        </w:rPr>
        <w:t>to Colony Park Utilities, Inc.</w:t>
      </w:r>
      <w:r>
        <w:rPr>
          <w:rStyle w:val="FootnoteReference"/>
          <w:color w:val="000000" w:themeColor="text1"/>
        </w:rPr>
        <w:footnoteReference w:id="2"/>
      </w:r>
      <w:r w:rsidRPr="008D7B47">
        <w:rPr>
          <w:color w:val="000000" w:themeColor="text1"/>
        </w:rPr>
        <w:t xml:space="preserve"> In 2003</w:t>
      </w:r>
      <w:r>
        <w:rPr>
          <w:rStyle w:val="FootnoteReference"/>
          <w:color w:val="000000" w:themeColor="text1"/>
        </w:rPr>
        <w:footnoteReference w:id="3"/>
      </w:r>
      <w:r w:rsidRPr="008D7B47">
        <w:rPr>
          <w:color w:val="000000" w:themeColor="text1"/>
        </w:rPr>
        <w:t xml:space="preserve"> and 2007,</w:t>
      </w:r>
      <w:r>
        <w:rPr>
          <w:rStyle w:val="FootnoteReference"/>
          <w:color w:val="000000" w:themeColor="text1"/>
        </w:rPr>
        <w:footnoteReference w:id="4"/>
      </w:r>
      <w:r w:rsidRPr="008D7B47">
        <w:rPr>
          <w:color w:val="000000" w:themeColor="text1"/>
        </w:rPr>
        <w:t xml:space="preserve"> the Utility was granted </w:t>
      </w:r>
      <w:r w:rsidR="0031181D">
        <w:rPr>
          <w:color w:val="000000" w:themeColor="text1"/>
        </w:rPr>
        <w:t>transfer</w:t>
      </w:r>
      <w:r w:rsidRPr="008D7B47">
        <w:rPr>
          <w:color w:val="000000" w:themeColor="text1"/>
        </w:rPr>
        <w:t>s</w:t>
      </w:r>
      <w:r w:rsidR="0031181D">
        <w:rPr>
          <w:color w:val="000000" w:themeColor="text1"/>
        </w:rPr>
        <w:t xml:space="preserve"> of majority </w:t>
      </w:r>
      <w:r w:rsidR="008C04CD">
        <w:rPr>
          <w:color w:val="000000" w:themeColor="text1"/>
        </w:rPr>
        <w:t xml:space="preserve">organizational </w:t>
      </w:r>
      <w:r w:rsidR="0031181D">
        <w:rPr>
          <w:color w:val="000000" w:themeColor="text1"/>
        </w:rPr>
        <w:t>control</w:t>
      </w:r>
      <w:r w:rsidRPr="008D7B47">
        <w:rPr>
          <w:color w:val="000000" w:themeColor="text1"/>
        </w:rPr>
        <w:t>, and in 201</w:t>
      </w:r>
      <w:r w:rsidR="00FB57BE">
        <w:rPr>
          <w:color w:val="000000" w:themeColor="text1"/>
        </w:rPr>
        <w:t>4</w:t>
      </w:r>
      <w:r w:rsidRPr="008D7B47">
        <w:rPr>
          <w:color w:val="000000" w:themeColor="text1"/>
        </w:rPr>
        <w:t xml:space="preserve"> the </w:t>
      </w:r>
      <w:r w:rsidR="00FB57BE">
        <w:rPr>
          <w:color w:val="000000" w:themeColor="text1"/>
        </w:rPr>
        <w:t xml:space="preserve">wastewater system and Certificate No. 137-S </w:t>
      </w:r>
      <w:r w:rsidRPr="008D7B47">
        <w:rPr>
          <w:color w:val="000000" w:themeColor="text1"/>
        </w:rPr>
        <w:t>w</w:t>
      </w:r>
      <w:r w:rsidR="00FB57BE">
        <w:rPr>
          <w:color w:val="000000" w:themeColor="text1"/>
        </w:rPr>
        <w:t>ere</w:t>
      </w:r>
      <w:r w:rsidRPr="008D7B47">
        <w:rPr>
          <w:color w:val="000000" w:themeColor="text1"/>
        </w:rPr>
        <w:t xml:space="preserve"> transferred to </w:t>
      </w:r>
      <w:r w:rsidR="0031181D">
        <w:rPr>
          <w:color w:val="000000" w:themeColor="text1"/>
        </w:rPr>
        <w:t>CPDU</w:t>
      </w:r>
      <w:r w:rsidRPr="008D7B47">
        <w:rPr>
          <w:color w:val="000000" w:themeColor="text1"/>
        </w:rPr>
        <w:t>.</w:t>
      </w:r>
      <w:r>
        <w:rPr>
          <w:rStyle w:val="FootnoteReference"/>
          <w:color w:val="000000" w:themeColor="text1"/>
        </w:rPr>
        <w:footnoteReference w:id="5"/>
      </w:r>
      <w:r w:rsidR="0031181D">
        <w:rPr>
          <w:color w:val="000000" w:themeColor="text1"/>
        </w:rPr>
        <w:t xml:space="preserve"> In each of these transactions, the sale included both the </w:t>
      </w:r>
      <w:r w:rsidR="007C00E6">
        <w:rPr>
          <w:color w:val="000000" w:themeColor="text1"/>
        </w:rPr>
        <w:t>U</w:t>
      </w:r>
      <w:r w:rsidR="0031181D">
        <w:rPr>
          <w:color w:val="000000" w:themeColor="text1"/>
        </w:rPr>
        <w:t>tility and the Colony Park mobile home park.</w:t>
      </w:r>
    </w:p>
    <w:p w:rsidR="0031181D" w:rsidRPr="00A9662C" w:rsidRDefault="0031181D" w:rsidP="00CA544C">
      <w:pPr>
        <w:pStyle w:val="BodyText"/>
        <w:rPr>
          <w:color w:val="000000" w:themeColor="text1"/>
        </w:rPr>
      </w:pPr>
      <w:r>
        <w:rPr>
          <w:color w:val="000000" w:themeColor="text1"/>
        </w:rPr>
        <w:t xml:space="preserve">In February 2016, a potential buyer of the mobile home park contacted Commission staff regarding the regulatory requirements for the wastewater utility. </w:t>
      </w:r>
      <w:r w:rsidR="00FB57BE">
        <w:rPr>
          <w:color w:val="000000" w:themeColor="text1"/>
        </w:rPr>
        <w:t>Th</w:t>
      </w:r>
      <w:r>
        <w:rPr>
          <w:color w:val="000000" w:themeColor="text1"/>
        </w:rPr>
        <w:t xml:space="preserve">e </w:t>
      </w:r>
      <w:r w:rsidR="00FB57BE">
        <w:rPr>
          <w:color w:val="000000" w:themeColor="text1"/>
        </w:rPr>
        <w:t xml:space="preserve">potential buyer </w:t>
      </w:r>
      <w:r>
        <w:rPr>
          <w:color w:val="000000" w:themeColor="text1"/>
        </w:rPr>
        <w:t xml:space="preserve">related that he was not interested in the </w:t>
      </w:r>
      <w:r w:rsidR="00A00AAA">
        <w:rPr>
          <w:color w:val="000000" w:themeColor="text1"/>
        </w:rPr>
        <w:t>U</w:t>
      </w:r>
      <w:r>
        <w:rPr>
          <w:color w:val="000000" w:themeColor="text1"/>
        </w:rPr>
        <w:t xml:space="preserve">tility, but he stated CPDU would not sell </w:t>
      </w:r>
      <w:r w:rsidR="00FB57BE">
        <w:rPr>
          <w:color w:val="000000" w:themeColor="text1"/>
        </w:rPr>
        <w:t>the mobile home park without the system</w:t>
      </w:r>
      <w:r>
        <w:rPr>
          <w:color w:val="000000" w:themeColor="text1"/>
        </w:rPr>
        <w:t xml:space="preserve">. </w:t>
      </w:r>
      <w:r w:rsidR="00980AE8">
        <w:rPr>
          <w:color w:val="000000" w:themeColor="text1"/>
        </w:rPr>
        <w:t xml:space="preserve">Staff advised him of the Commission’s rules regarding water and wastewater utility transfers. </w:t>
      </w:r>
      <w:r w:rsidR="00A9662C">
        <w:rPr>
          <w:color w:val="000000" w:themeColor="text1"/>
        </w:rPr>
        <w:t>He</w:t>
      </w:r>
      <w:r w:rsidR="00D06C8E">
        <w:rPr>
          <w:color w:val="000000" w:themeColor="text1"/>
        </w:rPr>
        <w:t xml:space="preserve"> subsequently</w:t>
      </w:r>
      <w:r w:rsidR="00A9662C">
        <w:rPr>
          <w:color w:val="000000" w:themeColor="text1"/>
        </w:rPr>
        <w:t xml:space="preserve"> purchased the park and the </w:t>
      </w:r>
      <w:r w:rsidR="00FB57BE">
        <w:rPr>
          <w:color w:val="000000" w:themeColor="text1"/>
        </w:rPr>
        <w:t>wastewater system</w:t>
      </w:r>
      <w:r w:rsidR="00A9662C">
        <w:rPr>
          <w:color w:val="000000" w:themeColor="text1"/>
        </w:rPr>
        <w:t xml:space="preserve">, and began seeking a buyer for the </w:t>
      </w:r>
      <w:r w:rsidR="00980AE8">
        <w:rPr>
          <w:color w:val="000000" w:themeColor="text1"/>
        </w:rPr>
        <w:t>wastewater system</w:t>
      </w:r>
      <w:r w:rsidR="00A9662C">
        <w:rPr>
          <w:color w:val="000000" w:themeColor="text1"/>
        </w:rPr>
        <w:t xml:space="preserve">, </w:t>
      </w:r>
      <w:r w:rsidR="00D06C8E">
        <w:rPr>
          <w:color w:val="000000" w:themeColor="text1"/>
        </w:rPr>
        <w:t xml:space="preserve">which he </w:t>
      </w:r>
      <w:r w:rsidR="00A9662C">
        <w:rPr>
          <w:color w:val="000000" w:themeColor="text1"/>
        </w:rPr>
        <w:t xml:space="preserve">registered </w:t>
      </w:r>
      <w:r w:rsidR="00D06C8E">
        <w:rPr>
          <w:color w:val="000000" w:themeColor="text1"/>
        </w:rPr>
        <w:t xml:space="preserve">with the Florida Department of State </w:t>
      </w:r>
      <w:r w:rsidR="00A9662C">
        <w:rPr>
          <w:color w:val="000000" w:themeColor="text1"/>
        </w:rPr>
        <w:t xml:space="preserve">as Colony Waste Services, LLC (CWS or Seller). </w:t>
      </w:r>
      <w:r w:rsidR="00597F68">
        <w:rPr>
          <w:color w:val="000000" w:themeColor="text1"/>
        </w:rPr>
        <w:t xml:space="preserve">While looking for a buyer, CWS took over the management of the wastewater system. </w:t>
      </w:r>
      <w:r w:rsidR="00A9662C">
        <w:rPr>
          <w:color w:val="000000" w:themeColor="text1"/>
        </w:rPr>
        <w:t xml:space="preserve">MIU purchased the wastewater </w:t>
      </w:r>
      <w:r w:rsidR="00FB57BE">
        <w:rPr>
          <w:color w:val="000000" w:themeColor="text1"/>
        </w:rPr>
        <w:t>system</w:t>
      </w:r>
      <w:r w:rsidR="00A9662C">
        <w:rPr>
          <w:color w:val="000000" w:themeColor="text1"/>
        </w:rPr>
        <w:t xml:space="preserve"> from CWS on December 22, 2016</w:t>
      </w:r>
      <w:r w:rsidR="00980AE8">
        <w:rPr>
          <w:color w:val="000000" w:themeColor="text1"/>
        </w:rPr>
        <w:t>, contingent upon Commission approval, and filed the application for transfer of the system</w:t>
      </w:r>
      <w:r w:rsidR="00A9662C">
        <w:rPr>
          <w:color w:val="000000" w:themeColor="text1"/>
        </w:rPr>
        <w:t>.</w:t>
      </w:r>
      <w:r w:rsidR="00A9662C" w:rsidRPr="00A9662C">
        <w:rPr>
          <w:color w:val="000000" w:themeColor="text1"/>
        </w:rPr>
        <w:t xml:space="preserve"> The rates and charges for </w:t>
      </w:r>
      <w:r w:rsidR="007C00E6">
        <w:rPr>
          <w:color w:val="000000" w:themeColor="text1"/>
        </w:rPr>
        <w:t>U</w:t>
      </w:r>
      <w:r w:rsidR="00A9662C" w:rsidRPr="00A9662C">
        <w:rPr>
          <w:color w:val="000000" w:themeColor="text1"/>
        </w:rPr>
        <w:t>tility service were approved by the Commission in 2008.</w:t>
      </w:r>
      <w:r w:rsidR="00A9662C" w:rsidRPr="00A9662C">
        <w:rPr>
          <w:rStyle w:val="FootnoteReference"/>
          <w:color w:val="000000" w:themeColor="text1"/>
        </w:rPr>
        <w:footnoteReference w:id="6"/>
      </w:r>
    </w:p>
    <w:p w:rsidR="0068481F" w:rsidRPr="00A9662C" w:rsidRDefault="00CA544C" w:rsidP="00CA544C">
      <w:pPr>
        <w:pStyle w:val="BodyText"/>
        <w:rPr>
          <w:color w:val="000000" w:themeColor="text1"/>
        </w:rPr>
      </w:pPr>
      <w:r w:rsidRPr="00A9662C">
        <w:rPr>
          <w:color w:val="000000" w:themeColor="text1"/>
        </w:rPr>
        <w:t xml:space="preserve">This recommendation addresses the transfer of the </w:t>
      </w:r>
      <w:r w:rsidR="00A9662C" w:rsidRPr="00A9662C">
        <w:rPr>
          <w:color w:val="000000" w:themeColor="text1"/>
        </w:rPr>
        <w:t>waste</w:t>
      </w:r>
      <w:r w:rsidRPr="00A9662C">
        <w:rPr>
          <w:color w:val="000000" w:themeColor="text1"/>
        </w:rPr>
        <w:t xml:space="preserve">water system, the net book value of the </w:t>
      </w:r>
      <w:r w:rsidR="00A9662C" w:rsidRPr="00A9662C">
        <w:rPr>
          <w:color w:val="000000" w:themeColor="text1"/>
        </w:rPr>
        <w:t>waste</w:t>
      </w:r>
      <w:r w:rsidRPr="00A9662C">
        <w:rPr>
          <w:color w:val="000000" w:themeColor="text1"/>
        </w:rPr>
        <w:t xml:space="preserve">water system at the time of transfer, </w:t>
      </w:r>
      <w:r w:rsidR="00A9662C" w:rsidRPr="00A9662C">
        <w:rPr>
          <w:color w:val="000000" w:themeColor="text1"/>
        </w:rPr>
        <w:t xml:space="preserve">and </w:t>
      </w:r>
      <w:r w:rsidRPr="00A9662C">
        <w:rPr>
          <w:color w:val="000000" w:themeColor="text1"/>
        </w:rPr>
        <w:t>the need for an acquisition adjustment. The Commission has jurisdiction pursuant to Sections 367.071 and 367.091,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A568D" w:rsidRDefault="00FA568D">
      <w:pPr>
        <w:pStyle w:val="IssueHeading"/>
        <w:rPr>
          <w:vanish/>
          <w:specVanish/>
        </w:rPr>
      </w:pPr>
      <w:r w:rsidRPr="004C3641">
        <w:t xml:space="preserve">Issue </w:t>
      </w:r>
      <w:r w:rsidR="00A90424">
        <w:fldChar w:fldCharType="begin"/>
      </w:r>
      <w:r w:rsidR="00A90424">
        <w:instrText xml:space="preserve"> SEQ Issue \* MERGEFORMAT </w:instrText>
      </w:r>
      <w:r w:rsidR="00A90424">
        <w:fldChar w:fldCharType="separate"/>
      </w:r>
      <w:r w:rsidR="00E2525C">
        <w:rPr>
          <w:noProof/>
        </w:rPr>
        <w:t>1</w:t>
      </w:r>
      <w:r w:rsidR="00A904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2525C">
        <w:rPr>
          <w:noProof/>
        </w:rPr>
        <w:instrText>1</w:instrText>
      </w:r>
      <w:r>
        <w:fldChar w:fldCharType="end"/>
      </w:r>
      <w:r>
        <w:tab/>
        <w:instrText xml:space="preserve">" \l 1 </w:instrText>
      </w:r>
      <w:r>
        <w:fldChar w:fldCharType="end"/>
      </w:r>
      <w:r>
        <w:t> </w:t>
      </w:r>
    </w:p>
    <w:p w:rsidR="00FA568D" w:rsidRDefault="00FA568D">
      <w:pPr>
        <w:pStyle w:val="BodyText"/>
      </w:pPr>
      <w:r>
        <w:t> </w:t>
      </w:r>
      <w:r w:rsidR="00EA05A5">
        <w:t xml:space="preserve">Should the transfer of Certificate No. 137-S in Brevard County from </w:t>
      </w:r>
      <w:r w:rsidR="00DD3E33" w:rsidRPr="00DD3E33">
        <w:t xml:space="preserve">Colony Park Development Utilities, LLC </w:t>
      </w:r>
      <w:r w:rsidR="00EA05A5">
        <w:t>to Merritt Island Utility Company, Inc. be approved?</w:t>
      </w:r>
    </w:p>
    <w:p w:rsidR="00FA568D" w:rsidRPr="004C3641" w:rsidRDefault="00FA568D">
      <w:pPr>
        <w:pStyle w:val="IssueSubsectionHeading"/>
        <w:rPr>
          <w:vanish/>
          <w:specVanish/>
        </w:rPr>
      </w:pPr>
      <w:r w:rsidRPr="004C3641">
        <w:t>Recommendation: </w:t>
      </w:r>
    </w:p>
    <w:p w:rsidR="00FA568D" w:rsidRDefault="00FA568D">
      <w:pPr>
        <w:pStyle w:val="BodyText"/>
      </w:pPr>
      <w:r>
        <w:t> </w:t>
      </w:r>
      <w:r w:rsidR="00CA544C" w:rsidRPr="00C7311B">
        <w:t xml:space="preserve">Yes. The transfer of the </w:t>
      </w:r>
      <w:r w:rsidR="00004AD6">
        <w:t>waste</w:t>
      </w:r>
      <w:r w:rsidR="00CA544C" w:rsidRPr="00C7311B">
        <w:t>wate</w:t>
      </w:r>
      <w:r w:rsidR="00CA544C">
        <w:t xml:space="preserve">r system and Certificate No. </w:t>
      </w:r>
      <w:r w:rsidR="00DD3E33">
        <w:t>137-S</w:t>
      </w:r>
      <w:r w:rsidR="00CA544C" w:rsidRPr="00DD3E33">
        <w:rPr>
          <w:color w:val="000000" w:themeColor="text1"/>
        </w:rPr>
        <w:t xml:space="preserve"> is in the public interest and should be approved effective the date of the Commission vote. The resultant </w:t>
      </w:r>
      <w:r w:rsidR="00422987">
        <w:rPr>
          <w:color w:val="000000" w:themeColor="text1"/>
        </w:rPr>
        <w:t>o</w:t>
      </w:r>
      <w:r w:rsidR="00CA544C" w:rsidRPr="00DD3E33">
        <w:rPr>
          <w:color w:val="000000" w:themeColor="text1"/>
        </w:rPr>
        <w:t xml:space="preserve">rder should serve as the Buyer’s certificate and should be retained by the Buyer. </w:t>
      </w:r>
      <w:r w:rsidR="00244129" w:rsidRPr="000A548E">
        <w:t xml:space="preserve">The existing rates and charges should remain in effect until a change is authorized by the Commission in a subsequent proceeding. </w:t>
      </w:r>
      <w:r w:rsidR="00244129">
        <w:t>The tariffs reflecting the transfer should be effective for services rendered or connections made on or after the stamped approval date on the tariffs pursuant to Rule</w:t>
      </w:r>
      <w:r w:rsidR="00CA544C" w:rsidRPr="00323348">
        <w:rPr>
          <w:color w:val="00B050"/>
        </w:rPr>
        <w:t xml:space="preserve"> </w:t>
      </w:r>
      <w:r w:rsidR="00CA544C" w:rsidRPr="00244129">
        <w:rPr>
          <w:color w:val="000000" w:themeColor="text1"/>
        </w:rPr>
        <w:t>25-30.475, Florida Administrative Code (F.A.C.).</w:t>
      </w:r>
      <w:r w:rsidR="00CA544C" w:rsidRPr="00FB57BE">
        <w:t xml:space="preserve"> </w:t>
      </w:r>
      <w:r w:rsidR="0046516C">
        <w:t xml:space="preserve">CPDU paid  all </w:t>
      </w:r>
      <w:r w:rsidR="00CA544C" w:rsidRPr="00FB57BE">
        <w:t>Regulatory Assessment Fees (RAFs)</w:t>
      </w:r>
      <w:r w:rsidR="0046516C" w:rsidRPr="002E5CDE">
        <w:t xml:space="preserve"> through March 2016, and C</w:t>
      </w:r>
      <w:r w:rsidR="0046516C" w:rsidRPr="0046516C">
        <w:t>W</w:t>
      </w:r>
      <w:r w:rsidR="0046516C" w:rsidRPr="002E5CDE">
        <w:t xml:space="preserve">S </w:t>
      </w:r>
      <w:r w:rsidR="0046516C" w:rsidRPr="0046516C">
        <w:t>paid</w:t>
      </w:r>
      <w:r w:rsidR="0046516C" w:rsidRPr="002E5CDE">
        <w:t xml:space="preserve"> RAFs through December 31, 2016. The Buyer </w:t>
      </w:r>
      <w:r w:rsidR="0046516C">
        <w:t>should</w:t>
      </w:r>
      <w:r w:rsidR="0046516C" w:rsidRPr="002E5CDE">
        <w:t xml:space="preserve"> be responsible for paying RAFs after December 31, 2016, and all future years. The Buyer has filed the 2016 Annual Report, and should be responsible for filing all future annual reports</w:t>
      </w:r>
      <w:r w:rsidR="00CA544C" w:rsidRPr="002D04D2">
        <w:t xml:space="preserve">. </w:t>
      </w:r>
      <w:r w:rsidR="00CA544C" w:rsidRPr="00244129">
        <w:rPr>
          <w:color w:val="000000" w:themeColor="text1"/>
        </w:rPr>
        <w:t>(Friedrich, M. Watts,</w:t>
      </w:r>
      <w:r w:rsidR="00CA544C" w:rsidRPr="00FB57BE">
        <w:t xml:space="preserve"> Mick)</w:t>
      </w:r>
      <w:r>
        <w:t xml:space="preserve"> </w:t>
      </w:r>
    </w:p>
    <w:p w:rsidR="00FA568D" w:rsidRPr="00DD3E33" w:rsidRDefault="00FA568D">
      <w:pPr>
        <w:pStyle w:val="IssueSubsectionHeading"/>
        <w:rPr>
          <w:vanish/>
          <w:color w:val="000000" w:themeColor="text1"/>
          <w:specVanish/>
        </w:rPr>
      </w:pPr>
      <w:r w:rsidRPr="004C3641">
        <w:t>Staff Analysis: </w:t>
      </w:r>
    </w:p>
    <w:p w:rsidR="00CA544C" w:rsidRPr="00DD3E33" w:rsidRDefault="00FA568D" w:rsidP="00CA544C">
      <w:pPr>
        <w:jc w:val="both"/>
        <w:rPr>
          <w:color w:val="000000" w:themeColor="text1"/>
        </w:rPr>
      </w:pPr>
      <w:r w:rsidRPr="00DD3E33">
        <w:rPr>
          <w:color w:val="000000" w:themeColor="text1"/>
        </w:rPr>
        <w:t> </w:t>
      </w:r>
      <w:r w:rsidR="00CA544C" w:rsidRPr="00DD3E33">
        <w:rPr>
          <w:color w:val="000000" w:themeColor="text1"/>
        </w:rPr>
        <w:t>On J</w:t>
      </w:r>
      <w:r w:rsidR="00DD3E33" w:rsidRPr="00DD3E33">
        <w:rPr>
          <w:color w:val="000000" w:themeColor="text1"/>
        </w:rPr>
        <w:t>anuary</w:t>
      </w:r>
      <w:r w:rsidR="00CA544C" w:rsidRPr="00DD3E33">
        <w:rPr>
          <w:color w:val="000000" w:themeColor="text1"/>
        </w:rPr>
        <w:t xml:space="preserve"> </w:t>
      </w:r>
      <w:r w:rsidR="00DD3E33" w:rsidRPr="00DD3E33">
        <w:rPr>
          <w:color w:val="000000" w:themeColor="text1"/>
        </w:rPr>
        <w:t>19</w:t>
      </w:r>
      <w:r w:rsidR="00CA544C" w:rsidRPr="00DD3E33">
        <w:rPr>
          <w:color w:val="000000" w:themeColor="text1"/>
        </w:rPr>
        <w:t>, 201</w:t>
      </w:r>
      <w:r w:rsidR="00DD3E33" w:rsidRPr="00DD3E33">
        <w:rPr>
          <w:color w:val="000000" w:themeColor="text1"/>
        </w:rPr>
        <w:t>7</w:t>
      </w:r>
      <w:r w:rsidR="00CA544C" w:rsidRPr="00DD3E33">
        <w:rPr>
          <w:color w:val="000000" w:themeColor="text1"/>
        </w:rPr>
        <w:t>,</w:t>
      </w:r>
      <w:r w:rsidR="00DD3E33" w:rsidRPr="00DD3E33">
        <w:t xml:space="preserve"> </w:t>
      </w:r>
      <w:r w:rsidR="00DD3E33">
        <w:t>MIU</w:t>
      </w:r>
      <w:r w:rsidR="00CA544C" w:rsidRPr="00323348">
        <w:rPr>
          <w:color w:val="00B050"/>
        </w:rPr>
        <w:t xml:space="preserve"> </w:t>
      </w:r>
      <w:r w:rsidR="00CA544C" w:rsidRPr="00DD3E33">
        <w:rPr>
          <w:color w:val="000000" w:themeColor="text1"/>
        </w:rPr>
        <w:t>filed an application for the transfer of Certificate No</w:t>
      </w:r>
      <w:r w:rsidR="009810FB">
        <w:rPr>
          <w:color w:val="000000" w:themeColor="text1"/>
        </w:rPr>
        <w:t xml:space="preserve">. </w:t>
      </w:r>
      <w:r w:rsidR="00DD3E33">
        <w:t>137-</w:t>
      </w:r>
      <w:r w:rsidR="00DD3E33" w:rsidRPr="00DD3E33">
        <w:rPr>
          <w:color w:val="000000" w:themeColor="text1"/>
        </w:rPr>
        <w:t>S</w:t>
      </w:r>
      <w:r w:rsidR="00CA544C" w:rsidRPr="00DD3E33">
        <w:rPr>
          <w:color w:val="000000" w:themeColor="text1"/>
        </w:rPr>
        <w:t xml:space="preserve"> from </w:t>
      </w:r>
      <w:r w:rsidR="00DD3E33" w:rsidRPr="00DD3E33">
        <w:rPr>
          <w:color w:val="000000" w:themeColor="text1"/>
        </w:rPr>
        <w:t>CWS to MIU in Brevard County</w:t>
      </w:r>
      <w:r w:rsidR="00DD3E33">
        <w:rPr>
          <w:color w:val="000000" w:themeColor="text1"/>
        </w:rPr>
        <w:t xml:space="preserve">. The filing also contained an application for transfer of Certificate No. 137-S from </w:t>
      </w:r>
      <w:r w:rsidR="00DD3E33" w:rsidRPr="00DD3E33">
        <w:rPr>
          <w:color w:val="000000" w:themeColor="text1"/>
        </w:rPr>
        <w:t>CPDU to CWS</w:t>
      </w:r>
      <w:r w:rsidR="00CA544C" w:rsidRPr="00323348">
        <w:rPr>
          <w:color w:val="00B050"/>
        </w:rPr>
        <w:t>.</w:t>
      </w:r>
      <w:r w:rsidR="00CA544C" w:rsidRPr="00DD3E33">
        <w:rPr>
          <w:color w:val="000000" w:themeColor="text1"/>
        </w:rPr>
        <w:t xml:space="preserve"> </w:t>
      </w:r>
      <w:r w:rsidR="00597F68">
        <w:rPr>
          <w:color w:val="000000" w:themeColor="text1"/>
        </w:rPr>
        <w:t>The transfer of Certificate No. 137-S from CPDU to CWS was not approved at the time that MIU purchased the system; therefore, staf</w:t>
      </w:r>
      <w:r w:rsidR="00E9518D">
        <w:rPr>
          <w:color w:val="000000" w:themeColor="text1"/>
        </w:rPr>
        <w:t xml:space="preserve">f recommends transferring Certificate No. 137-S from CPDU to MIU. </w:t>
      </w:r>
      <w:r w:rsidR="00CA544C" w:rsidRPr="00DD3E33">
        <w:rPr>
          <w:color w:val="000000" w:themeColor="text1"/>
        </w:rPr>
        <w:t xml:space="preserve">The application is in compliance with Section 367.071, F.S., and Commission rules concerning applications for transfer of certificates. The sale </w:t>
      </w:r>
      <w:r w:rsidR="00DD3E33" w:rsidRPr="00DD3E33">
        <w:rPr>
          <w:color w:val="000000" w:themeColor="text1"/>
        </w:rPr>
        <w:t xml:space="preserve">to MIU </w:t>
      </w:r>
      <w:r w:rsidR="00CA544C" w:rsidRPr="00DD3E33">
        <w:rPr>
          <w:color w:val="000000" w:themeColor="text1"/>
        </w:rPr>
        <w:t xml:space="preserve">occurred on </w:t>
      </w:r>
      <w:r w:rsidR="00DD3E33" w:rsidRPr="00DD3E33">
        <w:rPr>
          <w:color w:val="000000" w:themeColor="text1"/>
        </w:rPr>
        <w:t>December</w:t>
      </w:r>
      <w:r w:rsidR="00CA544C" w:rsidRPr="00DD3E33">
        <w:rPr>
          <w:color w:val="000000" w:themeColor="text1"/>
        </w:rPr>
        <w:t xml:space="preserve"> </w:t>
      </w:r>
      <w:r w:rsidR="00DD3E33" w:rsidRPr="00DD3E33">
        <w:rPr>
          <w:color w:val="000000" w:themeColor="text1"/>
        </w:rPr>
        <w:t>22</w:t>
      </w:r>
      <w:r w:rsidR="00CA544C" w:rsidRPr="00DD3E33">
        <w:rPr>
          <w:color w:val="000000" w:themeColor="text1"/>
        </w:rPr>
        <w:t>, 2016, contingent upon Commission approval, pursuant to Section 367.071(1), F.S.</w:t>
      </w:r>
    </w:p>
    <w:p w:rsidR="00FF06FA" w:rsidRDefault="00FF06FA" w:rsidP="00FF06FA">
      <w:pPr>
        <w:spacing w:before="240"/>
        <w:jc w:val="both"/>
        <w:rPr>
          <w:rFonts w:ascii="Arial" w:hAnsi="Arial" w:cs="Arial"/>
          <w:b/>
          <w:bCs/>
        </w:rPr>
      </w:pPr>
      <w:r>
        <w:rPr>
          <w:rFonts w:ascii="Arial" w:hAnsi="Arial" w:cs="Arial"/>
          <w:b/>
          <w:bCs/>
        </w:rPr>
        <w:t>Noticing, Territory, and Land Ownership</w:t>
      </w:r>
    </w:p>
    <w:p w:rsidR="00CA544C" w:rsidRPr="00E2148E" w:rsidRDefault="00E2148E" w:rsidP="00CA544C">
      <w:pPr>
        <w:jc w:val="both"/>
        <w:rPr>
          <w:rFonts w:ascii="Arial" w:hAnsi="Arial" w:cs="Arial"/>
          <w:b/>
          <w:bCs/>
          <w:color w:val="000000" w:themeColor="text1"/>
        </w:rPr>
      </w:pPr>
      <w:r w:rsidRPr="00E2148E">
        <w:rPr>
          <w:color w:val="000000" w:themeColor="text1"/>
        </w:rPr>
        <w:t xml:space="preserve">MIU provided notice of the application pursuant to Section 367.071, F.S., and Rule 25-30.030, F.A.C. </w:t>
      </w:r>
      <w:r w:rsidR="00CA544C" w:rsidRPr="00E2148E">
        <w:rPr>
          <w:color w:val="000000" w:themeColor="text1"/>
        </w:rPr>
        <w:t xml:space="preserve">No objections to the transfer were filed, and the time for doing so has expired. The application also contains a description of the </w:t>
      </w:r>
      <w:r w:rsidR="00951148">
        <w:rPr>
          <w:color w:val="000000" w:themeColor="text1"/>
        </w:rPr>
        <w:t>waste</w:t>
      </w:r>
      <w:r w:rsidR="00CA544C" w:rsidRPr="00E2148E">
        <w:rPr>
          <w:color w:val="000000" w:themeColor="text1"/>
        </w:rPr>
        <w:t xml:space="preserve">water service territory which is appended to this recommendation as Attachment A. The application contains a copy of a </w:t>
      </w:r>
      <w:r w:rsidRPr="00E2148E">
        <w:rPr>
          <w:color w:val="000000" w:themeColor="text1"/>
        </w:rPr>
        <w:t>special warranty</w:t>
      </w:r>
      <w:r w:rsidR="00CA544C" w:rsidRPr="00E2148E">
        <w:rPr>
          <w:color w:val="000000" w:themeColor="text1"/>
        </w:rPr>
        <w:t xml:space="preserve"> deed that was executed on </w:t>
      </w:r>
      <w:r w:rsidRPr="00E2148E">
        <w:rPr>
          <w:color w:val="000000" w:themeColor="text1"/>
        </w:rPr>
        <w:t>December</w:t>
      </w:r>
      <w:r w:rsidR="00CA544C" w:rsidRPr="00E2148E">
        <w:rPr>
          <w:color w:val="000000" w:themeColor="text1"/>
        </w:rPr>
        <w:t xml:space="preserve"> </w:t>
      </w:r>
      <w:r w:rsidRPr="00E2148E">
        <w:rPr>
          <w:color w:val="000000" w:themeColor="text1"/>
        </w:rPr>
        <w:t>22</w:t>
      </w:r>
      <w:r w:rsidR="00CA544C" w:rsidRPr="00E2148E">
        <w:rPr>
          <w:color w:val="000000" w:themeColor="text1"/>
        </w:rPr>
        <w:t xml:space="preserve">, 2016, as evidence that the Applicant owns the land upon which the </w:t>
      </w:r>
      <w:r w:rsidR="00C43EC7">
        <w:rPr>
          <w:color w:val="000000" w:themeColor="text1"/>
        </w:rPr>
        <w:t>waste</w:t>
      </w:r>
      <w:r w:rsidR="00CA544C" w:rsidRPr="00E2148E">
        <w:rPr>
          <w:color w:val="000000" w:themeColor="text1"/>
        </w:rPr>
        <w:t>water treatment facilities are located pursuant to Rule 25-30.037(2)(</w:t>
      </w:r>
      <w:r w:rsidR="00E9518D">
        <w:rPr>
          <w:color w:val="000000" w:themeColor="text1"/>
        </w:rPr>
        <w:t>s</w:t>
      </w:r>
      <w:r w:rsidR="00CA544C" w:rsidRPr="00E2148E">
        <w:rPr>
          <w:color w:val="000000" w:themeColor="text1"/>
        </w:rPr>
        <w:t>), F.A.C.</w:t>
      </w:r>
    </w:p>
    <w:p w:rsidR="00FF06FA" w:rsidRDefault="00FF06FA" w:rsidP="00291449">
      <w:pPr>
        <w:spacing w:before="240"/>
        <w:jc w:val="both"/>
        <w:rPr>
          <w:rFonts w:ascii="Arial" w:hAnsi="Arial" w:cs="Arial"/>
          <w:b/>
          <w:bCs/>
        </w:rPr>
      </w:pPr>
      <w:r>
        <w:rPr>
          <w:rFonts w:ascii="Arial" w:hAnsi="Arial" w:cs="Arial"/>
          <w:b/>
          <w:bCs/>
        </w:rPr>
        <w:t>Purchase Agreement and Financing</w:t>
      </w:r>
    </w:p>
    <w:p w:rsidR="00291449" w:rsidRDefault="002E5CDE" w:rsidP="00291449">
      <w:pPr>
        <w:pStyle w:val="BodyText"/>
      </w:pPr>
      <w:r w:rsidRPr="00376CC2">
        <w:t xml:space="preserve">Pursuant to Rule 25-30.037(2)(i), and (j), F.A.C., the application contains a statement regarding financing and a copy of the purchase agreement, which includes the purchase price, terms of payment, and a list of the assets purchased. There are no customer deposits, guaranteed revenue contracts, developer agreements, customer advances, leases, or debt of </w:t>
      </w:r>
      <w:r w:rsidRPr="00F86B25">
        <w:t>CWS</w:t>
      </w:r>
      <w:r w:rsidRPr="00376CC2">
        <w:t xml:space="preserve"> that must be disposed of with regard to the transfer. According to the purchase agreement, the total purchase price for the assets is $35,000 with $5,000 paid prior to closing, and $30,000 paid at closing</w:t>
      </w:r>
      <w:r>
        <w:t>.</w:t>
      </w:r>
      <w:r w:rsidRPr="00376CC2">
        <w:t xml:space="preserve"> According to the Buyer, the sale took place on December 22, 2016, subject to Commission approval, pursuant to Section 367.071(1), F.S</w:t>
      </w:r>
      <w:r>
        <w:t>.</w:t>
      </w:r>
    </w:p>
    <w:p w:rsidR="00A00AAA" w:rsidRDefault="00A00AAA" w:rsidP="00291449">
      <w:pPr>
        <w:pStyle w:val="BodyText"/>
      </w:pPr>
    </w:p>
    <w:p w:rsidR="007225B7" w:rsidRDefault="007225B7" w:rsidP="007225B7">
      <w:pPr>
        <w:jc w:val="both"/>
        <w:rPr>
          <w:b/>
          <w:bCs/>
        </w:rPr>
      </w:pPr>
      <w:r>
        <w:rPr>
          <w:rFonts w:ascii="Arial" w:hAnsi="Arial" w:cs="Arial"/>
          <w:b/>
          <w:bCs/>
        </w:rPr>
        <w:lastRenderedPageBreak/>
        <w:t>Facility Description and Compliance</w:t>
      </w:r>
    </w:p>
    <w:p w:rsidR="007225B7" w:rsidRPr="00744B6C" w:rsidRDefault="007225B7" w:rsidP="007225B7">
      <w:pPr>
        <w:pStyle w:val="BodyText"/>
        <w:rPr>
          <w:color w:val="000000" w:themeColor="text1"/>
        </w:rPr>
      </w:pPr>
      <w:r w:rsidRPr="00744B6C">
        <w:rPr>
          <w:color w:val="000000" w:themeColor="text1"/>
        </w:rPr>
        <w:t xml:space="preserve">The </w:t>
      </w:r>
      <w:r w:rsidR="00E2148E" w:rsidRPr="00744B6C">
        <w:rPr>
          <w:color w:val="000000" w:themeColor="text1"/>
        </w:rPr>
        <w:t>waste</w:t>
      </w:r>
      <w:r w:rsidRPr="00744B6C">
        <w:rPr>
          <w:color w:val="000000" w:themeColor="text1"/>
        </w:rPr>
        <w:t xml:space="preserve">water treatment system consists of </w:t>
      </w:r>
      <w:r w:rsidR="00E2148E" w:rsidRPr="00744B6C">
        <w:rPr>
          <w:color w:val="000000" w:themeColor="text1"/>
        </w:rPr>
        <w:t xml:space="preserve">a 70,000-gallon per day annual average daily flow wastewater system, consisting of aeration, secondary clarification, chlorination and aerobic digestion of solids. The effluent is disposed of in percolation ponds. The collection system consists of </w:t>
      </w:r>
      <w:r w:rsidR="007C00E6">
        <w:rPr>
          <w:color w:val="000000" w:themeColor="text1"/>
        </w:rPr>
        <w:t>four</w:t>
      </w:r>
      <w:r w:rsidR="00E2148E" w:rsidRPr="00744B6C">
        <w:rPr>
          <w:color w:val="000000" w:themeColor="text1"/>
        </w:rPr>
        <w:t xml:space="preserve"> and </w:t>
      </w:r>
      <w:r w:rsidR="007C00E6">
        <w:rPr>
          <w:color w:val="000000" w:themeColor="text1"/>
        </w:rPr>
        <w:t>six</w:t>
      </w:r>
      <w:r w:rsidR="00E2148E" w:rsidRPr="00744B6C">
        <w:rPr>
          <w:color w:val="000000" w:themeColor="text1"/>
        </w:rPr>
        <w:t xml:space="preserve"> inch polyvinylchloride mains with two lift stations. </w:t>
      </w:r>
      <w:r w:rsidRPr="00744B6C">
        <w:rPr>
          <w:color w:val="000000" w:themeColor="text1"/>
        </w:rPr>
        <w:t xml:space="preserve">The last Florida Department of Environmental Protection (DEP) </w:t>
      </w:r>
      <w:r w:rsidR="00744B6C" w:rsidRPr="00744B6C">
        <w:rPr>
          <w:color w:val="000000" w:themeColor="text1"/>
        </w:rPr>
        <w:t>compliance evaluation inspecti</w:t>
      </w:r>
      <w:r w:rsidR="0068217B">
        <w:rPr>
          <w:color w:val="000000" w:themeColor="text1"/>
        </w:rPr>
        <w:t>o</w:t>
      </w:r>
      <w:r w:rsidR="00744B6C" w:rsidRPr="00744B6C">
        <w:rPr>
          <w:color w:val="000000" w:themeColor="text1"/>
        </w:rPr>
        <w:t>n</w:t>
      </w:r>
      <w:r w:rsidRPr="00744B6C">
        <w:rPr>
          <w:color w:val="000000" w:themeColor="text1"/>
        </w:rPr>
        <w:t xml:space="preserve"> was conducted on </w:t>
      </w:r>
      <w:r w:rsidR="00744B6C" w:rsidRPr="00744B6C">
        <w:rPr>
          <w:color w:val="000000" w:themeColor="text1"/>
        </w:rPr>
        <w:t>February</w:t>
      </w:r>
      <w:r w:rsidRPr="00744B6C">
        <w:rPr>
          <w:color w:val="000000" w:themeColor="text1"/>
        </w:rPr>
        <w:t xml:space="preserve"> </w:t>
      </w:r>
      <w:r w:rsidR="00744B6C" w:rsidRPr="00744B6C">
        <w:rPr>
          <w:color w:val="000000" w:themeColor="text1"/>
        </w:rPr>
        <w:t>3</w:t>
      </w:r>
      <w:r w:rsidRPr="00744B6C">
        <w:rPr>
          <w:color w:val="000000" w:themeColor="text1"/>
        </w:rPr>
        <w:t>, 201</w:t>
      </w:r>
      <w:r w:rsidR="00744B6C" w:rsidRPr="00744B6C">
        <w:rPr>
          <w:color w:val="000000" w:themeColor="text1"/>
        </w:rPr>
        <w:t>6</w:t>
      </w:r>
      <w:r w:rsidRPr="00744B6C">
        <w:rPr>
          <w:color w:val="000000" w:themeColor="text1"/>
        </w:rPr>
        <w:t xml:space="preserve">, and there were </w:t>
      </w:r>
      <w:r w:rsidR="00744B6C" w:rsidRPr="00744B6C">
        <w:rPr>
          <w:color w:val="000000" w:themeColor="text1"/>
        </w:rPr>
        <w:t>two</w:t>
      </w:r>
      <w:r w:rsidRPr="00744B6C">
        <w:rPr>
          <w:color w:val="000000" w:themeColor="text1"/>
        </w:rPr>
        <w:t xml:space="preserve"> deficiencies, which have been corrected. On </w:t>
      </w:r>
      <w:r w:rsidR="00744B6C" w:rsidRPr="00744B6C">
        <w:rPr>
          <w:color w:val="000000" w:themeColor="text1"/>
        </w:rPr>
        <w:t>March</w:t>
      </w:r>
      <w:r w:rsidRPr="00744B6C">
        <w:rPr>
          <w:color w:val="000000" w:themeColor="text1"/>
        </w:rPr>
        <w:t xml:space="preserve"> </w:t>
      </w:r>
      <w:r w:rsidR="00744B6C" w:rsidRPr="00744B6C">
        <w:rPr>
          <w:color w:val="000000" w:themeColor="text1"/>
        </w:rPr>
        <w:t>4</w:t>
      </w:r>
      <w:r w:rsidRPr="00744B6C">
        <w:rPr>
          <w:color w:val="000000" w:themeColor="text1"/>
        </w:rPr>
        <w:t>, 201</w:t>
      </w:r>
      <w:r w:rsidR="00744B6C" w:rsidRPr="00744B6C">
        <w:rPr>
          <w:color w:val="000000" w:themeColor="text1"/>
        </w:rPr>
        <w:t>6</w:t>
      </w:r>
      <w:r w:rsidRPr="00744B6C">
        <w:rPr>
          <w:color w:val="000000" w:themeColor="text1"/>
        </w:rPr>
        <w:t>,</w:t>
      </w:r>
      <w:r w:rsidR="007C00E6">
        <w:rPr>
          <w:color w:val="000000" w:themeColor="text1"/>
        </w:rPr>
        <w:t xml:space="preserve"> the</w:t>
      </w:r>
      <w:r w:rsidR="00BF7F04" w:rsidRPr="00744B6C">
        <w:rPr>
          <w:color w:val="000000" w:themeColor="text1"/>
        </w:rPr>
        <w:t xml:space="preserve"> </w:t>
      </w:r>
      <w:r w:rsidRPr="00744B6C">
        <w:rPr>
          <w:color w:val="000000" w:themeColor="text1"/>
        </w:rPr>
        <w:t>DEP deemed the Utility to be in compliance</w:t>
      </w:r>
      <w:r w:rsidR="00E9518D">
        <w:rPr>
          <w:color w:val="000000" w:themeColor="text1"/>
        </w:rPr>
        <w:t>;</w:t>
      </w:r>
      <w:r w:rsidRPr="00744B6C">
        <w:rPr>
          <w:color w:val="000000" w:themeColor="text1"/>
        </w:rPr>
        <w:t xml:space="preserve"> therefore</w:t>
      </w:r>
      <w:r w:rsidR="00E9518D">
        <w:rPr>
          <w:color w:val="000000" w:themeColor="text1"/>
        </w:rPr>
        <w:t>,</w:t>
      </w:r>
      <w:r w:rsidRPr="00744B6C">
        <w:rPr>
          <w:color w:val="000000" w:themeColor="text1"/>
        </w:rPr>
        <w:t xml:space="preserve"> the system appears to be in compliance with</w:t>
      </w:r>
      <w:r w:rsidR="00BF7F04" w:rsidRPr="00744B6C">
        <w:rPr>
          <w:color w:val="000000" w:themeColor="text1"/>
        </w:rPr>
        <w:t xml:space="preserve"> the</w:t>
      </w:r>
      <w:r w:rsidRPr="00744B6C">
        <w:rPr>
          <w:color w:val="000000" w:themeColor="text1"/>
        </w:rPr>
        <w:t xml:space="preserve"> DEP rules.</w:t>
      </w:r>
    </w:p>
    <w:p w:rsidR="00FF06FA" w:rsidRDefault="00FF06FA" w:rsidP="00FF06FA">
      <w:pPr>
        <w:jc w:val="both"/>
        <w:rPr>
          <w:rFonts w:ascii="Arial" w:hAnsi="Arial" w:cs="Arial"/>
          <w:b/>
          <w:bCs/>
        </w:rPr>
      </w:pPr>
      <w:r>
        <w:rPr>
          <w:rFonts w:ascii="Arial" w:hAnsi="Arial" w:cs="Arial"/>
          <w:b/>
          <w:bCs/>
        </w:rPr>
        <w:t>Technical and Financial Ability</w:t>
      </w:r>
    </w:p>
    <w:p w:rsidR="00DB34A5" w:rsidRDefault="002E5CDE" w:rsidP="00FF06FA">
      <w:pPr>
        <w:jc w:val="both"/>
      </w:pPr>
      <w:r w:rsidRPr="00376CC2">
        <w:t>Pursuant to Rule</w:t>
      </w:r>
      <w:r w:rsidR="00E9518D">
        <w:t>s</w:t>
      </w:r>
      <w:r w:rsidRPr="00376CC2">
        <w:t xml:space="preserve"> 25-30.037(2)(l)</w:t>
      </w:r>
      <w:r w:rsidR="00E9518D">
        <w:t xml:space="preserve"> and (m)</w:t>
      </w:r>
      <w:r w:rsidRPr="00376CC2">
        <w:t xml:space="preserve">, F.A.C., the application contains statements describing the technical and financial ability of the </w:t>
      </w:r>
      <w:r>
        <w:t>Buyer</w:t>
      </w:r>
      <w:r w:rsidRPr="00376CC2">
        <w:t xml:space="preserve"> to provide service to the proposed service area.</w:t>
      </w:r>
      <w:r>
        <w:t xml:space="preserve"> </w:t>
      </w:r>
      <w:r w:rsidRPr="00C91A0C">
        <w:t xml:space="preserve">The President and Vice President have over 30 and 38 years, respectively, of experience operating or owning </w:t>
      </w:r>
      <w:r w:rsidR="00E9518D">
        <w:t>water and waste</w:t>
      </w:r>
      <w:r w:rsidRPr="00C91A0C">
        <w:t xml:space="preserve">water utilities, including a number of utilities previously regulated by the Commission. In addition, the directors are part owners of other systems regulated by the Commission, including </w:t>
      </w:r>
      <w:r w:rsidRPr="00B05A1D">
        <w:t>Harbor Waterworks, Inc.,</w:t>
      </w:r>
      <w:r w:rsidRPr="00B05A1D">
        <w:rPr>
          <w:vertAlign w:val="superscript"/>
        </w:rPr>
        <w:footnoteReference w:id="7"/>
      </w:r>
      <w:r w:rsidRPr="00B05A1D">
        <w:t xml:space="preserve"> Lakeside Waterworks, Inc.,</w:t>
      </w:r>
      <w:r w:rsidRPr="00B05A1D">
        <w:rPr>
          <w:vertAlign w:val="superscript"/>
        </w:rPr>
        <w:footnoteReference w:id="8"/>
      </w:r>
      <w:r w:rsidRPr="00B05A1D">
        <w:t xml:space="preserve"> LP Waterworks, Inc.,</w:t>
      </w:r>
      <w:r w:rsidRPr="00B05A1D">
        <w:rPr>
          <w:vertAlign w:val="superscript"/>
        </w:rPr>
        <w:footnoteReference w:id="9"/>
      </w:r>
      <w:r w:rsidRPr="00B05A1D">
        <w:t xml:space="preserve"> Raintree Waterworks, Inc.,</w:t>
      </w:r>
      <w:r w:rsidRPr="00B05A1D">
        <w:rPr>
          <w:vertAlign w:val="superscript"/>
        </w:rPr>
        <w:footnoteReference w:id="10"/>
      </w:r>
      <w:r w:rsidRPr="00B05A1D">
        <w:t xml:space="preserve"> Brendenwood Waterworks, Inc.,</w:t>
      </w:r>
      <w:r w:rsidRPr="00B05A1D">
        <w:rPr>
          <w:vertAlign w:val="superscript"/>
        </w:rPr>
        <w:footnoteReference w:id="11"/>
      </w:r>
      <w:r w:rsidRPr="00B05A1D">
        <w:t xml:space="preserve"> Country Walk Utilities, Inc.,</w:t>
      </w:r>
      <w:r w:rsidRPr="00B05A1D">
        <w:rPr>
          <w:vertAlign w:val="superscript"/>
        </w:rPr>
        <w:footnoteReference w:id="12"/>
      </w:r>
      <w:r w:rsidRPr="00B05A1D">
        <w:t xml:space="preserve"> Lake Idlewild Utility Company,</w:t>
      </w:r>
      <w:r w:rsidRPr="00B05A1D">
        <w:rPr>
          <w:rStyle w:val="FootnoteReference"/>
        </w:rPr>
        <w:footnoteReference w:id="13"/>
      </w:r>
      <w:r w:rsidRPr="00B05A1D">
        <w:t xml:space="preserve"> Black Bear Reserve Water Corporation,</w:t>
      </w:r>
      <w:r w:rsidRPr="00B05A1D">
        <w:rPr>
          <w:vertAlign w:val="superscript"/>
        </w:rPr>
        <w:footnoteReference w:id="14"/>
      </w:r>
      <w:r w:rsidRPr="00B05A1D">
        <w:t xml:space="preserve"> an</w:t>
      </w:r>
      <w:r w:rsidRPr="00C91A0C">
        <w:t>d several of the systems previously owned b</w:t>
      </w:r>
      <w:r w:rsidRPr="00AE63CA">
        <w:t>y Aqua Utilities Florida, Inc.</w:t>
      </w:r>
      <w:r w:rsidRPr="00AE63CA">
        <w:rPr>
          <w:vertAlign w:val="superscript"/>
        </w:rPr>
        <w:footnoteReference w:id="15"/>
      </w:r>
      <w:r w:rsidRPr="00C91A0C">
        <w:t xml:space="preserve"> The </w:t>
      </w:r>
      <w:r w:rsidRPr="00C91A0C">
        <w:lastRenderedPageBreak/>
        <w:t>application also indicates that both the President and Vice President have controlled service delivery to more than 850 water and wastewater facilities within Florida during their careers.</w:t>
      </w:r>
      <w:r>
        <w:rPr>
          <w:rStyle w:val="CharChar"/>
        </w:rPr>
        <w:t xml:space="preserve"> </w:t>
      </w:r>
      <w:r w:rsidRPr="00032C87">
        <w:rPr>
          <w:rStyle w:val="CharChar"/>
        </w:rPr>
        <w:t>Further, the application indicates that the President has secured the services of U.S. Water Services Corporation to provide contrac</w:t>
      </w:r>
      <w:r>
        <w:rPr>
          <w:rStyle w:val="CharChar"/>
        </w:rPr>
        <w:t>t operating service, as well as</w:t>
      </w:r>
      <w:r w:rsidRPr="00032C87">
        <w:rPr>
          <w:rStyle w:val="CharChar"/>
        </w:rPr>
        <w:t xml:space="preserve"> billing and collection services.</w:t>
      </w:r>
      <w:r w:rsidRPr="00376CC2">
        <w:t xml:space="preserve"> Staff also reviewed the personal financial statements of the owner, who also serves as the president.</w:t>
      </w:r>
      <w:r>
        <w:rPr>
          <w:rStyle w:val="FootnoteReference"/>
        </w:rPr>
        <w:footnoteReference w:id="16"/>
      </w:r>
      <w:r w:rsidRPr="00376CC2">
        <w:t xml:space="preserve"> Based on the above, staff believes the Buyer has demonstrated the technical and financial ability to provide service to the existing service territory</w:t>
      </w:r>
      <w:r>
        <w:t>.</w:t>
      </w:r>
    </w:p>
    <w:p w:rsidR="002E5CDE" w:rsidRPr="00291449" w:rsidRDefault="002E5CDE" w:rsidP="00FF06FA">
      <w:pPr>
        <w:jc w:val="both"/>
        <w:rPr>
          <w:bCs/>
        </w:rPr>
      </w:pPr>
    </w:p>
    <w:p w:rsidR="00FF06FA" w:rsidRDefault="00FF06FA" w:rsidP="00FF06FA">
      <w:pPr>
        <w:jc w:val="both"/>
        <w:rPr>
          <w:rFonts w:ascii="Arial" w:hAnsi="Arial" w:cs="Arial"/>
          <w:b/>
          <w:bCs/>
        </w:rPr>
      </w:pPr>
      <w:r>
        <w:rPr>
          <w:rFonts w:ascii="Arial" w:hAnsi="Arial" w:cs="Arial"/>
          <w:b/>
          <w:bCs/>
        </w:rPr>
        <w:t>Rates and Charges</w:t>
      </w:r>
    </w:p>
    <w:p w:rsidR="00841B22" w:rsidRPr="00C16572" w:rsidRDefault="00244129" w:rsidP="00841B22">
      <w:pPr>
        <w:pStyle w:val="IssueHeading"/>
        <w:spacing w:after="0"/>
        <w:rPr>
          <w:rFonts w:ascii="Times New Roman" w:hAnsi="Times New Roman" w:cs="Times New Roman"/>
          <w:b w:val="0"/>
          <w:bCs w:val="0"/>
          <w:i w:val="0"/>
          <w:color w:val="000000" w:themeColor="text1"/>
          <w:kern w:val="0"/>
          <w:szCs w:val="24"/>
        </w:rPr>
      </w:pPr>
      <w:r w:rsidRPr="00244129">
        <w:rPr>
          <w:rFonts w:ascii="Times New Roman" w:hAnsi="Times New Roman" w:cs="Times New Roman"/>
          <w:b w:val="0"/>
          <w:i w:val="0"/>
        </w:rPr>
        <w:t>The Utility’s rates and charges were last evaluated in 2003 and 2008.</w:t>
      </w:r>
      <w:r w:rsidRPr="00244129">
        <w:rPr>
          <w:rStyle w:val="FootnoteReference"/>
          <w:rFonts w:ascii="Times New Roman" w:hAnsi="Times New Roman" w:cs="Times New Roman"/>
          <w:b w:val="0"/>
          <w:i w:val="0"/>
        </w:rPr>
        <w:footnoteReference w:id="17"/>
      </w:r>
      <w:r w:rsidRPr="00244129">
        <w:rPr>
          <w:rFonts w:ascii="Times New Roman" w:hAnsi="Times New Roman" w:cs="Times New Roman"/>
          <w:b w:val="0"/>
          <w:i w:val="0"/>
        </w:rPr>
        <w:t xml:space="preserve"> In 2013, the rates were subsequently reduced to reflect the expiration of the amortization of rate case expense approved in 2008. The Utility’s existing rates and charges are shown on Schedule No. 2, which is attached to this recommendation. Rule 25-9.044(1), F.A.C., provides that, in the case of a change of ownership or control of a utility, the rates, classifications, and regulations of the former owner must continue unless authorized to change by this Commission. Therefore, staff recommends that the Utility’s existing rates and charges remain in effect until a change is authorized by this Commission in a subsequent proceeding</w:t>
      </w:r>
      <w:r w:rsidRPr="00C16572">
        <w:rPr>
          <w:rFonts w:ascii="Times New Roman" w:hAnsi="Times New Roman" w:cs="Times New Roman"/>
          <w:b w:val="0"/>
          <w:i w:val="0"/>
          <w:color w:val="000000" w:themeColor="text1"/>
        </w:rPr>
        <w:t>.</w:t>
      </w:r>
    </w:p>
    <w:p w:rsidR="002E5CDE" w:rsidRDefault="002E5CDE" w:rsidP="00FF06FA">
      <w:pPr>
        <w:jc w:val="both"/>
        <w:rPr>
          <w:rFonts w:ascii="Arial" w:hAnsi="Arial" w:cs="Arial"/>
          <w:b/>
          <w:bCs/>
        </w:rPr>
      </w:pPr>
    </w:p>
    <w:p w:rsidR="00FF06FA" w:rsidRDefault="00FF06FA" w:rsidP="00FF06FA">
      <w:pPr>
        <w:jc w:val="both"/>
        <w:rPr>
          <w:rFonts w:ascii="Arial" w:hAnsi="Arial" w:cs="Arial"/>
          <w:b/>
          <w:bCs/>
        </w:rPr>
      </w:pPr>
      <w:r>
        <w:rPr>
          <w:rFonts w:ascii="Arial" w:hAnsi="Arial" w:cs="Arial"/>
          <w:b/>
          <w:bCs/>
        </w:rPr>
        <w:t>Regulatory Assessment Fees and Annual Reports</w:t>
      </w:r>
    </w:p>
    <w:p w:rsidR="00841B22" w:rsidRPr="002E5CDE" w:rsidRDefault="002E5CDE" w:rsidP="00841B22">
      <w:pPr>
        <w:pStyle w:val="IssueHeading"/>
        <w:spacing w:after="0"/>
        <w:rPr>
          <w:rFonts w:ascii="Times New Roman" w:hAnsi="Times New Roman" w:cs="Times New Roman"/>
          <w:b w:val="0"/>
          <w:bCs w:val="0"/>
          <w:i w:val="0"/>
          <w:kern w:val="0"/>
          <w:szCs w:val="24"/>
        </w:rPr>
      </w:pPr>
      <w:r w:rsidRPr="002E5CDE">
        <w:rPr>
          <w:rFonts w:ascii="Times New Roman" w:hAnsi="Times New Roman" w:cs="Times New Roman"/>
          <w:b w:val="0"/>
          <w:bCs w:val="0"/>
          <w:i w:val="0"/>
          <w:kern w:val="0"/>
          <w:szCs w:val="24"/>
        </w:rPr>
        <w:t xml:space="preserve">Staff has verified that the Utility is current on the </w:t>
      </w:r>
      <w:r w:rsidR="00E9518D">
        <w:rPr>
          <w:rFonts w:ascii="Times New Roman" w:hAnsi="Times New Roman" w:cs="Times New Roman"/>
          <w:b w:val="0"/>
          <w:bCs w:val="0"/>
          <w:i w:val="0"/>
          <w:kern w:val="0"/>
          <w:szCs w:val="24"/>
        </w:rPr>
        <w:t>payment</w:t>
      </w:r>
      <w:r w:rsidRPr="002E5CDE">
        <w:rPr>
          <w:rFonts w:ascii="Times New Roman" w:hAnsi="Times New Roman" w:cs="Times New Roman"/>
          <w:b w:val="0"/>
          <w:bCs w:val="0"/>
          <w:i w:val="0"/>
          <w:kern w:val="0"/>
          <w:szCs w:val="24"/>
        </w:rPr>
        <w:t xml:space="preserve"> of RAFs through December 31, 2016. The Buyer will be responsible for paying RAFs after December 31, 2016, and all future years. The Buyer has filed the 2016 Annual Report, and should be responsible for filing all future annual reports.</w:t>
      </w:r>
    </w:p>
    <w:p w:rsidR="00FF06FA" w:rsidRDefault="00FF06FA" w:rsidP="00453594">
      <w:pPr>
        <w:spacing w:before="240"/>
        <w:jc w:val="both"/>
        <w:rPr>
          <w:rFonts w:ascii="Arial" w:hAnsi="Arial" w:cs="Arial"/>
          <w:b/>
          <w:bCs/>
        </w:rPr>
      </w:pPr>
      <w:r>
        <w:rPr>
          <w:rFonts w:ascii="Arial" w:hAnsi="Arial" w:cs="Arial"/>
          <w:b/>
          <w:bCs/>
        </w:rPr>
        <w:t>Conclusion</w:t>
      </w:r>
    </w:p>
    <w:p w:rsidR="00841B22" w:rsidRDefault="00841B22" w:rsidP="002B7DEE">
      <w:pPr>
        <w:jc w:val="both"/>
      </w:pPr>
      <w:r w:rsidRPr="00244129">
        <w:rPr>
          <w:color w:val="000000" w:themeColor="text1"/>
        </w:rPr>
        <w:t xml:space="preserve">Based on the foregoing, staff recommends that the transfer of the </w:t>
      </w:r>
      <w:r w:rsidR="00004AD6">
        <w:rPr>
          <w:color w:val="000000" w:themeColor="text1"/>
        </w:rPr>
        <w:t>waste</w:t>
      </w:r>
      <w:r w:rsidRPr="00244129">
        <w:rPr>
          <w:color w:val="000000" w:themeColor="text1"/>
        </w:rPr>
        <w:t xml:space="preserve">water system and Certificate No. </w:t>
      </w:r>
      <w:r w:rsidR="00244129" w:rsidRPr="00244129">
        <w:rPr>
          <w:color w:val="000000" w:themeColor="text1"/>
        </w:rPr>
        <w:t>137-S</w:t>
      </w:r>
      <w:r w:rsidRPr="00244129">
        <w:rPr>
          <w:color w:val="000000" w:themeColor="text1"/>
        </w:rPr>
        <w:t xml:space="preserve"> is in the public interest and should be approved effective the date of the Commission vote. The resultant order should serve as the Buyer’s certificate and should be retained by the Buyer.</w:t>
      </w:r>
      <w:r w:rsidR="00244129" w:rsidRPr="00244129">
        <w:rPr>
          <w:color w:val="000000" w:themeColor="text1"/>
        </w:rPr>
        <w:t xml:space="preserve"> The ex</w:t>
      </w:r>
      <w:r w:rsidR="00244129">
        <w:t>isting rates and charges should remain in effect until a change is authorized by the Commission in a subsequent proceeding. The tariffs reflecting the transfer should be effective for services rendered or connections made on or after the stamped approval date on the tariffs pursuant to Rule 25-30.475, F.A.C.</w:t>
      </w:r>
      <w:r w:rsidR="0046516C">
        <w:t xml:space="preserve"> </w:t>
      </w:r>
      <w:r w:rsidR="0046516C" w:rsidRPr="002E5CDE">
        <w:t xml:space="preserve">The Buyer </w:t>
      </w:r>
      <w:r w:rsidR="0046516C">
        <w:t>should</w:t>
      </w:r>
      <w:r w:rsidR="0046516C" w:rsidRPr="002E5CDE">
        <w:t xml:space="preserve"> be responsible for </w:t>
      </w:r>
      <w:r w:rsidR="0046516C" w:rsidRPr="002E5CDE">
        <w:lastRenderedPageBreak/>
        <w:t>paying RAFs after December 31, 2016, and all future years. The Buyer</w:t>
      </w:r>
      <w:r w:rsidR="0046516C" w:rsidRPr="0046516C">
        <w:t xml:space="preserve"> </w:t>
      </w:r>
      <w:r w:rsidR="0046516C" w:rsidRPr="002E5CDE">
        <w:t>should be responsible for filing all future annual reports.</w:t>
      </w:r>
      <w:r w:rsidR="0046516C">
        <w:t xml:space="preserve"> </w:t>
      </w:r>
    </w:p>
    <w:p w:rsidR="00FA568D" w:rsidRDefault="00FA568D">
      <w:pPr>
        <w:pStyle w:val="IssueHeading"/>
        <w:rPr>
          <w:vanish/>
          <w:specVanish/>
        </w:rPr>
      </w:pPr>
      <w:r w:rsidRPr="004C3641">
        <w:rPr>
          <w:b w:val="0"/>
          <w:i w:val="0"/>
        </w:rPr>
        <w:br w:type="page"/>
      </w:r>
      <w:r w:rsidRPr="004C3641">
        <w:lastRenderedPageBreak/>
        <w:t xml:space="preserve">Issue </w:t>
      </w:r>
      <w:r w:rsidR="00A90424">
        <w:fldChar w:fldCharType="begin"/>
      </w:r>
      <w:r w:rsidR="00A90424">
        <w:instrText xml:space="preserve"> SEQ Issue \* MERGEFORMAT </w:instrText>
      </w:r>
      <w:r w:rsidR="00A90424">
        <w:fldChar w:fldCharType="separate"/>
      </w:r>
      <w:r w:rsidR="00E2525C">
        <w:rPr>
          <w:noProof/>
        </w:rPr>
        <w:t>2</w:t>
      </w:r>
      <w:r w:rsidR="00A904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2525C">
        <w:rPr>
          <w:noProof/>
        </w:rPr>
        <w:instrText>2</w:instrText>
      </w:r>
      <w:r>
        <w:fldChar w:fldCharType="end"/>
      </w:r>
      <w:r>
        <w:tab/>
        <w:instrText xml:space="preserve">" \l 1 </w:instrText>
      </w:r>
      <w:r>
        <w:fldChar w:fldCharType="end"/>
      </w:r>
      <w:r>
        <w:t> </w:t>
      </w:r>
    </w:p>
    <w:p w:rsidR="00FA568D" w:rsidRDefault="00854C5B">
      <w:pPr>
        <w:pStyle w:val="BodyText"/>
      </w:pPr>
      <w:r>
        <w:rPr>
          <w:rFonts w:ascii="Arial" w:hAnsi="Arial" w:cs="Arial"/>
          <w:b/>
          <w:bCs/>
          <w:i/>
          <w:iCs/>
        </w:rPr>
        <w:t xml:space="preserve">  </w:t>
      </w:r>
      <w:r>
        <w:t>What is the appropriate net book value for the Merritt Island wastewater system for transfer purposes?</w:t>
      </w:r>
    </w:p>
    <w:p w:rsidR="00FA568D" w:rsidRPr="004C3641" w:rsidRDefault="00FA568D">
      <w:pPr>
        <w:pStyle w:val="IssueSubsectionHeading"/>
        <w:rPr>
          <w:vanish/>
          <w:specVanish/>
        </w:rPr>
      </w:pPr>
      <w:r w:rsidRPr="004C3641">
        <w:t>Recommendation: </w:t>
      </w:r>
    </w:p>
    <w:p w:rsidR="00FA568D" w:rsidRDefault="00FA568D">
      <w:pPr>
        <w:pStyle w:val="BodyText"/>
      </w:pPr>
      <w:r>
        <w:t> </w:t>
      </w:r>
      <w:r w:rsidR="0046516C" w:rsidRPr="00751A0C">
        <w:t>The net book value of the wastewater system for transfer purposes is $43,969 as of December 22, 2016. Within 90 days of the date of the final order, M</w:t>
      </w:r>
      <w:r w:rsidR="0046516C">
        <w:t>IU</w:t>
      </w:r>
      <w:r w:rsidR="0046516C" w:rsidRPr="00751A0C">
        <w:t xml:space="preserve"> should be required to notify the Commission in writing, that it has adjusted its books in accordance with the Commission’s decision. The adjustments should be reflected in M</w:t>
      </w:r>
      <w:r w:rsidR="0046516C">
        <w:t>IU</w:t>
      </w:r>
      <w:r w:rsidR="0046516C" w:rsidRPr="00751A0C">
        <w:t xml:space="preserve">’s </w:t>
      </w:r>
      <w:r w:rsidR="0046516C" w:rsidRPr="00F86B25">
        <w:t>2017 A</w:t>
      </w:r>
      <w:r w:rsidR="0046516C" w:rsidRPr="00751A0C">
        <w:t>nnual Report when filed</w:t>
      </w:r>
      <w:r w:rsidR="0046516C">
        <w:t>.</w:t>
      </w:r>
      <w:r w:rsidR="00841B22" w:rsidRPr="00F01C62">
        <w:rPr>
          <w:color w:val="00B050"/>
        </w:rPr>
        <w:t xml:space="preserve"> </w:t>
      </w:r>
      <w:r w:rsidR="00841B22" w:rsidRPr="0046516C">
        <w:t>(</w:t>
      </w:r>
      <w:r w:rsidR="0046516C">
        <w:t>Mick</w:t>
      </w:r>
      <w:r w:rsidR="00841B22" w:rsidRPr="0046516C">
        <w:t>)</w:t>
      </w:r>
      <w:r w:rsidRPr="0046516C">
        <w:t xml:space="preserve"> </w:t>
      </w:r>
    </w:p>
    <w:p w:rsidR="00FA568D" w:rsidRPr="004C3641" w:rsidRDefault="00FA568D">
      <w:pPr>
        <w:pStyle w:val="IssueSubsectionHeading"/>
        <w:rPr>
          <w:vanish/>
          <w:specVanish/>
        </w:rPr>
      </w:pPr>
      <w:r w:rsidRPr="004C3641">
        <w:t>Staff Analysis: </w:t>
      </w:r>
    </w:p>
    <w:p w:rsidR="00FA568D" w:rsidRDefault="00FA568D" w:rsidP="0046516C">
      <w:pPr>
        <w:pStyle w:val="BodyText"/>
      </w:pPr>
      <w:r>
        <w:t> </w:t>
      </w:r>
      <w:r w:rsidR="0046516C" w:rsidRPr="00751A0C">
        <w:t>Rate base was last establi</w:t>
      </w:r>
      <w:r w:rsidR="0046516C">
        <w:t>shed as of September 27, 2012.</w:t>
      </w:r>
      <w:r w:rsidR="0046516C">
        <w:rPr>
          <w:rStyle w:val="FootnoteReference"/>
        </w:rPr>
        <w:footnoteReference w:id="18"/>
      </w:r>
      <w:r w:rsidR="0046516C">
        <w:t xml:space="preserve"> </w:t>
      </w:r>
      <w:r w:rsidR="0046516C" w:rsidRPr="00751A0C">
        <w:t>The purpose of establishing net book value (NBV) for transfers is to determine whether an acquisition adjustment should be approved. The NBV does not include normal ratemaking adjustments for used and useful plant or working capital. The NBV has been updated to reflect balances as of December 22, 2016. Staff’s recommended NBV, as described below, is shown on Schedule</w:t>
      </w:r>
      <w:r w:rsidR="00276EC8">
        <w:t xml:space="preserve"> No.</w:t>
      </w:r>
      <w:r w:rsidR="0046516C" w:rsidRPr="00751A0C">
        <w:t xml:space="preserve"> 1</w:t>
      </w:r>
      <w:r w:rsidR="0046516C">
        <w:t xml:space="preserve">. The </w:t>
      </w:r>
      <w:r w:rsidR="0046516C" w:rsidRPr="00166D82">
        <w:t>Seller</w:t>
      </w:r>
      <w:r w:rsidR="0046516C">
        <w:t xml:space="preserve"> did not have general ledgers; therefore, audit staff utilized annual reports.</w:t>
      </w:r>
    </w:p>
    <w:p w:rsidR="00F94699" w:rsidRDefault="00F94699" w:rsidP="00F94699">
      <w:pPr>
        <w:jc w:val="both"/>
        <w:rPr>
          <w:rFonts w:ascii="Arial" w:hAnsi="Arial" w:cs="Arial"/>
          <w:b/>
          <w:bCs/>
        </w:rPr>
      </w:pPr>
      <w:r>
        <w:rPr>
          <w:rFonts w:ascii="Arial" w:hAnsi="Arial" w:cs="Arial"/>
          <w:b/>
          <w:bCs/>
        </w:rPr>
        <w:t xml:space="preserve">Utility Plant in Service (UPIS) </w:t>
      </w:r>
    </w:p>
    <w:p w:rsidR="00841B22" w:rsidRPr="0046516C" w:rsidRDefault="0046516C" w:rsidP="00841B22">
      <w:pPr>
        <w:pStyle w:val="BodyText"/>
        <w:rPr>
          <w:rFonts w:ascii="Calibri" w:hAnsi="Calibri"/>
          <w:sz w:val="22"/>
          <w:szCs w:val="22"/>
        </w:rPr>
      </w:pPr>
      <w:r w:rsidRPr="00964143">
        <w:t xml:space="preserve">The </w:t>
      </w:r>
      <w:r>
        <w:t xml:space="preserve">2015 Annual Report </w:t>
      </w:r>
      <w:r w:rsidRPr="00964143">
        <w:t xml:space="preserve">reflected </w:t>
      </w:r>
      <w:r>
        <w:t>a waste</w:t>
      </w:r>
      <w:r w:rsidRPr="00964143">
        <w:t xml:space="preserve">water utility plant in service (UPIS) balance of $138,494. Staff </w:t>
      </w:r>
      <w:r>
        <w:t>determined that there have been no new</w:t>
      </w:r>
      <w:r w:rsidRPr="00964143">
        <w:t xml:space="preserve"> </w:t>
      </w:r>
      <w:r>
        <w:t>plant</w:t>
      </w:r>
      <w:r w:rsidRPr="00964143">
        <w:t xml:space="preserve"> additions since the last rate case proceeding</w:t>
      </w:r>
      <w:r>
        <w:t>.</w:t>
      </w:r>
      <w:r w:rsidRPr="00964143">
        <w:t xml:space="preserve"> UPIS</w:t>
      </w:r>
      <w:r>
        <w:t xml:space="preserve"> has been increased</w:t>
      </w:r>
      <w:r w:rsidRPr="00964143">
        <w:t xml:space="preserve"> by $</w:t>
      </w:r>
      <w:r>
        <w:t>2</w:t>
      </w:r>
      <w:r w:rsidRPr="00964143">
        <w:t xml:space="preserve">8,282 to reflect unrecorded Commission-ordered adjustments per the last </w:t>
      </w:r>
      <w:r w:rsidR="00422987">
        <w:t>o</w:t>
      </w:r>
      <w:r w:rsidRPr="00964143">
        <w:t>rder. Therefore, staff recommends that the UPIS balance as of December 22, 2016, should be $166,776</w:t>
      </w:r>
      <w:r w:rsidRPr="0046516C">
        <w:t>.</w:t>
      </w:r>
    </w:p>
    <w:p w:rsidR="00F94699" w:rsidRDefault="00F94699" w:rsidP="00841B22">
      <w:pPr>
        <w:rPr>
          <w:rFonts w:ascii="Arial" w:hAnsi="Arial" w:cs="Arial"/>
          <w:b/>
          <w:bCs/>
        </w:rPr>
      </w:pPr>
      <w:r>
        <w:rPr>
          <w:rFonts w:ascii="Arial" w:hAnsi="Arial" w:cs="Arial"/>
          <w:b/>
          <w:bCs/>
        </w:rPr>
        <w:t>Land</w:t>
      </w:r>
    </w:p>
    <w:p w:rsidR="00841B22" w:rsidRPr="0046516C" w:rsidRDefault="0046516C" w:rsidP="00841B22">
      <w:pPr>
        <w:jc w:val="both"/>
      </w:pPr>
      <w:r w:rsidRPr="00964143">
        <w:t xml:space="preserve">The </w:t>
      </w:r>
      <w:r>
        <w:t xml:space="preserve">2015 </w:t>
      </w:r>
      <w:r w:rsidRPr="00945BFA">
        <w:t>Annual Report</w:t>
      </w:r>
      <w:r w:rsidRPr="00964143">
        <w:t xml:space="preserve"> reflected a land balance of $30,506. In the last </w:t>
      </w:r>
      <w:r w:rsidR="00422987">
        <w:t>o</w:t>
      </w:r>
      <w:r w:rsidRPr="00964143">
        <w:t xml:space="preserve">rder, the Commission established the value of the land to be $30,479. There have been no additions to land purchased since that </w:t>
      </w:r>
      <w:r w:rsidR="000B1E98">
        <w:t>o</w:t>
      </w:r>
      <w:r w:rsidRPr="00964143">
        <w:t>rder was issued. Therefore, staff recommends a land balance of $30,479, as of December 22, 2016.</w:t>
      </w:r>
      <w:r>
        <w:t xml:space="preserve"> This represents a reduction of $27 for land</w:t>
      </w:r>
      <w:r w:rsidRPr="0046516C">
        <w:t>.</w:t>
      </w:r>
    </w:p>
    <w:p w:rsidR="00F94699" w:rsidRDefault="00F94699" w:rsidP="00F94699">
      <w:pPr>
        <w:jc w:val="both"/>
      </w:pPr>
    </w:p>
    <w:p w:rsidR="00F94699" w:rsidRDefault="00F94699" w:rsidP="00F94699">
      <w:pPr>
        <w:jc w:val="both"/>
        <w:rPr>
          <w:rFonts w:ascii="Arial" w:hAnsi="Arial" w:cs="Arial"/>
          <w:b/>
          <w:bCs/>
        </w:rPr>
      </w:pPr>
      <w:r>
        <w:rPr>
          <w:rFonts w:ascii="Arial" w:hAnsi="Arial" w:cs="Arial"/>
          <w:b/>
          <w:bCs/>
        </w:rPr>
        <w:t>Accumulated Depreciation</w:t>
      </w:r>
    </w:p>
    <w:p w:rsidR="00841B22" w:rsidRPr="0046516C" w:rsidRDefault="0046516C" w:rsidP="00841B22">
      <w:pPr>
        <w:pStyle w:val="BodyText"/>
      </w:pPr>
      <w:r w:rsidRPr="00964143">
        <w:t xml:space="preserve">The </w:t>
      </w:r>
      <w:r>
        <w:t xml:space="preserve">2015 </w:t>
      </w:r>
      <w:r w:rsidRPr="00945BFA">
        <w:t>Annual Report</w:t>
      </w:r>
      <w:r w:rsidRPr="00964143">
        <w:t xml:space="preserve"> reflected an accumulated depreciation balance of $169,417. Based on the UPIS adjustment discussed earlier, staff calculated the appropriate accumulated depreciation balance to be $153,286. As a result, accumulated depreciation should be decreased by $16,131 to reflect an accumulated depreciation balance of $153,286 as of December 22, 2016.</w:t>
      </w:r>
    </w:p>
    <w:p w:rsidR="00F94699" w:rsidRDefault="00F94699" w:rsidP="00F94699">
      <w:pPr>
        <w:jc w:val="both"/>
        <w:rPr>
          <w:rFonts w:ascii="Arial" w:hAnsi="Arial" w:cs="Arial"/>
          <w:b/>
          <w:bCs/>
        </w:rPr>
      </w:pPr>
      <w:r>
        <w:rPr>
          <w:rFonts w:ascii="Arial" w:hAnsi="Arial" w:cs="Arial"/>
          <w:b/>
          <w:bCs/>
        </w:rPr>
        <w:t>Contributions-in-Aid-of-Construction (CIAC) and Accumulated Amortization of CIAC</w:t>
      </w:r>
    </w:p>
    <w:p w:rsidR="00841B22" w:rsidRPr="0046516C" w:rsidRDefault="0046516C" w:rsidP="00841B22">
      <w:pPr>
        <w:pStyle w:val="BodyText"/>
      </w:pPr>
      <w:r>
        <w:t>T</w:t>
      </w:r>
      <w:r w:rsidRPr="00A81AEB">
        <w:t xml:space="preserve">he </w:t>
      </w:r>
      <w:r>
        <w:t xml:space="preserve">2015 </w:t>
      </w:r>
      <w:r w:rsidRPr="00945BFA">
        <w:t>Annual Report</w:t>
      </w:r>
      <w:r w:rsidRPr="00A81AEB">
        <w:t xml:space="preserve"> ref</w:t>
      </w:r>
      <w:r>
        <w:t>lected a CIAC balance of $0</w:t>
      </w:r>
      <w:r w:rsidRPr="00A81AEB">
        <w:t xml:space="preserve"> and an accumulated amortization of CIAC balance of $0. The CIAC balance should be $23,500, and it is fully am</w:t>
      </w:r>
      <w:r>
        <w:t>ortized based on the Commission-</w:t>
      </w:r>
      <w:r w:rsidRPr="00A81AEB">
        <w:t xml:space="preserve">approved balances in the last </w:t>
      </w:r>
      <w:r w:rsidR="00422987">
        <w:t>o</w:t>
      </w:r>
      <w:r w:rsidRPr="00A81AEB">
        <w:t>rder. As such, staff increased CIAC and accumulated amortization of CIAC by $23,500 to ref</w:t>
      </w:r>
      <w:r>
        <w:t>lect the appropriate Commission-</w:t>
      </w:r>
      <w:r w:rsidRPr="00A81AEB">
        <w:t>approved balance</w:t>
      </w:r>
      <w:r w:rsidR="00D70AB8">
        <w:t>s</w:t>
      </w:r>
      <w:r w:rsidRPr="00A81AEB">
        <w:t>. Therefore, staff recommends a CIAC balance of $23,500 and an accumulated amortization of CIAC balance of $23,500 as of December 22, 2016.</w:t>
      </w:r>
    </w:p>
    <w:p w:rsidR="00F94699" w:rsidRDefault="00F94699" w:rsidP="00F94699">
      <w:pPr>
        <w:jc w:val="both"/>
        <w:rPr>
          <w:rFonts w:ascii="Arial" w:hAnsi="Arial" w:cs="Arial"/>
          <w:b/>
          <w:bCs/>
        </w:rPr>
      </w:pPr>
      <w:r>
        <w:rPr>
          <w:rFonts w:ascii="Arial" w:hAnsi="Arial" w:cs="Arial"/>
          <w:b/>
          <w:bCs/>
        </w:rPr>
        <w:lastRenderedPageBreak/>
        <w:t>Net Book Value</w:t>
      </w:r>
    </w:p>
    <w:p w:rsidR="00841B22" w:rsidRPr="0046516C" w:rsidRDefault="0046516C" w:rsidP="00841B22">
      <w:pPr>
        <w:pStyle w:val="BodyText"/>
      </w:pPr>
      <w:r w:rsidRPr="00964143">
        <w:t xml:space="preserve">The </w:t>
      </w:r>
      <w:r>
        <w:t xml:space="preserve">2015 </w:t>
      </w:r>
      <w:r w:rsidRPr="00945BFA">
        <w:t>Annual Report</w:t>
      </w:r>
      <w:r w:rsidRPr="00964143">
        <w:t xml:space="preserve"> reflected a </w:t>
      </w:r>
      <w:r>
        <w:t xml:space="preserve">negative </w:t>
      </w:r>
      <w:r w:rsidRPr="00964143">
        <w:t>NBV of $417. Based on the adjustments described above, staff recommends that the NBV is $43,969. Staff’s recommended NBV and the National Association of Regulatory Utility Commissioners, Uniform System of Accounts (NARUC USOA) balance for UPIS and accumulated depreciation</w:t>
      </w:r>
      <w:r>
        <w:t xml:space="preserve"> as of December 22, 2016</w:t>
      </w:r>
      <w:r w:rsidR="00191C90">
        <w:t>,</w:t>
      </w:r>
      <w:r w:rsidRPr="00964143">
        <w:t xml:space="preserve"> are shown on Schedule No. 1.</w:t>
      </w:r>
    </w:p>
    <w:p w:rsidR="00F94699" w:rsidRDefault="00F94699" w:rsidP="00F94699">
      <w:pPr>
        <w:jc w:val="both"/>
        <w:rPr>
          <w:rFonts w:ascii="Arial" w:hAnsi="Arial" w:cs="Arial"/>
          <w:b/>
          <w:bCs/>
        </w:rPr>
      </w:pPr>
      <w:r>
        <w:rPr>
          <w:rFonts w:ascii="Arial" w:hAnsi="Arial" w:cs="Arial"/>
          <w:b/>
          <w:bCs/>
        </w:rPr>
        <w:t>Conclusion</w:t>
      </w:r>
    </w:p>
    <w:p w:rsidR="00F94699" w:rsidRDefault="0046516C" w:rsidP="00121CAC">
      <w:pPr>
        <w:jc w:val="both"/>
        <w:rPr>
          <w:rFonts w:ascii="Calibri" w:hAnsi="Calibri"/>
          <w:sz w:val="22"/>
          <w:szCs w:val="22"/>
        </w:rPr>
      </w:pPr>
      <w:r w:rsidRPr="00751A0C">
        <w:t xml:space="preserve">Based on the above, staff recommends that the NBV of </w:t>
      </w:r>
      <w:r>
        <w:t>MIU</w:t>
      </w:r>
      <w:r w:rsidRPr="00751A0C">
        <w:t xml:space="preserve">’s </w:t>
      </w:r>
      <w:r w:rsidR="00951148">
        <w:t>waste</w:t>
      </w:r>
      <w:r w:rsidRPr="00751A0C">
        <w:t>water system for transfer purposes is $43,969 as of December 22, 2016. A negative acquisition adjustment should be included in rate base</w:t>
      </w:r>
      <w:r>
        <w:t>, and is addressed in Issu</w:t>
      </w:r>
      <w:r w:rsidRPr="000D12AF">
        <w:t>e 3</w:t>
      </w:r>
      <w:r w:rsidRPr="00751A0C">
        <w:t xml:space="preserve">. Within 90 days of the date of the final </w:t>
      </w:r>
      <w:r w:rsidR="00422987">
        <w:t>o</w:t>
      </w:r>
      <w:r w:rsidRPr="00751A0C">
        <w:t xml:space="preserve">rder, the Buyer should be required to notify the Commission in writing, that it has adjusted its books in accordance with the Commission’s decision. The adjustments should be reflected in </w:t>
      </w:r>
      <w:r w:rsidRPr="000D12AF">
        <w:t>M</w:t>
      </w:r>
      <w:r>
        <w:t>IU</w:t>
      </w:r>
      <w:r w:rsidRPr="000D12AF">
        <w:t>’s</w:t>
      </w:r>
      <w:r w:rsidRPr="00803471">
        <w:rPr>
          <w:highlight w:val="yellow"/>
        </w:rPr>
        <w:t xml:space="preserve"> </w:t>
      </w:r>
      <w:r w:rsidRPr="00F86B25">
        <w:t>2017 A</w:t>
      </w:r>
      <w:r w:rsidRPr="00751A0C">
        <w:t>nnual Report when filed</w:t>
      </w:r>
      <w:r w:rsidR="00841B22">
        <w:rPr>
          <w:color w:val="00B050"/>
        </w:rPr>
        <w:t>.</w:t>
      </w:r>
    </w:p>
    <w:p w:rsidR="0046516C" w:rsidRDefault="0046516C">
      <w:pPr>
        <w:pStyle w:val="IssueHeading"/>
        <w:rPr>
          <w:vanish/>
          <w:specVanish/>
        </w:rPr>
      </w:pPr>
      <w:r w:rsidRPr="004C3641">
        <w:rPr>
          <w:b w:val="0"/>
          <w:i w:val="0"/>
        </w:rPr>
        <w:br w:type="page"/>
      </w:r>
      <w:r w:rsidRPr="004C3641">
        <w:lastRenderedPageBreak/>
        <w:t xml:space="preserve">Issue </w:t>
      </w:r>
      <w:r w:rsidR="00A90424">
        <w:fldChar w:fldCharType="begin"/>
      </w:r>
      <w:r w:rsidR="00A90424">
        <w:instrText xml:space="preserve"> SEQ I</w:instrText>
      </w:r>
      <w:r w:rsidR="00A90424">
        <w:instrText xml:space="preserve">ssue \* MERGEFORMAT </w:instrText>
      </w:r>
      <w:r w:rsidR="00A90424">
        <w:fldChar w:fldCharType="separate"/>
      </w:r>
      <w:r w:rsidR="00E2525C">
        <w:rPr>
          <w:noProof/>
        </w:rPr>
        <w:t>3</w:t>
      </w:r>
      <w:r w:rsidR="00A904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2525C">
        <w:rPr>
          <w:noProof/>
        </w:rPr>
        <w:instrText>3</w:instrText>
      </w:r>
      <w:r>
        <w:fldChar w:fldCharType="end"/>
      </w:r>
      <w:r>
        <w:tab/>
        <w:instrText xml:space="preserve">" \l 1 </w:instrText>
      </w:r>
      <w:r>
        <w:fldChar w:fldCharType="end"/>
      </w:r>
      <w:r>
        <w:t> </w:t>
      </w:r>
    </w:p>
    <w:p w:rsidR="0046516C" w:rsidRDefault="0046516C">
      <w:pPr>
        <w:pStyle w:val="BodyText"/>
      </w:pPr>
      <w:r>
        <w:t> </w:t>
      </w:r>
      <w:r w:rsidRPr="00751A0C">
        <w:t>Should an acquisition ad</w:t>
      </w:r>
      <w:r>
        <w:t>justment be recognized for rate</w:t>
      </w:r>
      <w:r w:rsidRPr="00751A0C">
        <w:t>making purposes</w:t>
      </w:r>
      <w:r w:rsidR="00BF122D">
        <w:t>?</w:t>
      </w:r>
    </w:p>
    <w:p w:rsidR="0046516C" w:rsidRPr="004C3641" w:rsidRDefault="0046516C">
      <w:pPr>
        <w:pStyle w:val="IssueSubsectionHeading"/>
        <w:rPr>
          <w:vanish/>
          <w:specVanish/>
        </w:rPr>
      </w:pPr>
      <w:r w:rsidRPr="004C3641">
        <w:t>Recommendation: </w:t>
      </w:r>
    </w:p>
    <w:p w:rsidR="0046516C" w:rsidRDefault="0046516C">
      <w:pPr>
        <w:pStyle w:val="BodyText"/>
      </w:pPr>
      <w:r>
        <w:t> </w:t>
      </w:r>
      <w:r w:rsidR="00BF122D" w:rsidRPr="00751A0C">
        <w:t>Yes. Pursuant to Rule 25-30.0371</w:t>
      </w:r>
      <w:r w:rsidR="00BF122D">
        <w:t>(3)</w:t>
      </w:r>
      <w:r w:rsidR="00BF122D" w:rsidRPr="00751A0C">
        <w:t>, F.A.C., a negative acquisition adjustment of $17</w:t>
      </w:r>
      <w:r w:rsidR="00BF122D">
        <w:t>5 should be recognized for rate</w:t>
      </w:r>
      <w:r w:rsidR="00BF122D" w:rsidRPr="00751A0C">
        <w:t>making purposes</w:t>
      </w:r>
      <w:r w:rsidR="00BF122D">
        <w:t xml:space="preserve">. Beginning with the date of the issuance of the </w:t>
      </w:r>
      <w:r w:rsidR="00422987">
        <w:t>o</w:t>
      </w:r>
      <w:r w:rsidR="00BF122D">
        <w:t>rder approving the transfer, the negative acquisition adjustment should be amortized over a seven-year period, in accordance with Rule 25-30.0371(4)(b)1, F.A.C. (Mick)</w:t>
      </w:r>
      <w:r>
        <w:t xml:space="preserve"> </w:t>
      </w:r>
    </w:p>
    <w:p w:rsidR="0046516C" w:rsidRPr="004C3641" w:rsidRDefault="0046516C">
      <w:pPr>
        <w:pStyle w:val="IssueSubsectionHeading"/>
        <w:rPr>
          <w:vanish/>
          <w:specVanish/>
        </w:rPr>
      </w:pPr>
      <w:r w:rsidRPr="004C3641">
        <w:t>Staff Analysis: </w:t>
      </w:r>
    </w:p>
    <w:p w:rsidR="00BF122D" w:rsidRDefault="0046516C" w:rsidP="00BF122D">
      <w:pPr>
        <w:pStyle w:val="BodyText"/>
      </w:pPr>
      <w:r>
        <w:t> </w:t>
      </w:r>
      <w:r w:rsidR="00BF122D" w:rsidRPr="00751A0C">
        <w:t>An acquisition adjustment results when the purchase price differs from the original cost of the assets (net book value) adjusted to the time of the acquisition. Pursuant to Rule 25-30.0371(3), F.A.C., if the purchase price is equal to or less than 80 percent of net book value, a negative acquisition adjustment shall be included in rate base and will be equal to 80 percent of net book value less the purchase price</w:t>
      </w:r>
      <w:r w:rsidR="00BF122D">
        <w:t xml:space="preserve">. Pursuant to Rule 25.30.0371(4)(b)1, </w:t>
      </w:r>
      <w:r w:rsidR="00E9518D" w:rsidRPr="00751A0C">
        <w:t>F.A.C.,</w:t>
      </w:r>
      <w:r w:rsidR="00E9518D">
        <w:t xml:space="preserve"> </w:t>
      </w:r>
      <w:r w:rsidR="00BF122D">
        <w:t xml:space="preserve">if the purchase price is greater than 50 percent of net book value, the negative acquisition adjustment shall be amortized over a seven-year period from the date of issuance of the </w:t>
      </w:r>
      <w:r w:rsidR="00422987">
        <w:t>o</w:t>
      </w:r>
      <w:r w:rsidR="00BF122D">
        <w:t>rder approving the transfer of assets.</w:t>
      </w:r>
      <w:r w:rsidR="0041036F">
        <w:t xml:space="preserve"> </w:t>
      </w:r>
      <w:r w:rsidR="00BF122D" w:rsidRPr="00751A0C">
        <w:t xml:space="preserve">The calculation of </w:t>
      </w:r>
      <w:r w:rsidR="00BF122D">
        <w:t>the</w:t>
      </w:r>
      <w:r w:rsidR="00BF122D" w:rsidRPr="00A334B1">
        <w:t xml:space="preserve"> acqui</w:t>
      </w:r>
      <w:r w:rsidR="00BF122D" w:rsidRPr="00751A0C">
        <w:t>sition adjustment is shown below</w:t>
      </w:r>
      <w:r w:rsidR="000400D6">
        <w:t xml:space="preserve"> in Table 3-1</w:t>
      </w:r>
      <w:r w:rsidR="00CB4937">
        <w:t>.</w:t>
      </w:r>
    </w:p>
    <w:p w:rsidR="00BF122D" w:rsidRDefault="00BF122D" w:rsidP="00BF122D">
      <w:pPr>
        <w:pStyle w:val="TableNumber"/>
        <w:keepNext/>
      </w:pPr>
      <w:r>
        <w:t xml:space="preserve">Table </w:t>
      </w:r>
      <w:r w:rsidR="00A90424">
        <w:fldChar w:fldCharType="begin"/>
      </w:r>
      <w:r w:rsidR="00A90424">
        <w:instrText xml:space="preserve"> SEQ Issue \c </w:instrText>
      </w:r>
      <w:r w:rsidR="00A90424">
        <w:fldChar w:fldCharType="separate"/>
      </w:r>
      <w:r w:rsidR="00E2525C">
        <w:rPr>
          <w:noProof/>
        </w:rPr>
        <w:t>3</w:t>
      </w:r>
      <w:r w:rsidR="00A90424">
        <w:rPr>
          <w:noProof/>
        </w:rPr>
        <w:fldChar w:fldCharType="end"/>
      </w:r>
      <w:r>
        <w:t>-1</w:t>
      </w:r>
    </w:p>
    <w:p w:rsidR="00BF122D" w:rsidRDefault="00BF122D" w:rsidP="00BF122D">
      <w:pPr>
        <w:pStyle w:val="TableTitle"/>
        <w:keepNext/>
      </w:pPr>
      <w:r>
        <w:t>Calculation of Negative Acquisition Adjustment</w:t>
      </w:r>
    </w:p>
    <w:tbl>
      <w:tblPr>
        <w:tblStyle w:val="TableGrid"/>
        <w:tblW w:w="0" w:type="auto"/>
        <w:jc w:val="center"/>
        <w:tblInd w:w="459" w:type="dxa"/>
        <w:tblLook w:val="04A0" w:firstRow="1" w:lastRow="0" w:firstColumn="1" w:lastColumn="0" w:noHBand="0" w:noVBand="1"/>
      </w:tblPr>
      <w:tblGrid>
        <w:gridCol w:w="4329"/>
        <w:gridCol w:w="1710"/>
      </w:tblGrid>
      <w:tr w:rsidR="00BF122D" w:rsidTr="00116B6C">
        <w:trPr>
          <w:jc w:val="center"/>
        </w:trPr>
        <w:tc>
          <w:tcPr>
            <w:tcW w:w="4329" w:type="dxa"/>
          </w:tcPr>
          <w:p w:rsidR="00BF122D" w:rsidRDefault="00BF122D" w:rsidP="00116B6C">
            <w:r>
              <w:t>Net book value as of December 22, 2016</w:t>
            </w:r>
          </w:p>
        </w:tc>
        <w:tc>
          <w:tcPr>
            <w:tcW w:w="1710" w:type="dxa"/>
          </w:tcPr>
          <w:p w:rsidR="00BF122D" w:rsidRDefault="00BF122D" w:rsidP="00116B6C">
            <w:pPr>
              <w:jc w:val="right"/>
            </w:pPr>
            <w:r>
              <w:t>$43,969</w:t>
            </w:r>
          </w:p>
        </w:tc>
      </w:tr>
      <w:tr w:rsidR="00BF122D" w:rsidTr="00116B6C">
        <w:trPr>
          <w:jc w:val="center"/>
        </w:trPr>
        <w:tc>
          <w:tcPr>
            <w:tcW w:w="4329" w:type="dxa"/>
            <w:vAlign w:val="bottom"/>
          </w:tcPr>
          <w:p w:rsidR="00BF122D" w:rsidRDefault="00BF122D" w:rsidP="00116B6C">
            <w:pPr>
              <w:jc w:val="both"/>
              <w:rPr>
                <w:rStyle w:val="BodyTextChar1"/>
              </w:rPr>
            </w:pPr>
            <w:r>
              <w:rPr>
                <w:rStyle w:val="BodyTextChar1"/>
              </w:rPr>
              <w:t>80 percent of net book value</w:t>
            </w:r>
          </w:p>
        </w:tc>
        <w:tc>
          <w:tcPr>
            <w:tcW w:w="1710" w:type="dxa"/>
          </w:tcPr>
          <w:p w:rsidR="00BF122D" w:rsidRDefault="00BF122D" w:rsidP="00116B6C">
            <w:pPr>
              <w:jc w:val="right"/>
            </w:pPr>
            <w:r>
              <w:t>$35,175</w:t>
            </w:r>
          </w:p>
        </w:tc>
      </w:tr>
      <w:tr w:rsidR="00BF122D" w:rsidTr="00116B6C">
        <w:trPr>
          <w:jc w:val="center"/>
        </w:trPr>
        <w:tc>
          <w:tcPr>
            <w:tcW w:w="4329" w:type="dxa"/>
            <w:vAlign w:val="bottom"/>
          </w:tcPr>
          <w:p w:rsidR="00BF122D" w:rsidRDefault="00BF122D" w:rsidP="00116B6C">
            <w:pPr>
              <w:jc w:val="both"/>
              <w:rPr>
                <w:rStyle w:val="BodyTextChar1"/>
              </w:rPr>
            </w:pPr>
            <w:r>
              <w:rPr>
                <w:rStyle w:val="BodyTextChar1"/>
              </w:rPr>
              <w:t>Purchase price</w:t>
            </w:r>
          </w:p>
        </w:tc>
        <w:tc>
          <w:tcPr>
            <w:tcW w:w="1710" w:type="dxa"/>
          </w:tcPr>
          <w:p w:rsidR="00BF122D" w:rsidRDefault="00BF122D" w:rsidP="00116B6C">
            <w:pPr>
              <w:jc w:val="right"/>
            </w:pPr>
            <w:r>
              <w:t>$35,000</w:t>
            </w:r>
          </w:p>
        </w:tc>
      </w:tr>
      <w:tr w:rsidR="00BF122D" w:rsidTr="00116B6C">
        <w:trPr>
          <w:jc w:val="center"/>
        </w:trPr>
        <w:tc>
          <w:tcPr>
            <w:tcW w:w="4329" w:type="dxa"/>
            <w:vAlign w:val="bottom"/>
          </w:tcPr>
          <w:p w:rsidR="00BF122D" w:rsidRDefault="00BF122D" w:rsidP="00116B6C">
            <w:pPr>
              <w:jc w:val="both"/>
              <w:rPr>
                <w:rStyle w:val="BodyTextChar1"/>
              </w:rPr>
            </w:pPr>
            <w:r>
              <w:rPr>
                <w:rStyle w:val="BodyTextChar1"/>
              </w:rPr>
              <w:t>Negative acquisition adjustment</w:t>
            </w:r>
          </w:p>
        </w:tc>
        <w:tc>
          <w:tcPr>
            <w:tcW w:w="1710" w:type="dxa"/>
          </w:tcPr>
          <w:p w:rsidR="00BF122D" w:rsidRDefault="00BF122D" w:rsidP="00116B6C">
            <w:pPr>
              <w:jc w:val="right"/>
            </w:pPr>
            <w:r>
              <w:t>$175</w:t>
            </w:r>
          </w:p>
        </w:tc>
      </w:tr>
    </w:tbl>
    <w:p w:rsidR="00BF122D" w:rsidRDefault="00BF122D" w:rsidP="00F4027C">
      <w:pPr>
        <w:pStyle w:val="BodyText"/>
        <w:spacing w:after="0"/>
      </w:pPr>
    </w:p>
    <w:p w:rsidR="00F4027C" w:rsidRDefault="00F4027C" w:rsidP="00F4027C">
      <w:pPr>
        <w:pStyle w:val="BodyText"/>
        <w:spacing w:after="0"/>
      </w:pPr>
    </w:p>
    <w:p w:rsidR="0046516C" w:rsidRDefault="00BF122D" w:rsidP="00F4027C">
      <w:pPr>
        <w:pStyle w:val="BodyText"/>
        <w:spacing w:after="0"/>
      </w:pPr>
      <w:r w:rsidRPr="00751A0C">
        <w:t>Therefore, staff recommends that, pursuant to Rule 25-30.0371</w:t>
      </w:r>
      <w:r>
        <w:t>(3)</w:t>
      </w:r>
      <w:r w:rsidRPr="00751A0C">
        <w:t>, F.A.C., a negative acquisition adjustment of $1</w:t>
      </w:r>
      <w:r>
        <w:t>75 shall be recognized for rate</w:t>
      </w:r>
      <w:r w:rsidRPr="00751A0C">
        <w:t>making purposes</w:t>
      </w:r>
      <w:r>
        <w:t xml:space="preserve">. Beginning with the date of issuance of the </w:t>
      </w:r>
      <w:r w:rsidR="002A123C">
        <w:t>o</w:t>
      </w:r>
      <w:r>
        <w:t>rder approving the transfer, the negative acquisition adjustment should be amortized over a seven-year period, in accordance with Rule 25-30.0371(4)(b)1, F.A.C.</w:t>
      </w:r>
    </w:p>
    <w:p w:rsidR="00FA568D" w:rsidRDefault="00FA568D">
      <w:pPr>
        <w:pStyle w:val="IssueHeading"/>
        <w:rPr>
          <w:vanish/>
          <w:specVanish/>
        </w:rPr>
      </w:pPr>
      <w:r w:rsidRPr="004C3641">
        <w:rPr>
          <w:b w:val="0"/>
          <w:i w:val="0"/>
        </w:rPr>
        <w:br w:type="page"/>
      </w:r>
      <w:r w:rsidRPr="004C3641">
        <w:lastRenderedPageBreak/>
        <w:t xml:space="preserve">Issue </w:t>
      </w:r>
      <w:r w:rsidR="00A90424">
        <w:fldChar w:fldCharType="begin"/>
      </w:r>
      <w:r w:rsidR="00A90424">
        <w:instrText xml:space="preserve"> SEQ Issue \* MERGEFORMAT </w:instrText>
      </w:r>
      <w:r w:rsidR="00A90424">
        <w:fldChar w:fldCharType="separate"/>
      </w:r>
      <w:r w:rsidR="00E2525C">
        <w:rPr>
          <w:noProof/>
        </w:rPr>
        <w:t>4</w:t>
      </w:r>
      <w:r w:rsidR="00A904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2525C">
        <w:rPr>
          <w:noProof/>
        </w:rPr>
        <w:instrText>4</w:instrText>
      </w:r>
      <w:r>
        <w:fldChar w:fldCharType="end"/>
      </w:r>
      <w:r>
        <w:tab/>
        <w:instrText xml:space="preserve">" \l 1 </w:instrText>
      </w:r>
      <w:r>
        <w:fldChar w:fldCharType="end"/>
      </w:r>
      <w:r>
        <w:t> </w:t>
      </w:r>
    </w:p>
    <w:p w:rsidR="00FA568D" w:rsidRDefault="00FA568D">
      <w:pPr>
        <w:pStyle w:val="BodyText"/>
      </w:pPr>
      <w:r>
        <w:t> Should this docket be closed?</w:t>
      </w:r>
    </w:p>
    <w:p w:rsidR="00FA568D" w:rsidRPr="004C3641" w:rsidRDefault="00FA568D">
      <w:pPr>
        <w:pStyle w:val="IssueSubsectionHeading"/>
        <w:rPr>
          <w:vanish/>
          <w:specVanish/>
        </w:rPr>
      </w:pPr>
      <w:r w:rsidRPr="004C3641">
        <w:t>Recommendation: </w:t>
      </w:r>
    </w:p>
    <w:p w:rsidR="00FA568D" w:rsidRPr="00281E97" w:rsidRDefault="00FA568D">
      <w:pPr>
        <w:pStyle w:val="BodyText"/>
      </w:pPr>
      <w:r w:rsidRPr="00281E97">
        <w:t> </w:t>
      </w:r>
      <w:r w:rsidR="00281E97" w:rsidRPr="00281E97">
        <w:t xml:space="preserve">If no protest to the proposed agency action is filed by a substantially affected person within 21 days of the date of the issuance of the </w:t>
      </w:r>
      <w:r w:rsidR="000B1E98">
        <w:t>o</w:t>
      </w:r>
      <w:r w:rsidR="00281E97" w:rsidRPr="00281E97">
        <w:t>rder, a consummating order should be issued and the docket should be closed administratively upon Commission staff’s verification that the revised tariff sheets have been filed</w:t>
      </w:r>
      <w:r w:rsidR="00E9518D">
        <w:t xml:space="preserve"> and the Buyer has notified the Commission in writing that it has adjusted its books in accordance with the Commission’s decision</w:t>
      </w:r>
      <w:r w:rsidR="00281E97" w:rsidRPr="00281E97">
        <w:t>.</w:t>
      </w:r>
      <w:r w:rsidR="00522AD5" w:rsidRPr="00281E97">
        <w:t xml:space="preserve"> (Mapp)</w:t>
      </w:r>
      <w:r w:rsidRPr="00281E97">
        <w:t xml:space="preserve"> </w:t>
      </w:r>
    </w:p>
    <w:p w:rsidR="00FA568D" w:rsidRPr="004C3641" w:rsidRDefault="00FA568D">
      <w:pPr>
        <w:pStyle w:val="IssueSubsectionHeading"/>
        <w:rPr>
          <w:vanish/>
          <w:specVanish/>
        </w:rPr>
      </w:pPr>
      <w:r w:rsidRPr="004C3641">
        <w:t>Staff Analysis: </w:t>
      </w:r>
    </w:p>
    <w:p w:rsidR="00FA568D" w:rsidRPr="00281E97" w:rsidRDefault="00FA568D">
      <w:pPr>
        <w:pStyle w:val="BodyText"/>
      </w:pPr>
      <w:r w:rsidRPr="00281E97">
        <w:t> </w:t>
      </w:r>
      <w:r w:rsidR="00281E97" w:rsidRPr="00281E97">
        <w:t xml:space="preserve">If no protest to the proposed agency action is filed by a substantially affected person within 21 days of the date of the issuance of the </w:t>
      </w:r>
      <w:r w:rsidR="000B1E98">
        <w:t>o</w:t>
      </w:r>
      <w:r w:rsidR="00281E97" w:rsidRPr="00281E97">
        <w:t>rder, a consummating order should be issued and the docket should be closed administratively upon Commission staff’s verification that the revised tariff sheets have been filed</w:t>
      </w:r>
      <w:r w:rsidR="00E9518D">
        <w:t xml:space="preserve"> and the Buyer has notified the Commission in writing that it has adjusted its books in accordance with the Commission’s decision</w:t>
      </w:r>
      <w:r w:rsidR="00522AD5" w:rsidRPr="00281E97">
        <w:t>.</w:t>
      </w:r>
    </w:p>
    <w:p w:rsidR="00FA568D" w:rsidRDefault="00FA568D" w:rsidP="00E275D8">
      <w:pPr>
        <w:pStyle w:val="BodyText"/>
        <w:sectPr w:rsidR="00FA568D"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8C04CD" w:rsidRPr="008C04CD" w:rsidRDefault="008C04CD" w:rsidP="008C04CD">
      <w:pPr>
        <w:pStyle w:val="BodyText"/>
        <w:jc w:val="center"/>
      </w:pPr>
      <w:r>
        <w:lastRenderedPageBreak/>
        <w:t>Merritt Island Utility Company, Inc.</w:t>
      </w:r>
    </w:p>
    <w:p w:rsidR="008C04CD" w:rsidRPr="008C04CD" w:rsidRDefault="008C04CD" w:rsidP="008C04CD">
      <w:pPr>
        <w:pStyle w:val="BodyText"/>
        <w:jc w:val="center"/>
      </w:pPr>
      <w:r w:rsidRPr="008C04CD">
        <w:t>Brevard County</w:t>
      </w:r>
    </w:p>
    <w:p w:rsidR="008C04CD" w:rsidRPr="008C04CD" w:rsidRDefault="008C04CD" w:rsidP="008C04CD">
      <w:pPr>
        <w:pStyle w:val="BodyText"/>
        <w:jc w:val="center"/>
      </w:pPr>
      <w:r w:rsidRPr="008C04CD">
        <w:t>Description of Wastewater Territory</w:t>
      </w:r>
    </w:p>
    <w:p w:rsidR="008C04CD" w:rsidRPr="008C04CD" w:rsidRDefault="008C04CD" w:rsidP="008C04CD">
      <w:pPr>
        <w:pStyle w:val="BodyText"/>
      </w:pPr>
      <w:r w:rsidRPr="008C04CD">
        <w:t>In Township 23 South, Range 36 East, Brevard County, Florida</w:t>
      </w:r>
    </w:p>
    <w:p w:rsidR="008C04CD" w:rsidRPr="008C04CD" w:rsidRDefault="008C04CD" w:rsidP="008C04CD">
      <w:pPr>
        <w:pStyle w:val="BodyText"/>
      </w:pPr>
      <w:r w:rsidRPr="008C04CD">
        <w:rPr>
          <w:u w:val="single"/>
        </w:rPr>
        <w:t>Section 15</w:t>
      </w:r>
    </w:p>
    <w:p w:rsidR="008C04CD" w:rsidRPr="008C04CD" w:rsidRDefault="008C04CD" w:rsidP="008C04CD">
      <w:pPr>
        <w:pStyle w:val="BodyText"/>
      </w:pPr>
      <w:r w:rsidRPr="008C04CD">
        <w:t>Commence at the Southeast corner of said Section 15 for a Point of Beginning.  Thence run North 0˚39'04" West along the East line of said Section 15, 1236.97 feet; thence North 89˚35'04" West, 477.46 feet; thence South 00˚38'31" West, 25.00 feet; thence South 68˚21'32" West, 84.30 feet; thence South 76˚38'12" West, 83.63 feet; thence South 89˚20'56" West, 234.00 feet; thence South 00˚39'04" East, 150.00 feet; thence North 89˚20'56" East, 5.00 feet; thence South 00˚39'04" West, 489.79 feet; thence South 87˚45'45" West, 358.30 feet; thence South 2˚14'15" East, 150 feet to a point on the South boundary of St. Charles Avenue; thence Westerly 30 feet, more or less; thence South 2˚14'15" East, 400 feet, more or less, to a point on the South boundary of said Section 15, thence North 87˚45'45" East along the South boundary of said Section 15, 1250 feet, more or less, to the Point of Beginning.</w:t>
      </w:r>
    </w:p>
    <w:p w:rsidR="008C04CD" w:rsidRPr="008C04CD" w:rsidRDefault="008C04CD" w:rsidP="008C04CD">
      <w:pPr>
        <w:pStyle w:val="BodyText"/>
      </w:pPr>
      <w:r w:rsidRPr="008C04CD">
        <w:rPr>
          <w:u w:val="single"/>
        </w:rPr>
        <w:t>Section 14</w:t>
      </w:r>
    </w:p>
    <w:p w:rsidR="00FA568D" w:rsidRDefault="008C04CD" w:rsidP="008C04CD">
      <w:pPr>
        <w:pStyle w:val="BodyText"/>
        <w:sectPr w:rsidR="00FA568D" w:rsidSect="0068481F">
          <w:headerReference w:type="default" r:id="rId15"/>
          <w:pgSz w:w="12240" w:h="15840" w:code="1"/>
          <w:pgMar w:top="1584" w:right="1440" w:bottom="1440" w:left="1440" w:header="720" w:footer="720" w:gutter="0"/>
          <w:cols w:space="720"/>
          <w:formProt w:val="0"/>
          <w:docGrid w:linePitch="360"/>
        </w:sectPr>
      </w:pPr>
      <w:r w:rsidRPr="008C04CD">
        <w:t>Commence at the Southwest corner of said Section 14; thence run North 0˚39'04" West along the West boundary of Section 14, 320 feet, more or less, to the Point of Beginning which is also the Southwest corner of the aforesaid parcel; thence North 0˚39'04" West along the West line of said parcel, a distance of 947.98 feet; thence North 87˚05'16" East, a distance of 710.58 feet; thence North 0˚48'54" West, a distance of 10 feet to the North line of said parcel; thence North 89˚11'06" East along the North line of said parcel, a distance of 569.57 feet; thence South 2˚00'25" East, a distance of 985.11 feet to a point on the South line of said parcel; thence South 89˚13'32" West along the South line of said parcel, a distance of 1302.88 feet to the Point of Beginning.</w:t>
      </w:r>
    </w:p>
    <w:p w:rsidR="008C04CD" w:rsidRPr="008C04CD" w:rsidRDefault="008C04CD" w:rsidP="008C04CD">
      <w:pPr>
        <w:jc w:val="center"/>
        <w:rPr>
          <w:b/>
        </w:rPr>
      </w:pPr>
      <w:r>
        <w:rPr>
          <w:b/>
        </w:rPr>
        <w:lastRenderedPageBreak/>
        <w:t>F</w:t>
      </w:r>
      <w:r w:rsidRPr="008C04CD">
        <w:rPr>
          <w:b/>
        </w:rPr>
        <w:t>LORIDA PUBLIC SERVICE COMMISSION</w:t>
      </w:r>
    </w:p>
    <w:p w:rsidR="008C04CD" w:rsidRPr="008C04CD" w:rsidRDefault="008C04CD" w:rsidP="008C04CD">
      <w:pPr>
        <w:jc w:val="center"/>
        <w:rPr>
          <w:b/>
        </w:rPr>
      </w:pPr>
    </w:p>
    <w:p w:rsidR="008C04CD" w:rsidRPr="008C04CD" w:rsidRDefault="008C04CD" w:rsidP="008C04CD">
      <w:pPr>
        <w:jc w:val="center"/>
        <w:rPr>
          <w:b/>
        </w:rPr>
      </w:pPr>
      <w:r w:rsidRPr="008C04CD">
        <w:rPr>
          <w:b/>
        </w:rPr>
        <w:t>Authorizes</w:t>
      </w:r>
    </w:p>
    <w:p w:rsidR="008C04CD" w:rsidRPr="008C04CD" w:rsidRDefault="008C04CD" w:rsidP="008C04CD">
      <w:pPr>
        <w:jc w:val="center"/>
        <w:rPr>
          <w:b/>
        </w:rPr>
      </w:pPr>
    </w:p>
    <w:p w:rsidR="008C04CD" w:rsidRPr="008C04CD" w:rsidRDefault="008C04CD" w:rsidP="008C04CD">
      <w:pPr>
        <w:jc w:val="center"/>
        <w:rPr>
          <w:b/>
        </w:rPr>
      </w:pPr>
      <w:r w:rsidRPr="008C04CD">
        <w:rPr>
          <w:b/>
        </w:rPr>
        <w:t xml:space="preserve">Merritt Island Utility Company, Inc. </w:t>
      </w:r>
    </w:p>
    <w:p w:rsidR="008C04CD" w:rsidRPr="008C04CD" w:rsidRDefault="008C04CD" w:rsidP="008C04CD">
      <w:pPr>
        <w:jc w:val="center"/>
        <w:rPr>
          <w:b/>
        </w:rPr>
      </w:pPr>
    </w:p>
    <w:p w:rsidR="008C04CD" w:rsidRPr="008C04CD" w:rsidRDefault="008C04CD" w:rsidP="008C04CD">
      <w:pPr>
        <w:jc w:val="center"/>
        <w:rPr>
          <w:b/>
        </w:rPr>
      </w:pPr>
      <w:r w:rsidRPr="008C04CD">
        <w:rPr>
          <w:b/>
        </w:rPr>
        <w:t xml:space="preserve">Pursuant to </w:t>
      </w:r>
    </w:p>
    <w:p w:rsidR="008C04CD" w:rsidRPr="008C04CD" w:rsidRDefault="008C04CD" w:rsidP="008C04CD">
      <w:pPr>
        <w:jc w:val="center"/>
        <w:rPr>
          <w:b/>
        </w:rPr>
      </w:pPr>
    </w:p>
    <w:p w:rsidR="008C04CD" w:rsidRPr="008C04CD" w:rsidRDefault="008C04CD" w:rsidP="008C04CD">
      <w:pPr>
        <w:jc w:val="center"/>
        <w:rPr>
          <w:b/>
        </w:rPr>
      </w:pPr>
      <w:r w:rsidRPr="008C04CD">
        <w:rPr>
          <w:b/>
        </w:rPr>
        <w:t>Certificate Number 137-S</w:t>
      </w:r>
    </w:p>
    <w:p w:rsidR="008C04CD" w:rsidRPr="008C04CD" w:rsidRDefault="008C04CD" w:rsidP="008C04CD">
      <w:pPr>
        <w:jc w:val="both"/>
      </w:pPr>
    </w:p>
    <w:p w:rsidR="008C04CD" w:rsidRPr="008C04CD" w:rsidRDefault="008C04CD" w:rsidP="008C04CD">
      <w:pPr>
        <w:jc w:val="both"/>
      </w:pPr>
      <w:r w:rsidRPr="008C04CD">
        <w:t xml:space="preserve">to provide </w:t>
      </w:r>
      <w:r w:rsidR="008E12AD">
        <w:t>waste</w:t>
      </w:r>
      <w:r w:rsidRPr="008C04CD">
        <w:t xml:space="preserve">water service in </w:t>
      </w:r>
      <w:r w:rsidRPr="008C04CD">
        <w:rPr>
          <w:u w:val="single"/>
        </w:rPr>
        <w:t>Brevard County</w:t>
      </w:r>
      <w:r w:rsidRPr="008C04CD">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8C04CD" w:rsidRPr="008C04CD" w:rsidRDefault="008C04CD" w:rsidP="008C04CD"/>
    <w:p w:rsidR="008C04CD" w:rsidRPr="008C04CD" w:rsidRDefault="008C04CD" w:rsidP="008C04CD">
      <w:r w:rsidRPr="008C04CD">
        <w:rPr>
          <w:u w:val="single"/>
        </w:rPr>
        <w:t>Order Number</w:t>
      </w:r>
      <w:r w:rsidRPr="008C04CD">
        <w:tab/>
      </w:r>
      <w:r w:rsidRPr="008C04CD">
        <w:tab/>
      </w:r>
      <w:r w:rsidRPr="008C04CD">
        <w:tab/>
      </w:r>
      <w:r w:rsidRPr="008C04CD">
        <w:rPr>
          <w:u w:val="single"/>
        </w:rPr>
        <w:t>Date Issued</w:t>
      </w:r>
      <w:r w:rsidRPr="008C04CD">
        <w:tab/>
      </w:r>
      <w:r w:rsidRPr="008C04CD">
        <w:rPr>
          <w:u w:val="single"/>
        </w:rPr>
        <w:t>Docket Number</w:t>
      </w:r>
      <w:r w:rsidRPr="008C04CD">
        <w:tab/>
      </w:r>
      <w:r w:rsidRPr="008C04CD">
        <w:rPr>
          <w:u w:val="single"/>
        </w:rPr>
        <w:t>Filing Type</w:t>
      </w:r>
    </w:p>
    <w:p w:rsidR="008C04CD" w:rsidRPr="008C04CD" w:rsidRDefault="008C04CD" w:rsidP="008C04CD"/>
    <w:p w:rsidR="008C04CD" w:rsidRPr="008C04CD" w:rsidRDefault="008C04CD" w:rsidP="008C04CD">
      <w:r w:rsidRPr="008C04CD">
        <w:t>6365</w:t>
      </w:r>
      <w:r w:rsidRPr="008C04CD">
        <w:tab/>
      </w:r>
      <w:r w:rsidRPr="008C04CD">
        <w:tab/>
      </w:r>
      <w:r w:rsidRPr="008C04CD">
        <w:tab/>
      </w:r>
      <w:r w:rsidRPr="008C04CD">
        <w:tab/>
        <w:t>12/02/1974</w:t>
      </w:r>
      <w:r w:rsidRPr="008C04CD">
        <w:tab/>
        <w:t>73391-S</w:t>
      </w:r>
      <w:r w:rsidRPr="008C04CD">
        <w:tab/>
      </w:r>
      <w:r w:rsidRPr="008C04CD">
        <w:tab/>
        <w:t>Original Certificate</w:t>
      </w:r>
    </w:p>
    <w:p w:rsidR="008C04CD" w:rsidRPr="008C04CD" w:rsidRDefault="008C04CD" w:rsidP="008C04CD"/>
    <w:p w:rsidR="008C04CD" w:rsidRPr="008C04CD" w:rsidRDefault="008C04CD" w:rsidP="008C04CD">
      <w:r w:rsidRPr="008C04CD">
        <w:t>7296</w:t>
      </w:r>
      <w:r w:rsidRPr="008C04CD">
        <w:tab/>
      </w:r>
      <w:r w:rsidRPr="008C04CD">
        <w:tab/>
      </w:r>
      <w:r w:rsidRPr="008C04CD">
        <w:tab/>
      </w:r>
      <w:r w:rsidRPr="008C04CD">
        <w:tab/>
        <w:t>06/28/1976</w:t>
      </w:r>
      <w:r w:rsidRPr="008C04CD">
        <w:tab/>
        <w:t>750664-S</w:t>
      </w:r>
      <w:r w:rsidRPr="008C04CD">
        <w:tab/>
      </w:r>
      <w:r w:rsidRPr="008C04CD">
        <w:tab/>
        <w:t>Transfer</w:t>
      </w:r>
    </w:p>
    <w:p w:rsidR="008C04CD" w:rsidRPr="008C04CD" w:rsidRDefault="008C04CD" w:rsidP="008C04CD"/>
    <w:p w:rsidR="008C04CD" w:rsidRPr="008C04CD" w:rsidRDefault="008C04CD" w:rsidP="008C04CD">
      <w:pPr>
        <w:ind w:left="2880" w:hanging="2880"/>
      </w:pPr>
      <w:r w:rsidRPr="008C04CD">
        <w:t>PSC-03-0320-FOF-SU</w:t>
      </w:r>
      <w:r w:rsidRPr="008C04CD">
        <w:tab/>
        <w:t>03/06/2003</w:t>
      </w:r>
      <w:r w:rsidRPr="008C04CD">
        <w:tab/>
        <w:t>020930-SU</w:t>
      </w:r>
      <w:r w:rsidRPr="008C04CD">
        <w:tab/>
      </w:r>
      <w:r w:rsidRPr="008C04CD">
        <w:tab/>
        <w:t xml:space="preserve">Transfer of Majority </w:t>
      </w:r>
    </w:p>
    <w:p w:rsidR="008C04CD" w:rsidRPr="008C04CD" w:rsidRDefault="008C04CD" w:rsidP="008C04CD">
      <w:pPr>
        <w:ind w:left="2880" w:hanging="2880"/>
      </w:pPr>
      <w:r w:rsidRPr="008C04CD">
        <w:tab/>
      </w:r>
      <w:r w:rsidRPr="008C04CD">
        <w:tab/>
      </w:r>
      <w:r w:rsidRPr="008C04CD">
        <w:tab/>
      </w:r>
      <w:r w:rsidRPr="008C04CD">
        <w:tab/>
      </w:r>
      <w:r w:rsidRPr="008C04CD">
        <w:tab/>
      </w:r>
      <w:r w:rsidRPr="008C04CD">
        <w:tab/>
        <w:t xml:space="preserve">    Organizational Control</w:t>
      </w:r>
    </w:p>
    <w:p w:rsidR="008C04CD" w:rsidRPr="008C04CD" w:rsidRDefault="008C04CD" w:rsidP="008C04CD">
      <w:pPr>
        <w:ind w:left="2880" w:hanging="2880"/>
      </w:pPr>
    </w:p>
    <w:p w:rsidR="008C04CD" w:rsidRPr="008C04CD" w:rsidRDefault="008C04CD" w:rsidP="008C04CD">
      <w:pPr>
        <w:ind w:left="2880" w:hanging="2880"/>
      </w:pPr>
      <w:r w:rsidRPr="008C04CD">
        <w:t>PSC-07-0420-FOF-SU</w:t>
      </w:r>
      <w:r w:rsidRPr="008C04CD">
        <w:tab/>
        <w:t>05/14/2007</w:t>
      </w:r>
      <w:r w:rsidRPr="008C04CD">
        <w:tab/>
        <w:t>060636-SU</w:t>
      </w:r>
      <w:r w:rsidRPr="008C04CD">
        <w:tab/>
      </w:r>
      <w:r w:rsidRPr="008C04CD">
        <w:tab/>
        <w:t>Transfer of Majority</w:t>
      </w:r>
    </w:p>
    <w:p w:rsidR="008C04CD" w:rsidRPr="008C04CD" w:rsidRDefault="008C04CD" w:rsidP="008C04CD">
      <w:pPr>
        <w:ind w:left="2880" w:hanging="2880"/>
      </w:pPr>
      <w:r w:rsidRPr="008C04CD">
        <w:tab/>
      </w:r>
      <w:r w:rsidRPr="008C04CD">
        <w:tab/>
      </w:r>
      <w:r w:rsidRPr="008C04CD">
        <w:tab/>
      </w:r>
      <w:r w:rsidRPr="008C04CD">
        <w:tab/>
      </w:r>
      <w:r w:rsidRPr="008C04CD">
        <w:tab/>
      </w:r>
      <w:r w:rsidRPr="008C04CD">
        <w:tab/>
        <w:t xml:space="preserve">    Organizational Control</w:t>
      </w:r>
    </w:p>
    <w:p w:rsidR="008C04CD" w:rsidRPr="008C04CD" w:rsidRDefault="008C04CD" w:rsidP="008C04CD"/>
    <w:p w:rsidR="008C04CD" w:rsidRDefault="008C04CD" w:rsidP="008C04CD">
      <w:pPr>
        <w:spacing w:before="60"/>
      </w:pPr>
      <w:r>
        <w:t>PSC-14-0673-PAA-SU</w:t>
      </w:r>
      <w:r w:rsidRPr="008C04CD">
        <w:tab/>
        <w:t>12/05/2014</w:t>
      </w:r>
      <w:r>
        <w:rPr>
          <w:b/>
        </w:rPr>
        <w:tab/>
      </w:r>
      <w:r>
        <w:t>120285-SU</w:t>
      </w:r>
      <w:r w:rsidRPr="008C04CD">
        <w:rPr>
          <w:b/>
        </w:rPr>
        <w:t xml:space="preserve"> </w:t>
      </w:r>
      <w:r w:rsidRPr="008C04CD">
        <w:tab/>
      </w:r>
      <w:r w:rsidRPr="008C04CD">
        <w:tab/>
        <w:t>Transfer</w:t>
      </w:r>
    </w:p>
    <w:p w:rsidR="008C04CD" w:rsidRDefault="008C04CD" w:rsidP="008C04CD">
      <w:pPr>
        <w:spacing w:before="60"/>
      </w:pPr>
    </w:p>
    <w:p w:rsidR="008C04CD" w:rsidRPr="008C04CD" w:rsidRDefault="008C04CD" w:rsidP="008C04CD">
      <w:pPr>
        <w:spacing w:before="60"/>
      </w:pPr>
      <w:r w:rsidRPr="008C04CD">
        <w:t>*</w:t>
      </w:r>
      <w:r w:rsidRPr="008C04CD">
        <w:tab/>
      </w:r>
      <w:r w:rsidRPr="008C04CD">
        <w:tab/>
      </w:r>
      <w:r w:rsidRPr="008C04CD">
        <w:tab/>
      </w:r>
      <w:r w:rsidRPr="008C04CD">
        <w:tab/>
        <w:t>*</w:t>
      </w:r>
      <w:r w:rsidRPr="008C04CD">
        <w:tab/>
      </w:r>
      <w:r w:rsidRPr="008C04CD">
        <w:tab/>
        <w:t>20170018-SU</w:t>
      </w:r>
      <w:r w:rsidRPr="008C04CD">
        <w:tab/>
      </w:r>
      <w:r w:rsidRPr="008C04CD">
        <w:tab/>
        <w:t>Transfer</w:t>
      </w:r>
    </w:p>
    <w:p w:rsidR="008C04CD" w:rsidRPr="008C04CD" w:rsidRDefault="008C04CD" w:rsidP="008C04CD">
      <w:pPr>
        <w:rPr>
          <w:b/>
        </w:rPr>
      </w:pPr>
    </w:p>
    <w:p w:rsidR="008C04CD" w:rsidRPr="008C04CD" w:rsidRDefault="008C04CD" w:rsidP="008C04CD">
      <w:pPr>
        <w:rPr>
          <w:b/>
        </w:rPr>
      </w:pPr>
    </w:p>
    <w:p w:rsidR="00FA568D" w:rsidRDefault="008C04CD" w:rsidP="008C04CD">
      <w:pPr>
        <w:pStyle w:val="BodyText"/>
        <w:sectPr w:rsidR="00FA568D" w:rsidSect="0068481F">
          <w:headerReference w:type="default" r:id="rId16"/>
          <w:pgSz w:w="12240" w:h="15840" w:code="1"/>
          <w:pgMar w:top="1584" w:right="1440" w:bottom="1440" w:left="1440" w:header="720" w:footer="720" w:gutter="0"/>
          <w:cols w:space="720"/>
          <w:formProt w:val="0"/>
          <w:docGrid w:linePitch="360"/>
        </w:sectPr>
      </w:pPr>
      <w:r w:rsidRPr="008C04CD">
        <w:rPr>
          <w:b/>
        </w:rPr>
        <w:t>*Order Number and date to be provided at time of issuance</w:t>
      </w:r>
    </w:p>
    <w:p w:rsidR="00B50078" w:rsidRPr="00B50078" w:rsidRDefault="00B50078" w:rsidP="00B50078">
      <w:pPr>
        <w:jc w:val="center"/>
        <w:outlineLvl w:val="0"/>
        <w:rPr>
          <w:rFonts w:ascii="Arial" w:hAnsi="Arial" w:cs="Arial"/>
          <w:b/>
        </w:rPr>
      </w:pPr>
      <w:r w:rsidRPr="00B50078">
        <w:rPr>
          <w:rFonts w:ascii="Arial" w:hAnsi="Arial" w:cs="Arial"/>
          <w:b/>
        </w:rPr>
        <w:lastRenderedPageBreak/>
        <w:t>Merritt Island Utility Company, Inc.</w:t>
      </w:r>
    </w:p>
    <w:p w:rsidR="00B50078" w:rsidRPr="00B50078" w:rsidRDefault="00B50078" w:rsidP="00B50078">
      <w:pPr>
        <w:jc w:val="center"/>
        <w:outlineLvl w:val="0"/>
        <w:rPr>
          <w:rFonts w:ascii="Arial" w:hAnsi="Arial" w:cs="Arial"/>
          <w:b/>
        </w:rPr>
      </w:pPr>
    </w:p>
    <w:p w:rsidR="00B50078" w:rsidRPr="00B50078" w:rsidRDefault="00B50078" w:rsidP="00B50078">
      <w:pPr>
        <w:jc w:val="center"/>
        <w:outlineLvl w:val="0"/>
        <w:rPr>
          <w:rFonts w:ascii="Arial" w:hAnsi="Arial" w:cs="Arial"/>
          <w:b/>
        </w:rPr>
      </w:pPr>
      <w:r w:rsidRPr="00B50078">
        <w:rPr>
          <w:rFonts w:ascii="Arial" w:hAnsi="Arial" w:cs="Arial"/>
          <w:b/>
        </w:rPr>
        <w:t>Monthly Wastewater Rates</w:t>
      </w:r>
    </w:p>
    <w:p w:rsidR="00B50078" w:rsidRPr="00B50078" w:rsidRDefault="00B50078" w:rsidP="00B50078">
      <w:pPr>
        <w:jc w:val="center"/>
        <w:rPr>
          <w:rFonts w:ascii="Arial" w:hAnsi="Arial" w:cs="Arial"/>
          <w:b/>
        </w:rPr>
      </w:pPr>
    </w:p>
    <w:tbl>
      <w:tblPr>
        <w:tblW w:w="9720" w:type="dxa"/>
        <w:jc w:val="center"/>
        <w:tblInd w:w="-252" w:type="dxa"/>
        <w:tblLook w:val="01E0" w:firstRow="1" w:lastRow="1" w:firstColumn="1" w:lastColumn="1" w:noHBand="0" w:noVBand="0"/>
      </w:tblPr>
      <w:tblGrid>
        <w:gridCol w:w="6300"/>
        <w:gridCol w:w="900"/>
        <w:gridCol w:w="2520"/>
      </w:tblGrid>
      <w:tr w:rsidR="00B50078" w:rsidRPr="00B50078" w:rsidTr="00116B6C">
        <w:trPr>
          <w:trHeight w:val="297"/>
          <w:jc w:val="center"/>
        </w:trPr>
        <w:tc>
          <w:tcPr>
            <w:tcW w:w="6300" w:type="dxa"/>
            <w:hideMark/>
          </w:tcPr>
          <w:p w:rsidR="00B50078" w:rsidRPr="00B50078" w:rsidRDefault="00B50078" w:rsidP="00B50078">
            <w:pPr>
              <w:tabs>
                <w:tab w:val="left" w:pos="-720"/>
                <w:tab w:val="left" w:pos="0"/>
                <w:tab w:val="left" w:pos="720"/>
                <w:tab w:val="left" w:pos="1440"/>
                <w:tab w:val="left" w:pos="2160"/>
                <w:tab w:val="left" w:pos="2880"/>
                <w:tab w:val="left" w:pos="3600"/>
              </w:tabs>
              <w:rPr>
                <w:rFonts w:ascii="Arial" w:hAnsi="Arial" w:cs="Arial"/>
                <w:b/>
              </w:rPr>
            </w:pPr>
            <w:r w:rsidRPr="00B50078">
              <w:rPr>
                <w:rFonts w:ascii="Arial" w:hAnsi="Arial" w:cs="Arial"/>
                <w:b/>
              </w:rPr>
              <w:t>Residential Service</w:t>
            </w:r>
            <w:r w:rsidRPr="00B50078">
              <w:rPr>
                <w:rFonts w:ascii="Arial" w:hAnsi="Arial" w:cs="Arial"/>
                <w:b/>
              </w:rPr>
              <w:tab/>
            </w: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252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r>
      <w:tr w:rsidR="00B50078" w:rsidRPr="00B50078" w:rsidTr="00116B6C">
        <w:trPr>
          <w:trHeight w:val="216"/>
          <w:jc w:val="center"/>
        </w:trPr>
        <w:tc>
          <w:tcPr>
            <w:tcW w:w="6300" w:type="dxa"/>
          </w:tcPr>
          <w:p w:rsidR="00B50078" w:rsidRPr="00B50078" w:rsidRDefault="00B50078" w:rsidP="00B50078">
            <w:pPr>
              <w:tabs>
                <w:tab w:val="left" w:pos="-720"/>
                <w:tab w:val="left" w:pos="0"/>
                <w:tab w:val="left" w:pos="720"/>
                <w:tab w:val="left" w:pos="1440"/>
                <w:tab w:val="left" w:pos="2160"/>
                <w:tab w:val="left" w:pos="2880"/>
                <w:tab w:val="left" w:pos="3600"/>
              </w:tabs>
            </w:pPr>
            <w:r w:rsidRPr="00B50078">
              <w:t>Base Facility Charge- All Meter Sizes</w:t>
            </w: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2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50078">
              <w:t>$10.75</w:t>
            </w:r>
          </w:p>
        </w:tc>
      </w:tr>
      <w:tr w:rsidR="00B50078" w:rsidRPr="00B50078" w:rsidTr="00116B6C">
        <w:trPr>
          <w:trHeight w:val="126"/>
          <w:jc w:val="center"/>
        </w:trPr>
        <w:tc>
          <w:tcPr>
            <w:tcW w:w="6300" w:type="dxa"/>
          </w:tcPr>
          <w:p w:rsidR="00B50078" w:rsidRPr="00B50078" w:rsidRDefault="00B50078" w:rsidP="00B50078">
            <w:pPr>
              <w:tabs>
                <w:tab w:val="left" w:pos="-720"/>
                <w:tab w:val="left" w:pos="0"/>
                <w:tab w:val="left" w:pos="720"/>
                <w:tab w:val="left" w:pos="1440"/>
                <w:tab w:val="left" w:pos="2160"/>
                <w:tab w:val="left" w:pos="2880"/>
                <w:tab w:val="left" w:pos="3600"/>
              </w:tabs>
            </w:pPr>
            <w:r w:rsidRPr="00B50078">
              <w:t>Charge per 1,000 gallons</w:t>
            </w: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2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50078">
              <w:t>$2.87</w:t>
            </w:r>
          </w:p>
        </w:tc>
      </w:tr>
      <w:tr w:rsidR="00B50078" w:rsidRPr="00B50078" w:rsidTr="00116B6C">
        <w:trPr>
          <w:trHeight w:val="207"/>
          <w:jc w:val="center"/>
        </w:trPr>
        <w:tc>
          <w:tcPr>
            <w:tcW w:w="6300" w:type="dxa"/>
          </w:tcPr>
          <w:p w:rsidR="00B50078" w:rsidRPr="00B50078" w:rsidRDefault="00B50078" w:rsidP="00B50078">
            <w:pPr>
              <w:tabs>
                <w:tab w:val="left" w:pos="-720"/>
                <w:tab w:val="left" w:pos="0"/>
                <w:tab w:val="left" w:pos="720"/>
                <w:tab w:val="left" w:pos="1440"/>
                <w:tab w:val="left" w:pos="2160"/>
                <w:tab w:val="left" w:pos="2880"/>
                <w:tab w:val="left" w:pos="3600"/>
              </w:tabs>
            </w:pPr>
            <w:r w:rsidRPr="00B50078">
              <w:t>6,000 gallon cap</w:t>
            </w: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2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50078" w:rsidRPr="00B50078" w:rsidTr="00116B6C">
        <w:trPr>
          <w:trHeight w:val="297"/>
          <w:jc w:val="center"/>
        </w:trPr>
        <w:tc>
          <w:tcPr>
            <w:tcW w:w="6300" w:type="dxa"/>
          </w:tcPr>
          <w:p w:rsidR="00B50078" w:rsidRPr="00B50078" w:rsidRDefault="00B50078" w:rsidP="00B50078">
            <w:pPr>
              <w:tabs>
                <w:tab w:val="left" w:pos="-720"/>
                <w:tab w:val="left" w:pos="0"/>
                <w:tab w:val="left" w:pos="720"/>
                <w:tab w:val="left" w:pos="1440"/>
                <w:tab w:val="left" w:pos="2160"/>
                <w:tab w:val="left" w:pos="2880"/>
                <w:tab w:val="left" w:pos="3600"/>
              </w:tabs>
              <w:rPr>
                <w:rFonts w:ascii="Arial" w:hAnsi="Arial" w:cs="Arial"/>
                <w:b/>
              </w:rPr>
            </w:pP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252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r>
      <w:tr w:rsidR="00B50078" w:rsidRPr="00B50078" w:rsidTr="00116B6C">
        <w:trPr>
          <w:trHeight w:val="297"/>
          <w:jc w:val="center"/>
        </w:trPr>
        <w:tc>
          <w:tcPr>
            <w:tcW w:w="6300" w:type="dxa"/>
          </w:tcPr>
          <w:p w:rsidR="00B50078" w:rsidRPr="00B50078" w:rsidRDefault="00B50078" w:rsidP="00B50078">
            <w:pPr>
              <w:tabs>
                <w:tab w:val="left" w:pos="-720"/>
                <w:tab w:val="left" w:pos="0"/>
                <w:tab w:val="left" w:pos="720"/>
                <w:tab w:val="left" w:pos="1440"/>
                <w:tab w:val="left" w:pos="2160"/>
                <w:tab w:val="left" w:pos="2880"/>
                <w:tab w:val="left" w:pos="3600"/>
              </w:tabs>
              <w:rPr>
                <w:rFonts w:ascii="Arial" w:hAnsi="Arial" w:cs="Arial"/>
                <w:b/>
              </w:rPr>
            </w:pPr>
            <w:r w:rsidRPr="00B50078">
              <w:rPr>
                <w:rFonts w:ascii="Arial" w:hAnsi="Arial" w:cs="Arial"/>
                <w:b/>
              </w:rPr>
              <w:t>General Service</w:t>
            </w: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252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r>
      <w:tr w:rsidR="00B50078" w:rsidRPr="00B50078" w:rsidTr="00116B6C">
        <w:trPr>
          <w:jc w:val="center"/>
        </w:trPr>
        <w:tc>
          <w:tcPr>
            <w:tcW w:w="63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50078">
              <w:t>Base Facility Charge by Meter Size</w:t>
            </w: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2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50078" w:rsidRPr="00B50078" w:rsidTr="00116B6C">
        <w:trPr>
          <w:trHeight w:val="234"/>
          <w:jc w:val="center"/>
        </w:trPr>
        <w:tc>
          <w:tcPr>
            <w:tcW w:w="6300" w:type="dxa"/>
            <w:hideMark/>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50078">
              <w:t>5/8” x 3/4"</w:t>
            </w: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20" w:type="dxa"/>
            <w:hideMark/>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50078">
              <w:t>$10.75</w:t>
            </w:r>
          </w:p>
        </w:tc>
      </w:tr>
      <w:tr w:rsidR="00B50078" w:rsidRPr="00B50078" w:rsidTr="00116B6C">
        <w:trPr>
          <w:trHeight w:val="216"/>
          <w:jc w:val="center"/>
        </w:trPr>
        <w:tc>
          <w:tcPr>
            <w:tcW w:w="6300" w:type="dxa"/>
            <w:hideMark/>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50078">
              <w:t>3/4"</w:t>
            </w: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20" w:type="dxa"/>
            <w:hideMark/>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50078">
              <w:t>$16.12</w:t>
            </w:r>
          </w:p>
        </w:tc>
      </w:tr>
      <w:tr w:rsidR="00B50078" w:rsidRPr="00B50078" w:rsidTr="00116B6C">
        <w:trPr>
          <w:jc w:val="center"/>
        </w:trPr>
        <w:tc>
          <w:tcPr>
            <w:tcW w:w="6300" w:type="dxa"/>
            <w:hideMark/>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50078">
              <w:t>1"</w:t>
            </w: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20" w:type="dxa"/>
            <w:hideMark/>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50078">
              <w:t>$26.87</w:t>
            </w:r>
          </w:p>
        </w:tc>
      </w:tr>
      <w:tr w:rsidR="00B50078" w:rsidRPr="00B50078" w:rsidTr="00116B6C">
        <w:trPr>
          <w:jc w:val="center"/>
        </w:trPr>
        <w:tc>
          <w:tcPr>
            <w:tcW w:w="6300" w:type="dxa"/>
            <w:hideMark/>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50078">
              <w:t>1 1/2"</w:t>
            </w: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20" w:type="dxa"/>
            <w:hideMark/>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50078">
              <w:t>$53.73</w:t>
            </w:r>
          </w:p>
        </w:tc>
      </w:tr>
      <w:tr w:rsidR="00B50078" w:rsidRPr="00B50078" w:rsidTr="00116B6C">
        <w:trPr>
          <w:jc w:val="center"/>
        </w:trPr>
        <w:tc>
          <w:tcPr>
            <w:tcW w:w="6300" w:type="dxa"/>
            <w:hideMark/>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50078">
              <w:t>2"</w:t>
            </w: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20" w:type="dxa"/>
            <w:hideMark/>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50078">
              <w:t>$85.97</w:t>
            </w:r>
          </w:p>
        </w:tc>
      </w:tr>
      <w:tr w:rsidR="00B50078" w:rsidRPr="00B50078" w:rsidTr="00116B6C">
        <w:trPr>
          <w:jc w:val="center"/>
        </w:trPr>
        <w:tc>
          <w:tcPr>
            <w:tcW w:w="6300" w:type="dxa"/>
            <w:hideMark/>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50078">
              <w:t>3"</w:t>
            </w: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20" w:type="dxa"/>
            <w:hideMark/>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50078">
              <w:t>$171.93</w:t>
            </w:r>
          </w:p>
        </w:tc>
      </w:tr>
      <w:tr w:rsidR="00B50078" w:rsidRPr="00B50078" w:rsidTr="00116B6C">
        <w:trPr>
          <w:jc w:val="center"/>
        </w:trPr>
        <w:tc>
          <w:tcPr>
            <w:tcW w:w="6300" w:type="dxa"/>
            <w:hideMark/>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50078">
              <w:t>4"</w:t>
            </w: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20" w:type="dxa"/>
            <w:hideMark/>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50078">
              <w:t>$268.64</w:t>
            </w:r>
          </w:p>
        </w:tc>
      </w:tr>
      <w:tr w:rsidR="00B50078" w:rsidRPr="00B50078" w:rsidTr="00116B6C">
        <w:trPr>
          <w:jc w:val="center"/>
        </w:trPr>
        <w:tc>
          <w:tcPr>
            <w:tcW w:w="6300" w:type="dxa"/>
            <w:hideMark/>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B50078">
              <w:t>6"</w:t>
            </w: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20" w:type="dxa"/>
            <w:hideMark/>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50078">
              <w:t>$537.28</w:t>
            </w:r>
          </w:p>
        </w:tc>
      </w:tr>
      <w:tr w:rsidR="00B50078" w:rsidRPr="00B50078" w:rsidTr="00116B6C">
        <w:trPr>
          <w:jc w:val="center"/>
        </w:trPr>
        <w:tc>
          <w:tcPr>
            <w:tcW w:w="63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2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50078" w:rsidRPr="00B50078" w:rsidTr="00116B6C">
        <w:trPr>
          <w:jc w:val="center"/>
        </w:trPr>
        <w:tc>
          <w:tcPr>
            <w:tcW w:w="6300" w:type="dxa"/>
          </w:tcPr>
          <w:p w:rsidR="00B50078" w:rsidRPr="00B50078" w:rsidRDefault="00B50078" w:rsidP="00B50078">
            <w:pPr>
              <w:tabs>
                <w:tab w:val="left" w:pos="-720"/>
                <w:tab w:val="left" w:pos="0"/>
                <w:tab w:val="left" w:pos="720"/>
                <w:tab w:val="left" w:pos="1440"/>
                <w:tab w:val="left" w:pos="2160"/>
                <w:tab w:val="center" w:pos="3042"/>
                <w:tab w:val="left" w:pos="4320"/>
                <w:tab w:val="left" w:pos="5040"/>
                <w:tab w:val="left" w:pos="5760"/>
                <w:tab w:val="left" w:pos="6480"/>
                <w:tab w:val="left" w:pos="7200"/>
                <w:tab w:val="left" w:pos="7740"/>
                <w:tab w:val="left" w:pos="8640"/>
                <w:tab w:val="left" w:pos="9360"/>
                <w:tab w:val="left" w:pos="10080"/>
              </w:tabs>
            </w:pPr>
            <w:r w:rsidRPr="00B50078">
              <w:t>Charge per 1,000 gallons</w:t>
            </w:r>
            <w:r w:rsidRPr="00B50078">
              <w:tab/>
            </w: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2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50078">
              <w:t>$3.44</w:t>
            </w:r>
          </w:p>
        </w:tc>
      </w:tr>
      <w:tr w:rsidR="00B50078" w:rsidRPr="00B50078" w:rsidTr="00116B6C">
        <w:trPr>
          <w:jc w:val="center"/>
        </w:trPr>
        <w:tc>
          <w:tcPr>
            <w:tcW w:w="6300" w:type="dxa"/>
          </w:tcPr>
          <w:p w:rsidR="00B50078" w:rsidRPr="00B50078" w:rsidRDefault="00B50078" w:rsidP="00B50078">
            <w:pPr>
              <w:tabs>
                <w:tab w:val="left" w:pos="-720"/>
                <w:tab w:val="left" w:pos="0"/>
                <w:tab w:val="left" w:pos="720"/>
                <w:tab w:val="left" w:pos="1440"/>
                <w:tab w:val="left" w:pos="2160"/>
                <w:tab w:val="center" w:pos="3042"/>
                <w:tab w:val="left" w:pos="4320"/>
                <w:tab w:val="left" w:pos="5040"/>
                <w:tab w:val="left" w:pos="5760"/>
                <w:tab w:val="left" w:pos="6480"/>
                <w:tab w:val="left" w:pos="7200"/>
                <w:tab w:val="left" w:pos="7740"/>
                <w:tab w:val="left" w:pos="8640"/>
                <w:tab w:val="left" w:pos="9360"/>
                <w:tab w:val="left" w:pos="10080"/>
              </w:tabs>
            </w:pP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2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50078" w:rsidRPr="00B50078" w:rsidTr="00116B6C">
        <w:trPr>
          <w:jc w:val="center"/>
        </w:trPr>
        <w:tc>
          <w:tcPr>
            <w:tcW w:w="6300" w:type="dxa"/>
          </w:tcPr>
          <w:p w:rsidR="00B50078" w:rsidRPr="00B50078" w:rsidRDefault="00B50078" w:rsidP="00B50078">
            <w:pPr>
              <w:tabs>
                <w:tab w:val="left" w:pos="-720"/>
                <w:tab w:val="left" w:pos="0"/>
                <w:tab w:val="left" w:pos="720"/>
                <w:tab w:val="left" w:pos="1440"/>
                <w:tab w:val="left" w:pos="2160"/>
                <w:tab w:val="center" w:pos="3042"/>
                <w:tab w:val="left" w:pos="4320"/>
                <w:tab w:val="left" w:pos="5040"/>
                <w:tab w:val="left" w:pos="5760"/>
                <w:tab w:val="left" w:pos="6480"/>
                <w:tab w:val="left" w:pos="7200"/>
                <w:tab w:val="left" w:pos="7740"/>
                <w:tab w:val="left" w:pos="8640"/>
                <w:tab w:val="left" w:pos="9360"/>
                <w:tab w:val="left" w:pos="10080"/>
              </w:tabs>
            </w:pPr>
            <w:r w:rsidRPr="00B50078">
              <w:rPr>
                <w:rFonts w:ascii="Arial" w:hAnsi="Arial" w:cs="Arial"/>
                <w:b/>
              </w:rPr>
              <w:t>Colony Park Mobile Home Park</w:t>
            </w: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2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50078" w:rsidRPr="00B50078" w:rsidTr="00116B6C">
        <w:trPr>
          <w:trHeight w:val="162"/>
          <w:jc w:val="center"/>
        </w:trPr>
        <w:tc>
          <w:tcPr>
            <w:tcW w:w="6300" w:type="dxa"/>
          </w:tcPr>
          <w:p w:rsidR="00B50078" w:rsidRPr="00B50078" w:rsidRDefault="00B50078" w:rsidP="00B50078">
            <w:pPr>
              <w:tabs>
                <w:tab w:val="left" w:pos="-720"/>
                <w:tab w:val="left" w:pos="0"/>
                <w:tab w:val="left" w:pos="720"/>
                <w:tab w:val="left" w:pos="1440"/>
                <w:tab w:val="left" w:pos="2160"/>
                <w:tab w:val="center" w:pos="3042"/>
                <w:tab w:val="left" w:pos="4320"/>
                <w:tab w:val="left" w:pos="5040"/>
                <w:tab w:val="left" w:pos="5760"/>
                <w:tab w:val="left" w:pos="6480"/>
                <w:tab w:val="left" w:pos="7200"/>
                <w:tab w:val="left" w:pos="7740"/>
                <w:tab w:val="left" w:pos="8640"/>
                <w:tab w:val="left" w:pos="9360"/>
                <w:tab w:val="left" w:pos="10080"/>
              </w:tabs>
            </w:pPr>
            <w:r w:rsidRPr="00B50078">
              <w:t>Base Facility Charge</w:t>
            </w: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2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50078">
              <w:t>$1,289.47</w:t>
            </w:r>
          </w:p>
        </w:tc>
      </w:tr>
      <w:tr w:rsidR="00B50078" w:rsidRPr="00B50078" w:rsidTr="00116B6C">
        <w:trPr>
          <w:trHeight w:val="162"/>
          <w:jc w:val="center"/>
        </w:trPr>
        <w:tc>
          <w:tcPr>
            <w:tcW w:w="6300" w:type="dxa"/>
          </w:tcPr>
          <w:p w:rsidR="00B50078" w:rsidRPr="00B50078" w:rsidRDefault="00B50078" w:rsidP="00B50078">
            <w:pPr>
              <w:tabs>
                <w:tab w:val="left" w:pos="-720"/>
                <w:tab w:val="left" w:pos="0"/>
                <w:tab w:val="left" w:pos="720"/>
                <w:tab w:val="left" w:pos="1440"/>
                <w:tab w:val="left" w:pos="2160"/>
                <w:tab w:val="center" w:pos="3042"/>
                <w:tab w:val="left" w:pos="4320"/>
                <w:tab w:val="left" w:pos="5040"/>
                <w:tab w:val="left" w:pos="5760"/>
                <w:tab w:val="left" w:pos="6480"/>
                <w:tab w:val="left" w:pos="7200"/>
                <w:tab w:val="left" w:pos="7740"/>
                <w:tab w:val="left" w:pos="8640"/>
                <w:tab w:val="left" w:pos="9360"/>
                <w:tab w:val="left" w:pos="10080"/>
              </w:tabs>
            </w:pPr>
            <w:r w:rsidRPr="00B50078">
              <w:t>Charge per 1,000 gallons</w:t>
            </w: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2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50078">
              <w:t>$3.44</w:t>
            </w:r>
          </w:p>
        </w:tc>
      </w:tr>
      <w:tr w:rsidR="00B50078" w:rsidRPr="00B50078" w:rsidTr="00116B6C">
        <w:trPr>
          <w:jc w:val="center"/>
        </w:trPr>
        <w:tc>
          <w:tcPr>
            <w:tcW w:w="6300" w:type="dxa"/>
          </w:tcPr>
          <w:p w:rsidR="00B50078" w:rsidRPr="00B50078" w:rsidRDefault="00B50078" w:rsidP="00B50078">
            <w:pPr>
              <w:tabs>
                <w:tab w:val="left" w:pos="-720"/>
                <w:tab w:val="left" w:pos="0"/>
                <w:tab w:val="left" w:pos="720"/>
                <w:tab w:val="left" w:pos="1440"/>
                <w:tab w:val="left" w:pos="2160"/>
                <w:tab w:val="center" w:pos="3042"/>
                <w:tab w:val="left" w:pos="4320"/>
                <w:tab w:val="left" w:pos="5040"/>
                <w:tab w:val="left" w:pos="5760"/>
                <w:tab w:val="left" w:pos="6480"/>
                <w:tab w:val="left" w:pos="7200"/>
                <w:tab w:val="left" w:pos="7740"/>
                <w:tab w:val="left" w:pos="8640"/>
                <w:tab w:val="left" w:pos="9360"/>
                <w:tab w:val="left" w:pos="10080"/>
              </w:tabs>
            </w:pPr>
            <w:r w:rsidRPr="00B50078">
              <w:t>720,000 gallon cap</w:t>
            </w:r>
          </w:p>
        </w:tc>
        <w:tc>
          <w:tcPr>
            <w:tcW w:w="90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520"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B50078" w:rsidRPr="00B50078" w:rsidRDefault="00B50078" w:rsidP="00B50078">
      <w:pPr>
        <w:rPr>
          <w:vanish/>
        </w:rPr>
      </w:pPr>
    </w:p>
    <w:tbl>
      <w:tblPr>
        <w:tblpPr w:leftFromText="180" w:rightFromText="180" w:vertAnchor="text" w:horzAnchor="margin" w:tblpXSpec="center" w:tblpY="423"/>
        <w:tblW w:w="9990" w:type="dxa"/>
        <w:tblLook w:val="01E0" w:firstRow="1" w:lastRow="1" w:firstColumn="1" w:lastColumn="1" w:noHBand="0" w:noVBand="0"/>
      </w:tblPr>
      <w:tblGrid>
        <w:gridCol w:w="4964"/>
        <w:gridCol w:w="994"/>
        <w:gridCol w:w="4032"/>
      </w:tblGrid>
      <w:tr w:rsidR="00B50078" w:rsidRPr="00B50078" w:rsidTr="00116B6C">
        <w:tc>
          <w:tcPr>
            <w:tcW w:w="9990" w:type="dxa"/>
            <w:gridSpan w:val="3"/>
            <w:hideMark/>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B50078">
              <w:rPr>
                <w:rFonts w:ascii="Arial" w:hAnsi="Arial" w:cs="Arial"/>
                <w:b/>
              </w:rPr>
              <w:t>Miscellaneous Service Charges</w:t>
            </w:r>
          </w:p>
        </w:tc>
      </w:tr>
      <w:tr w:rsidR="00B50078" w:rsidRPr="00B50078" w:rsidTr="00116B6C">
        <w:tc>
          <w:tcPr>
            <w:tcW w:w="9990" w:type="dxa"/>
            <w:gridSpan w:val="3"/>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tc>
      </w:tr>
      <w:tr w:rsidR="00B50078" w:rsidRPr="00B50078" w:rsidTr="00116B6C">
        <w:trPr>
          <w:trHeight w:val="162"/>
        </w:trPr>
        <w:tc>
          <w:tcPr>
            <w:tcW w:w="4964"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50078">
              <w:t>Initial Connection Charge</w:t>
            </w:r>
          </w:p>
        </w:tc>
        <w:tc>
          <w:tcPr>
            <w:tcW w:w="994"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32"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50078">
              <w:t>$15.00</w:t>
            </w:r>
          </w:p>
        </w:tc>
      </w:tr>
      <w:tr w:rsidR="00B50078" w:rsidRPr="00B50078" w:rsidTr="00116B6C">
        <w:trPr>
          <w:trHeight w:val="162"/>
        </w:trPr>
        <w:tc>
          <w:tcPr>
            <w:tcW w:w="4964" w:type="dxa"/>
            <w:hideMark/>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50078">
              <w:t>Normal Reconnection Charge</w:t>
            </w:r>
          </w:p>
        </w:tc>
        <w:tc>
          <w:tcPr>
            <w:tcW w:w="994"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32"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50078">
              <w:t>$15.00</w:t>
            </w:r>
          </w:p>
        </w:tc>
      </w:tr>
      <w:tr w:rsidR="00B50078" w:rsidRPr="00B50078" w:rsidTr="00116B6C">
        <w:tc>
          <w:tcPr>
            <w:tcW w:w="4964" w:type="dxa"/>
            <w:hideMark/>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50078">
              <w:t>Violation Reconnection Charge</w:t>
            </w:r>
          </w:p>
        </w:tc>
        <w:tc>
          <w:tcPr>
            <w:tcW w:w="994"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32" w:type="dxa"/>
            <w:hideMark/>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50078">
              <w:t>Actual Cost</w:t>
            </w:r>
          </w:p>
        </w:tc>
      </w:tr>
      <w:tr w:rsidR="00B50078" w:rsidRPr="00B50078" w:rsidTr="00116B6C">
        <w:tc>
          <w:tcPr>
            <w:tcW w:w="4964"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B50078">
              <w:t>Premises Visit Charge (in lieu of disconnection)</w:t>
            </w:r>
          </w:p>
        </w:tc>
        <w:tc>
          <w:tcPr>
            <w:tcW w:w="994"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032" w:type="dxa"/>
          </w:tcPr>
          <w:p w:rsidR="00B50078" w:rsidRPr="00B50078" w:rsidRDefault="00B50078" w:rsidP="00B500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B50078">
              <w:t>$10.00</w:t>
            </w:r>
          </w:p>
        </w:tc>
      </w:tr>
    </w:tbl>
    <w:p w:rsidR="00FA568D" w:rsidRDefault="00FA568D" w:rsidP="00E275D8">
      <w:pPr>
        <w:pStyle w:val="BodyText"/>
        <w:sectPr w:rsidR="00FA568D" w:rsidSect="0068481F">
          <w:headerReference w:type="default" r:id="rId17"/>
          <w:pgSz w:w="12240" w:h="15840" w:code="1"/>
          <w:pgMar w:top="1584" w:right="1440" w:bottom="1440" w:left="1440" w:header="720" w:footer="720" w:gutter="0"/>
          <w:cols w:space="720"/>
          <w:formProt w:val="0"/>
          <w:docGrid w:linePitch="360"/>
        </w:sectPr>
      </w:pPr>
    </w:p>
    <w:p w:rsidR="00072BC0" w:rsidRDefault="005176DE" w:rsidP="00E275D8">
      <w:pPr>
        <w:pStyle w:val="BodyText"/>
      </w:pPr>
      <w:r>
        <w:lastRenderedPageBreak/>
        <w:t xml:space="preserve"> </w:t>
      </w:r>
    </w:p>
    <w:tbl>
      <w:tblPr>
        <w:tblW w:w="8455" w:type="dxa"/>
        <w:jc w:val="center"/>
        <w:tblLook w:val="0480" w:firstRow="0" w:lastRow="0" w:firstColumn="1" w:lastColumn="0" w:noHBand="0" w:noVBand="1"/>
      </w:tblPr>
      <w:tblGrid>
        <w:gridCol w:w="2812"/>
        <w:gridCol w:w="1840"/>
        <w:gridCol w:w="1523"/>
        <w:gridCol w:w="2280"/>
      </w:tblGrid>
      <w:tr w:rsidR="005176DE" w:rsidTr="00116B6C">
        <w:trPr>
          <w:trHeight w:hRule="exact" w:val="288"/>
          <w:jc w:val="center"/>
        </w:trPr>
        <w:tc>
          <w:tcPr>
            <w:tcW w:w="8455" w:type="dxa"/>
            <w:gridSpan w:val="4"/>
            <w:vAlign w:val="center"/>
            <w:hideMark/>
          </w:tcPr>
          <w:p w:rsidR="005176DE" w:rsidRPr="00497F2D" w:rsidRDefault="005176DE" w:rsidP="00116B6C">
            <w:pPr>
              <w:spacing w:after="200" w:line="276" w:lineRule="auto"/>
              <w:jc w:val="center"/>
              <w:rPr>
                <w:b/>
                <w:bCs/>
                <w:color w:val="000000"/>
              </w:rPr>
            </w:pPr>
            <w:r>
              <w:rPr>
                <w:b/>
                <w:bCs/>
                <w:color w:val="000000"/>
              </w:rPr>
              <w:t>Merritt Island</w:t>
            </w:r>
          </w:p>
        </w:tc>
      </w:tr>
      <w:tr w:rsidR="005176DE" w:rsidTr="00116B6C">
        <w:trPr>
          <w:trHeight w:hRule="exact" w:val="288"/>
          <w:jc w:val="center"/>
        </w:trPr>
        <w:tc>
          <w:tcPr>
            <w:tcW w:w="8455" w:type="dxa"/>
            <w:gridSpan w:val="4"/>
            <w:vAlign w:val="center"/>
            <w:hideMark/>
          </w:tcPr>
          <w:p w:rsidR="005176DE" w:rsidRPr="00497F2D" w:rsidRDefault="005176DE" w:rsidP="00116B6C">
            <w:pPr>
              <w:spacing w:after="200" w:line="276" w:lineRule="auto"/>
              <w:jc w:val="center"/>
              <w:rPr>
                <w:b/>
                <w:bCs/>
                <w:color w:val="000000"/>
              </w:rPr>
            </w:pPr>
            <w:r w:rsidRPr="00497F2D">
              <w:rPr>
                <w:b/>
                <w:bCs/>
                <w:color w:val="000000"/>
              </w:rPr>
              <w:t>W</w:t>
            </w:r>
            <w:r>
              <w:rPr>
                <w:b/>
                <w:bCs/>
                <w:color w:val="000000"/>
              </w:rPr>
              <w:t>astew</w:t>
            </w:r>
            <w:r w:rsidRPr="00497F2D">
              <w:rPr>
                <w:b/>
                <w:bCs/>
                <w:color w:val="000000"/>
              </w:rPr>
              <w:t>ater System</w:t>
            </w:r>
          </w:p>
        </w:tc>
      </w:tr>
      <w:tr w:rsidR="005176DE" w:rsidTr="00116B6C">
        <w:trPr>
          <w:trHeight w:hRule="exact" w:val="288"/>
          <w:jc w:val="center"/>
        </w:trPr>
        <w:tc>
          <w:tcPr>
            <w:tcW w:w="8455" w:type="dxa"/>
            <w:gridSpan w:val="4"/>
            <w:vAlign w:val="center"/>
            <w:hideMark/>
          </w:tcPr>
          <w:p w:rsidR="005176DE" w:rsidRPr="00497F2D" w:rsidRDefault="005176DE" w:rsidP="00116B6C">
            <w:pPr>
              <w:spacing w:after="200" w:line="276" w:lineRule="auto"/>
              <w:jc w:val="center"/>
              <w:rPr>
                <w:b/>
                <w:bCs/>
                <w:color w:val="000000"/>
              </w:rPr>
            </w:pPr>
            <w:r w:rsidRPr="00497F2D">
              <w:rPr>
                <w:b/>
                <w:bCs/>
                <w:color w:val="000000"/>
              </w:rPr>
              <w:t>Schedule of Net Book Value as of December 22, 2016</w:t>
            </w:r>
          </w:p>
        </w:tc>
      </w:tr>
      <w:tr w:rsidR="005176DE" w:rsidTr="00116B6C">
        <w:trPr>
          <w:trHeight w:hRule="exact" w:val="288"/>
          <w:jc w:val="center"/>
        </w:trPr>
        <w:tc>
          <w:tcPr>
            <w:tcW w:w="2812" w:type="dxa"/>
            <w:vAlign w:val="center"/>
            <w:hideMark/>
          </w:tcPr>
          <w:p w:rsidR="005176DE" w:rsidRPr="00497F2D" w:rsidRDefault="005176DE" w:rsidP="00116B6C">
            <w:pPr>
              <w:spacing w:line="276" w:lineRule="auto"/>
              <w:rPr>
                <w:sz w:val="22"/>
                <w:szCs w:val="22"/>
              </w:rPr>
            </w:pPr>
          </w:p>
        </w:tc>
        <w:tc>
          <w:tcPr>
            <w:tcW w:w="1840" w:type="dxa"/>
            <w:vAlign w:val="center"/>
            <w:hideMark/>
          </w:tcPr>
          <w:p w:rsidR="005176DE" w:rsidRPr="00497F2D" w:rsidRDefault="005176DE" w:rsidP="00116B6C">
            <w:pPr>
              <w:spacing w:line="276" w:lineRule="auto"/>
              <w:rPr>
                <w:sz w:val="22"/>
                <w:szCs w:val="22"/>
              </w:rPr>
            </w:pPr>
          </w:p>
        </w:tc>
        <w:tc>
          <w:tcPr>
            <w:tcW w:w="1523" w:type="dxa"/>
            <w:vAlign w:val="center"/>
            <w:hideMark/>
          </w:tcPr>
          <w:p w:rsidR="005176DE" w:rsidRPr="00497F2D" w:rsidRDefault="005176DE" w:rsidP="00116B6C">
            <w:pPr>
              <w:spacing w:line="276" w:lineRule="auto"/>
              <w:rPr>
                <w:sz w:val="22"/>
                <w:szCs w:val="22"/>
              </w:rPr>
            </w:pPr>
          </w:p>
        </w:tc>
        <w:tc>
          <w:tcPr>
            <w:tcW w:w="2280" w:type="dxa"/>
            <w:vAlign w:val="center"/>
            <w:hideMark/>
          </w:tcPr>
          <w:p w:rsidR="005176DE" w:rsidRPr="00497F2D" w:rsidRDefault="005176DE" w:rsidP="00116B6C">
            <w:pPr>
              <w:spacing w:line="276" w:lineRule="auto"/>
              <w:rPr>
                <w:sz w:val="22"/>
                <w:szCs w:val="22"/>
              </w:rPr>
            </w:pPr>
          </w:p>
        </w:tc>
      </w:tr>
      <w:tr w:rsidR="005176DE" w:rsidTr="00116B6C">
        <w:trPr>
          <w:trHeight w:hRule="exact" w:val="576"/>
          <w:jc w:val="center"/>
        </w:trPr>
        <w:tc>
          <w:tcPr>
            <w:tcW w:w="2812" w:type="dxa"/>
            <w:vAlign w:val="bottom"/>
            <w:hideMark/>
          </w:tcPr>
          <w:p w:rsidR="005176DE" w:rsidRPr="00497F2D" w:rsidRDefault="005176DE" w:rsidP="00116B6C">
            <w:pPr>
              <w:spacing w:after="200" w:line="276" w:lineRule="auto"/>
              <w:jc w:val="center"/>
              <w:rPr>
                <w:b/>
                <w:bCs/>
                <w:color w:val="000000"/>
              </w:rPr>
            </w:pPr>
            <w:r w:rsidRPr="00497F2D">
              <w:rPr>
                <w:b/>
                <w:bCs/>
                <w:color w:val="000000"/>
              </w:rPr>
              <w:t>Description</w:t>
            </w:r>
          </w:p>
        </w:tc>
        <w:tc>
          <w:tcPr>
            <w:tcW w:w="1840" w:type="dxa"/>
            <w:vAlign w:val="bottom"/>
            <w:hideMark/>
          </w:tcPr>
          <w:p w:rsidR="005176DE" w:rsidRPr="00497F2D" w:rsidRDefault="005176DE" w:rsidP="00116B6C">
            <w:pPr>
              <w:tabs>
                <w:tab w:val="left" w:pos="1532"/>
              </w:tabs>
              <w:spacing w:after="200" w:line="276" w:lineRule="auto"/>
              <w:jc w:val="center"/>
              <w:rPr>
                <w:b/>
                <w:bCs/>
                <w:color w:val="000000"/>
              </w:rPr>
            </w:pPr>
            <w:r w:rsidRPr="00497F2D">
              <w:rPr>
                <w:b/>
                <w:bCs/>
                <w:color w:val="000000"/>
              </w:rPr>
              <w:t>Balance Per Utility</w:t>
            </w:r>
          </w:p>
        </w:tc>
        <w:tc>
          <w:tcPr>
            <w:tcW w:w="1523" w:type="dxa"/>
            <w:vAlign w:val="bottom"/>
            <w:hideMark/>
          </w:tcPr>
          <w:p w:rsidR="005176DE" w:rsidRPr="00497F2D" w:rsidRDefault="005176DE" w:rsidP="00116B6C">
            <w:pPr>
              <w:spacing w:after="200" w:line="276" w:lineRule="auto"/>
              <w:jc w:val="center"/>
              <w:rPr>
                <w:b/>
                <w:bCs/>
                <w:color w:val="000000"/>
              </w:rPr>
            </w:pPr>
            <w:r w:rsidRPr="00497F2D">
              <w:rPr>
                <w:b/>
                <w:bCs/>
                <w:color w:val="000000"/>
              </w:rPr>
              <w:t xml:space="preserve">Adjustments </w:t>
            </w:r>
          </w:p>
        </w:tc>
        <w:tc>
          <w:tcPr>
            <w:tcW w:w="2280" w:type="dxa"/>
            <w:vAlign w:val="bottom"/>
            <w:hideMark/>
          </w:tcPr>
          <w:p w:rsidR="005176DE" w:rsidRPr="00497F2D" w:rsidRDefault="005176DE" w:rsidP="00116B6C">
            <w:pPr>
              <w:spacing w:after="200" w:line="276" w:lineRule="auto"/>
              <w:jc w:val="center"/>
              <w:rPr>
                <w:b/>
                <w:bCs/>
                <w:color w:val="000000"/>
              </w:rPr>
            </w:pPr>
            <w:r w:rsidRPr="00497F2D">
              <w:rPr>
                <w:b/>
                <w:bCs/>
                <w:color w:val="000000"/>
              </w:rPr>
              <w:t>Staff Recommendation</w:t>
            </w:r>
          </w:p>
        </w:tc>
      </w:tr>
      <w:tr w:rsidR="005176DE" w:rsidTr="00116B6C">
        <w:trPr>
          <w:trHeight w:hRule="exact" w:val="288"/>
          <w:jc w:val="center"/>
        </w:trPr>
        <w:tc>
          <w:tcPr>
            <w:tcW w:w="2812" w:type="dxa"/>
            <w:noWrap/>
            <w:vAlign w:val="bottom"/>
            <w:hideMark/>
          </w:tcPr>
          <w:p w:rsidR="005176DE" w:rsidRPr="00497F2D" w:rsidRDefault="005176DE" w:rsidP="00116B6C">
            <w:pPr>
              <w:spacing w:after="200" w:line="276" w:lineRule="auto"/>
              <w:rPr>
                <w:color w:val="000000"/>
              </w:rPr>
            </w:pPr>
            <w:r w:rsidRPr="00497F2D">
              <w:rPr>
                <w:color w:val="000000"/>
              </w:rPr>
              <w:t>Utility Plant in Service</w:t>
            </w:r>
          </w:p>
        </w:tc>
        <w:tc>
          <w:tcPr>
            <w:tcW w:w="1840" w:type="dxa"/>
            <w:noWrap/>
            <w:vAlign w:val="bottom"/>
            <w:hideMark/>
          </w:tcPr>
          <w:p w:rsidR="005176DE" w:rsidRPr="00497F2D" w:rsidRDefault="005176DE" w:rsidP="00116B6C">
            <w:pPr>
              <w:tabs>
                <w:tab w:val="decimal" w:pos="1502"/>
              </w:tabs>
              <w:spacing w:after="200" w:line="276" w:lineRule="auto"/>
              <w:rPr>
                <w:color w:val="000000"/>
              </w:rPr>
            </w:pPr>
            <w:r w:rsidRPr="00497F2D">
              <w:rPr>
                <w:color w:val="000000"/>
              </w:rPr>
              <w:t xml:space="preserve">$138,494 </w:t>
            </w:r>
          </w:p>
        </w:tc>
        <w:tc>
          <w:tcPr>
            <w:tcW w:w="1523" w:type="dxa"/>
            <w:noWrap/>
            <w:vAlign w:val="bottom"/>
            <w:hideMark/>
          </w:tcPr>
          <w:p w:rsidR="005176DE" w:rsidRPr="00497F2D" w:rsidRDefault="005176DE" w:rsidP="00116B6C">
            <w:pPr>
              <w:tabs>
                <w:tab w:val="decimal" w:pos="994"/>
                <w:tab w:val="left" w:pos="1133"/>
              </w:tabs>
              <w:spacing w:after="200" w:line="276" w:lineRule="auto"/>
              <w:rPr>
                <w:color w:val="000000"/>
              </w:rPr>
            </w:pPr>
            <w:r w:rsidRPr="00497F2D">
              <w:rPr>
                <w:color w:val="000000"/>
              </w:rPr>
              <w:tab/>
            </w:r>
            <w:r>
              <w:rPr>
                <w:color w:val="000000"/>
              </w:rPr>
              <w:t>$</w:t>
            </w:r>
            <w:r w:rsidRPr="00497F2D">
              <w:rPr>
                <w:color w:val="000000"/>
              </w:rPr>
              <w:t>28,282</w:t>
            </w:r>
            <w:r w:rsidRPr="00497F2D">
              <w:rPr>
                <w:color w:val="000000"/>
              </w:rPr>
              <w:tab/>
            </w:r>
          </w:p>
        </w:tc>
        <w:tc>
          <w:tcPr>
            <w:tcW w:w="2280" w:type="dxa"/>
            <w:noWrap/>
            <w:vAlign w:val="bottom"/>
            <w:hideMark/>
          </w:tcPr>
          <w:p w:rsidR="005176DE" w:rsidRPr="00497F2D" w:rsidRDefault="005176DE" w:rsidP="00116B6C">
            <w:pPr>
              <w:tabs>
                <w:tab w:val="decimal" w:pos="1635"/>
              </w:tabs>
              <w:spacing w:after="200" w:line="276" w:lineRule="auto"/>
              <w:jc w:val="right"/>
              <w:rPr>
                <w:color w:val="000000"/>
              </w:rPr>
            </w:pPr>
            <w:r w:rsidRPr="00497F2D">
              <w:rPr>
                <w:color w:val="000000"/>
              </w:rPr>
              <w:t xml:space="preserve">$166,776 </w:t>
            </w:r>
          </w:p>
        </w:tc>
      </w:tr>
      <w:tr w:rsidR="005176DE" w:rsidTr="00116B6C">
        <w:trPr>
          <w:trHeight w:hRule="exact" w:val="288"/>
          <w:jc w:val="center"/>
        </w:trPr>
        <w:tc>
          <w:tcPr>
            <w:tcW w:w="2812" w:type="dxa"/>
            <w:noWrap/>
            <w:vAlign w:val="bottom"/>
            <w:hideMark/>
          </w:tcPr>
          <w:p w:rsidR="005176DE" w:rsidRPr="00497F2D" w:rsidRDefault="005176DE" w:rsidP="00116B6C">
            <w:pPr>
              <w:spacing w:after="200" w:line="276" w:lineRule="auto"/>
              <w:rPr>
                <w:color w:val="000000"/>
              </w:rPr>
            </w:pPr>
            <w:r w:rsidRPr="00497F2D">
              <w:rPr>
                <w:color w:val="000000"/>
              </w:rPr>
              <w:t>Land &amp; Land Rights</w:t>
            </w:r>
          </w:p>
        </w:tc>
        <w:tc>
          <w:tcPr>
            <w:tcW w:w="1840" w:type="dxa"/>
            <w:noWrap/>
            <w:vAlign w:val="bottom"/>
            <w:hideMark/>
          </w:tcPr>
          <w:p w:rsidR="005176DE" w:rsidRPr="00497F2D" w:rsidRDefault="005176DE" w:rsidP="00116B6C">
            <w:pPr>
              <w:tabs>
                <w:tab w:val="decimal" w:pos="1502"/>
              </w:tabs>
              <w:spacing w:after="200" w:line="276" w:lineRule="auto"/>
              <w:rPr>
                <w:color w:val="000000"/>
              </w:rPr>
            </w:pPr>
            <w:r w:rsidRPr="00497F2D">
              <w:rPr>
                <w:color w:val="000000"/>
              </w:rPr>
              <w:t>30,506</w:t>
            </w:r>
          </w:p>
        </w:tc>
        <w:tc>
          <w:tcPr>
            <w:tcW w:w="1523" w:type="dxa"/>
            <w:noWrap/>
            <w:vAlign w:val="bottom"/>
            <w:hideMark/>
          </w:tcPr>
          <w:p w:rsidR="005176DE" w:rsidRPr="00497F2D" w:rsidRDefault="005176DE" w:rsidP="00116B6C">
            <w:pPr>
              <w:tabs>
                <w:tab w:val="decimal" w:pos="994"/>
                <w:tab w:val="left" w:pos="1133"/>
              </w:tabs>
              <w:spacing w:after="200" w:line="276" w:lineRule="auto"/>
              <w:rPr>
                <w:color w:val="000000"/>
              </w:rPr>
            </w:pPr>
            <w:r w:rsidRPr="00497F2D">
              <w:rPr>
                <w:color w:val="000000"/>
              </w:rPr>
              <w:tab/>
              <w:t>(27)</w:t>
            </w:r>
            <w:r w:rsidRPr="00497F2D">
              <w:rPr>
                <w:color w:val="000000"/>
              </w:rPr>
              <w:tab/>
            </w:r>
          </w:p>
        </w:tc>
        <w:tc>
          <w:tcPr>
            <w:tcW w:w="2280" w:type="dxa"/>
            <w:noWrap/>
            <w:vAlign w:val="bottom"/>
            <w:hideMark/>
          </w:tcPr>
          <w:p w:rsidR="005176DE" w:rsidRPr="00497F2D" w:rsidRDefault="005176DE" w:rsidP="00116B6C">
            <w:pPr>
              <w:tabs>
                <w:tab w:val="decimal" w:pos="1635"/>
              </w:tabs>
              <w:spacing w:after="200" w:line="276" w:lineRule="auto"/>
              <w:jc w:val="right"/>
              <w:rPr>
                <w:color w:val="000000"/>
              </w:rPr>
            </w:pPr>
            <w:r w:rsidRPr="00497F2D">
              <w:rPr>
                <w:color w:val="000000"/>
              </w:rPr>
              <w:t>30,479</w:t>
            </w:r>
          </w:p>
        </w:tc>
      </w:tr>
      <w:tr w:rsidR="005176DE" w:rsidTr="00116B6C">
        <w:trPr>
          <w:trHeight w:hRule="exact" w:val="288"/>
          <w:jc w:val="center"/>
        </w:trPr>
        <w:tc>
          <w:tcPr>
            <w:tcW w:w="2812" w:type="dxa"/>
            <w:noWrap/>
            <w:vAlign w:val="bottom"/>
            <w:hideMark/>
          </w:tcPr>
          <w:p w:rsidR="005176DE" w:rsidRPr="00497F2D" w:rsidRDefault="005176DE" w:rsidP="00116B6C">
            <w:pPr>
              <w:spacing w:after="200" w:line="276" w:lineRule="auto"/>
              <w:rPr>
                <w:color w:val="000000"/>
              </w:rPr>
            </w:pPr>
            <w:r w:rsidRPr="00497F2D">
              <w:rPr>
                <w:color w:val="000000"/>
              </w:rPr>
              <w:t>Accumulated Depreciation</w:t>
            </w:r>
          </w:p>
        </w:tc>
        <w:tc>
          <w:tcPr>
            <w:tcW w:w="1840" w:type="dxa"/>
            <w:noWrap/>
            <w:vAlign w:val="bottom"/>
            <w:hideMark/>
          </w:tcPr>
          <w:p w:rsidR="005176DE" w:rsidRPr="00497F2D" w:rsidRDefault="005176DE" w:rsidP="00116B6C">
            <w:pPr>
              <w:tabs>
                <w:tab w:val="decimal" w:pos="1502"/>
              </w:tabs>
              <w:spacing w:after="200" w:line="276" w:lineRule="auto"/>
              <w:rPr>
                <w:color w:val="000000"/>
              </w:rPr>
            </w:pPr>
            <w:r w:rsidRPr="00497F2D">
              <w:rPr>
                <w:color w:val="000000"/>
              </w:rPr>
              <w:t>(169,417)</w:t>
            </w:r>
          </w:p>
        </w:tc>
        <w:tc>
          <w:tcPr>
            <w:tcW w:w="1523" w:type="dxa"/>
            <w:noWrap/>
            <w:vAlign w:val="bottom"/>
            <w:hideMark/>
          </w:tcPr>
          <w:p w:rsidR="005176DE" w:rsidRPr="00497F2D" w:rsidRDefault="005176DE" w:rsidP="00116B6C">
            <w:pPr>
              <w:tabs>
                <w:tab w:val="decimal" w:pos="994"/>
                <w:tab w:val="left" w:pos="1133"/>
              </w:tabs>
              <w:spacing w:after="200" w:line="276" w:lineRule="auto"/>
              <w:rPr>
                <w:color w:val="000000"/>
              </w:rPr>
            </w:pPr>
            <w:r w:rsidRPr="00497F2D">
              <w:rPr>
                <w:color w:val="000000"/>
              </w:rPr>
              <w:tab/>
              <w:t>16,131</w:t>
            </w:r>
            <w:r w:rsidRPr="00497F2D">
              <w:rPr>
                <w:color w:val="000000"/>
              </w:rPr>
              <w:tab/>
            </w:r>
          </w:p>
        </w:tc>
        <w:tc>
          <w:tcPr>
            <w:tcW w:w="2280" w:type="dxa"/>
            <w:noWrap/>
            <w:vAlign w:val="bottom"/>
            <w:hideMark/>
          </w:tcPr>
          <w:p w:rsidR="005176DE" w:rsidRPr="00497F2D" w:rsidRDefault="005176DE" w:rsidP="00116B6C">
            <w:pPr>
              <w:tabs>
                <w:tab w:val="decimal" w:pos="1635"/>
              </w:tabs>
              <w:spacing w:after="200" w:line="276" w:lineRule="auto"/>
              <w:jc w:val="right"/>
              <w:rPr>
                <w:color w:val="000000"/>
              </w:rPr>
            </w:pPr>
            <w:r w:rsidRPr="00497F2D">
              <w:rPr>
                <w:color w:val="000000"/>
              </w:rPr>
              <w:t>(153,286)</w:t>
            </w:r>
          </w:p>
        </w:tc>
      </w:tr>
      <w:tr w:rsidR="005176DE" w:rsidTr="00116B6C">
        <w:trPr>
          <w:trHeight w:hRule="exact" w:val="288"/>
          <w:jc w:val="center"/>
        </w:trPr>
        <w:tc>
          <w:tcPr>
            <w:tcW w:w="2812" w:type="dxa"/>
            <w:noWrap/>
            <w:vAlign w:val="bottom"/>
            <w:hideMark/>
          </w:tcPr>
          <w:p w:rsidR="005176DE" w:rsidRPr="00497F2D" w:rsidRDefault="005176DE" w:rsidP="00116B6C">
            <w:pPr>
              <w:spacing w:after="200" w:line="276" w:lineRule="auto"/>
              <w:rPr>
                <w:color w:val="000000"/>
              </w:rPr>
            </w:pPr>
            <w:r w:rsidRPr="00497F2D">
              <w:rPr>
                <w:color w:val="000000"/>
              </w:rPr>
              <w:t>CIAC</w:t>
            </w:r>
          </w:p>
        </w:tc>
        <w:tc>
          <w:tcPr>
            <w:tcW w:w="1840" w:type="dxa"/>
            <w:noWrap/>
            <w:vAlign w:val="bottom"/>
            <w:hideMark/>
          </w:tcPr>
          <w:p w:rsidR="005176DE" w:rsidRPr="00497F2D" w:rsidRDefault="005176DE" w:rsidP="00116B6C">
            <w:pPr>
              <w:tabs>
                <w:tab w:val="decimal" w:pos="1502"/>
              </w:tabs>
              <w:spacing w:after="200" w:line="276" w:lineRule="auto"/>
              <w:rPr>
                <w:color w:val="000000"/>
              </w:rPr>
            </w:pPr>
            <w:r w:rsidRPr="00497F2D">
              <w:rPr>
                <w:color w:val="000000"/>
              </w:rPr>
              <w:t>0</w:t>
            </w:r>
          </w:p>
        </w:tc>
        <w:tc>
          <w:tcPr>
            <w:tcW w:w="1523" w:type="dxa"/>
            <w:noWrap/>
            <w:vAlign w:val="bottom"/>
            <w:hideMark/>
          </w:tcPr>
          <w:p w:rsidR="005176DE" w:rsidRPr="00497F2D" w:rsidRDefault="005176DE" w:rsidP="00116B6C">
            <w:pPr>
              <w:tabs>
                <w:tab w:val="decimal" w:pos="994"/>
                <w:tab w:val="left" w:pos="1133"/>
              </w:tabs>
              <w:spacing w:after="200" w:line="276" w:lineRule="auto"/>
              <w:rPr>
                <w:color w:val="000000"/>
              </w:rPr>
            </w:pPr>
            <w:r w:rsidRPr="00497F2D">
              <w:rPr>
                <w:color w:val="000000"/>
              </w:rPr>
              <w:tab/>
              <w:t>(23,500)</w:t>
            </w:r>
            <w:r w:rsidRPr="00497F2D">
              <w:rPr>
                <w:color w:val="000000"/>
              </w:rPr>
              <w:tab/>
            </w:r>
          </w:p>
        </w:tc>
        <w:tc>
          <w:tcPr>
            <w:tcW w:w="2280" w:type="dxa"/>
            <w:noWrap/>
            <w:vAlign w:val="bottom"/>
            <w:hideMark/>
          </w:tcPr>
          <w:p w:rsidR="005176DE" w:rsidRPr="00497F2D" w:rsidRDefault="005176DE" w:rsidP="00116B6C">
            <w:pPr>
              <w:tabs>
                <w:tab w:val="decimal" w:pos="1635"/>
              </w:tabs>
              <w:spacing w:after="200" w:line="276" w:lineRule="auto"/>
              <w:jc w:val="right"/>
              <w:rPr>
                <w:color w:val="000000"/>
              </w:rPr>
            </w:pPr>
            <w:r w:rsidRPr="00497F2D">
              <w:rPr>
                <w:color w:val="000000"/>
              </w:rPr>
              <w:t>(23,500)</w:t>
            </w:r>
          </w:p>
        </w:tc>
      </w:tr>
      <w:tr w:rsidR="005176DE" w:rsidTr="00116B6C">
        <w:trPr>
          <w:trHeight w:hRule="exact" w:val="288"/>
          <w:jc w:val="center"/>
        </w:trPr>
        <w:tc>
          <w:tcPr>
            <w:tcW w:w="2812" w:type="dxa"/>
            <w:noWrap/>
            <w:vAlign w:val="bottom"/>
            <w:hideMark/>
          </w:tcPr>
          <w:p w:rsidR="005176DE" w:rsidRPr="00497F2D" w:rsidRDefault="005176DE" w:rsidP="00116B6C">
            <w:pPr>
              <w:spacing w:after="200" w:line="276" w:lineRule="auto"/>
              <w:rPr>
                <w:color w:val="000000"/>
              </w:rPr>
            </w:pPr>
            <w:r w:rsidRPr="00497F2D">
              <w:rPr>
                <w:color w:val="000000"/>
              </w:rPr>
              <w:t>Amortization of CIAC</w:t>
            </w:r>
          </w:p>
        </w:tc>
        <w:tc>
          <w:tcPr>
            <w:tcW w:w="1840" w:type="dxa"/>
            <w:noWrap/>
            <w:vAlign w:val="bottom"/>
            <w:hideMark/>
          </w:tcPr>
          <w:p w:rsidR="005176DE" w:rsidRPr="00497F2D" w:rsidRDefault="005176DE" w:rsidP="00116B6C">
            <w:pPr>
              <w:tabs>
                <w:tab w:val="decimal" w:pos="1502"/>
              </w:tabs>
              <w:spacing w:after="200" w:line="276" w:lineRule="auto"/>
              <w:rPr>
                <w:color w:val="000000"/>
                <w:u w:val="single"/>
              </w:rPr>
            </w:pPr>
            <w:r w:rsidRPr="00497F2D">
              <w:rPr>
                <w:color w:val="000000"/>
                <w:u w:val="single"/>
              </w:rPr>
              <w:t>0</w:t>
            </w:r>
          </w:p>
        </w:tc>
        <w:tc>
          <w:tcPr>
            <w:tcW w:w="1523" w:type="dxa"/>
            <w:noWrap/>
            <w:vAlign w:val="bottom"/>
            <w:hideMark/>
          </w:tcPr>
          <w:p w:rsidR="005176DE" w:rsidRPr="00497F2D" w:rsidRDefault="005176DE" w:rsidP="00116B6C">
            <w:pPr>
              <w:tabs>
                <w:tab w:val="decimal" w:pos="994"/>
                <w:tab w:val="left" w:pos="1133"/>
              </w:tabs>
              <w:spacing w:after="200" w:line="276" w:lineRule="auto"/>
              <w:rPr>
                <w:color w:val="000000"/>
              </w:rPr>
            </w:pPr>
            <w:r w:rsidRPr="00497F2D">
              <w:rPr>
                <w:color w:val="000000"/>
              </w:rPr>
              <w:tab/>
            </w:r>
            <w:r w:rsidRPr="00497F2D">
              <w:rPr>
                <w:color w:val="000000"/>
                <w:u w:val="single"/>
              </w:rPr>
              <w:t>23,500</w:t>
            </w:r>
            <w:r w:rsidRPr="00497F2D">
              <w:rPr>
                <w:color w:val="000000"/>
              </w:rPr>
              <w:tab/>
            </w:r>
          </w:p>
        </w:tc>
        <w:tc>
          <w:tcPr>
            <w:tcW w:w="2280" w:type="dxa"/>
            <w:noWrap/>
            <w:vAlign w:val="bottom"/>
            <w:hideMark/>
          </w:tcPr>
          <w:p w:rsidR="005176DE" w:rsidRPr="00497F2D" w:rsidRDefault="005176DE" w:rsidP="00116B6C">
            <w:pPr>
              <w:tabs>
                <w:tab w:val="decimal" w:pos="1635"/>
              </w:tabs>
              <w:spacing w:after="200" w:line="276" w:lineRule="auto"/>
              <w:jc w:val="right"/>
              <w:rPr>
                <w:color w:val="000000"/>
                <w:u w:val="single"/>
              </w:rPr>
            </w:pPr>
            <w:r w:rsidRPr="00497F2D">
              <w:rPr>
                <w:color w:val="000000"/>
                <w:u w:val="single"/>
              </w:rPr>
              <w:t xml:space="preserve">23,500 </w:t>
            </w:r>
          </w:p>
        </w:tc>
      </w:tr>
      <w:tr w:rsidR="005176DE" w:rsidTr="00116B6C">
        <w:trPr>
          <w:trHeight w:hRule="exact" w:val="288"/>
          <w:jc w:val="center"/>
        </w:trPr>
        <w:tc>
          <w:tcPr>
            <w:tcW w:w="2812" w:type="dxa"/>
            <w:noWrap/>
            <w:vAlign w:val="bottom"/>
            <w:hideMark/>
          </w:tcPr>
          <w:p w:rsidR="005176DE" w:rsidRPr="00497F2D" w:rsidRDefault="005176DE" w:rsidP="00116B6C">
            <w:pPr>
              <w:spacing w:line="276" w:lineRule="auto"/>
              <w:rPr>
                <w:sz w:val="22"/>
                <w:szCs w:val="22"/>
              </w:rPr>
            </w:pPr>
          </w:p>
        </w:tc>
        <w:tc>
          <w:tcPr>
            <w:tcW w:w="1840" w:type="dxa"/>
            <w:noWrap/>
            <w:vAlign w:val="bottom"/>
          </w:tcPr>
          <w:p w:rsidR="005176DE" w:rsidRPr="00497F2D" w:rsidRDefault="005176DE" w:rsidP="00116B6C">
            <w:pPr>
              <w:tabs>
                <w:tab w:val="decimal" w:pos="1502"/>
              </w:tabs>
              <w:spacing w:after="200" w:line="276" w:lineRule="auto"/>
              <w:rPr>
                <w:color w:val="000000"/>
              </w:rPr>
            </w:pPr>
          </w:p>
        </w:tc>
        <w:tc>
          <w:tcPr>
            <w:tcW w:w="1523" w:type="dxa"/>
            <w:noWrap/>
            <w:vAlign w:val="bottom"/>
          </w:tcPr>
          <w:p w:rsidR="005176DE" w:rsidRPr="00497F2D" w:rsidRDefault="005176DE" w:rsidP="00116B6C">
            <w:pPr>
              <w:tabs>
                <w:tab w:val="decimal" w:pos="994"/>
                <w:tab w:val="left" w:pos="1133"/>
              </w:tabs>
              <w:spacing w:after="200" w:line="276" w:lineRule="auto"/>
              <w:rPr>
                <w:color w:val="000000"/>
              </w:rPr>
            </w:pPr>
          </w:p>
        </w:tc>
        <w:tc>
          <w:tcPr>
            <w:tcW w:w="2280" w:type="dxa"/>
            <w:noWrap/>
            <w:vAlign w:val="bottom"/>
          </w:tcPr>
          <w:p w:rsidR="005176DE" w:rsidRPr="00497F2D" w:rsidRDefault="005176DE" w:rsidP="00116B6C">
            <w:pPr>
              <w:tabs>
                <w:tab w:val="decimal" w:pos="1635"/>
              </w:tabs>
              <w:spacing w:after="200" w:line="276" w:lineRule="auto"/>
              <w:jc w:val="right"/>
              <w:rPr>
                <w:color w:val="000000"/>
              </w:rPr>
            </w:pPr>
          </w:p>
        </w:tc>
      </w:tr>
      <w:tr w:rsidR="005176DE" w:rsidTr="00116B6C">
        <w:trPr>
          <w:trHeight w:hRule="exact" w:val="288"/>
          <w:jc w:val="center"/>
        </w:trPr>
        <w:tc>
          <w:tcPr>
            <w:tcW w:w="2812" w:type="dxa"/>
            <w:noWrap/>
            <w:vAlign w:val="bottom"/>
            <w:hideMark/>
          </w:tcPr>
          <w:p w:rsidR="005176DE" w:rsidRPr="00497F2D" w:rsidRDefault="005176DE" w:rsidP="00116B6C">
            <w:pPr>
              <w:spacing w:after="200" w:line="276" w:lineRule="auto"/>
              <w:rPr>
                <w:color w:val="000000"/>
              </w:rPr>
            </w:pPr>
            <w:r w:rsidRPr="00497F2D">
              <w:rPr>
                <w:color w:val="000000"/>
              </w:rPr>
              <w:t>Total</w:t>
            </w:r>
          </w:p>
        </w:tc>
        <w:tc>
          <w:tcPr>
            <w:tcW w:w="1840" w:type="dxa"/>
            <w:noWrap/>
            <w:vAlign w:val="bottom"/>
            <w:hideMark/>
          </w:tcPr>
          <w:p w:rsidR="005176DE" w:rsidRPr="00497F2D" w:rsidRDefault="005176DE" w:rsidP="00116B6C">
            <w:pPr>
              <w:tabs>
                <w:tab w:val="decimal" w:pos="1502"/>
              </w:tabs>
              <w:spacing w:after="200" w:line="276" w:lineRule="auto"/>
              <w:rPr>
                <w:color w:val="000000"/>
                <w:u w:val="double"/>
              </w:rPr>
            </w:pPr>
            <w:r w:rsidRPr="00497F2D">
              <w:rPr>
                <w:color w:val="000000"/>
                <w:u w:val="double"/>
              </w:rPr>
              <w:t xml:space="preserve">($417) </w:t>
            </w:r>
          </w:p>
        </w:tc>
        <w:tc>
          <w:tcPr>
            <w:tcW w:w="1523" w:type="dxa"/>
            <w:noWrap/>
            <w:vAlign w:val="bottom"/>
            <w:hideMark/>
          </w:tcPr>
          <w:p w:rsidR="005176DE" w:rsidRPr="00497F2D" w:rsidRDefault="005176DE" w:rsidP="00116B6C">
            <w:pPr>
              <w:tabs>
                <w:tab w:val="decimal" w:pos="994"/>
                <w:tab w:val="left" w:pos="1133"/>
              </w:tabs>
              <w:spacing w:after="200" w:line="276" w:lineRule="auto"/>
              <w:rPr>
                <w:color w:val="000000"/>
                <w:u w:val="double"/>
              </w:rPr>
            </w:pPr>
            <w:r w:rsidRPr="00497F2D">
              <w:rPr>
                <w:color w:val="000000"/>
              </w:rPr>
              <w:tab/>
            </w:r>
            <w:r w:rsidRPr="00497F2D">
              <w:rPr>
                <w:color w:val="000000"/>
                <w:u w:val="double"/>
              </w:rPr>
              <w:t>$44,386</w:t>
            </w:r>
          </w:p>
        </w:tc>
        <w:tc>
          <w:tcPr>
            <w:tcW w:w="2280" w:type="dxa"/>
            <w:noWrap/>
            <w:vAlign w:val="bottom"/>
            <w:hideMark/>
          </w:tcPr>
          <w:p w:rsidR="005176DE" w:rsidRPr="00497F2D" w:rsidRDefault="005176DE" w:rsidP="00116B6C">
            <w:pPr>
              <w:tabs>
                <w:tab w:val="decimal" w:pos="1635"/>
              </w:tabs>
              <w:spacing w:after="200" w:line="276" w:lineRule="auto"/>
              <w:jc w:val="right"/>
              <w:rPr>
                <w:color w:val="000000"/>
                <w:u w:val="double"/>
              </w:rPr>
            </w:pPr>
            <w:r w:rsidRPr="00497F2D">
              <w:rPr>
                <w:color w:val="000000"/>
                <w:u w:val="double"/>
              </w:rPr>
              <w:t xml:space="preserve">$43,969 </w:t>
            </w:r>
          </w:p>
        </w:tc>
      </w:tr>
    </w:tbl>
    <w:p w:rsidR="005176DE" w:rsidRDefault="005176DE" w:rsidP="00E275D8">
      <w:pPr>
        <w:pStyle w:val="BodyText"/>
        <w:sectPr w:rsidR="005176DE" w:rsidSect="0068481F">
          <w:headerReference w:type="default" r:id="rId18"/>
          <w:pgSz w:w="12240" w:h="15840" w:code="1"/>
          <w:pgMar w:top="1584" w:right="1440" w:bottom="1440" w:left="1440" w:header="720" w:footer="720" w:gutter="0"/>
          <w:cols w:space="720"/>
          <w:formProt w:val="0"/>
          <w:docGrid w:linePitch="360"/>
        </w:sectPr>
      </w:pPr>
    </w:p>
    <w:p w:rsidR="0070294E" w:rsidRDefault="0070294E" w:rsidP="00E275D8">
      <w:pPr>
        <w:pStyle w:val="BodyTex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908"/>
      </w:tblGrid>
      <w:tr w:rsidR="0070294E" w:rsidRPr="0070294E" w:rsidTr="00116B6C">
        <w:trPr>
          <w:jc w:val="center"/>
        </w:trPr>
        <w:tc>
          <w:tcPr>
            <w:tcW w:w="9576" w:type="dxa"/>
            <w:gridSpan w:val="2"/>
            <w:hideMark/>
          </w:tcPr>
          <w:p w:rsidR="0070294E" w:rsidRPr="0070294E" w:rsidRDefault="0070294E" w:rsidP="0070294E">
            <w:pPr>
              <w:jc w:val="center"/>
              <w:rPr>
                <w:b/>
              </w:rPr>
            </w:pPr>
            <w:r w:rsidRPr="0070294E">
              <w:rPr>
                <w:b/>
              </w:rPr>
              <w:t>Explanation of Staff’s Recommended</w:t>
            </w:r>
          </w:p>
        </w:tc>
      </w:tr>
      <w:tr w:rsidR="0070294E" w:rsidRPr="0070294E" w:rsidTr="00116B6C">
        <w:trPr>
          <w:jc w:val="center"/>
        </w:trPr>
        <w:tc>
          <w:tcPr>
            <w:tcW w:w="9576" w:type="dxa"/>
            <w:gridSpan w:val="2"/>
            <w:hideMark/>
          </w:tcPr>
          <w:p w:rsidR="0070294E" w:rsidRPr="0070294E" w:rsidRDefault="0070294E" w:rsidP="0070294E">
            <w:pPr>
              <w:jc w:val="center"/>
              <w:rPr>
                <w:b/>
              </w:rPr>
            </w:pPr>
            <w:r w:rsidRPr="0070294E">
              <w:rPr>
                <w:b/>
              </w:rPr>
              <w:t>Adjustments to Net Book Value as of December 22, 2016</w:t>
            </w:r>
          </w:p>
        </w:tc>
      </w:tr>
      <w:tr w:rsidR="0070294E" w:rsidRPr="0070294E" w:rsidTr="00116B6C">
        <w:trPr>
          <w:jc w:val="center"/>
        </w:trPr>
        <w:tc>
          <w:tcPr>
            <w:tcW w:w="9576" w:type="dxa"/>
            <w:gridSpan w:val="2"/>
            <w:hideMark/>
          </w:tcPr>
          <w:p w:rsidR="0070294E" w:rsidRPr="0070294E" w:rsidRDefault="0070294E" w:rsidP="0070294E">
            <w:pPr>
              <w:jc w:val="center"/>
              <w:rPr>
                <w:b/>
              </w:rPr>
            </w:pPr>
            <w:r w:rsidRPr="0070294E">
              <w:rPr>
                <w:b/>
              </w:rPr>
              <w:t>Wastewater System</w:t>
            </w:r>
          </w:p>
        </w:tc>
      </w:tr>
      <w:tr w:rsidR="0070294E" w:rsidRPr="0070294E" w:rsidTr="00116B6C">
        <w:trPr>
          <w:jc w:val="center"/>
        </w:trPr>
        <w:tc>
          <w:tcPr>
            <w:tcW w:w="7668" w:type="dxa"/>
            <w:hideMark/>
          </w:tcPr>
          <w:p w:rsidR="0070294E" w:rsidRPr="0070294E" w:rsidRDefault="0070294E" w:rsidP="0070294E">
            <w:pPr>
              <w:rPr>
                <w:b/>
              </w:rPr>
            </w:pPr>
            <w:r w:rsidRPr="0070294E">
              <w:rPr>
                <w:b/>
              </w:rPr>
              <w:t>Explanation</w:t>
            </w:r>
          </w:p>
        </w:tc>
        <w:tc>
          <w:tcPr>
            <w:tcW w:w="1908" w:type="dxa"/>
            <w:hideMark/>
          </w:tcPr>
          <w:p w:rsidR="0070294E" w:rsidRPr="0070294E" w:rsidRDefault="0070294E" w:rsidP="0070294E">
            <w:pPr>
              <w:rPr>
                <w:b/>
              </w:rPr>
            </w:pPr>
            <w:r w:rsidRPr="0070294E">
              <w:rPr>
                <w:b/>
              </w:rPr>
              <w:t>Amount</w:t>
            </w:r>
          </w:p>
        </w:tc>
      </w:tr>
      <w:tr w:rsidR="0070294E" w:rsidRPr="0070294E" w:rsidTr="00116B6C">
        <w:trPr>
          <w:jc w:val="center"/>
        </w:trPr>
        <w:tc>
          <w:tcPr>
            <w:tcW w:w="7668" w:type="dxa"/>
          </w:tcPr>
          <w:p w:rsidR="0070294E" w:rsidRPr="0070294E" w:rsidRDefault="0070294E" w:rsidP="0070294E">
            <w:pPr>
              <w:rPr>
                <w:b/>
              </w:rPr>
            </w:pPr>
          </w:p>
        </w:tc>
        <w:tc>
          <w:tcPr>
            <w:tcW w:w="1908" w:type="dxa"/>
          </w:tcPr>
          <w:p w:rsidR="0070294E" w:rsidRPr="0070294E" w:rsidRDefault="0070294E" w:rsidP="0070294E">
            <w:pPr>
              <w:rPr>
                <w:b/>
              </w:rPr>
            </w:pPr>
          </w:p>
        </w:tc>
      </w:tr>
      <w:tr w:rsidR="0070294E" w:rsidRPr="0070294E" w:rsidTr="00116B6C">
        <w:trPr>
          <w:jc w:val="center"/>
        </w:trPr>
        <w:tc>
          <w:tcPr>
            <w:tcW w:w="7668" w:type="dxa"/>
            <w:hideMark/>
          </w:tcPr>
          <w:p w:rsidR="0070294E" w:rsidRPr="0070294E" w:rsidRDefault="0070294E" w:rsidP="0070294E">
            <w:pPr>
              <w:numPr>
                <w:ilvl w:val="0"/>
                <w:numId w:val="12"/>
              </w:numPr>
              <w:contextualSpacing/>
              <w:rPr>
                <w:rFonts w:eastAsiaTheme="minorHAnsi"/>
              </w:rPr>
            </w:pPr>
            <w:r w:rsidRPr="0070294E">
              <w:rPr>
                <w:rFonts w:eastAsiaTheme="minorHAnsi"/>
              </w:rPr>
              <w:t>Utility Plant in Service</w:t>
            </w:r>
          </w:p>
        </w:tc>
        <w:tc>
          <w:tcPr>
            <w:tcW w:w="1908" w:type="dxa"/>
          </w:tcPr>
          <w:p w:rsidR="0070294E" w:rsidRPr="0070294E" w:rsidRDefault="0070294E" w:rsidP="0070294E"/>
        </w:tc>
      </w:tr>
      <w:tr w:rsidR="0070294E" w:rsidRPr="0070294E" w:rsidTr="00116B6C">
        <w:trPr>
          <w:jc w:val="center"/>
        </w:trPr>
        <w:tc>
          <w:tcPr>
            <w:tcW w:w="7668" w:type="dxa"/>
            <w:hideMark/>
          </w:tcPr>
          <w:p w:rsidR="0070294E" w:rsidRPr="0070294E" w:rsidRDefault="0070294E" w:rsidP="0070294E">
            <w:r w:rsidRPr="0070294E">
              <w:t>To reflect appropriate amount of utility plant in service.</w:t>
            </w:r>
          </w:p>
        </w:tc>
        <w:tc>
          <w:tcPr>
            <w:tcW w:w="1908" w:type="dxa"/>
            <w:hideMark/>
          </w:tcPr>
          <w:p w:rsidR="0070294E" w:rsidRPr="0070294E" w:rsidRDefault="0070294E" w:rsidP="0070294E">
            <w:pPr>
              <w:jc w:val="right"/>
              <w:rPr>
                <w:u w:val="double"/>
              </w:rPr>
            </w:pPr>
            <w:r w:rsidRPr="0070294E">
              <w:rPr>
                <w:u w:val="double"/>
              </w:rPr>
              <w:t>$28,282</w:t>
            </w:r>
          </w:p>
        </w:tc>
      </w:tr>
      <w:tr w:rsidR="0070294E" w:rsidRPr="0070294E" w:rsidTr="00116B6C">
        <w:trPr>
          <w:jc w:val="center"/>
        </w:trPr>
        <w:tc>
          <w:tcPr>
            <w:tcW w:w="7668" w:type="dxa"/>
          </w:tcPr>
          <w:p w:rsidR="0070294E" w:rsidRPr="0070294E" w:rsidRDefault="0070294E" w:rsidP="0070294E">
            <w:pPr>
              <w:numPr>
                <w:ilvl w:val="0"/>
                <w:numId w:val="12"/>
              </w:numPr>
              <w:contextualSpacing/>
              <w:rPr>
                <w:rFonts w:eastAsiaTheme="minorHAnsi"/>
              </w:rPr>
            </w:pPr>
            <w:r w:rsidRPr="0070294E">
              <w:rPr>
                <w:rFonts w:eastAsiaTheme="minorHAnsi"/>
              </w:rPr>
              <w:t>Land</w:t>
            </w:r>
          </w:p>
        </w:tc>
        <w:tc>
          <w:tcPr>
            <w:tcW w:w="1908" w:type="dxa"/>
          </w:tcPr>
          <w:p w:rsidR="0070294E" w:rsidRPr="0070294E" w:rsidRDefault="0070294E" w:rsidP="0070294E">
            <w:pPr>
              <w:jc w:val="right"/>
              <w:rPr>
                <w:u w:val="double"/>
              </w:rPr>
            </w:pPr>
          </w:p>
        </w:tc>
      </w:tr>
      <w:tr w:rsidR="0070294E" w:rsidRPr="0070294E" w:rsidTr="00116B6C">
        <w:trPr>
          <w:jc w:val="center"/>
        </w:trPr>
        <w:tc>
          <w:tcPr>
            <w:tcW w:w="7668" w:type="dxa"/>
          </w:tcPr>
          <w:p w:rsidR="0070294E" w:rsidRPr="0070294E" w:rsidRDefault="0070294E" w:rsidP="0070294E">
            <w:r w:rsidRPr="0070294E">
              <w:t>To reflect appropriate amount of land.</w:t>
            </w:r>
          </w:p>
        </w:tc>
        <w:tc>
          <w:tcPr>
            <w:tcW w:w="1908" w:type="dxa"/>
          </w:tcPr>
          <w:p w:rsidR="0070294E" w:rsidRPr="0070294E" w:rsidRDefault="0070294E" w:rsidP="0070294E">
            <w:pPr>
              <w:jc w:val="right"/>
              <w:rPr>
                <w:u w:val="double"/>
              </w:rPr>
            </w:pPr>
            <w:r w:rsidRPr="0070294E">
              <w:rPr>
                <w:u w:val="double"/>
              </w:rPr>
              <w:t>($27)</w:t>
            </w:r>
          </w:p>
        </w:tc>
      </w:tr>
      <w:tr w:rsidR="0070294E" w:rsidRPr="0070294E" w:rsidTr="00116B6C">
        <w:trPr>
          <w:jc w:val="center"/>
        </w:trPr>
        <w:tc>
          <w:tcPr>
            <w:tcW w:w="7668" w:type="dxa"/>
            <w:hideMark/>
          </w:tcPr>
          <w:p w:rsidR="0070294E" w:rsidRPr="0070294E" w:rsidRDefault="0070294E" w:rsidP="0070294E">
            <w:pPr>
              <w:numPr>
                <w:ilvl w:val="0"/>
                <w:numId w:val="12"/>
              </w:numPr>
              <w:contextualSpacing/>
              <w:rPr>
                <w:rFonts w:eastAsiaTheme="minorHAnsi"/>
              </w:rPr>
            </w:pPr>
            <w:r w:rsidRPr="0070294E">
              <w:rPr>
                <w:rFonts w:eastAsiaTheme="minorHAnsi"/>
              </w:rPr>
              <w:t>Accumulated Depreciation</w:t>
            </w:r>
          </w:p>
        </w:tc>
        <w:tc>
          <w:tcPr>
            <w:tcW w:w="1908" w:type="dxa"/>
          </w:tcPr>
          <w:p w:rsidR="0070294E" w:rsidRPr="0070294E" w:rsidRDefault="0070294E" w:rsidP="0070294E">
            <w:pPr>
              <w:jc w:val="right"/>
              <w:rPr>
                <w:u w:val="double"/>
              </w:rPr>
            </w:pPr>
          </w:p>
        </w:tc>
      </w:tr>
      <w:tr w:rsidR="0070294E" w:rsidRPr="0070294E" w:rsidTr="00116B6C">
        <w:trPr>
          <w:jc w:val="center"/>
        </w:trPr>
        <w:tc>
          <w:tcPr>
            <w:tcW w:w="7668" w:type="dxa"/>
            <w:hideMark/>
          </w:tcPr>
          <w:p w:rsidR="0070294E" w:rsidRPr="0070294E" w:rsidRDefault="0070294E" w:rsidP="0070294E">
            <w:r w:rsidRPr="0070294E">
              <w:t>To reflect appropriate amount of accumulated depreciation.</w:t>
            </w:r>
          </w:p>
        </w:tc>
        <w:tc>
          <w:tcPr>
            <w:tcW w:w="1908" w:type="dxa"/>
            <w:hideMark/>
          </w:tcPr>
          <w:p w:rsidR="0070294E" w:rsidRPr="0070294E" w:rsidRDefault="0070294E" w:rsidP="0070294E">
            <w:pPr>
              <w:jc w:val="right"/>
              <w:rPr>
                <w:u w:val="double"/>
              </w:rPr>
            </w:pPr>
            <w:r w:rsidRPr="0070294E">
              <w:rPr>
                <w:u w:val="double"/>
              </w:rPr>
              <w:t>$16,131</w:t>
            </w:r>
          </w:p>
        </w:tc>
      </w:tr>
      <w:tr w:rsidR="0070294E" w:rsidRPr="0070294E" w:rsidTr="00116B6C">
        <w:trPr>
          <w:jc w:val="center"/>
        </w:trPr>
        <w:tc>
          <w:tcPr>
            <w:tcW w:w="7668" w:type="dxa"/>
            <w:hideMark/>
          </w:tcPr>
          <w:p w:rsidR="0070294E" w:rsidRPr="0070294E" w:rsidRDefault="0070294E" w:rsidP="0070294E">
            <w:pPr>
              <w:numPr>
                <w:ilvl w:val="0"/>
                <w:numId w:val="12"/>
              </w:numPr>
              <w:contextualSpacing/>
              <w:rPr>
                <w:rFonts w:eastAsiaTheme="minorHAnsi"/>
              </w:rPr>
            </w:pPr>
            <w:r w:rsidRPr="0070294E">
              <w:rPr>
                <w:rFonts w:eastAsiaTheme="minorHAnsi"/>
              </w:rPr>
              <w:t>Contributions-in-Aid-of-Construction (CIAC)</w:t>
            </w:r>
          </w:p>
        </w:tc>
        <w:tc>
          <w:tcPr>
            <w:tcW w:w="1908" w:type="dxa"/>
          </w:tcPr>
          <w:p w:rsidR="0070294E" w:rsidRPr="0070294E" w:rsidRDefault="0070294E" w:rsidP="0070294E">
            <w:pPr>
              <w:jc w:val="right"/>
              <w:rPr>
                <w:u w:val="double"/>
              </w:rPr>
            </w:pPr>
          </w:p>
        </w:tc>
      </w:tr>
      <w:tr w:rsidR="0070294E" w:rsidRPr="0070294E" w:rsidTr="00116B6C">
        <w:trPr>
          <w:jc w:val="center"/>
        </w:trPr>
        <w:tc>
          <w:tcPr>
            <w:tcW w:w="7668" w:type="dxa"/>
            <w:hideMark/>
          </w:tcPr>
          <w:p w:rsidR="0070294E" w:rsidRPr="0070294E" w:rsidRDefault="0070294E" w:rsidP="0070294E">
            <w:r w:rsidRPr="0070294E">
              <w:t>To reflect appropriate CIAC.</w:t>
            </w:r>
          </w:p>
        </w:tc>
        <w:tc>
          <w:tcPr>
            <w:tcW w:w="1908" w:type="dxa"/>
            <w:hideMark/>
          </w:tcPr>
          <w:p w:rsidR="0070294E" w:rsidRPr="0070294E" w:rsidRDefault="0070294E" w:rsidP="0070294E">
            <w:pPr>
              <w:jc w:val="right"/>
              <w:rPr>
                <w:u w:val="double"/>
              </w:rPr>
            </w:pPr>
            <w:r w:rsidRPr="0070294E">
              <w:rPr>
                <w:u w:val="double"/>
              </w:rPr>
              <w:t>($23,500)</w:t>
            </w:r>
          </w:p>
        </w:tc>
      </w:tr>
      <w:tr w:rsidR="0070294E" w:rsidRPr="0070294E" w:rsidTr="00116B6C">
        <w:trPr>
          <w:jc w:val="center"/>
        </w:trPr>
        <w:tc>
          <w:tcPr>
            <w:tcW w:w="7668" w:type="dxa"/>
            <w:hideMark/>
          </w:tcPr>
          <w:p w:rsidR="0070294E" w:rsidRPr="0070294E" w:rsidRDefault="0070294E" w:rsidP="0070294E">
            <w:pPr>
              <w:numPr>
                <w:ilvl w:val="0"/>
                <w:numId w:val="12"/>
              </w:numPr>
              <w:contextualSpacing/>
              <w:rPr>
                <w:rFonts w:eastAsiaTheme="minorHAnsi"/>
              </w:rPr>
            </w:pPr>
            <w:r w:rsidRPr="0070294E">
              <w:rPr>
                <w:rFonts w:eastAsiaTheme="minorHAnsi"/>
              </w:rPr>
              <w:t>Accumulated Amortization of CIAC</w:t>
            </w:r>
          </w:p>
        </w:tc>
        <w:tc>
          <w:tcPr>
            <w:tcW w:w="1908" w:type="dxa"/>
          </w:tcPr>
          <w:p w:rsidR="0070294E" w:rsidRPr="0070294E" w:rsidRDefault="0070294E" w:rsidP="0070294E">
            <w:pPr>
              <w:jc w:val="right"/>
              <w:rPr>
                <w:u w:val="double"/>
              </w:rPr>
            </w:pPr>
          </w:p>
        </w:tc>
      </w:tr>
      <w:tr w:rsidR="0070294E" w:rsidRPr="0070294E" w:rsidTr="00116B6C">
        <w:trPr>
          <w:jc w:val="center"/>
        </w:trPr>
        <w:tc>
          <w:tcPr>
            <w:tcW w:w="7668" w:type="dxa"/>
            <w:hideMark/>
          </w:tcPr>
          <w:p w:rsidR="0070294E" w:rsidRPr="0070294E" w:rsidRDefault="0070294E" w:rsidP="0070294E">
            <w:r w:rsidRPr="0070294E">
              <w:t>To reflect appropriate amount of accumulated amortization of CIAC.</w:t>
            </w:r>
          </w:p>
        </w:tc>
        <w:tc>
          <w:tcPr>
            <w:tcW w:w="1908" w:type="dxa"/>
            <w:hideMark/>
          </w:tcPr>
          <w:p w:rsidR="0070294E" w:rsidRPr="0070294E" w:rsidRDefault="0070294E" w:rsidP="0070294E">
            <w:pPr>
              <w:jc w:val="right"/>
              <w:rPr>
                <w:u w:val="double"/>
              </w:rPr>
            </w:pPr>
            <w:r w:rsidRPr="0070294E">
              <w:rPr>
                <w:u w:val="double"/>
              </w:rPr>
              <w:t>$23,500</w:t>
            </w:r>
          </w:p>
        </w:tc>
      </w:tr>
      <w:tr w:rsidR="0070294E" w:rsidRPr="0070294E" w:rsidTr="00116B6C">
        <w:trPr>
          <w:jc w:val="center"/>
        </w:trPr>
        <w:tc>
          <w:tcPr>
            <w:tcW w:w="7668" w:type="dxa"/>
          </w:tcPr>
          <w:p w:rsidR="0070294E" w:rsidRPr="0070294E" w:rsidRDefault="0070294E" w:rsidP="0070294E"/>
        </w:tc>
        <w:tc>
          <w:tcPr>
            <w:tcW w:w="1908" w:type="dxa"/>
          </w:tcPr>
          <w:p w:rsidR="0070294E" w:rsidRPr="0070294E" w:rsidRDefault="0070294E" w:rsidP="0070294E">
            <w:pPr>
              <w:jc w:val="right"/>
              <w:rPr>
                <w:u w:val="double"/>
              </w:rPr>
            </w:pPr>
          </w:p>
        </w:tc>
      </w:tr>
      <w:tr w:rsidR="0070294E" w:rsidRPr="0070294E" w:rsidTr="00116B6C">
        <w:trPr>
          <w:jc w:val="center"/>
        </w:trPr>
        <w:tc>
          <w:tcPr>
            <w:tcW w:w="7668" w:type="dxa"/>
            <w:hideMark/>
          </w:tcPr>
          <w:p w:rsidR="0070294E" w:rsidRPr="0070294E" w:rsidRDefault="0070294E" w:rsidP="0070294E">
            <w:r w:rsidRPr="0070294E">
              <w:t>Total Adjustments to Net Book Value as of December 22, 2016.</w:t>
            </w:r>
          </w:p>
        </w:tc>
        <w:tc>
          <w:tcPr>
            <w:tcW w:w="1908" w:type="dxa"/>
            <w:hideMark/>
          </w:tcPr>
          <w:p w:rsidR="0070294E" w:rsidRPr="0070294E" w:rsidRDefault="0070294E" w:rsidP="0070294E">
            <w:pPr>
              <w:jc w:val="right"/>
              <w:rPr>
                <w:u w:val="double"/>
              </w:rPr>
            </w:pPr>
            <w:r w:rsidRPr="0070294E">
              <w:rPr>
                <w:u w:val="double"/>
              </w:rPr>
              <w:t>$44,386</w:t>
            </w:r>
          </w:p>
        </w:tc>
      </w:tr>
    </w:tbl>
    <w:p w:rsidR="0070294E" w:rsidRDefault="0070294E" w:rsidP="00E275D8">
      <w:pPr>
        <w:pStyle w:val="BodyText"/>
        <w:sectPr w:rsidR="0070294E" w:rsidSect="0068481F">
          <w:headerReference w:type="default" r:id="rId19"/>
          <w:pgSz w:w="12240" w:h="15840" w:code="1"/>
          <w:pgMar w:top="1584" w:right="1440" w:bottom="1440" w:left="1440" w:header="720" w:footer="720" w:gutter="0"/>
          <w:cols w:space="720"/>
          <w:formProt w:val="0"/>
          <w:docGrid w:linePitch="360"/>
        </w:sectPr>
      </w:pPr>
    </w:p>
    <w:p w:rsidR="00E06484" w:rsidRDefault="00E06484" w:rsidP="00E275D8">
      <w:pPr>
        <w:pStyle w:val="BodyTex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4320"/>
        <w:gridCol w:w="1710"/>
        <w:gridCol w:w="1800"/>
      </w:tblGrid>
      <w:tr w:rsidR="00704688" w:rsidTr="00116B6C">
        <w:trPr>
          <w:jc w:val="center"/>
        </w:trPr>
        <w:tc>
          <w:tcPr>
            <w:tcW w:w="8928" w:type="dxa"/>
            <w:gridSpan w:val="4"/>
            <w:hideMark/>
          </w:tcPr>
          <w:p w:rsidR="00704688" w:rsidRDefault="00704688" w:rsidP="00116B6C">
            <w:pPr>
              <w:jc w:val="center"/>
              <w:rPr>
                <w:b/>
              </w:rPr>
            </w:pPr>
            <w:r>
              <w:rPr>
                <w:b/>
              </w:rPr>
              <w:t>Merritt Island</w:t>
            </w:r>
          </w:p>
        </w:tc>
      </w:tr>
      <w:tr w:rsidR="00704688" w:rsidTr="00116B6C">
        <w:trPr>
          <w:jc w:val="center"/>
        </w:trPr>
        <w:tc>
          <w:tcPr>
            <w:tcW w:w="8928" w:type="dxa"/>
            <w:gridSpan w:val="4"/>
            <w:hideMark/>
          </w:tcPr>
          <w:p w:rsidR="00704688" w:rsidRDefault="00704688" w:rsidP="00116B6C">
            <w:pPr>
              <w:jc w:val="center"/>
              <w:rPr>
                <w:b/>
              </w:rPr>
            </w:pPr>
            <w:r>
              <w:rPr>
                <w:b/>
              </w:rPr>
              <w:t>Wastewater System</w:t>
            </w:r>
          </w:p>
        </w:tc>
      </w:tr>
      <w:tr w:rsidR="00704688" w:rsidTr="00116B6C">
        <w:trPr>
          <w:jc w:val="center"/>
        </w:trPr>
        <w:tc>
          <w:tcPr>
            <w:tcW w:w="8928" w:type="dxa"/>
            <w:gridSpan w:val="4"/>
            <w:hideMark/>
          </w:tcPr>
          <w:p w:rsidR="00704688" w:rsidRDefault="00704688" w:rsidP="00116B6C">
            <w:pPr>
              <w:jc w:val="center"/>
              <w:rPr>
                <w:b/>
              </w:rPr>
            </w:pPr>
            <w:r>
              <w:rPr>
                <w:b/>
              </w:rPr>
              <w:t>Schedule of Staff Recommended Account Balances as of December 22, 2016</w:t>
            </w:r>
          </w:p>
        </w:tc>
      </w:tr>
      <w:tr w:rsidR="00704688" w:rsidTr="00116B6C">
        <w:trPr>
          <w:jc w:val="center"/>
        </w:trPr>
        <w:tc>
          <w:tcPr>
            <w:tcW w:w="1098" w:type="dxa"/>
            <w:hideMark/>
          </w:tcPr>
          <w:p w:rsidR="00704688" w:rsidRDefault="00704688" w:rsidP="00116B6C">
            <w:pPr>
              <w:jc w:val="center"/>
              <w:rPr>
                <w:b/>
              </w:rPr>
            </w:pPr>
            <w:r>
              <w:rPr>
                <w:b/>
              </w:rPr>
              <w:t>Account</w:t>
            </w:r>
          </w:p>
        </w:tc>
        <w:tc>
          <w:tcPr>
            <w:tcW w:w="4320" w:type="dxa"/>
          </w:tcPr>
          <w:p w:rsidR="00704688" w:rsidRDefault="00704688" w:rsidP="00116B6C">
            <w:pPr>
              <w:rPr>
                <w:b/>
              </w:rPr>
            </w:pPr>
          </w:p>
        </w:tc>
        <w:tc>
          <w:tcPr>
            <w:tcW w:w="1710" w:type="dxa"/>
          </w:tcPr>
          <w:p w:rsidR="00704688" w:rsidRDefault="00704688" w:rsidP="00116B6C">
            <w:pPr>
              <w:rPr>
                <w:b/>
              </w:rPr>
            </w:pPr>
          </w:p>
        </w:tc>
        <w:tc>
          <w:tcPr>
            <w:tcW w:w="1800" w:type="dxa"/>
            <w:hideMark/>
          </w:tcPr>
          <w:p w:rsidR="00704688" w:rsidRDefault="00704688" w:rsidP="00116B6C">
            <w:pPr>
              <w:jc w:val="right"/>
              <w:rPr>
                <w:b/>
              </w:rPr>
            </w:pPr>
            <w:r>
              <w:rPr>
                <w:b/>
              </w:rPr>
              <w:t>Accumulated</w:t>
            </w:r>
          </w:p>
        </w:tc>
      </w:tr>
      <w:tr w:rsidR="00704688" w:rsidTr="00116B6C">
        <w:trPr>
          <w:jc w:val="center"/>
        </w:trPr>
        <w:tc>
          <w:tcPr>
            <w:tcW w:w="1098" w:type="dxa"/>
            <w:hideMark/>
          </w:tcPr>
          <w:p w:rsidR="00704688" w:rsidRPr="00566E3B" w:rsidRDefault="00704688" w:rsidP="00116B6C">
            <w:pPr>
              <w:jc w:val="center"/>
              <w:rPr>
                <w:b/>
              </w:rPr>
            </w:pPr>
            <w:r w:rsidRPr="00566E3B">
              <w:rPr>
                <w:b/>
              </w:rPr>
              <w:t>No.</w:t>
            </w:r>
          </w:p>
        </w:tc>
        <w:tc>
          <w:tcPr>
            <w:tcW w:w="4320" w:type="dxa"/>
            <w:hideMark/>
          </w:tcPr>
          <w:p w:rsidR="00704688" w:rsidRPr="00566E3B" w:rsidRDefault="00704688" w:rsidP="00116B6C">
            <w:pPr>
              <w:rPr>
                <w:b/>
              </w:rPr>
            </w:pPr>
            <w:r w:rsidRPr="00566E3B">
              <w:rPr>
                <w:b/>
              </w:rPr>
              <w:t>Description</w:t>
            </w:r>
          </w:p>
        </w:tc>
        <w:tc>
          <w:tcPr>
            <w:tcW w:w="1710" w:type="dxa"/>
            <w:hideMark/>
          </w:tcPr>
          <w:p w:rsidR="00704688" w:rsidRPr="00566E3B" w:rsidRDefault="00704688" w:rsidP="00116B6C">
            <w:pPr>
              <w:jc w:val="right"/>
              <w:rPr>
                <w:b/>
              </w:rPr>
            </w:pPr>
            <w:r w:rsidRPr="00566E3B">
              <w:rPr>
                <w:b/>
              </w:rPr>
              <w:t>UPIS</w:t>
            </w:r>
          </w:p>
        </w:tc>
        <w:tc>
          <w:tcPr>
            <w:tcW w:w="1800" w:type="dxa"/>
            <w:hideMark/>
          </w:tcPr>
          <w:p w:rsidR="00704688" w:rsidRPr="00CF0D78" w:rsidRDefault="00704688" w:rsidP="00116B6C">
            <w:pPr>
              <w:jc w:val="right"/>
              <w:rPr>
                <w:b/>
              </w:rPr>
            </w:pPr>
            <w:r w:rsidRPr="00CF0D78">
              <w:rPr>
                <w:b/>
              </w:rPr>
              <w:t>Depreciation</w:t>
            </w:r>
          </w:p>
        </w:tc>
      </w:tr>
      <w:tr w:rsidR="00704688" w:rsidTr="00116B6C">
        <w:trPr>
          <w:jc w:val="center"/>
        </w:trPr>
        <w:tc>
          <w:tcPr>
            <w:tcW w:w="1098" w:type="dxa"/>
          </w:tcPr>
          <w:p w:rsidR="00704688" w:rsidRPr="00566E3B" w:rsidRDefault="00704688" w:rsidP="00116B6C">
            <w:pPr>
              <w:jc w:val="center"/>
            </w:pPr>
          </w:p>
        </w:tc>
        <w:tc>
          <w:tcPr>
            <w:tcW w:w="4320" w:type="dxa"/>
          </w:tcPr>
          <w:p w:rsidR="00704688" w:rsidRPr="00566E3B" w:rsidRDefault="00704688" w:rsidP="00116B6C">
            <w:r w:rsidRPr="00566E3B">
              <w:t>Composite Account</w:t>
            </w:r>
          </w:p>
        </w:tc>
        <w:tc>
          <w:tcPr>
            <w:tcW w:w="1710" w:type="dxa"/>
          </w:tcPr>
          <w:p w:rsidR="00704688" w:rsidRPr="00566E3B" w:rsidRDefault="00704688" w:rsidP="00116B6C">
            <w:pPr>
              <w:jc w:val="right"/>
            </w:pPr>
            <w:r w:rsidRPr="00566E3B">
              <w:t>$57,354</w:t>
            </w:r>
          </w:p>
        </w:tc>
        <w:tc>
          <w:tcPr>
            <w:tcW w:w="1800" w:type="dxa"/>
          </w:tcPr>
          <w:p w:rsidR="00704688" w:rsidRPr="00CF0D78" w:rsidRDefault="00704688" w:rsidP="00116B6C">
            <w:pPr>
              <w:jc w:val="right"/>
            </w:pPr>
            <w:r w:rsidRPr="00CF0D78">
              <w:t>(</w:t>
            </w:r>
            <w:r>
              <w:t>$</w:t>
            </w:r>
            <w:r w:rsidRPr="00CF0D78">
              <w:t>57,354)</w:t>
            </w:r>
          </w:p>
        </w:tc>
      </w:tr>
      <w:tr w:rsidR="00704688" w:rsidTr="00116B6C">
        <w:trPr>
          <w:jc w:val="center"/>
        </w:trPr>
        <w:tc>
          <w:tcPr>
            <w:tcW w:w="1098" w:type="dxa"/>
            <w:hideMark/>
          </w:tcPr>
          <w:p w:rsidR="00704688" w:rsidRPr="00566E3B" w:rsidRDefault="00704688" w:rsidP="00116B6C">
            <w:pPr>
              <w:jc w:val="center"/>
            </w:pPr>
            <w:r w:rsidRPr="00566E3B">
              <w:t>351</w:t>
            </w:r>
          </w:p>
        </w:tc>
        <w:tc>
          <w:tcPr>
            <w:tcW w:w="4320" w:type="dxa"/>
            <w:hideMark/>
          </w:tcPr>
          <w:p w:rsidR="00704688" w:rsidRPr="00566E3B" w:rsidRDefault="00704688" w:rsidP="00116B6C">
            <w:r w:rsidRPr="00566E3B">
              <w:t>Organization</w:t>
            </w:r>
          </w:p>
        </w:tc>
        <w:tc>
          <w:tcPr>
            <w:tcW w:w="1710" w:type="dxa"/>
            <w:hideMark/>
          </w:tcPr>
          <w:p w:rsidR="00704688" w:rsidRPr="00566E3B" w:rsidRDefault="00704688" w:rsidP="00116B6C">
            <w:pPr>
              <w:jc w:val="right"/>
            </w:pPr>
            <w:r w:rsidRPr="00566E3B">
              <w:t>0</w:t>
            </w:r>
          </w:p>
        </w:tc>
        <w:tc>
          <w:tcPr>
            <w:tcW w:w="1800" w:type="dxa"/>
            <w:hideMark/>
          </w:tcPr>
          <w:p w:rsidR="00704688" w:rsidRPr="00CF0D78" w:rsidRDefault="00704688" w:rsidP="00116B6C">
            <w:pPr>
              <w:jc w:val="right"/>
            </w:pPr>
            <w:r w:rsidRPr="00CF0D78">
              <w:t>0</w:t>
            </w:r>
          </w:p>
        </w:tc>
      </w:tr>
      <w:tr w:rsidR="00704688" w:rsidTr="00116B6C">
        <w:trPr>
          <w:jc w:val="center"/>
        </w:trPr>
        <w:tc>
          <w:tcPr>
            <w:tcW w:w="1098" w:type="dxa"/>
            <w:hideMark/>
          </w:tcPr>
          <w:p w:rsidR="00704688" w:rsidRPr="00566E3B" w:rsidRDefault="00704688" w:rsidP="00116B6C">
            <w:pPr>
              <w:jc w:val="center"/>
            </w:pPr>
            <w:r w:rsidRPr="00566E3B">
              <w:t>354</w:t>
            </w:r>
          </w:p>
        </w:tc>
        <w:tc>
          <w:tcPr>
            <w:tcW w:w="4320" w:type="dxa"/>
            <w:hideMark/>
          </w:tcPr>
          <w:p w:rsidR="00704688" w:rsidRPr="00566E3B" w:rsidRDefault="00704688" w:rsidP="00116B6C">
            <w:r w:rsidRPr="00566E3B">
              <w:t>Structures &amp; Improvements</w:t>
            </w:r>
          </w:p>
        </w:tc>
        <w:tc>
          <w:tcPr>
            <w:tcW w:w="1710" w:type="dxa"/>
            <w:hideMark/>
          </w:tcPr>
          <w:p w:rsidR="00704688" w:rsidRPr="00566E3B" w:rsidRDefault="00704688" w:rsidP="00116B6C">
            <w:pPr>
              <w:jc w:val="right"/>
            </w:pPr>
            <w:r w:rsidRPr="00566E3B">
              <w:t>30,157</w:t>
            </w:r>
          </w:p>
        </w:tc>
        <w:tc>
          <w:tcPr>
            <w:tcW w:w="1800" w:type="dxa"/>
            <w:hideMark/>
          </w:tcPr>
          <w:p w:rsidR="00704688" w:rsidRPr="00CF0D78" w:rsidRDefault="00704688" w:rsidP="00116B6C">
            <w:pPr>
              <w:jc w:val="right"/>
            </w:pPr>
            <w:r w:rsidRPr="00CF0D78">
              <w:t>(22,399)</w:t>
            </w:r>
          </w:p>
        </w:tc>
      </w:tr>
      <w:tr w:rsidR="00704688" w:rsidTr="00116B6C">
        <w:trPr>
          <w:jc w:val="center"/>
        </w:trPr>
        <w:tc>
          <w:tcPr>
            <w:tcW w:w="1098" w:type="dxa"/>
            <w:hideMark/>
          </w:tcPr>
          <w:p w:rsidR="00704688" w:rsidRPr="00566E3B" w:rsidRDefault="00704688" w:rsidP="00116B6C">
            <w:pPr>
              <w:jc w:val="center"/>
            </w:pPr>
            <w:r w:rsidRPr="00566E3B">
              <w:t>360</w:t>
            </w:r>
          </w:p>
        </w:tc>
        <w:tc>
          <w:tcPr>
            <w:tcW w:w="4320" w:type="dxa"/>
            <w:hideMark/>
          </w:tcPr>
          <w:p w:rsidR="00704688" w:rsidRPr="00566E3B" w:rsidRDefault="00704688" w:rsidP="00116B6C">
            <w:r w:rsidRPr="00566E3B">
              <w:t>Collection Sewers - Force</w:t>
            </w:r>
          </w:p>
        </w:tc>
        <w:tc>
          <w:tcPr>
            <w:tcW w:w="1710" w:type="dxa"/>
            <w:hideMark/>
          </w:tcPr>
          <w:p w:rsidR="00704688" w:rsidRPr="00566E3B" w:rsidRDefault="00704688" w:rsidP="00116B6C">
            <w:pPr>
              <w:jc w:val="right"/>
            </w:pPr>
            <w:r w:rsidRPr="00566E3B">
              <w:t>28,128</w:t>
            </w:r>
          </w:p>
        </w:tc>
        <w:tc>
          <w:tcPr>
            <w:tcW w:w="1800" w:type="dxa"/>
            <w:hideMark/>
          </w:tcPr>
          <w:p w:rsidR="00704688" w:rsidRPr="00CF0D78" w:rsidRDefault="00704688" w:rsidP="00116B6C">
            <w:pPr>
              <w:jc w:val="right"/>
            </w:pPr>
            <w:r w:rsidRPr="00CF0D78">
              <w:t>(24,958)</w:t>
            </w:r>
          </w:p>
        </w:tc>
      </w:tr>
      <w:tr w:rsidR="00704688" w:rsidTr="00116B6C">
        <w:trPr>
          <w:jc w:val="center"/>
        </w:trPr>
        <w:tc>
          <w:tcPr>
            <w:tcW w:w="1098" w:type="dxa"/>
            <w:hideMark/>
          </w:tcPr>
          <w:p w:rsidR="00704688" w:rsidRPr="00566E3B" w:rsidRDefault="00704688" w:rsidP="00116B6C">
            <w:pPr>
              <w:jc w:val="center"/>
            </w:pPr>
            <w:r w:rsidRPr="00566E3B">
              <w:t>363</w:t>
            </w:r>
          </w:p>
        </w:tc>
        <w:tc>
          <w:tcPr>
            <w:tcW w:w="4320" w:type="dxa"/>
            <w:hideMark/>
          </w:tcPr>
          <w:p w:rsidR="00704688" w:rsidRPr="00566E3B" w:rsidRDefault="00704688" w:rsidP="00116B6C">
            <w:r w:rsidRPr="00566E3B">
              <w:t>Services to Customers</w:t>
            </w:r>
          </w:p>
        </w:tc>
        <w:tc>
          <w:tcPr>
            <w:tcW w:w="1710" w:type="dxa"/>
            <w:hideMark/>
          </w:tcPr>
          <w:p w:rsidR="00704688" w:rsidRPr="00566E3B" w:rsidRDefault="00704688" w:rsidP="00116B6C">
            <w:pPr>
              <w:jc w:val="right"/>
            </w:pPr>
            <w:r w:rsidRPr="00566E3B">
              <w:t>500</w:t>
            </w:r>
          </w:p>
        </w:tc>
        <w:tc>
          <w:tcPr>
            <w:tcW w:w="1800" w:type="dxa"/>
            <w:hideMark/>
          </w:tcPr>
          <w:p w:rsidR="00704688" w:rsidRPr="00CF0D78" w:rsidRDefault="00704688" w:rsidP="00116B6C">
            <w:pPr>
              <w:jc w:val="right"/>
            </w:pPr>
            <w:r w:rsidRPr="00CF0D78">
              <w:t>(383)</w:t>
            </w:r>
          </w:p>
        </w:tc>
      </w:tr>
      <w:tr w:rsidR="00704688" w:rsidTr="00116B6C">
        <w:trPr>
          <w:jc w:val="center"/>
        </w:trPr>
        <w:tc>
          <w:tcPr>
            <w:tcW w:w="1098" w:type="dxa"/>
            <w:hideMark/>
          </w:tcPr>
          <w:p w:rsidR="00704688" w:rsidRPr="00566E3B" w:rsidRDefault="00704688" w:rsidP="00116B6C">
            <w:pPr>
              <w:jc w:val="center"/>
            </w:pPr>
            <w:r w:rsidRPr="00566E3B">
              <w:t>364</w:t>
            </w:r>
          </w:p>
        </w:tc>
        <w:tc>
          <w:tcPr>
            <w:tcW w:w="4320" w:type="dxa"/>
            <w:hideMark/>
          </w:tcPr>
          <w:p w:rsidR="00704688" w:rsidRPr="00566E3B" w:rsidRDefault="00704688" w:rsidP="00116B6C">
            <w:r w:rsidRPr="00566E3B">
              <w:t>Flow Measuring Devices</w:t>
            </w:r>
          </w:p>
        </w:tc>
        <w:tc>
          <w:tcPr>
            <w:tcW w:w="1710" w:type="dxa"/>
            <w:hideMark/>
          </w:tcPr>
          <w:p w:rsidR="00704688" w:rsidRPr="00566E3B" w:rsidRDefault="00704688" w:rsidP="00116B6C">
            <w:pPr>
              <w:jc w:val="right"/>
            </w:pPr>
            <w:r w:rsidRPr="00566E3B">
              <w:t>3,500</w:t>
            </w:r>
          </w:p>
        </w:tc>
        <w:tc>
          <w:tcPr>
            <w:tcW w:w="1800" w:type="dxa"/>
            <w:hideMark/>
          </w:tcPr>
          <w:p w:rsidR="00704688" w:rsidRPr="00CF0D78" w:rsidRDefault="00704688" w:rsidP="00116B6C">
            <w:pPr>
              <w:jc w:val="right"/>
            </w:pPr>
            <w:r w:rsidRPr="00CF0D78">
              <w:t>(3,500)</w:t>
            </w:r>
          </w:p>
        </w:tc>
      </w:tr>
      <w:tr w:rsidR="00704688" w:rsidTr="00116B6C">
        <w:trPr>
          <w:jc w:val="center"/>
        </w:trPr>
        <w:tc>
          <w:tcPr>
            <w:tcW w:w="1098" w:type="dxa"/>
            <w:hideMark/>
          </w:tcPr>
          <w:p w:rsidR="00704688" w:rsidRPr="00566E3B" w:rsidRDefault="00704688" w:rsidP="00116B6C">
            <w:pPr>
              <w:jc w:val="center"/>
            </w:pPr>
            <w:r w:rsidRPr="00566E3B">
              <w:t>370</w:t>
            </w:r>
          </w:p>
        </w:tc>
        <w:tc>
          <w:tcPr>
            <w:tcW w:w="4320" w:type="dxa"/>
            <w:hideMark/>
          </w:tcPr>
          <w:p w:rsidR="00704688" w:rsidRPr="00566E3B" w:rsidRDefault="00704688" w:rsidP="00116B6C">
            <w:r w:rsidRPr="00566E3B">
              <w:t>Receiving Wells</w:t>
            </w:r>
          </w:p>
        </w:tc>
        <w:tc>
          <w:tcPr>
            <w:tcW w:w="1710" w:type="dxa"/>
            <w:hideMark/>
          </w:tcPr>
          <w:p w:rsidR="00704688" w:rsidRPr="00566E3B" w:rsidRDefault="00704688" w:rsidP="00116B6C">
            <w:pPr>
              <w:jc w:val="right"/>
            </w:pPr>
            <w:r w:rsidRPr="00566E3B">
              <w:t>13,066</w:t>
            </w:r>
          </w:p>
        </w:tc>
        <w:tc>
          <w:tcPr>
            <w:tcW w:w="1800" w:type="dxa"/>
            <w:hideMark/>
          </w:tcPr>
          <w:p w:rsidR="00704688" w:rsidRPr="00CF0D78" w:rsidRDefault="00704688" w:rsidP="00116B6C">
            <w:pPr>
              <w:jc w:val="right"/>
            </w:pPr>
            <w:r w:rsidRPr="00CF0D78">
              <w:t>(12,567)</w:t>
            </w:r>
          </w:p>
        </w:tc>
      </w:tr>
      <w:tr w:rsidR="00704688" w:rsidTr="00116B6C">
        <w:trPr>
          <w:jc w:val="center"/>
        </w:trPr>
        <w:tc>
          <w:tcPr>
            <w:tcW w:w="1098" w:type="dxa"/>
            <w:hideMark/>
          </w:tcPr>
          <w:p w:rsidR="00704688" w:rsidRPr="00566E3B" w:rsidRDefault="00704688" w:rsidP="00116B6C">
            <w:pPr>
              <w:jc w:val="center"/>
            </w:pPr>
            <w:r w:rsidRPr="00566E3B">
              <w:t>371</w:t>
            </w:r>
          </w:p>
        </w:tc>
        <w:tc>
          <w:tcPr>
            <w:tcW w:w="4320" w:type="dxa"/>
            <w:hideMark/>
          </w:tcPr>
          <w:p w:rsidR="00704688" w:rsidRPr="00566E3B" w:rsidRDefault="00704688" w:rsidP="00116B6C">
            <w:r w:rsidRPr="00566E3B">
              <w:t>Pumping Equipment</w:t>
            </w:r>
          </w:p>
        </w:tc>
        <w:tc>
          <w:tcPr>
            <w:tcW w:w="1710" w:type="dxa"/>
            <w:hideMark/>
          </w:tcPr>
          <w:p w:rsidR="00704688" w:rsidRPr="00566E3B" w:rsidRDefault="00704688" w:rsidP="00116B6C">
            <w:pPr>
              <w:jc w:val="right"/>
            </w:pPr>
            <w:r w:rsidRPr="00566E3B">
              <w:t>3,536</w:t>
            </w:r>
          </w:p>
        </w:tc>
        <w:tc>
          <w:tcPr>
            <w:tcW w:w="1800" w:type="dxa"/>
            <w:hideMark/>
          </w:tcPr>
          <w:p w:rsidR="00704688" w:rsidRPr="00CF0D78" w:rsidRDefault="00704688" w:rsidP="00116B6C">
            <w:pPr>
              <w:jc w:val="right"/>
            </w:pPr>
            <w:r w:rsidRPr="00CF0D78">
              <w:t>(1,861)</w:t>
            </w:r>
          </w:p>
        </w:tc>
      </w:tr>
      <w:tr w:rsidR="00704688" w:rsidTr="00116B6C">
        <w:trPr>
          <w:jc w:val="center"/>
        </w:trPr>
        <w:tc>
          <w:tcPr>
            <w:tcW w:w="1098" w:type="dxa"/>
            <w:hideMark/>
          </w:tcPr>
          <w:p w:rsidR="00704688" w:rsidRPr="00566E3B" w:rsidRDefault="00704688" w:rsidP="00116B6C">
            <w:pPr>
              <w:jc w:val="center"/>
            </w:pPr>
            <w:r w:rsidRPr="00566E3B">
              <w:t>380</w:t>
            </w:r>
          </w:p>
        </w:tc>
        <w:tc>
          <w:tcPr>
            <w:tcW w:w="4320" w:type="dxa"/>
            <w:hideMark/>
          </w:tcPr>
          <w:p w:rsidR="00704688" w:rsidRPr="00566E3B" w:rsidRDefault="00704688" w:rsidP="00116B6C">
            <w:r w:rsidRPr="00566E3B">
              <w:t>Treatment and Disposal Equipment</w:t>
            </w:r>
          </w:p>
        </w:tc>
        <w:tc>
          <w:tcPr>
            <w:tcW w:w="1710" w:type="dxa"/>
            <w:hideMark/>
          </w:tcPr>
          <w:p w:rsidR="00704688" w:rsidRPr="00566E3B" w:rsidRDefault="00704688" w:rsidP="00116B6C">
            <w:pPr>
              <w:jc w:val="right"/>
            </w:pPr>
            <w:r w:rsidRPr="00566E3B">
              <w:t>27,546</w:t>
            </w:r>
          </w:p>
        </w:tc>
        <w:tc>
          <w:tcPr>
            <w:tcW w:w="1800" w:type="dxa"/>
            <w:hideMark/>
          </w:tcPr>
          <w:p w:rsidR="00704688" w:rsidRPr="00CF0D78" w:rsidRDefault="00704688" w:rsidP="00116B6C">
            <w:pPr>
              <w:jc w:val="right"/>
            </w:pPr>
            <w:r w:rsidRPr="00CF0D78">
              <w:t>(27,546)</w:t>
            </w:r>
          </w:p>
        </w:tc>
      </w:tr>
      <w:tr w:rsidR="00704688" w:rsidTr="00116B6C">
        <w:trPr>
          <w:jc w:val="center"/>
        </w:trPr>
        <w:tc>
          <w:tcPr>
            <w:tcW w:w="1098" w:type="dxa"/>
            <w:hideMark/>
          </w:tcPr>
          <w:p w:rsidR="00704688" w:rsidRPr="00566E3B" w:rsidRDefault="00704688" w:rsidP="00116B6C">
            <w:pPr>
              <w:jc w:val="center"/>
            </w:pPr>
            <w:r w:rsidRPr="00566E3B">
              <w:t>389</w:t>
            </w:r>
          </w:p>
        </w:tc>
        <w:tc>
          <w:tcPr>
            <w:tcW w:w="4320" w:type="dxa"/>
            <w:hideMark/>
          </w:tcPr>
          <w:p w:rsidR="00704688" w:rsidRPr="00566E3B" w:rsidRDefault="00704688" w:rsidP="00116B6C">
            <w:r w:rsidRPr="00566E3B">
              <w:t>Other Plant and Miscellaneous Equipment</w:t>
            </w:r>
          </w:p>
        </w:tc>
        <w:tc>
          <w:tcPr>
            <w:tcW w:w="1710" w:type="dxa"/>
            <w:hideMark/>
          </w:tcPr>
          <w:p w:rsidR="00704688" w:rsidRPr="00566E3B" w:rsidRDefault="00704688" w:rsidP="00116B6C">
            <w:pPr>
              <w:jc w:val="right"/>
            </w:pPr>
            <w:r w:rsidRPr="00566E3B">
              <w:t>1,789</w:t>
            </w:r>
          </w:p>
        </w:tc>
        <w:tc>
          <w:tcPr>
            <w:tcW w:w="1800" w:type="dxa"/>
            <w:hideMark/>
          </w:tcPr>
          <w:p w:rsidR="00704688" w:rsidRPr="00CF0D78" w:rsidRDefault="00704688" w:rsidP="00116B6C">
            <w:pPr>
              <w:jc w:val="right"/>
            </w:pPr>
            <w:r w:rsidRPr="00CF0D78">
              <w:t>(1,519)</w:t>
            </w:r>
          </w:p>
        </w:tc>
      </w:tr>
      <w:tr w:rsidR="00704688" w:rsidTr="00116B6C">
        <w:trPr>
          <w:jc w:val="center"/>
        </w:trPr>
        <w:tc>
          <w:tcPr>
            <w:tcW w:w="1098" w:type="dxa"/>
            <w:hideMark/>
          </w:tcPr>
          <w:p w:rsidR="00704688" w:rsidRPr="00566E3B" w:rsidRDefault="00704688" w:rsidP="00116B6C">
            <w:pPr>
              <w:jc w:val="center"/>
            </w:pPr>
            <w:r w:rsidRPr="00566E3B">
              <w:t>393</w:t>
            </w:r>
          </w:p>
        </w:tc>
        <w:tc>
          <w:tcPr>
            <w:tcW w:w="4320" w:type="dxa"/>
            <w:hideMark/>
          </w:tcPr>
          <w:p w:rsidR="00704688" w:rsidRPr="00566E3B" w:rsidRDefault="00704688" w:rsidP="00116B6C">
            <w:r w:rsidRPr="00566E3B">
              <w:t>Tools, Shop, and Garage Equipment</w:t>
            </w:r>
          </w:p>
        </w:tc>
        <w:tc>
          <w:tcPr>
            <w:tcW w:w="1710" w:type="dxa"/>
            <w:hideMark/>
          </w:tcPr>
          <w:p w:rsidR="00704688" w:rsidRPr="00566E3B" w:rsidRDefault="00704688" w:rsidP="00116B6C">
            <w:pPr>
              <w:jc w:val="right"/>
              <w:rPr>
                <w:u w:val="single"/>
              </w:rPr>
            </w:pPr>
            <w:r w:rsidRPr="00566E3B">
              <w:rPr>
                <w:u w:val="single"/>
              </w:rPr>
              <w:t>1,200</w:t>
            </w:r>
          </w:p>
        </w:tc>
        <w:tc>
          <w:tcPr>
            <w:tcW w:w="1800" w:type="dxa"/>
            <w:hideMark/>
          </w:tcPr>
          <w:p w:rsidR="00704688" w:rsidRPr="00CF0D78" w:rsidRDefault="00704688" w:rsidP="00116B6C">
            <w:pPr>
              <w:jc w:val="right"/>
              <w:rPr>
                <w:u w:val="single"/>
              </w:rPr>
            </w:pPr>
            <w:r w:rsidRPr="00CF0D78">
              <w:rPr>
                <w:u w:val="single"/>
              </w:rPr>
              <w:t>(1,200)</w:t>
            </w:r>
          </w:p>
        </w:tc>
      </w:tr>
      <w:tr w:rsidR="00704688" w:rsidTr="00116B6C">
        <w:trPr>
          <w:jc w:val="center"/>
        </w:trPr>
        <w:tc>
          <w:tcPr>
            <w:tcW w:w="1098" w:type="dxa"/>
          </w:tcPr>
          <w:p w:rsidR="00704688" w:rsidRPr="00566E3B" w:rsidRDefault="00704688" w:rsidP="00116B6C"/>
        </w:tc>
        <w:tc>
          <w:tcPr>
            <w:tcW w:w="4320" w:type="dxa"/>
            <w:hideMark/>
          </w:tcPr>
          <w:p w:rsidR="00704688" w:rsidRPr="00566E3B" w:rsidRDefault="00704688" w:rsidP="00116B6C">
            <w:r w:rsidRPr="00566E3B">
              <w:t>Total</w:t>
            </w:r>
          </w:p>
        </w:tc>
        <w:tc>
          <w:tcPr>
            <w:tcW w:w="1710" w:type="dxa"/>
            <w:hideMark/>
          </w:tcPr>
          <w:p w:rsidR="00704688" w:rsidRPr="00566E3B" w:rsidRDefault="00704688" w:rsidP="00116B6C">
            <w:pPr>
              <w:jc w:val="right"/>
              <w:rPr>
                <w:u w:val="double"/>
              </w:rPr>
            </w:pPr>
            <w:r w:rsidRPr="00566E3B">
              <w:rPr>
                <w:u w:val="double"/>
              </w:rPr>
              <w:t>$166,776</w:t>
            </w:r>
          </w:p>
        </w:tc>
        <w:tc>
          <w:tcPr>
            <w:tcW w:w="1800" w:type="dxa"/>
            <w:hideMark/>
          </w:tcPr>
          <w:p w:rsidR="00704688" w:rsidRPr="00CF0D78" w:rsidRDefault="00704688" w:rsidP="00116B6C">
            <w:pPr>
              <w:jc w:val="right"/>
              <w:rPr>
                <w:u w:val="double"/>
              </w:rPr>
            </w:pPr>
            <w:r w:rsidRPr="00CF0D78">
              <w:rPr>
                <w:u w:val="double"/>
              </w:rPr>
              <w:t>($153,286)</w:t>
            </w:r>
          </w:p>
        </w:tc>
      </w:tr>
    </w:tbl>
    <w:p w:rsidR="00704688" w:rsidRDefault="00704688" w:rsidP="00E275D8">
      <w:pPr>
        <w:pStyle w:val="BodyText"/>
      </w:pPr>
    </w:p>
    <w:sectPr w:rsidR="00704688" w:rsidSect="0068481F">
      <w:headerReference w:type="default" r:id="rId2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F68" w:rsidRDefault="00597F68">
      <w:r>
        <w:separator/>
      </w:r>
    </w:p>
  </w:endnote>
  <w:endnote w:type="continuationSeparator" w:id="0">
    <w:p w:rsidR="00597F68" w:rsidRDefault="0059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F68" w:rsidRDefault="00597F68">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822C2">
      <w:rPr>
        <w:rStyle w:val="PageNumber"/>
        <w:noProof/>
      </w:rPr>
      <w:t>16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F68" w:rsidRDefault="00597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F68" w:rsidRDefault="00597F68">
      <w:r>
        <w:separator/>
      </w:r>
    </w:p>
  </w:footnote>
  <w:footnote w:type="continuationSeparator" w:id="0">
    <w:p w:rsidR="00597F68" w:rsidRDefault="00597F68">
      <w:r>
        <w:continuationSeparator/>
      </w:r>
    </w:p>
  </w:footnote>
  <w:footnote w:id="1">
    <w:p w:rsidR="00597F68" w:rsidRDefault="00597F68">
      <w:pPr>
        <w:pStyle w:val="FootnoteText"/>
      </w:pPr>
      <w:r>
        <w:rPr>
          <w:rStyle w:val="FootnoteReference"/>
        </w:rPr>
        <w:footnoteRef/>
      </w:r>
      <w:r w:rsidRPr="008D7B47">
        <w:t xml:space="preserve">Order No. 6365, issued December 2, 1974, in Docket No. 73391-S, </w:t>
      </w:r>
      <w:r w:rsidRPr="00240768">
        <w:rPr>
          <w:i/>
        </w:rPr>
        <w:t>In re:</w:t>
      </w:r>
      <w:r w:rsidRPr="008D7B47">
        <w:t xml:space="preserve"> </w:t>
      </w:r>
      <w:r w:rsidRPr="008D7B47">
        <w:rPr>
          <w:i/>
        </w:rPr>
        <w:t>Application of MOBILE HOME INVESTORS, INC., for a certificate to operate an existing sewer utility in Brevard County, Florida</w:t>
      </w:r>
      <w:r w:rsidRPr="008D7B47">
        <w:t>.</w:t>
      </w:r>
    </w:p>
  </w:footnote>
  <w:footnote w:id="2">
    <w:p w:rsidR="00597F68" w:rsidRDefault="00597F68">
      <w:pPr>
        <w:pStyle w:val="FootnoteText"/>
      </w:pPr>
      <w:r>
        <w:rPr>
          <w:rStyle w:val="FootnoteReference"/>
        </w:rPr>
        <w:footnoteRef/>
      </w:r>
      <w:r w:rsidRPr="008D7B47">
        <w:t xml:space="preserve">Order No. 7296, issued June 28, 1976, in Docket No. 750664-S, </w:t>
      </w:r>
      <w:r w:rsidRPr="00240768">
        <w:rPr>
          <w:i/>
        </w:rPr>
        <w:t>In re:</w:t>
      </w:r>
      <w:r w:rsidRPr="008D7B47">
        <w:t xml:space="preserve"> </w:t>
      </w:r>
      <w:r w:rsidRPr="008D7B47">
        <w:rPr>
          <w:i/>
        </w:rPr>
        <w:t>Application of MOBILE HOME INVESTORS, INC., and COLONY PARK UTILITIES, INC. for approval of the transfer of assets and Certificate No. 137-S from the former to the latter. (Section 367.071, Florida Statutes)</w:t>
      </w:r>
      <w:r>
        <w:rPr>
          <w:i/>
        </w:rPr>
        <w:t>.</w:t>
      </w:r>
      <w:r>
        <w:t xml:space="preserve"> </w:t>
      </w:r>
    </w:p>
  </w:footnote>
  <w:footnote w:id="3">
    <w:p w:rsidR="00597F68" w:rsidRDefault="00597F68">
      <w:pPr>
        <w:pStyle w:val="FootnoteText"/>
      </w:pPr>
      <w:r>
        <w:rPr>
          <w:rStyle w:val="FootnoteReference"/>
        </w:rPr>
        <w:footnoteRef/>
      </w:r>
      <w:r w:rsidRPr="008D7B47">
        <w:t>Order No. PSC-03-0320-FOF-SU, issued March 6, 2003, in Docket No. 020930-SU,</w:t>
      </w:r>
      <w:r w:rsidRPr="008D7B47">
        <w:rPr>
          <w:i/>
        </w:rPr>
        <w:t xml:space="preserve"> </w:t>
      </w:r>
      <w:r w:rsidRPr="00240768">
        <w:rPr>
          <w:i/>
        </w:rPr>
        <w:t xml:space="preserve">In re: </w:t>
      </w:r>
      <w:r w:rsidRPr="008D7B47">
        <w:rPr>
          <w:i/>
        </w:rPr>
        <w:t>Application for transfer of majority organizational control of Colony Park Utilities, Inc. holder of Certificate No. 137-S in Brevard County, from Robert Warren, Lenore Warren, William Warren, and Carol Kendall to Eileen Rogow, Arthur Rogow, and Philip Young.</w:t>
      </w:r>
    </w:p>
  </w:footnote>
  <w:footnote w:id="4">
    <w:p w:rsidR="00597F68" w:rsidRDefault="00597F68">
      <w:pPr>
        <w:pStyle w:val="FootnoteText"/>
      </w:pPr>
      <w:r>
        <w:rPr>
          <w:rStyle w:val="FootnoteReference"/>
        </w:rPr>
        <w:footnoteRef/>
      </w:r>
      <w:r w:rsidRPr="008D7B47">
        <w:t xml:space="preserve">Order No. PSC-07-0420-FOF-SU </w:t>
      </w:r>
      <w:r w:rsidR="00C865E8">
        <w:t>i</w:t>
      </w:r>
      <w:r w:rsidRPr="008D7B47">
        <w:t>ssued May 14, 2007, in Docket No. 060636-SU,</w:t>
      </w:r>
      <w:r w:rsidRPr="008D7B47">
        <w:rPr>
          <w:i/>
        </w:rPr>
        <w:t xml:space="preserve"> </w:t>
      </w:r>
      <w:r w:rsidRPr="00240768">
        <w:rPr>
          <w:i/>
        </w:rPr>
        <w:t>In re:</w:t>
      </w:r>
      <w:r w:rsidRPr="008D7B47">
        <w:rPr>
          <w:i/>
        </w:rPr>
        <w:t xml:space="preserve"> Application for transfer of majority organizational control of Colony Park Utilities, Inc., holder of Certificate No. 137-S in Brevard County from Eileen Rogow to Michael Abramowitz.</w:t>
      </w:r>
    </w:p>
  </w:footnote>
  <w:footnote w:id="5">
    <w:p w:rsidR="00597F68" w:rsidRDefault="00597F68">
      <w:pPr>
        <w:pStyle w:val="FootnoteText"/>
      </w:pPr>
      <w:r>
        <w:rPr>
          <w:rStyle w:val="FootnoteReference"/>
        </w:rPr>
        <w:footnoteRef/>
      </w:r>
      <w:r w:rsidRPr="008D7B47">
        <w:t>Order No. PSC-14-0673-PAA-SU, issued December 5, 2014, in Docket No. 120285-SU,</w:t>
      </w:r>
      <w:r w:rsidRPr="00240768">
        <w:rPr>
          <w:i/>
        </w:rPr>
        <w:t xml:space="preserve"> In re: </w:t>
      </w:r>
      <w:r w:rsidRPr="008D7B47">
        <w:rPr>
          <w:i/>
        </w:rPr>
        <w:t>Application to transfer wastewater facilities and Certificate No. 137-S in Brevard County from Colony Park Utilities, Inc. to Colony Park Development Utilities, LLC.</w:t>
      </w:r>
    </w:p>
  </w:footnote>
  <w:footnote w:id="6">
    <w:p w:rsidR="00597F68" w:rsidRPr="00240768" w:rsidRDefault="00597F68" w:rsidP="00A9662C">
      <w:pPr>
        <w:pStyle w:val="FootnoteText"/>
        <w:rPr>
          <w:i/>
        </w:rPr>
      </w:pPr>
      <w:r>
        <w:rPr>
          <w:rStyle w:val="FootnoteReference"/>
        </w:rPr>
        <w:footnoteRef/>
      </w:r>
      <w:r w:rsidRPr="00A9662C">
        <w:t xml:space="preserve">Order No. PSC-08-0760-PAA-SU, issued November 17, 2008, in Docket No. 080104-SU, </w:t>
      </w:r>
      <w:r w:rsidRPr="00240768">
        <w:rPr>
          <w:i/>
        </w:rPr>
        <w:t>In re</w:t>
      </w:r>
      <w:r w:rsidRPr="00A9662C">
        <w:rPr>
          <w:i/>
        </w:rPr>
        <w:t>: Application for staff-assisted rate case in Brevard County by Colony Park Utilities, Inc.</w:t>
      </w:r>
    </w:p>
  </w:footnote>
  <w:footnote w:id="7">
    <w:p w:rsidR="00597F68" w:rsidRPr="003D67DB" w:rsidRDefault="00597F68" w:rsidP="002E5CDE">
      <w:pPr>
        <w:pStyle w:val="FootnoteText"/>
        <w:rPr>
          <w:i/>
        </w:rPr>
      </w:pPr>
      <w:r>
        <w:rPr>
          <w:rStyle w:val="FootnoteReference"/>
        </w:rPr>
        <w:footnoteRef/>
      </w:r>
      <w:r w:rsidRPr="00207D99">
        <w:t>Order No. PSC-12-0587-PAA-WU</w:t>
      </w:r>
      <w:r>
        <w:t>, is</w:t>
      </w:r>
      <w:r w:rsidRPr="00207D99">
        <w:t xml:space="preserve">sued October 29, 2012, in Docket No. 120148-WU, </w:t>
      </w:r>
      <w:r w:rsidRPr="003D67DB">
        <w:rPr>
          <w:i/>
        </w:rPr>
        <w:t>In re: Application for approval of transfer of Harbor Hills Utility, L.P. water system and Certificate No. 522-W in Lake County to Harbor Waterworks, Inc.</w:t>
      </w:r>
    </w:p>
  </w:footnote>
  <w:footnote w:id="8">
    <w:p w:rsidR="00597F68" w:rsidRPr="003D67DB" w:rsidRDefault="00597F68" w:rsidP="002E5CDE">
      <w:pPr>
        <w:pStyle w:val="FootnoteText"/>
        <w:rPr>
          <w:i/>
          <w:highlight w:val="yellow"/>
        </w:rPr>
      </w:pPr>
      <w:r w:rsidRPr="00207D99">
        <w:rPr>
          <w:rStyle w:val="FootnoteReference"/>
        </w:rPr>
        <w:footnoteRef/>
      </w:r>
      <w:r w:rsidRPr="00207D99">
        <w:t xml:space="preserve">Order No. PSC-13-0425-PAA-WS, </w:t>
      </w:r>
      <w:r>
        <w:t>issued September 18, 2013, in Docket No. 120317-WS</w:t>
      </w:r>
      <w:r w:rsidRPr="00207D99">
        <w:t xml:space="preserve">, </w:t>
      </w:r>
      <w:r w:rsidRPr="003D67DB">
        <w:rPr>
          <w:i/>
        </w:rPr>
        <w:t>In re: Application for approval to transfer water and wastewater system Certificate Nos. 567-W and 494-S in Lake County from Shangri-La by the Lake Utilities, Inc. to Lakeside Waterworks, Inc.</w:t>
      </w:r>
    </w:p>
  </w:footnote>
  <w:footnote w:id="9">
    <w:p w:rsidR="00597F68" w:rsidRPr="006855BC" w:rsidRDefault="00597F68" w:rsidP="002E5CDE">
      <w:pPr>
        <w:pStyle w:val="FootnoteText"/>
      </w:pPr>
      <w:r>
        <w:rPr>
          <w:rStyle w:val="FootnoteReference"/>
        </w:rPr>
        <w:footnoteRef/>
      </w:r>
      <w:r w:rsidRPr="009C10B0">
        <w:t xml:space="preserve">Order No. PSC-14-0130-PAA-WS, issued March 17, 2014, in Docket No. 130055-WS, </w:t>
      </w:r>
      <w:r w:rsidRPr="003D67DB">
        <w:rPr>
          <w:i/>
        </w:rPr>
        <w:t>In re: Application for approval of transfer of LP Utilities Corporation's water and wastewater systems and Certificate Nos. 620-W and 533-S, to LP Waterworks, Inc., in Highlands County</w:t>
      </w:r>
      <w:r>
        <w:t>.</w:t>
      </w:r>
    </w:p>
  </w:footnote>
  <w:footnote w:id="10">
    <w:p w:rsidR="00597F68" w:rsidRPr="006440BD" w:rsidRDefault="00597F68" w:rsidP="002E5CDE">
      <w:pPr>
        <w:pStyle w:val="FootnoteText"/>
      </w:pPr>
      <w:r w:rsidRPr="006440BD">
        <w:rPr>
          <w:rStyle w:val="FootnoteReference"/>
        </w:rPr>
        <w:footnoteRef/>
      </w:r>
      <w:r w:rsidRPr="006440BD">
        <w:t xml:space="preserve">Order No. PSC-14-0692-PAA-WU, issued December 15, 2014, in Docket No. 140121-WU, </w:t>
      </w:r>
      <w:r w:rsidRPr="003D67DB">
        <w:rPr>
          <w:i/>
        </w:rPr>
        <w:t>In re: Application for approval of transfer of Certificate No. 539-W from Raintree Harbor Utilities, LLC to Raintree Waterworks, Inc. in Lake County</w:t>
      </w:r>
      <w:r w:rsidRPr="00FF0D1B">
        <w:t>.</w:t>
      </w:r>
    </w:p>
  </w:footnote>
  <w:footnote w:id="11">
    <w:p w:rsidR="00597F68" w:rsidRPr="00FF0D1B" w:rsidRDefault="00597F68" w:rsidP="002E5CDE">
      <w:pPr>
        <w:pStyle w:val="FootnoteText"/>
      </w:pPr>
      <w:r w:rsidRPr="006440BD">
        <w:rPr>
          <w:rStyle w:val="FootnoteReference"/>
        </w:rPr>
        <w:footnoteRef/>
      </w:r>
      <w:r w:rsidRPr="006440BD">
        <w:t xml:space="preserve">Order No. PSC-14-0691-PAA-WU, issued December 15, 2014, in Docket No. 140120-WU, </w:t>
      </w:r>
      <w:r w:rsidRPr="003D67DB">
        <w:rPr>
          <w:i/>
        </w:rPr>
        <w:t>In re: Application for approval of transfer of Certificate No. 339-W from Brendenwood Utilities, LLC. to Brendenwood Waterworks, Inc. in Lake County</w:t>
      </w:r>
      <w:r>
        <w:t>.</w:t>
      </w:r>
    </w:p>
  </w:footnote>
  <w:footnote w:id="12">
    <w:p w:rsidR="00597F68" w:rsidRDefault="00597F68" w:rsidP="002E5CDE">
      <w:pPr>
        <w:pStyle w:val="FootnoteText"/>
      </w:pPr>
      <w:r w:rsidRPr="00227A23">
        <w:rPr>
          <w:rStyle w:val="FootnoteReference"/>
        </w:rPr>
        <w:footnoteRef/>
      </w:r>
      <w:r w:rsidRPr="00227A23">
        <w:t xml:space="preserve">Order No. PSC-14-0495-PAA-WU, issued September 17, 2014, in Docket No. 130294-WU, </w:t>
      </w:r>
      <w:r w:rsidRPr="003D67DB">
        <w:rPr>
          <w:i/>
        </w:rPr>
        <w:t>In re: Application for transfer of water systems and Certificate No. 579-W in Highlands County from Holmes Utilities, Inc. to Country Walk Utilities, Inc.</w:t>
      </w:r>
    </w:p>
  </w:footnote>
  <w:footnote w:id="13">
    <w:p w:rsidR="00597F68" w:rsidRPr="0003042A" w:rsidRDefault="00597F68" w:rsidP="002E5CDE">
      <w:pPr>
        <w:pStyle w:val="FootnoteText"/>
        <w:rPr>
          <w:i/>
        </w:rPr>
      </w:pPr>
      <w:r>
        <w:rPr>
          <w:rStyle w:val="FootnoteReference"/>
        </w:rPr>
        <w:footnoteRef/>
      </w:r>
      <w:r>
        <w:t xml:space="preserve">Order No. PSC-15-0140-PAA-WU, issued March 23, 2015, in Docket No. 140170-WU, </w:t>
      </w:r>
      <w:r>
        <w:rPr>
          <w:i/>
        </w:rPr>
        <w:t xml:space="preserve">In re: </w:t>
      </w:r>
      <w:r w:rsidRPr="0003042A">
        <w:rPr>
          <w:i/>
        </w:rPr>
        <w:t>Application for approval of transfer of Certificate No. 531-W from W.B.B. Utilities, Inc. to Lake Idlewild Utility Company in Lake County.</w:t>
      </w:r>
    </w:p>
  </w:footnote>
  <w:footnote w:id="14">
    <w:p w:rsidR="00597F68" w:rsidRPr="00B67B8C" w:rsidRDefault="00597F68" w:rsidP="002E5CDE">
      <w:pPr>
        <w:pStyle w:val="FootnoteText"/>
        <w:rPr>
          <w:u w:val="single"/>
        </w:rPr>
      </w:pPr>
      <w:r>
        <w:rPr>
          <w:rStyle w:val="FootnoteReference"/>
        </w:rPr>
        <w:footnoteRef/>
      </w:r>
      <w:r>
        <w:t xml:space="preserve">Order No. PSC-16-0169-PAA-WU, issued April 28, 2016, in Docket No. 150166-WU, </w:t>
      </w:r>
      <w:r w:rsidRPr="002E010E">
        <w:rPr>
          <w:i/>
        </w:rPr>
        <w:t>In re: Application for transfer of water system and Certificate No. 654-W in Lake County from Black Bear Reserve Water Corporation to Black Bear Waterworks, Inc.</w:t>
      </w:r>
    </w:p>
  </w:footnote>
  <w:footnote w:id="15">
    <w:p w:rsidR="00597F68" w:rsidRPr="003D67DB" w:rsidRDefault="00597F68" w:rsidP="002E5CDE">
      <w:pPr>
        <w:pStyle w:val="FootnoteText"/>
      </w:pPr>
      <w:r w:rsidRPr="00B7118E">
        <w:rPr>
          <w:rStyle w:val="FootnoteReference"/>
        </w:rPr>
        <w:footnoteRef/>
      </w:r>
      <w:r>
        <w:t xml:space="preserve">Order Nos. PSC-14-0300-PAA-WS, issued June 11, 2014, in </w:t>
      </w:r>
      <w:r w:rsidRPr="00207D99">
        <w:t xml:space="preserve">Docket No. </w:t>
      </w:r>
      <w:r>
        <w:t xml:space="preserve">130171-WS, </w:t>
      </w:r>
      <w:r w:rsidRPr="003D67DB">
        <w:rPr>
          <w:i/>
        </w:rPr>
        <w:t>In re: Application for approval of transfer of certain water and wastewater facilities and Certificate Nos. 507-W and 441-S of Aqua Utilities Florida, Inc. to The Woods Utility Company in Sumter County</w:t>
      </w:r>
      <w:r>
        <w:t xml:space="preserve">; PSC-14-0315-PAA-WS, issued June 13, 2014, in Docket No. 130172-WS, </w:t>
      </w:r>
      <w:r w:rsidRPr="003D67DB">
        <w:rPr>
          <w:i/>
        </w:rPr>
        <w:t>In re: Application for approval of transfer of certain water and wastewater facilities and Certificate Nos. 501-W and 435-S of Aqua Utilities Florida, Inc. to Sunny Hills Utility Company in Washington County</w:t>
      </w:r>
      <w:r w:rsidRPr="003D67DB">
        <w:t xml:space="preserve">; PSC-14-0327-PAA-WU, issued June 25, 2014, in Docket No. 130173-WU, </w:t>
      </w:r>
      <w:r w:rsidRPr="003D67DB">
        <w:rPr>
          <w:i/>
        </w:rPr>
        <w:t>In re: Application for approval of transfer of certain water and wastewater facilities and Certificate No. 053-W of Aqua Utilities Florida, Inc.'s to Lake Osborne Waterworks, Inc. in Palm Beach County</w:t>
      </w:r>
      <w:r w:rsidRPr="003D67DB">
        <w:t xml:space="preserve">; PSC-14-0326-PAA-WU, issued June 25, 2014, in Docket No. 130174-WU, </w:t>
      </w:r>
      <w:r w:rsidRPr="003D67DB">
        <w:rPr>
          <w:i/>
        </w:rPr>
        <w:t xml:space="preserve">In re: Application for approval of transfer of </w:t>
      </w:r>
      <w:r>
        <w:rPr>
          <w:i/>
        </w:rPr>
        <w:t xml:space="preserve">certain water facilities and Certificate No. 002-W of </w:t>
      </w:r>
      <w:r w:rsidRPr="003D67DB">
        <w:rPr>
          <w:i/>
        </w:rPr>
        <w:t>Aqua Utilities Florida, Inc.</w:t>
      </w:r>
      <w:r>
        <w:rPr>
          <w:i/>
        </w:rPr>
        <w:t xml:space="preserve"> to Brevard Waterworks, Inc. </w:t>
      </w:r>
      <w:r w:rsidRPr="003D67DB">
        <w:rPr>
          <w:i/>
        </w:rPr>
        <w:t>in Brevard County</w:t>
      </w:r>
      <w:r w:rsidRPr="003D67DB">
        <w:t xml:space="preserve">; PSC-14-0314-PAA-WS, issued June 13, 2014, in Docket No. 130175-WS, </w:t>
      </w:r>
      <w:r w:rsidRPr="003D67DB">
        <w:rPr>
          <w:i/>
        </w:rPr>
        <w:t>In re: Application for approval of transfer of certain water and wastewater facilities and Certificate Nos. 422-W and 359-S of Aqua Utilities Florida, Inc. to HC Waterworks, Inc. in Highlands County</w:t>
      </w:r>
      <w:r w:rsidRPr="003D67DB">
        <w:t xml:space="preserve">; and PSC-14-0299-PAA-WS, issued June 11, 2014, in Docket No. 130176-WS, </w:t>
      </w:r>
      <w:r w:rsidRPr="003D67DB">
        <w:rPr>
          <w:i/>
        </w:rPr>
        <w:t xml:space="preserve">In re: Application for approval of </w:t>
      </w:r>
      <w:r>
        <w:rPr>
          <w:i/>
        </w:rPr>
        <w:t>t</w:t>
      </w:r>
      <w:r w:rsidRPr="003D67DB">
        <w:rPr>
          <w:i/>
        </w:rPr>
        <w:t>ransfer of certain water and wastewater facilities and Certificate Nos. 507-W and 441-S of Aqua Utilities Florida, Inc. to Jumper Creek Utility Company in Sumter County</w:t>
      </w:r>
      <w:r w:rsidRPr="003D67DB">
        <w:t>.</w:t>
      </w:r>
    </w:p>
  </w:footnote>
  <w:footnote w:id="16">
    <w:p w:rsidR="00597F68" w:rsidRDefault="00597F68" w:rsidP="002E5CDE">
      <w:pPr>
        <w:pStyle w:val="FootnoteText"/>
      </w:pPr>
      <w:r>
        <w:rPr>
          <w:rStyle w:val="FootnoteReference"/>
        </w:rPr>
        <w:footnoteRef/>
      </w:r>
      <w:r>
        <w:t xml:space="preserve"> </w:t>
      </w:r>
      <w:r w:rsidRPr="00376CC2">
        <w:t>Document No. 01941-17 (Confidential), in Docket No. 20170018-SU</w:t>
      </w:r>
      <w:r>
        <w:t>.</w:t>
      </w:r>
    </w:p>
  </w:footnote>
  <w:footnote w:id="17">
    <w:p w:rsidR="00597F68" w:rsidRDefault="00597F68" w:rsidP="00244129">
      <w:pPr>
        <w:pStyle w:val="FootnoteText"/>
      </w:pPr>
      <w:r>
        <w:rPr>
          <w:rStyle w:val="FootnoteReference"/>
        </w:rPr>
        <w:footnoteRef/>
      </w:r>
      <w:r>
        <w:t xml:space="preserve">Order Nos. PSC-08-0760-PAA-SU, issued November 17, 2008, in Docket No. 080104-SU, </w:t>
      </w:r>
      <w:r w:rsidRPr="00593F56">
        <w:rPr>
          <w:i/>
        </w:rPr>
        <w:t xml:space="preserve">In </w:t>
      </w:r>
      <w:r>
        <w:rPr>
          <w:i/>
        </w:rPr>
        <w:t>r</w:t>
      </w:r>
      <w:r w:rsidRPr="00593F56">
        <w:rPr>
          <w:i/>
        </w:rPr>
        <w:t xml:space="preserve">e: Application for staff-assisted rate case in </w:t>
      </w:r>
      <w:r>
        <w:rPr>
          <w:i/>
        </w:rPr>
        <w:t>Brevard</w:t>
      </w:r>
      <w:r w:rsidRPr="00593F56">
        <w:rPr>
          <w:i/>
        </w:rPr>
        <w:t xml:space="preserve"> County by </w:t>
      </w:r>
      <w:r>
        <w:rPr>
          <w:i/>
        </w:rPr>
        <w:t xml:space="preserve">Colony Park Utility, Inc. </w:t>
      </w:r>
      <w:r>
        <w:t>and PSC-03-0320-FOF-SU, issued March 6, 2003, in Docket No. 020930-SU,</w:t>
      </w:r>
      <w:r w:rsidRPr="008A78CC">
        <w:rPr>
          <w:i/>
        </w:rPr>
        <w:t xml:space="preserve"> In re: Application for transfer of majority organizational control of Colony Park Utilities, Inc. holder of Certificate No. 137-S in Brevard County, from Robert Warren, and Carol Kendall to Eileen Rogow,</w:t>
      </w:r>
      <w:r>
        <w:rPr>
          <w:i/>
        </w:rPr>
        <w:t xml:space="preserve"> Arthur Rogow, and Philip Young.</w:t>
      </w:r>
    </w:p>
  </w:footnote>
  <w:footnote w:id="18">
    <w:p w:rsidR="00597F68" w:rsidRDefault="00597F68" w:rsidP="0046516C">
      <w:pPr>
        <w:pStyle w:val="FootnoteText"/>
      </w:pPr>
      <w:r>
        <w:rPr>
          <w:rStyle w:val="FootnoteReference"/>
        </w:rPr>
        <w:footnoteRef/>
      </w:r>
      <w:r>
        <w:t xml:space="preserve">Order No. PSC-14-0673-PAA-SU, issued December 5, 2014, in Docket No. 120285-SU, </w:t>
      </w:r>
      <w:r w:rsidRPr="00F75FF7">
        <w:rPr>
          <w:i/>
        </w:rPr>
        <w:t>In re: Application to transfer wastewater facilities and Certificate No. 137-S in Brevard County from Colony Park Utilities, Inc. to Colony Park Development Utilities, LLC.</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F68" w:rsidRDefault="00597F68"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20170018-SU</w:t>
    </w:r>
    <w:bookmarkEnd w:id="15"/>
  </w:p>
  <w:p w:rsidR="00597F68" w:rsidRDefault="00597F68">
    <w:pPr>
      <w:pStyle w:val="Header"/>
    </w:pPr>
    <w:r>
      <w:t xml:space="preserve">Date: </w:t>
    </w:r>
    <w:r w:rsidR="00A90424">
      <w:fldChar w:fldCharType="begin"/>
    </w:r>
    <w:r w:rsidR="00A90424">
      <w:instrText xml:space="preserve"> REF FilingDate </w:instrText>
    </w:r>
    <w:r w:rsidR="00A90424">
      <w:fldChar w:fldCharType="separate"/>
    </w:r>
    <w:r w:rsidR="00E2525C">
      <w:t>August 24, 2017</w:t>
    </w:r>
    <w:r w:rsidR="00A90424">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F68" w:rsidRDefault="00597F68" w:rsidP="00220732">
    <w:pPr>
      <w:pStyle w:val="Header"/>
      <w:tabs>
        <w:tab w:val="clear" w:pos="4320"/>
        <w:tab w:val="clear" w:pos="8640"/>
        <w:tab w:val="right" w:pos="9360"/>
      </w:tabs>
    </w:pPr>
    <w:r>
      <w:fldChar w:fldCharType="begin"/>
    </w:r>
    <w:r>
      <w:instrText xml:space="preserve"> REF DocketLabel</w:instrText>
    </w:r>
    <w:r>
      <w:fldChar w:fldCharType="separate"/>
    </w:r>
    <w:r w:rsidR="00E2525C">
      <w:t>Docket No.</w:t>
    </w:r>
    <w:r>
      <w:fldChar w:fldCharType="end"/>
    </w:r>
    <w:r>
      <w:t xml:space="preserve"> </w:t>
    </w:r>
    <w:r>
      <w:fldChar w:fldCharType="begin"/>
    </w:r>
    <w:r>
      <w:instrText xml:space="preserve"> REF DocketList</w:instrText>
    </w:r>
    <w:r>
      <w:fldChar w:fldCharType="separate"/>
    </w:r>
    <w:r w:rsidR="00E2525C">
      <w:t>20170018-SU</w:t>
    </w:r>
    <w:r>
      <w:fldChar w:fldCharType="end"/>
    </w:r>
    <w:r>
      <w:tab/>
      <w:t xml:space="preserve">Issue </w:t>
    </w:r>
    <w:r w:rsidR="00A90424">
      <w:fldChar w:fldCharType="begin"/>
    </w:r>
    <w:r w:rsidR="00A90424">
      <w:instrText xml:space="preserve"> Seq Issue \c \* Arabic </w:instrText>
    </w:r>
    <w:r w:rsidR="00A90424">
      <w:fldChar w:fldCharType="separate"/>
    </w:r>
    <w:r w:rsidR="002822C2">
      <w:rPr>
        <w:noProof/>
      </w:rPr>
      <w:t>2</w:t>
    </w:r>
    <w:r w:rsidR="00A90424">
      <w:rPr>
        <w:noProof/>
      </w:rPr>
      <w:fldChar w:fldCharType="end"/>
    </w:r>
  </w:p>
  <w:p w:rsidR="00597F68" w:rsidRDefault="00597F68">
    <w:pPr>
      <w:pStyle w:val="Header"/>
    </w:pPr>
    <w:r>
      <w:t xml:space="preserve">Date: </w:t>
    </w:r>
    <w:r w:rsidR="00A90424">
      <w:fldChar w:fldCharType="begin"/>
    </w:r>
    <w:r w:rsidR="00A90424">
      <w:instrText xml:space="preserve"> REF FilingDate </w:instrText>
    </w:r>
    <w:r w:rsidR="00A90424">
      <w:fldChar w:fldCharType="separate"/>
    </w:r>
    <w:r w:rsidR="00E2525C">
      <w:t>August 24, 2017</w:t>
    </w:r>
    <w:r w:rsidR="00A90424">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F68" w:rsidRDefault="00597F6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F68" w:rsidRDefault="00597F68" w:rsidP="00220732">
    <w:pPr>
      <w:pStyle w:val="Header"/>
      <w:tabs>
        <w:tab w:val="clear" w:pos="4320"/>
        <w:tab w:val="clear" w:pos="8640"/>
        <w:tab w:val="right" w:pos="9360"/>
      </w:tabs>
    </w:pPr>
    <w:r>
      <w:fldChar w:fldCharType="begin"/>
    </w:r>
    <w:r>
      <w:instrText xml:space="preserve"> REF DocketLabel</w:instrText>
    </w:r>
    <w:r>
      <w:fldChar w:fldCharType="separate"/>
    </w:r>
    <w:r w:rsidR="00E2525C">
      <w:t>Docket No.</w:t>
    </w:r>
    <w:r>
      <w:fldChar w:fldCharType="end"/>
    </w:r>
    <w:r>
      <w:t xml:space="preserve"> </w:t>
    </w:r>
    <w:r>
      <w:fldChar w:fldCharType="begin"/>
    </w:r>
    <w:r>
      <w:instrText xml:space="preserve"> REF DocketList</w:instrText>
    </w:r>
    <w:r>
      <w:fldChar w:fldCharType="separate"/>
    </w:r>
    <w:r w:rsidR="00E2525C">
      <w:t>20170018-SU</w:t>
    </w:r>
    <w:r>
      <w:fldChar w:fldCharType="end"/>
    </w:r>
    <w:r>
      <w:tab/>
      <w:t>Attachment A</w:t>
    </w:r>
  </w:p>
  <w:p w:rsidR="00597F68" w:rsidRDefault="00597F68" w:rsidP="00922557">
    <w:pPr>
      <w:pStyle w:val="Header"/>
      <w:tabs>
        <w:tab w:val="left" w:pos="8025"/>
        <w:tab w:val="right" w:pos="9360"/>
      </w:tabs>
    </w:pPr>
    <w:r>
      <w:t xml:space="preserve">Date: </w:t>
    </w:r>
    <w:r w:rsidR="00A90424">
      <w:fldChar w:fldCharType="begin"/>
    </w:r>
    <w:r w:rsidR="00A90424">
      <w:instrText xml:space="preserve"> REF FilingDate </w:instrText>
    </w:r>
    <w:r w:rsidR="00A90424">
      <w:fldChar w:fldCharType="separate"/>
    </w:r>
    <w:r w:rsidR="00E2525C">
      <w:t>August 24, 2017</w:t>
    </w:r>
    <w:r w:rsidR="00A90424">
      <w:fldChar w:fldCharType="end"/>
    </w:r>
    <w:r>
      <w:tab/>
      <w:t xml:space="preserve">                </w:t>
    </w:r>
    <w:r>
      <w:tab/>
      <w:t xml:space="preserve">    Page 1 of 2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F68" w:rsidRDefault="00597F68" w:rsidP="00220732">
    <w:pPr>
      <w:pStyle w:val="Header"/>
      <w:tabs>
        <w:tab w:val="clear" w:pos="4320"/>
        <w:tab w:val="clear" w:pos="8640"/>
        <w:tab w:val="right" w:pos="9360"/>
      </w:tabs>
    </w:pPr>
    <w:r>
      <w:fldChar w:fldCharType="begin"/>
    </w:r>
    <w:r>
      <w:instrText xml:space="preserve"> REF DocketLabel</w:instrText>
    </w:r>
    <w:r>
      <w:fldChar w:fldCharType="separate"/>
    </w:r>
    <w:r w:rsidR="00E2525C">
      <w:t>Docket No.</w:t>
    </w:r>
    <w:r>
      <w:fldChar w:fldCharType="end"/>
    </w:r>
    <w:r>
      <w:t xml:space="preserve"> </w:t>
    </w:r>
    <w:r>
      <w:fldChar w:fldCharType="begin"/>
    </w:r>
    <w:r>
      <w:instrText xml:space="preserve"> REF DocketList</w:instrText>
    </w:r>
    <w:r>
      <w:fldChar w:fldCharType="separate"/>
    </w:r>
    <w:r w:rsidR="00E2525C">
      <w:t>20170018-SU</w:t>
    </w:r>
    <w:r>
      <w:fldChar w:fldCharType="end"/>
    </w:r>
    <w:r>
      <w:tab/>
      <w:t>Attachment A</w:t>
    </w:r>
  </w:p>
  <w:p w:rsidR="00597F68" w:rsidRDefault="00597F68" w:rsidP="00FA568D">
    <w:pPr>
      <w:pStyle w:val="Header"/>
      <w:tabs>
        <w:tab w:val="right" w:pos="9360"/>
      </w:tabs>
    </w:pPr>
    <w:r>
      <w:t xml:space="preserve">Date: </w:t>
    </w:r>
    <w:r w:rsidR="00A90424">
      <w:fldChar w:fldCharType="begin"/>
    </w:r>
    <w:r w:rsidR="00A90424">
      <w:instrText xml:space="preserve"> REF FilingDate </w:instrText>
    </w:r>
    <w:r w:rsidR="00A90424">
      <w:fldChar w:fldCharType="separate"/>
    </w:r>
    <w:r w:rsidR="00E2525C">
      <w:t>August 24, 2017</w:t>
    </w:r>
    <w:r w:rsidR="00A90424">
      <w:fldChar w:fldCharType="end"/>
    </w:r>
    <w:r>
      <w:tab/>
    </w:r>
    <w:r>
      <w:tab/>
      <w:t xml:space="preserve">                                                                 Page 2 of 2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F68" w:rsidRDefault="00597F68" w:rsidP="00FA568D">
    <w:pPr>
      <w:pStyle w:val="Header"/>
      <w:tabs>
        <w:tab w:val="clear" w:pos="4320"/>
        <w:tab w:val="clear" w:pos="8640"/>
        <w:tab w:val="left" w:pos="6960"/>
        <w:tab w:val="right" w:pos="9360"/>
      </w:tabs>
    </w:pPr>
    <w:r>
      <w:fldChar w:fldCharType="begin"/>
    </w:r>
    <w:r>
      <w:instrText xml:space="preserve"> REF DocketLabel</w:instrText>
    </w:r>
    <w:r>
      <w:fldChar w:fldCharType="separate"/>
    </w:r>
    <w:r w:rsidR="00E2525C">
      <w:t>Docket No.</w:t>
    </w:r>
    <w:r>
      <w:fldChar w:fldCharType="end"/>
    </w:r>
    <w:r>
      <w:t xml:space="preserve"> </w:t>
    </w:r>
    <w:r>
      <w:fldChar w:fldCharType="begin"/>
    </w:r>
    <w:r>
      <w:instrText xml:space="preserve"> REF DocketList</w:instrText>
    </w:r>
    <w:r>
      <w:fldChar w:fldCharType="separate"/>
    </w:r>
    <w:r w:rsidR="00E2525C">
      <w:t>20170018-SU</w:t>
    </w:r>
    <w:r>
      <w:fldChar w:fldCharType="end"/>
    </w:r>
    <w:r>
      <w:t xml:space="preserve">                                                                             Schedule No. 1</w:t>
    </w:r>
  </w:p>
  <w:p w:rsidR="00597F68" w:rsidRDefault="00597F68" w:rsidP="00FA568D">
    <w:pPr>
      <w:pStyle w:val="Header"/>
      <w:tabs>
        <w:tab w:val="right" w:pos="9360"/>
      </w:tabs>
    </w:pPr>
    <w:r>
      <w:t xml:space="preserve">Date: </w:t>
    </w:r>
    <w:r w:rsidR="00A90424">
      <w:fldChar w:fldCharType="begin"/>
    </w:r>
    <w:r w:rsidR="00A90424">
      <w:instrText xml:space="preserve"> REF FilingDate </w:instrText>
    </w:r>
    <w:r w:rsidR="00A90424">
      <w:fldChar w:fldCharType="separate"/>
    </w:r>
    <w:r w:rsidR="00E2525C">
      <w:t>August 24, 2017</w:t>
    </w:r>
    <w:r w:rsidR="00A90424">
      <w:fldChar w:fldCharType="end"/>
    </w:r>
    <w:r>
      <w:tab/>
    </w:r>
    <w:r>
      <w:tab/>
      <w:t xml:space="preserve">                     Page 1 of 1                       </w:t>
    </w:r>
  </w:p>
  <w:p w:rsidR="00597F68" w:rsidRDefault="00597F68" w:rsidP="00FA568D">
    <w:pPr>
      <w:pStyle w:val="Header"/>
      <w:tabs>
        <w:tab w:val="right" w:pos="9360"/>
      </w:tabs>
    </w:pPr>
    <w:r>
      <w:t xml:space="preserve">                                                                                 </w:t>
    </w:r>
    <w:r>
      <w:tab/>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F68" w:rsidRDefault="00597F68" w:rsidP="00E63F78">
    <w:pPr>
      <w:pStyle w:val="Header"/>
      <w:tabs>
        <w:tab w:val="clear" w:pos="4320"/>
        <w:tab w:val="clear" w:pos="8640"/>
        <w:tab w:val="left" w:pos="6960"/>
        <w:tab w:val="left" w:pos="7590"/>
        <w:tab w:val="right" w:pos="9360"/>
      </w:tabs>
    </w:pPr>
    <w:r>
      <w:fldChar w:fldCharType="begin"/>
    </w:r>
    <w:r>
      <w:instrText xml:space="preserve"> REF DocketLabel</w:instrText>
    </w:r>
    <w:r>
      <w:fldChar w:fldCharType="separate"/>
    </w:r>
    <w:r w:rsidR="00E2525C">
      <w:t>Docket No.</w:t>
    </w:r>
    <w:r>
      <w:fldChar w:fldCharType="end"/>
    </w:r>
    <w:r>
      <w:t xml:space="preserve"> </w:t>
    </w:r>
    <w:r>
      <w:fldChar w:fldCharType="begin"/>
    </w:r>
    <w:r>
      <w:instrText xml:space="preserve"> REF DocketList</w:instrText>
    </w:r>
    <w:r>
      <w:fldChar w:fldCharType="separate"/>
    </w:r>
    <w:r w:rsidR="00E2525C">
      <w:t>20170018-SU</w:t>
    </w:r>
    <w:r>
      <w:fldChar w:fldCharType="end"/>
    </w:r>
    <w:r>
      <w:tab/>
      <w:t xml:space="preserve">   Schedule No. 2</w:t>
    </w:r>
  </w:p>
  <w:p w:rsidR="00597F68" w:rsidRDefault="00597F68" w:rsidP="00FA568D">
    <w:pPr>
      <w:pStyle w:val="Header"/>
      <w:tabs>
        <w:tab w:val="right" w:pos="9360"/>
      </w:tabs>
    </w:pPr>
    <w:r>
      <w:t xml:space="preserve">Date: </w:t>
    </w:r>
    <w:r w:rsidR="00A90424">
      <w:fldChar w:fldCharType="begin"/>
    </w:r>
    <w:r w:rsidR="00A90424">
      <w:instrText xml:space="preserve"> REF FilingDate </w:instrText>
    </w:r>
    <w:r w:rsidR="00A90424">
      <w:fldChar w:fldCharType="separate"/>
    </w:r>
    <w:r w:rsidR="00E2525C">
      <w:t>August 24, 2017</w:t>
    </w:r>
    <w:r w:rsidR="00A90424">
      <w:fldChar w:fldCharType="end"/>
    </w:r>
    <w:r>
      <w:tab/>
    </w:r>
    <w:r>
      <w:tab/>
      <w:t xml:space="preserve">      Page 1 of  3</w:t>
    </w:r>
    <w:r>
      <w:tab/>
      <w:t xml:space="preserve">                                                    </w:t>
    </w:r>
    <w:r>
      <w:tab/>
      <w:t xml:space="preserve">Page </w:t>
    </w:r>
    <w:r>
      <w:fldChar w:fldCharType="begin"/>
    </w:r>
    <w:r>
      <w:instrText xml:space="preserve"> =</w:instrText>
    </w:r>
    <w:r>
      <w:fldChar w:fldCharType="begin"/>
    </w:r>
    <w:r>
      <w:instrText xml:space="preserve"> page</w:instrText>
    </w:r>
    <w:r>
      <w:fldChar w:fldCharType="separate"/>
    </w:r>
    <w:r w:rsidR="002822C2">
      <w:rPr>
        <w:noProof/>
      </w:rPr>
      <w:instrText>14</w:instrText>
    </w:r>
    <w:r>
      <w:fldChar w:fldCharType="end"/>
    </w:r>
    <w:r>
      <w:instrText xml:space="preserve"> -6</w:instrText>
    </w:r>
    <w:r>
      <w:fldChar w:fldCharType="separate"/>
    </w:r>
    <w:r w:rsidR="002822C2">
      <w:rPr>
        <w:noProof/>
      </w:rPr>
      <w:t>8</w:t>
    </w:r>
    <w:r>
      <w:fldChar w:fldCharType="end"/>
    </w:r>
    <w:r>
      <w:t xml:space="preserve"> of 1  </w:t>
    </w:r>
    <w:r w:rsidRPr="00FA568D">
      <w:tab/>
      <w:t xml:space="preserve">                                                  </w:t>
    </w:r>
    <w:r w:rsidRPr="00FA568D">
      <w:tab/>
      <w:t xml:space="preserve">Page 1 of 1  </w:t>
    </w:r>
    <w:r>
      <w:tab/>
      <w:t xml:space="preserve">                                                  </w:t>
    </w:r>
    <w:r>
      <w:tab/>
      <w:t xml:space="preserve">Page </w:t>
    </w:r>
    <w:r>
      <w:fldChar w:fldCharType="begin"/>
    </w:r>
    <w:r>
      <w:instrText xml:space="preserve"> =</w:instrText>
    </w:r>
    <w:r>
      <w:fldChar w:fldCharType="begin"/>
    </w:r>
    <w:r>
      <w:instrText xml:space="preserve"> page</w:instrText>
    </w:r>
    <w:r>
      <w:fldChar w:fldCharType="separate"/>
    </w:r>
    <w:r w:rsidR="002822C2">
      <w:rPr>
        <w:noProof/>
      </w:rPr>
      <w:instrText>14</w:instrText>
    </w:r>
    <w:r>
      <w:fldChar w:fldCharType="end"/>
    </w:r>
    <w:r>
      <w:instrText xml:space="preserve"> -6</w:instrText>
    </w:r>
    <w:r>
      <w:fldChar w:fldCharType="separate"/>
    </w:r>
    <w:r w:rsidR="002822C2">
      <w:rPr>
        <w:noProof/>
      </w:rPr>
      <w:t>8</w:t>
    </w:r>
    <w:r>
      <w:fldChar w:fldCharType="end"/>
    </w:r>
    <w:r>
      <w:t xml:space="preserve"> of 1     </w:t>
    </w:r>
    <w:r>
      <w:tab/>
      <w:t xml:space="preserve">                                                  </w:t>
    </w:r>
    <w:r>
      <w:tab/>
      <w:t xml:space="preserve">Page </w:t>
    </w:r>
    <w:r>
      <w:fldChar w:fldCharType="begin"/>
    </w:r>
    <w:r>
      <w:instrText xml:space="preserve"> =</w:instrText>
    </w:r>
    <w:r>
      <w:fldChar w:fldCharType="begin"/>
    </w:r>
    <w:r>
      <w:instrText xml:space="preserve"> page</w:instrText>
    </w:r>
    <w:r>
      <w:fldChar w:fldCharType="separate"/>
    </w:r>
    <w:r w:rsidR="002822C2">
      <w:rPr>
        <w:noProof/>
      </w:rPr>
      <w:instrText>14</w:instrText>
    </w:r>
    <w:r>
      <w:fldChar w:fldCharType="end"/>
    </w:r>
    <w:r>
      <w:instrText xml:space="preserve"> -6</w:instrText>
    </w:r>
    <w:r>
      <w:fldChar w:fldCharType="separate"/>
    </w:r>
    <w:r w:rsidR="002822C2">
      <w:rPr>
        <w:noProof/>
      </w:rPr>
      <w:t>8</w:t>
    </w:r>
    <w:r>
      <w:fldChar w:fldCharType="end"/>
    </w:r>
    <w:r>
      <w:t xml:space="preserve"> of 1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F68" w:rsidRDefault="00597F68" w:rsidP="00E63F78">
    <w:pPr>
      <w:pStyle w:val="Header"/>
      <w:tabs>
        <w:tab w:val="clear" w:pos="4320"/>
        <w:tab w:val="clear" w:pos="8640"/>
        <w:tab w:val="left" w:pos="6960"/>
        <w:tab w:val="left" w:pos="7590"/>
        <w:tab w:val="right" w:pos="9360"/>
      </w:tabs>
    </w:pPr>
    <w:r>
      <w:fldChar w:fldCharType="begin"/>
    </w:r>
    <w:r>
      <w:instrText xml:space="preserve"> REF DocketLabel</w:instrText>
    </w:r>
    <w:r>
      <w:fldChar w:fldCharType="separate"/>
    </w:r>
    <w:r w:rsidR="00E2525C">
      <w:t>Docket No.</w:t>
    </w:r>
    <w:r>
      <w:fldChar w:fldCharType="end"/>
    </w:r>
    <w:r>
      <w:t xml:space="preserve"> </w:t>
    </w:r>
    <w:r>
      <w:fldChar w:fldCharType="begin"/>
    </w:r>
    <w:r>
      <w:instrText xml:space="preserve"> REF DocketList</w:instrText>
    </w:r>
    <w:r>
      <w:fldChar w:fldCharType="separate"/>
    </w:r>
    <w:r w:rsidR="00E2525C">
      <w:t>20170018-SU</w:t>
    </w:r>
    <w:r>
      <w:fldChar w:fldCharType="end"/>
    </w:r>
    <w:r>
      <w:tab/>
      <w:t xml:space="preserve">   Schedule No. 2</w:t>
    </w:r>
  </w:p>
  <w:p w:rsidR="00597F68" w:rsidRDefault="00597F68" w:rsidP="00FA568D">
    <w:pPr>
      <w:pStyle w:val="Header"/>
      <w:tabs>
        <w:tab w:val="right" w:pos="9360"/>
      </w:tabs>
    </w:pPr>
    <w:r>
      <w:t xml:space="preserve">Date: </w:t>
    </w:r>
    <w:r w:rsidR="00A90424">
      <w:fldChar w:fldCharType="begin"/>
    </w:r>
    <w:r w:rsidR="00A90424">
      <w:instrText xml:space="preserve"> REF FilingDate </w:instrText>
    </w:r>
    <w:r w:rsidR="00A90424">
      <w:fldChar w:fldCharType="separate"/>
    </w:r>
    <w:r w:rsidR="00E2525C">
      <w:t>August 24, 2017</w:t>
    </w:r>
    <w:r w:rsidR="00A90424">
      <w:fldChar w:fldCharType="end"/>
    </w:r>
    <w:r>
      <w:tab/>
    </w:r>
    <w:r>
      <w:tab/>
      <w:t xml:space="preserve">      Page 2 of  3</w:t>
    </w:r>
    <w:r>
      <w:tab/>
      <w:t xml:space="preserve">                                                    </w:t>
    </w:r>
    <w:r>
      <w:tab/>
      <w:t xml:space="preserve">Page </w:t>
    </w:r>
    <w:r>
      <w:fldChar w:fldCharType="begin"/>
    </w:r>
    <w:r>
      <w:instrText xml:space="preserve"> =</w:instrText>
    </w:r>
    <w:r>
      <w:fldChar w:fldCharType="begin"/>
    </w:r>
    <w:r>
      <w:instrText xml:space="preserve"> page</w:instrText>
    </w:r>
    <w:r>
      <w:fldChar w:fldCharType="separate"/>
    </w:r>
    <w:r w:rsidR="002822C2">
      <w:rPr>
        <w:noProof/>
      </w:rPr>
      <w:instrText>15</w:instrText>
    </w:r>
    <w:r>
      <w:fldChar w:fldCharType="end"/>
    </w:r>
    <w:r>
      <w:instrText xml:space="preserve"> -6</w:instrText>
    </w:r>
    <w:r>
      <w:fldChar w:fldCharType="separate"/>
    </w:r>
    <w:r w:rsidR="002822C2">
      <w:rPr>
        <w:noProof/>
      </w:rPr>
      <w:t>9</w:t>
    </w:r>
    <w:r>
      <w:fldChar w:fldCharType="end"/>
    </w:r>
    <w:r>
      <w:t xml:space="preserve"> of 1  </w:t>
    </w:r>
    <w:r w:rsidRPr="00FA568D">
      <w:tab/>
      <w:t xml:space="preserve">                                                  </w:t>
    </w:r>
    <w:r w:rsidRPr="00FA568D">
      <w:tab/>
      <w:t xml:space="preserve">Page 1 of 1  </w:t>
    </w:r>
    <w:r>
      <w:tab/>
      <w:t xml:space="preserve">                                                  </w:t>
    </w:r>
    <w:r>
      <w:tab/>
      <w:t xml:space="preserve">Page </w:t>
    </w:r>
    <w:r>
      <w:fldChar w:fldCharType="begin"/>
    </w:r>
    <w:r>
      <w:instrText xml:space="preserve"> =</w:instrText>
    </w:r>
    <w:r>
      <w:fldChar w:fldCharType="begin"/>
    </w:r>
    <w:r>
      <w:instrText xml:space="preserve"> page</w:instrText>
    </w:r>
    <w:r>
      <w:fldChar w:fldCharType="separate"/>
    </w:r>
    <w:r w:rsidR="002822C2">
      <w:rPr>
        <w:noProof/>
      </w:rPr>
      <w:instrText>15</w:instrText>
    </w:r>
    <w:r>
      <w:fldChar w:fldCharType="end"/>
    </w:r>
    <w:r>
      <w:instrText xml:space="preserve"> -6</w:instrText>
    </w:r>
    <w:r>
      <w:fldChar w:fldCharType="separate"/>
    </w:r>
    <w:r w:rsidR="002822C2">
      <w:rPr>
        <w:noProof/>
      </w:rPr>
      <w:t>9</w:t>
    </w:r>
    <w:r>
      <w:fldChar w:fldCharType="end"/>
    </w:r>
    <w:r>
      <w:t xml:space="preserve"> of 1     </w:t>
    </w:r>
    <w:r>
      <w:tab/>
      <w:t xml:space="preserve">                                                  </w:t>
    </w:r>
    <w:r>
      <w:tab/>
      <w:t xml:space="preserve">Page </w:t>
    </w:r>
    <w:r>
      <w:fldChar w:fldCharType="begin"/>
    </w:r>
    <w:r>
      <w:instrText xml:space="preserve"> =</w:instrText>
    </w:r>
    <w:r>
      <w:fldChar w:fldCharType="begin"/>
    </w:r>
    <w:r>
      <w:instrText xml:space="preserve"> page</w:instrText>
    </w:r>
    <w:r>
      <w:fldChar w:fldCharType="separate"/>
    </w:r>
    <w:r w:rsidR="002822C2">
      <w:rPr>
        <w:noProof/>
      </w:rPr>
      <w:instrText>15</w:instrText>
    </w:r>
    <w:r>
      <w:fldChar w:fldCharType="end"/>
    </w:r>
    <w:r>
      <w:instrText xml:space="preserve"> -6</w:instrText>
    </w:r>
    <w:r>
      <w:fldChar w:fldCharType="separate"/>
    </w:r>
    <w:r w:rsidR="002822C2">
      <w:rPr>
        <w:noProof/>
      </w:rPr>
      <w:t>9</w:t>
    </w:r>
    <w:r>
      <w:fldChar w:fldCharType="end"/>
    </w:r>
    <w:r>
      <w:t xml:space="preserve"> of 1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F68" w:rsidRDefault="00597F68" w:rsidP="00E63F78">
    <w:pPr>
      <w:pStyle w:val="Header"/>
      <w:tabs>
        <w:tab w:val="clear" w:pos="4320"/>
        <w:tab w:val="clear" w:pos="8640"/>
        <w:tab w:val="left" w:pos="6960"/>
        <w:tab w:val="left" w:pos="7590"/>
        <w:tab w:val="right" w:pos="9360"/>
      </w:tabs>
    </w:pPr>
    <w:r>
      <w:fldChar w:fldCharType="begin"/>
    </w:r>
    <w:r>
      <w:instrText xml:space="preserve"> REF DocketLabel</w:instrText>
    </w:r>
    <w:r>
      <w:fldChar w:fldCharType="separate"/>
    </w:r>
    <w:r w:rsidR="00E2525C">
      <w:t>Docket No.</w:t>
    </w:r>
    <w:r>
      <w:fldChar w:fldCharType="end"/>
    </w:r>
    <w:r>
      <w:t xml:space="preserve"> </w:t>
    </w:r>
    <w:r>
      <w:fldChar w:fldCharType="begin"/>
    </w:r>
    <w:r>
      <w:instrText xml:space="preserve"> REF DocketList</w:instrText>
    </w:r>
    <w:r>
      <w:fldChar w:fldCharType="separate"/>
    </w:r>
    <w:r w:rsidR="00E2525C">
      <w:t>20170018-SU</w:t>
    </w:r>
    <w:r>
      <w:fldChar w:fldCharType="end"/>
    </w:r>
    <w:r>
      <w:tab/>
      <w:t xml:space="preserve">   Schedule No. 2</w:t>
    </w:r>
  </w:p>
  <w:p w:rsidR="00597F68" w:rsidRDefault="00597F68" w:rsidP="00FA568D">
    <w:pPr>
      <w:pStyle w:val="Header"/>
      <w:tabs>
        <w:tab w:val="right" w:pos="9360"/>
      </w:tabs>
    </w:pPr>
    <w:r>
      <w:t xml:space="preserve">Date: </w:t>
    </w:r>
    <w:r w:rsidR="00A90424">
      <w:fldChar w:fldCharType="begin"/>
    </w:r>
    <w:r w:rsidR="00A90424">
      <w:instrText xml:space="preserve"> REF FilingDate </w:instrText>
    </w:r>
    <w:r w:rsidR="00A90424">
      <w:fldChar w:fldCharType="separate"/>
    </w:r>
    <w:r w:rsidR="00E2525C">
      <w:t>August 24, 2017</w:t>
    </w:r>
    <w:r w:rsidR="00A90424">
      <w:fldChar w:fldCharType="end"/>
    </w:r>
    <w:r>
      <w:tab/>
    </w:r>
    <w:r>
      <w:tab/>
      <w:t xml:space="preserve">      Page 3 of  3</w:t>
    </w:r>
    <w:r>
      <w:tab/>
      <w:t xml:space="preserve">                                                    </w:t>
    </w:r>
    <w:r>
      <w:tab/>
      <w:t xml:space="preserve">Page </w:t>
    </w:r>
    <w:r>
      <w:fldChar w:fldCharType="begin"/>
    </w:r>
    <w:r>
      <w:instrText xml:space="preserve"> =</w:instrText>
    </w:r>
    <w:r>
      <w:fldChar w:fldCharType="begin"/>
    </w:r>
    <w:r>
      <w:instrText xml:space="preserve"> page</w:instrText>
    </w:r>
    <w:r>
      <w:fldChar w:fldCharType="separate"/>
    </w:r>
    <w:r w:rsidR="002822C2">
      <w:rPr>
        <w:noProof/>
      </w:rPr>
      <w:instrText>16</w:instrText>
    </w:r>
    <w:r>
      <w:fldChar w:fldCharType="end"/>
    </w:r>
    <w:r>
      <w:instrText xml:space="preserve"> -6</w:instrText>
    </w:r>
    <w:r>
      <w:fldChar w:fldCharType="separate"/>
    </w:r>
    <w:r w:rsidR="002822C2">
      <w:rPr>
        <w:noProof/>
      </w:rPr>
      <w:t>10</w:t>
    </w:r>
    <w:r>
      <w:fldChar w:fldCharType="end"/>
    </w:r>
    <w:r>
      <w:t xml:space="preserve"> of 1  </w:t>
    </w:r>
    <w:r w:rsidRPr="00FA568D">
      <w:tab/>
      <w:t xml:space="preserve">                                                  </w:t>
    </w:r>
    <w:r w:rsidRPr="00FA568D">
      <w:tab/>
      <w:t xml:space="preserve">Page 1 of 1  </w:t>
    </w:r>
    <w:r>
      <w:tab/>
      <w:t xml:space="preserve">                                                  </w:t>
    </w:r>
    <w:r>
      <w:tab/>
      <w:t xml:space="preserve">Page </w:t>
    </w:r>
    <w:r>
      <w:fldChar w:fldCharType="begin"/>
    </w:r>
    <w:r>
      <w:instrText xml:space="preserve"> =</w:instrText>
    </w:r>
    <w:r>
      <w:fldChar w:fldCharType="begin"/>
    </w:r>
    <w:r>
      <w:instrText xml:space="preserve"> page</w:instrText>
    </w:r>
    <w:r>
      <w:fldChar w:fldCharType="separate"/>
    </w:r>
    <w:r w:rsidR="002822C2">
      <w:rPr>
        <w:noProof/>
      </w:rPr>
      <w:instrText>16</w:instrText>
    </w:r>
    <w:r>
      <w:fldChar w:fldCharType="end"/>
    </w:r>
    <w:r>
      <w:instrText xml:space="preserve"> -6</w:instrText>
    </w:r>
    <w:r>
      <w:fldChar w:fldCharType="separate"/>
    </w:r>
    <w:r w:rsidR="002822C2">
      <w:rPr>
        <w:noProof/>
      </w:rPr>
      <w:t>10</w:t>
    </w:r>
    <w:r>
      <w:fldChar w:fldCharType="end"/>
    </w:r>
    <w:r>
      <w:t xml:space="preserve"> of 1     </w:t>
    </w:r>
    <w:r>
      <w:tab/>
      <w:t xml:space="preserve">                                                  </w:t>
    </w:r>
    <w:r>
      <w:tab/>
      <w:t xml:space="preserve">Page </w:t>
    </w:r>
    <w:r>
      <w:fldChar w:fldCharType="begin"/>
    </w:r>
    <w:r>
      <w:instrText xml:space="preserve"> =</w:instrText>
    </w:r>
    <w:r>
      <w:fldChar w:fldCharType="begin"/>
    </w:r>
    <w:r>
      <w:instrText xml:space="preserve"> page</w:instrText>
    </w:r>
    <w:r>
      <w:fldChar w:fldCharType="separate"/>
    </w:r>
    <w:r w:rsidR="002822C2">
      <w:rPr>
        <w:noProof/>
      </w:rPr>
      <w:instrText>16</w:instrText>
    </w:r>
    <w:r>
      <w:fldChar w:fldCharType="end"/>
    </w:r>
    <w:r>
      <w:instrText xml:space="preserve"> -6</w:instrText>
    </w:r>
    <w:r>
      <w:fldChar w:fldCharType="separate"/>
    </w:r>
    <w:r w:rsidR="002822C2">
      <w:rPr>
        <w:noProof/>
      </w:rPr>
      <w:t>10</w:t>
    </w:r>
    <w:r>
      <w:fldChar w:fldCharType="end"/>
    </w:r>
    <w:r>
      <w:t xml:space="preserve"> of 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4BA23A93"/>
    <w:multiLevelType w:val="hybridMultilevel"/>
    <w:tmpl w:val="AF6E9990"/>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D562DE"/>
    <w:multiLevelType w:val="hybridMultilevel"/>
    <w:tmpl w:val="BF6C3D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96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A568D"/>
    <w:rsid w:val="000043D5"/>
    <w:rsid w:val="00004AD6"/>
    <w:rsid w:val="00006170"/>
    <w:rsid w:val="00010E37"/>
    <w:rsid w:val="000172DA"/>
    <w:rsid w:val="000247C5"/>
    <w:rsid w:val="000277C2"/>
    <w:rsid w:val="00027EA4"/>
    <w:rsid w:val="00035B48"/>
    <w:rsid w:val="00036CE2"/>
    <w:rsid w:val="000400D6"/>
    <w:rsid w:val="000437FE"/>
    <w:rsid w:val="00043FFE"/>
    <w:rsid w:val="000513BE"/>
    <w:rsid w:val="00065A06"/>
    <w:rsid w:val="000666F3"/>
    <w:rsid w:val="00070DCB"/>
    <w:rsid w:val="00072BC0"/>
    <w:rsid w:val="00073120"/>
    <w:rsid w:val="000764D0"/>
    <w:rsid w:val="000828D3"/>
    <w:rsid w:val="00086015"/>
    <w:rsid w:val="000A2B57"/>
    <w:rsid w:val="000A418B"/>
    <w:rsid w:val="000B1E98"/>
    <w:rsid w:val="000B6968"/>
    <w:rsid w:val="000C4431"/>
    <w:rsid w:val="000C59A5"/>
    <w:rsid w:val="000D1C06"/>
    <w:rsid w:val="000D4319"/>
    <w:rsid w:val="000F374A"/>
    <w:rsid w:val="000F54C5"/>
    <w:rsid w:val="001076AF"/>
    <w:rsid w:val="00116A9A"/>
    <w:rsid w:val="00116B6C"/>
    <w:rsid w:val="00117C8C"/>
    <w:rsid w:val="00121CAC"/>
    <w:rsid w:val="00124E2E"/>
    <w:rsid w:val="00125ED4"/>
    <w:rsid w:val="001305E9"/>
    <w:rsid w:val="001307AF"/>
    <w:rsid w:val="00135687"/>
    <w:rsid w:val="0015506E"/>
    <w:rsid w:val="00163031"/>
    <w:rsid w:val="00171A90"/>
    <w:rsid w:val="00180254"/>
    <w:rsid w:val="00191C90"/>
    <w:rsid w:val="00191E1F"/>
    <w:rsid w:val="00192943"/>
    <w:rsid w:val="001A6CDC"/>
    <w:rsid w:val="001A7406"/>
    <w:rsid w:val="001B4FEE"/>
    <w:rsid w:val="001B51C5"/>
    <w:rsid w:val="001B6F3F"/>
    <w:rsid w:val="001C0B3A"/>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40768"/>
    <w:rsid w:val="00244129"/>
    <w:rsid w:val="00263D44"/>
    <w:rsid w:val="002702AD"/>
    <w:rsid w:val="00276EC8"/>
    <w:rsid w:val="00281E97"/>
    <w:rsid w:val="002822C2"/>
    <w:rsid w:val="00291449"/>
    <w:rsid w:val="00292D82"/>
    <w:rsid w:val="002963CB"/>
    <w:rsid w:val="002A123C"/>
    <w:rsid w:val="002B7DEE"/>
    <w:rsid w:val="002C4EEA"/>
    <w:rsid w:val="002D04D2"/>
    <w:rsid w:val="002D226D"/>
    <w:rsid w:val="002D5A92"/>
    <w:rsid w:val="002E5CDE"/>
    <w:rsid w:val="002F6030"/>
    <w:rsid w:val="003037E1"/>
    <w:rsid w:val="0030391C"/>
    <w:rsid w:val="00307E51"/>
    <w:rsid w:val="003103EC"/>
    <w:rsid w:val="0031181D"/>
    <w:rsid w:val="003144EF"/>
    <w:rsid w:val="00322F74"/>
    <w:rsid w:val="00334723"/>
    <w:rsid w:val="00340073"/>
    <w:rsid w:val="0035051A"/>
    <w:rsid w:val="003632FD"/>
    <w:rsid w:val="00367BA7"/>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36F"/>
    <w:rsid w:val="00410DC4"/>
    <w:rsid w:val="00412DAE"/>
    <w:rsid w:val="004202A2"/>
    <w:rsid w:val="00422987"/>
    <w:rsid w:val="00431598"/>
    <w:rsid w:val="004319AD"/>
    <w:rsid w:val="00432C24"/>
    <w:rsid w:val="004426B8"/>
    <w:rsid w:val="00444432"/>
    <w:rsid w:val="00453594"/>
    <w:rsid w:val="0046516C"/>
    <w:rsid w:val="00471860"/>
    <w:rsid w:val="004A744D"/>
    <w:rsid w:val="004B1692"/>
    <w:rsid w:val="004B60BD"/>
    <w:rsid w:val="004C3150"/>
    <w:rsid w:val="004C3641"/>
    <w:rsid w:val="004C4390"/>
    <w:rsid w:val="004C4AF7"/>
    <w:rsid w:val="004D2881"/>
    <w:rsid w:val="004D385F"/>
    <w:rsid w:val="004D5A29"/>
    <w:rsid w:val="004D5B39"/>
    <w:rsid w:val="004E330D"/>
    <w:rsid w:val="004E5147"/>
    <w:rsid w:val="004F5C43"/>
    <w:rsid w:val="0050652D"/>
    <w:rsid w:val="00506C03"/>
    <w:rsid w:val="00511A11"/>
    <w:rsid w:val="00516496"/>
    <w:rsid w:val="005176DE"/>
    <w:rsid w:val="00522AD5"/>
    <w:rsid w:val="0052572A"/>
    <w:rsid w:val="005311F6"/>
    <w:rsid w:val="00543CB3"/>
    <w:rsid w:val="005442E4"/>
    <w:rsid w:val="00560D45"/>
    <w:rsid w:val="00560FF0"/>
    <w:rsid w:val="005614BD"/>
    <w:rsid w:val="0057154F"/>
    <w:rsid w:val="00574099"/>
    <w:rsid w:val="00580F69"/>
    <w:rsid w:val="00581CA3"/>
    <w:rsid w:val="00587A44"/>
    <w:rsid w:val="00597730"/>
    <w:rsid w:val="005977EC"/>
    <w:rsid w:val="00597DE7"/>
    <w:rsid w:val="00597F68"/>
    <w:rsid w:val="005A4AA2"/>
    <w:rsid w:val="005B34B6"/>
    <w:rsid w:val="005B6C8F"/>
    <w:rsid w:val="005B6EC3"/>
    <w:rsid w:val="005D0F74"/>
    <w:rsid w:val="005D2E7D"/>
    <w:rsid w:val="005D4A8F"/>
    <w:rsid w:val="005D561B"/>
    <w:rsid w:val="005D5ECF"/>
    <w:rsid w:val="005F1AAA"/>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217B"/>
    <w:rsid w:val="006843B6"/>
    <w:rsid w:val="0068481F"/>
    <w:rsid w:val="006927A6"/>
    <w:rsid w:val="00696F5D"/>
    <w:rsid w:val="00697249"/>
    <w:rsid w:val="006B3947"/>
    <w:rsid w:val="006B4293"/>
    <w:rsid w:val="006B624F"/>
    <w:rsid w:val="006C0C95"/>
    <w:rsid w:val="006C31E3"/>
    <w:rsid w:val="006D18D3"/>
    <w:rsid w:val="006E08CB"/>
    <w:rsid w:val="006E598D"/>
    <w:rsid w:val="0070294E"/>
    <w:rsid w:val="0070437D"/>
    <w:rsid w:val="00704688"/>
    <w:rsid w:val="00704CF1"/>
    <w:rsid w:val="00705B04"/>
    <w:rsid w:val="007225B7"/>
    <w:rsid w:val="00724992"/>
    <w:rsid w:val="00734820"/>
    <w:rsid w:val="007349DC"/>
    <w:rsid w:val="0074365E"/>
    <w:rsid w:val="00744B55"/>
    <w:rsid w:val="00744B6C"/>
    <w:rsid w:val="00750DA0"/>
    <w:rsid w:val="007515FD"/>
    <w:rsid w:val="00760D80"/>
    <w:rsid w:val="00780C09"/>
    <w:rsid w:val="00780DDF"/>
    <w:rsid w:val="007834E9"/>
    <w:rsid w:val="00787DBC"/>
    <w:rsid w:val="0079019A"/>
    <w:rsid w:val="00792935"/>
    <w:rsid w:val="007A04A1"/>
    <w:rsid w:val="007A1840"/>
    <w:rsid w:val="007C00E6"/>
    <w:rsid w:val="007C0528"/>
    <w:rsid w:val="007C3D38"/>
    <w:rsid w:val="007D0F35"/>
    <w:rsid w:val="007D4FEB"/>
    <w:rsid w:val="007D6146"/>
    <w:rsid w:val="007E0CE7"/>
    <w:rsid w:val="007F1193"/>
    <w:rsid w:val="007F417F"/>
    <w:rsid w:val="008042BD"/>
    <w:rsid w:val="00816624"/>
    <w:rsid w:val="00817B3E"/>
    <w:rsid w:val="00822427"/>
    <w:rsid w:val="00822562"/>
    <w:rsid w:val="00823663"/>
    <w:rsid w:val="00832DDC"/>
    <w:rsid w:val="00841B22"/>
    <w:rsid w:val="00850BAC"/>
    <w:rsid w:val="00854A3E"/>
    <w:rsid w:val="00854C5B"/>
    <w:rsid w:val="00855D08"/>
    <w:rsid w:val="00874344"/>
    <w:rsid w:val="00882155"/>
    <w:rsid w:val="0088233B"/>
    <w:rsid w:val="0088599E"/>
    <w:rsid w:val="00886C37"/>
    <w:rsid w:val="00892D99"/>
    <w:rsid w:val="00893315"/>
    <w:rsid w:val="008B62AE"/>
    <w:rsid w:val="008C04B5"/>
    <w:rsid w:val="008C04CD"/>
    <w:rsid w:val="008C14FA"/>
    <w:rsid w:val="008C7B0B"/>
    <w:rsid w:val="008D4057"/>
    <w:rsid w:val="008D7B47"/>
    <w:rsid w:val="008E12AD"/>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2557"/>
    <w:rsid w:val="00924020"/>
    <w:rsid w:val="009271A7"/>
    <w:rsid w:val="0093658B"/>
    <w:rsid w:val="009429FF"/>
    <w:rsid w:val="00945BD6"/>
    <w:rsid w:val="009479FB"/>
    <w:rsid w:val="00951148"/>
    <w:rsid w:val="00951C45"/>
    <w:rsid w:val="009656F2"/>
    <w:rsid w:val="00966A08"/>
    <w:rsid w:val="00971207"/>
    <w:rsid w:val="00975CB4"/>
    <w:rsid w:val="009805C2"/>
    <w:rsid w:val="00980AE8"/>
    <w:rsid w:val="009810FB"/>
    <w:rsid w:val="009863B0"/>
    <w:rsid w:val="00987C0F"/>
    <w:rsid w:val="00987DE1"/>
    <w:rsid w:val="00990571"/>
    <w:rsid w:val="0099673A"/>
    <w:rsid w:val="009A3330"/>
    <w:rsid w:val="009A7C96"/>
    <w:rsid w:val="009C3DB9"/>
    <w:rsid w:val="009D46E5"/>
    <w:rsid w:val="009D568A"/>
    <w:rsid w:val="009D7327"/>
    <w:rsid w:val="009F04EC"/>
    <w:rsid w:val="009F2A7C"/>
    <w:rsid w:val="009F3B36"/>
    <w:rsid w:val="00A00AAA"/>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326E"/>
    <w:rsid w:val="00A646EB"/>
    <w:rsid w:val="00A675AC"/>
    <w:rsid w:val="00A7581F"/>
    <w:rsid w:val="00A92FB1"/>
    <w:rsid w:val="00A947C4"/>
    <w:rsid w:val="00A95A0C"/>
    <w:rsid w:val="00A9662C"/>
    <w:rsid w:val="00AA2765"/>
    <w:rsid w:val="00AA77B5"/>
    <w:rsid w:val="00AB6C5D"/>
    <w:rsid w:val="00AC3401"/>
    <w:rsid w:val="00AC51A7"/>
    <w:rsid w:val="00AD444B"/>
    <w:rsid w:val="00AD6C78"/>
    <w:rsid w:val="00AE2EAB"/>
    <w:rsid w:val="00AF5F89"/>
    <w:rsid w:val="00AF73CB"/>
    <w:rsid w:val="00B002D6"/>
    <w:rsid w:val="00B01317"/>
    <w:rsid w:val="00B05B51"/>
    <w:rsid w:val="00B14E5A"/>
    <w:rsid w:val="00B15370"/>
    <w:rsid w:val="00B16DA4"/>
    <w:rsid w:val="00B17BEB"/>
    <w:rsid w:val="00B21A3C"/>
    <w:rsid w:val="00B223C0"/>
    <w:rsid w:val="00B234ED"/>
    <w:rsid w:val="00B249B2"/>
    <w:rsid w:val="00B25CA3"/>
    <w:rsid w:val="00B2765A"/>
    <w:rsid w:val="00B50078"/>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F122D"/>
    <w:rsid w:val="00BF5010"/>
    <w:rsid w:val="00BF633A"/>
    <w:rsid w:val="00BF7F04"/>
    <w:rsid w:val="00C03D5F"/>
    <w:rsid w:val="00C13791"/>
    <w:rsid w:val="00C16572"/>
    <w:rsid w:val="00C2520F"/>
    <w:rsid w:val="00C31BB3"/>
    <w:rsid w:val="00C36977"/>
    <w:rsid w:val="00C43EC7"/>
    <w:rsid w:val="00C467DA"/>
    <w:rsid w:val="00C477D9"/>
    <w:rsid w:val="00C548F6"/>
    <w:rsid w:val="00C60BA3"/>
    <w:rsid w:val="00C623F7"/>
    <w:rsid w:val="00C75BC5"/>
    <w:rsid w:val="00C81670"/>
    <w:rsid w:val="00C81773"/>
    <w:rsid w:val="00C82861"/>
    <w:rsid w:val="00C865E8"/>
    <w:rsid w:val="00C86896"/>
    <w:rsid w:val="00C907A8"/>
    <w:rsid w:val="00C93211"/>
    <w:rsid w:val="00C942EC"/>
    <w:rsid w:val="00C96047"/>
    <w:rsid w:val="00C979D0"/>
    <w:rsid w:val="00CA0818"/>
    <w:rsid w:val="00CA15C8"/>
    <w:rsid w:val="00CA2C8F"/>
    <w:rsid w:val="00CA30DA"/>
    <w:rsid w:val="00CA3A24"/>
    <w:rsid w:val="00CA544C"/>
    <w:rsid w:val="00CB1777"/>
    <w:rsid w:val="00CB33E9"/>
    <w:rsid w:val="00CB4937"/>
    <w:rsid w:val="00CC10A9"/>
    <w:rsid w:val="00CC6843"/>
    <w:rsid w:val="00CE2BF8"/>
    <w:rsid w:val="00CE484E"/>
    <w:rsid w:val="00CE656F"/>
    <w:rsid w:val="00CF0DA8"/>
    <w:rsid w:val="00CF2E25"/>
    <w:rsid w:val="00CF4453"/>
    <w:rsid w:val="00CF5D94"/>
    <w:rsid w:val="00CF7E0F"/>
    <w:rsid w:val="00D034D7"/>
    <w:rsid w:val="00D04BE4"/>
    <w:rsid w:val="00D06C8E"/>
    <w:rsid w:val="00D12565"/>
    <w:rsid w:val="00D14127"/>
    <w:rsid w:val="00D208AF"/>
    <w:rsid w:val="00D36674"/>
    <w:rsid w:val="00D52B36"/>
    <w:rsid w:val="00D60B16"/>
    <w:rsid w:val="00D60F02"/>
    <w:rsid w:val="00D66E49"/>
    <w:rsid w:val="00D70AB8"/>
    <w:rsid w:val="00D70D71"/>
    <w:rsid w:val="00D72F74"/>
    <w:rsid w:val="00D81563"/>
    <w:rsid w:val="00D85907"/>
    <w:rsid w:val="00D9073E"/>
    <w:rsid w:val="00D9221D"/>
    <w:rsid w:val="00D958DF"/>
    <w:rsid w:val="00D96DA1"/>
    <w:rsid w:val="00DA51E7"/>
    <w:rsid w:val="00DB0260"/>
    <w:rsid w:val="00DB1C78"/>
    <w:rsid w:val="00DB34A5"/>
    <w:rsid w:val="00DB7D96"/>
    <w:rsid w:val="00DC23FE"/>
    <w:rsid w:val="00DC59E6"/>
    <w:rsid w:val="00DD150B"/>
    <w:rsid w:val="00DD3E33"/>
    <w:rsid w:val="00DD5025"/>
    <w:rsid w:val="00DF1510"/>
    <w:rsid w:val="00E02F1F"/>
    <w:rsid w:val="00E06484"/>
    <w:rsid w:val="00E16765"/>
    <w:rsid w:val="00E20A7D"/>
    <w:rsid w:val="00E2148E"/>
    <w:rsid w:val="00E2525C"/>
    <w:rsid w:val="00E26B5B"/>
    <w:rsid w:val="00E275D8"/>
    <w:rsid w:val="00E30F6A"/>
    <w:rsid w:val="00E3117C"/>
    <w:rsid w:val="00E375CA"/>
    <w:rsid w:val="00E567E8"/>
    <w:rsid w:val="00E63F78"/>
    <w:rsid w:val="00E64679"/>
    <w:rsid w:val="00E65EBC"/>
    <w:rsid w:val="00E677FE"/>
    <w:rsid w:val="00E73432"/>
    <w:rsid w:val="00E77B0C"/>
    <w:rsid w:val="00E77FB8"/>
    <w:rsid w:val="00E838B0"/>
    <w:rsid w:val="00E86A7C"/>
    <w:rsid w:val="00E878E1"/>
    <w:rsid w:val="00E87F2C"/>
    <w:rsid w:val="00E94726"/>
    <w:rsid w:val="00E9518D"/>
    <w:rsid w:val="00E95278"/>
    <w:rsid w:val="00EA05A5"/>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4027C"/>
    <w:rsid w:val="00F45CB2"/>
    <w:rsid w:val="00F51D15"/>
    <w:rsid w:val="00F544C0"/>
    <w:rsid w:val="00F55332"/>
    <w:rsid w:val="00F6504A"/>
    <w:rsid w:val="00F65519"/>
    <w:rsid w:val="00F713C0"/>
    <w:rsid w:val="00F75DDC"/>
    <w:rsid w:val="00F7792F"/>
    <w:rsid w:val="00F842AA"/>
    <w:rsid w:val="00F8476F"/>
    <w:rsid w:val="00F853E1"/>
    <w:rsid w:val="00F85604"/>
    <w:rsid w:val="00F8600A"/>
    <w:rsid w:val="00F94699"/>
    <w:rsid w:val="00F94B7A"/>
    <w:rsid w:val="00FA17AC"/>
    <w:rsid w:val="00FA32DE"/>
    <w:rsid w:val="00FA3382"/>
    <w:rsid w:val="00FA568D"/>
    <w:rsid w:val="00FA59CD"/>
    <w:rsid w:val="00FB1740"/>
    <w:rsid w:val="00FB57BE"/>
    <w:rsid w:val="00FB756D"/>
    <w:rsid w:val="00FC5469"/>
    <w:rsid w:val="00FC6D7D"/>
    <w:rsid w:val="00FD16B0"/>
    <w:rsid w:val="00FD4FED"/>
    <w:rsid w:val="00FE0577"/>
    <w:rsid w:val="00FE59EC"/>
    <w:rsid w:val="00FE5B67"/>
    <w:rsid w:val="00FE60D6"/>
    <w:rsid w:val="00FF06FA"/>
    <w:rsid w:val="00FF7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CA544C"/>
    <w:rPr>
      <w:vertAlign w:val="superscript"/>
    </w:rPr>
  </w:style>
  <w:style w:type="character" w:customStyle="1" w:styleId="FootnoteTextChar">
    <w:name w:val="Footnote Text Char"/>
    <w:basedOn w:val="DefaultParagraphFont"/>
    <w:link w:val="FootnoteText"/>
    <w:rsid w:val="00CA544C"/>
  </w:style>
  <w:style w:type="paragraph" w:styleId="ListParagraph">
    <w:name w:val="List Paragraph"/>
    <w:basedOn w:val="Normal"/>
    <w:uiPriority w:val="34"/>
    <w:qFormat/>
    <w:rsid w:val="008C04CD"/>
    <w:pPr>
      <w:ind w:left="720"/>
      <w:contextualSpacing/>
    </w:pPr>
  </w:style>
  <w:style w:type="character" w:customStyle="1" w:styleId="CharChar">
    <w:name w:val="Char Char"/>
    <w:locked/>
    <w:rsid w:val="002E5CDE"/>
    <w:rPr>
      <w:sz w:val="24"/>
      <w:szCs w:val="24"/>
      <w:lang w:val="en-US" w:eastAsia="en-US" w:bidi="ar-SA"/>
    </w:rPr>
  </w:style>
  <w:style w:type="character" w:customStyle="1" w:styleId="BodyTextChar1">
    <w:name w:val="Body Text Char1"/>
    <w:locked/>
    <w:rsid w:val="00BF122D"/>
    <w:rPr>
      <w:rFonts w:cs="Times New Roman"/>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CA544C"/>
    <w:rPr>
      <w:vertAlign w:val="superscript"/>
    </w:rPr>
  </w:style>
  <w:style w:type="character" w:customStyle="1" w:styleId="FootnoteTextChar">
    <w:name w:val="Footnote Text Char"/>
    <w:basedOn w:val="DefaultParagraphFont"/>
    <w:link w:val="FootnoteText"/>
    <w:rsid w:val="00CA544C"/>
  </w:style>
  <w:style w:type="paragraph" w:styleId="ListParagraph">
    <w:name w:val="List Paragraph"/>
    <w:basedOn w:val="Normal"/>
    <w:uiPriority w:val="34"/>
    <w:qFormat/>
    <w:rsid w:val="008C04CD"/>
    <w:pPr>
      <w:ind w:left="720"/>
      <w:contextualSpacing/>
    </w:pPr>
  </w:style>
  <w:style w:type="character" w:customStyle="1" w:styleId="CharChar">
    <w:name w:val="Char Char"/>
    <w:locked/>
    <w:rsid w:val="002E5CDE"/>
    <w:rPr>
      <w:sz w:val="24"/>
      <w:szCs w:val="24"/>
      <w:lang w:val="en-US" w:eastAsia="en-US" w:bidi="ar-SA"/>
    </w:rPr>
  </w:style>
  <w:style w:type="character" w:customStyle="1" w:styleId="BodyTextChar1">
    <w:name w:val="Body Text Char1"/>
    <w:locked/>
    <w:rsid w:val="00BF122D"/>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506384">
      <w:bodyDiv w:val="1"/>
      <w:marLeft w:val="0"/>
      <w:marRight w:val="0"/>
      <w:marTop w:val="0"/>
      <w:marBottom w:val="0"/>
      <w:divBdr>
        <w:top w:val="none" w:sz="0" w:space="0" w:color="auto"/>
        <w:left w:val="none" w:sz="0" w:space="0" w:color="auto"/>
        <w:bottom w:val="none" w:sz="0" w:space="0" w:color="auto"/>
        <w:right w:val="none" w:sz="0" w:space="0" w:color="auto"/>
      </w:divBdr>
    </w:div>
    <w:div w:id="191963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EB67B-6428-4285-AAC1-33ACE2D67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16</Pages>
  <Words>3335</Words>
  <Characters>19040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2017-08-24T12:04:00Z</cp:lastPrinted>
  <dcterms:created xsi:type="dcterms:W3CDTF">2017-08-24T14:13:00Z</dcterms:created>
  <dcterms:modified xsi:type="dcterms:W3CDTF">2017-08-24T14:13:00Z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20170018-SU</vt:lpwstr>
  </property>
  <property fmtid="{D5CDD505-2E9C-101B-9397-08002B2CF9AE}" pid="3" name="MasterDocument">
    <vt:bool>false</vt:bool>
  </property>
</Properties>
</file>