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81E6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81E61">
            <w:pPr>
              <w:pStyle w:val="MemoHeading"/>
            </w:pPr>
            <w:bookmarkStart w:id="1" w:name="FilingDate"/>
            <w:r>
              <w:t>August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1E61" w:rsidRDefault="00981E61">
            <w:pPr>
              <w:pStyle w:val="MemoHeading"/>
            </w:pPr>
            <w:bookmarkStart w:id="2" w:name="From"/>
            <w:r>
              <w:t>Division of Accounting and Finance (Andrews, Norris)</w:t>
            </w:r>
          </w:p>
          <w:bookmarkEnd w:id="2"/>
          <w:p w:rsidR="007C0528" w:rsidRDefault="00981E61">
            <w:pPr>
              <w:pStyle w:val="MemoHeading"/>
            </w:pPr>
            <w:r>
              <w:t>Office of the General Counsel (Mapp)</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1E61">
            <w:pPr>
              <w:pStyle w:val="MemoHeadingRe"/>
            </w:pPr>
            <w:bookmarkStart w:id="3" w:name="Re"/>
            <w:r>
              <w:t>Docket No. 20160075-WU – Joint application for authority to transfer assets and Certificate No. 623-W in Orange and Lake Counties from Oak Springs, LLC to Oak Springs MHC,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1E61" w:rsidP="00AC6B9A">
            <w:pPr>
              <w:pStyle w:val="MemoHeading"/>
            </w:pPr>
            <w:bookmarkStart w:id="4" w:name="AgendaDate"/>
            <w:r>
              <w:t>09/07/17</w:t>
            </w:r>
            <w:bookmarkEnd w:id="4"/>
            <w:r w:rsidR="007C0528">
              <w:t xml:space="preserve"> – </w:t>
            </w:r>
            <w:bookmarkStart w:id="5" w:name="PermittedStatus"/>
            <w:r>
              <w:t xml:space="preserve">Regular Agenda – </w:t>
            </w:r>
            <w:r w:rsidR="00AC6B9A">
              <w:t>Partici</w:t>
            </w:r>
            <w:bookmarkEnd w:id="5"/>
            <w:r w:rsidR="00AC6B9A">
              <w:t>pation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1E6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1E61">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81E6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1E6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81E61" w:rsidRDefault="00981E61" w:rsidP="00981E61">
      <w:pPr>
        <w:pStyle w:val="BodyText"/>
      </w:pPr>
      <w:r>
        <w:t xml:space="preserve">On April 5, 2016, Oak Springs MHC, LLC (OSMHC, Applicant, or Buyer) filed an application for the transfer of Certificate No. 623-W from Oak Springs, LLC (Seller) in Orange and Lake Counties. The service area is located in the St. Johns River Water Management District (SJRWMD). Water use restrictions have been imposed district wide to encourage conservation. According to the Utility’s 2016 Annual Report, it serves approximately 310 residential customers and three general service customers, and for 2016, experienced an operating loss of $19,004. </w:t>
      </w:r>
    </w:p>
    <w:p w:rsidR="00981E61" w:rsidRDefault="00981E61" w:rsidP="00981E61">
      <w:pPr>
        <w:pStyle w:val="BodyText"/>
      </w:pPr>
      <w:r>
        <w:t xml:space="preserve">The water system serving the Oak Springs community has been operating as a part of a mobile home community with no separate charge for water service since 1973. The Seller had been providing water and wastewater service solely to the mobile home rental community tenants as a part of the lot rent, and was therefore exempt from Commission regulation pursuant to Section </w:t>
      </w:r>
      <w:r>
        <w:lastRenderedPageBreak/>
        <w:t>367.022(5), Florida Statutes (F.S.)</w:t>
      </w:r>
      <w:r>
        <w:rPr>
          <w:rStyle w:val="FootnoteReference"/>
        </w:rPr>
        <w:footnoteReference w:id="1"/>
      </w:r>
      <w:r>
        <w:t xml:space="preserve"> To promote water conservation, in 2004, the Seller was required by the SJRWMD to form a private utility capable of charging for water use. On November 9, 2004, the Seller was granted Certificate No. 623-W to operate a water utility.</w:t>
      </w:r>
      <w:r>
        <w:rPr>
          <w:rStyle w:val="FootnoteReference"/>
        </w:rPr>
        <w:footnoteReference w:id="2"/>
      </w:r>
      <w:r>
        <w:t xml:space="preserve"> The rates and charges for utility service were approved by the Commission in 2004. Wastewater service continues to be provided as part of the lot rent.</w:t>
      </w:r>
    </w:p>
    <w:p w:rsidR="00981E61" w:rsidRDefault="00981E61" w:rsidP="00981E61">
      <w:pPr>
        <w:pStyle w:val="BodyText"/>
      </w:pPr>
      <w:r>
        <w:t>On July 13, 2017, the Commission voted to approve the transfer of assets and Certificate No. 623-W from Oak Springs, LLC to Oak Springs MHC, LLC and set net book value. Following the Commission’s vote, an error was discovered within Issue 2</w:t>
      </w:r>
      <w:r w:rsidR="00AC6B9A">
        <w:t xml:space="preserve"> of that recommendation</w:t>
      </w:r>
      <w:r>
        <w:t>, regarding the appropriate accumulated depreciation of meters and meter installations.</w:t>
      </w:r>
    </w:p>
    <w:p w:rsidR="0068481F" w:rsidRDefault="00981E61" w:rsidP="00981E61">
      <w:pPr>
        <w:pStyle w:val="BodyText"/>
      </w:pPr>
      <w:r>
        <w:t>This recommendation addresses corrections to the accumulated depreciation of meters and meter installations and the resulting correct net book value. The Commission has jurisdiction pursuant to Sections 367.071</w:t>
      </w:r>
      <w:r w:rsidR="00AC6B9A">
        <w:t xml:space="preserve">, </w:t>
      </w:r>
      <w:r>
        <w:t>367.091</w:t>
      </w:r>
      <w:r w:rsidR="00AC6B9A">
        <w:t>, and 367.121</w:t>
      </w:r>
      <w:r>
        <w:t>,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24F71" w:rsidRDefault="00924F71">
      <w:pPr>
        <w:pStyle w:val="IssueHeading"/>
        <w:rPr>
          <w:vanish/>
          <w:specVanish/>
        </w:rPr>
      </w:pPr>
      <w:r w:rsidRPr="004C3641">
        <w:t xml:space="preserve">Issue </w:t>
      </w:r>
      <w:r w:rsidR="00404D7D">
        <w:fldChar w:fldCharType="begin"/>
      </w:r>
      <w:r w:rsidR="00404D7D">
        <w:instrText xml:space="preserve"> SEQ Issue \* MERGEFORMAT </w:instrText>
      </w:r>
      <w:r w:rsidR="00404D7D">
        <w:fldChar w:fldCharType="separate"/>
      </w:r>
      <w:r w:rsidR="00F268A6">
        <w:rPr>
          <w:noProof/>
        </w:rPr>
        <w:t>1</w:t>
      </w:r>
      <w:r w:rsidR="00404D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268A6">
        <w:rPr>
          <w:noProof/>
        </w:rPr>
        <w:instrText>1</w:instrText>
      </w:r>
      <w:r>
        <w:fldChar w:fldCharType="end"/>
      </w:r>
      <w:r>
        <w:tab/>
        <w:instrText xml:space="preserve">(Andrews)" \l 1 </w:instrText>
      </w:r>
      <w:r>
        <w:fldChar w:fldCharType="end"/>
      </w:r>
      <w:r>
        <w:t> </w:t>
      </w:r>
    </w:p>
    <w:p w:rsidR="00924F71" w:rsidRDefault="00924F71">
      <w:pPr>
        <w:pStyle w:val="BodyText"/>
      </w:pPr>
      <w:r>
        <w:t> Should the Commission reconsider, on its own motion, its vote on Issue 2, regarding calculation of net book value?</w:t>
      </w:r>
    </w:p>
    <w:p w:rsidR="00924F71" w:rsidRPr="004C3641" w:rsidRDefault="00924F71">
      <w:pPr>
        <w:pStyle w:val="IssueSubsectionHeading"/>
        <w:rPr>
          <w:vanish/>
          <w:specVanish/>
        </w:rPr>
      </w:pPr>
      <w:r w:rsidRPr="004C3641">
        <w:t>Recommendation: </w:t>
      </w:r>
    </w:p>
    <w:p w:rsidR="00924F71" w:rsidRDefault="00924F71">
      <w:pPr>
        <w:pStyle w:val="BodyText"/>
      </w:pPr>
      <w:r>
        <w:t> </w:t>
      </w:r>
      <w:r w:rsidRPr="00924F71">
        <w:t>Yes, the Commission, on its own motion, should reconsider a limited portion of its vote on Issue 2 with respect to accumulated depreciation of meters and meter installations and the resulting net book value. If the Commission approves staff’s recommendation, staff will incorporate this correction into the final order</w:t>
      </w:r>
      <w:r>
        <w:t>. (Andrews</w:t>
      </w:r>
      <w:r w:rsidR="00FD5661">
        <w:t>, Mapp</w:t>
      </w:r>
      <w:r>
        <w:t>)</w:t>
      </w:r>
    </w:p>
    <w:p w:rsidR="00924F71" w:rsidRPr="004C3641" w:rsidRDefault="00924F71">
      <w:pPr>
        <w:pStyle w:val="IssueSubsectionHeading"/>
        <w:rPr>
          <w:vanish/>
          <w:specVanish/>
        </w:rPr>
      </w:pPr>
      <w:r w:rsidRPr="004C3641">
        <w:t>Staff Analysis: </w:t>
      </w:r>
    </w:p>
    <w:p w:rsidR="00924F71" w:rsidRDefault="00924F71">
      <w:pPr>
        <w:pStyle w:val="BodyText"/>
      </w:pPr>
      <w:r>
        <w:t> </w:t>
      </w:r>
      <w:r w:rsidR="00B04929" w:rsidRPr="00B04929">
        <w:t>As a general rule, administrative agencies have inherent or implied power, comparable to that possessed by courts, to rehear or reopen a cause and reconsider its action or determination therein where the proceedin</w:t>
      </w:r>
      <w:r w:rsidR="00B04929">
        <w:t>g is in essence a judicial one.</w:t>
      </w:r>
      <w:r w:rsidR="00B04929">
        <w:rPr>
          <w:rStyle w:val="FootnoteReference"/>
        </w:rPr>
        <w:footnoteReference w:id="3"/>
      </w:r>
      <w:r w:rsidR="00B04929" w:rsidRPr="00B04929">
        <w:t xml:space="preserve"> This power, however, must be exercised before an appeal from the original order is filed or before such an order has become final by the lapse of time to file a timely notice of appeal.</w:t>
      </w:r>
      <w:r w:rsidR="00B04929">
        <w:rPr>
          <w:rStyle w:val="FootnoteReference"/>
        </w:rPr>
        <w:footnoteReference w:id="4"/>
      </w:r>
      <w:r w:rsidR="00B04929" w:rsidRPr="00B04929">
        <w:t xml:space="preserve"> An administrative tribunal has the power, upon its own motion or by request, to correct or amend any orders still under its control, provided the parties will not suffer by reason of the correction or amendment.</w:t>
      </w:r>
      <w:r w:rsidR="00B04929">
        <w:rPr>
          <w:rStyle w:val="FootnoteReference"/>
        </w:rPr>
        <w:footnoteReference w:id="5"/>
      </w:r>
      <w:r w:rsidR="00B04929" w:rsidRPr="00B04929">
        <w:t xml:space="preserve"> Since the final order has not yet issued, staff believes the utility will not be prejudiced by this correction, since it will still have an opportunity to request reconsideration or appeal once the final order is issued</w:t>
      </w:r>
    </w:p>
    <w:p w:rsidR="00E06484" w:rsidRDefault="00924F71" w:rsidP="00924F71">
      <w:pPr>
        <w:pStyle w:val="First-LevelSubheading"/>
      </w:pPr>
      <w:r>
        <w:t>Calculation Error</w:t>
      </w:r>
    </w:p>
    <w:p w:rsidR="00924F71" w:rsidRDefault="00924F71" w:rsidP="00924F71">
      <w:pPr>
        <w:pStyle w:val="BodyText"/>
      </w:pPr>
      <w:r>
        <w:t>On July 13, 2017, the Commission voted to approve Issue 2, which pertains to the appropriate net book value (NBV). The NBV for the water system reflects a recalculation of accumulated depreciation. There was an inadvertent formula error within staff’s calculation of accumulated depreciation. The accumulated depreciation of meters and meter installations was listed as $59,718, when in fact it should have been $56,690, resulting in a $3,028 overstatement of accumulated depreciation. Correction of this error results in lower accumulated depreciation and a higher NBV of $109,978. Staff notes that the change in NBV has no effect on the Commission</w:t>
      </w:r>
      <w:r w:rsidR="00AC6B9A">
        <w:t>’s</w:t>
      </w:r>
      <w:r>
        <w:t xml:space="preserve"> vote to not include an acquisition adjustment. The corrected NBV is shown on Schedule No. 1, with the corrections highlighted.</w:t>
      </w:r>
    </w:p>
    <w:p w:rsidR="00924F71" w:rsidRDefault="00924F71" w:rsidP="00924F71">
      <w:pPr>
        <w:pStyle w:val="BodyText"/>
      </w:pPr>
      <w:r>
        <w:t>A similar error also affected the amount that represented the NBV per the Utility. The summary schedule of NBV in staff’s previous recommendation, Schedule No. 2, Page 1 of 3, reflects an incorrect total of $113,607 in the column labeled “Balance Per Utility” due to a formula error. The balances of the NBV components reflected in that column should total $109,857 ($444,85</w:t>
      </w:r>
      <w:r w:rsidR="00FD5661">
        <w:t>7 + $3,750 -</w:t>
      </w:r>
      <w:r>
        <w:t xml:space="preserve"> $338,750), which is consistent with the Utility’s transfer application. The incorrect figure of $113,607 was also cited in the analysis of Issue 2. Although this does not affect the calculation of NBV, staff believes the correction provides clarity. Therefore, staff recommends the inclusion of this additional correction. This correction is reflected in Schedule No. 1, Page 1 of 3, with the correction also highlighted.</w:t>
      </w:r>
    </w:p>
    <w:p w:rsidR="00924F71" w:rsidRDefault="00924F71" w:rsidP="00924F71">
      <w:pPr>
        <w:pStyle w:val="First-LevelSubheading"/>
      </w:pPr>
      <w:r>
        <w:lastRenderedPageBreak/>
        <w:t>Conclusion</w:t>
      </w:r>
    </w:p>
    <w:p w:rsidR="00924F71" w:rsidRDefault="00924F71">
      <w:pPr>
        <w:pStyle w:val="IssueHeading"/>
        <w:rPr>
          <w:vanish/>
          <w:specVanish/>
        </w:rPr>
      </w:pPr>
      <w:r w:rsidRPr="00172A6D">
        <w:rPr>
          <w:rFonts w:ascii="Times New Roman" w:hAnsi="Times New Roman" w:cs="Times New Roman"/>
          <w:b w:val="0"/>
          <w:bCs w:val="0"/>
          <w:i w:val="0"/>
          <w:kern w:val="0"/>
          <w:szCs w:val="24"/>
        </w:rPr>
        <w:t>Based on the above, the Commission, on its own motion, should reconsider a limited portion of its vote on Issue 2 with respect to accumulated depreciation of meters and meter installations and the resulting net book value. If the Commission approves staff’s recommendation, staff will incorporate this correction into the final order.</w:t>
      </w:r>
      <w:r w:rsidRPr="004C3641">
        <w:rPr>
          <w:b w:val="0"/>
          <w:i w:val="0"/>
        </w:rPr>
        <w:br w:type="page"/>
      </w:r>
      <w:r w:rsidRPr="004C3641">
        <w:lastRenderedPageBreak/>
        <w:t xml:space="preserve">Issue </w:t>
      </w:r>
      <w:r w:rsidR="00404D7D">
        <w:fldChar w:fldCharType="begin"/>
      </w:r>
      <w:r w:rsidR="00404D7D">
        <w:instrText xml:space="preserve"> SEQ Issue \* MERGEFORMAT </w:instrText>
      </w:r>
      <w:r w:rsidR="00404D7D">
        <w:fldChar w:fldCharType="separate"/>
      </w:r>
      <w:r w:rsidR="00F268A6">
        <w:rPr>
          <w:noProof/>
        </w:rPr>
        <w:t>2</w:t>
      </w:r>
      <w:r w:rsidR="00404D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268A6">
        <w:rPr>
          <w:noProof/>
        </w:rPr>
        <w:instrText>2</w:instrText>
      </w:r>
      <w:r>
        <w:fldChar w:fldCharType="end"/>
      </w:r>
      <w:r>
        <w:tab/>
        <w:instrText xml:space="preserve">(Mapp)" \l 1 </w:instrText>
      </w:r>
      <w:r>
        <w:fldChar w:fldCharType="end"/>
      </w:r>
      <w:r>
        <w:t> </w:t>
      </w:r>
    </w:p>
    <w:p w:rsidR="00924F71" w:rsidRDefault="00924F71">
      <w:pPr>
        <w:pStyle w:val="BodyText"/>
      </w:pPr>
      <w:r>
        <w:t> Should this docket be closed?</w:t>
      </w:r>
    </w:p>
    <w:p w:rsidR="00924F71" w:rsidRPr="004C3641" w:rsidRDefault="00924F71">
      <w:pPr>
        <w:pStyle w:val="IssueSubsectionHeading"/>
        <w:rPr>
          <w:vanish/>
          <w:specVanish/>
        </w:rPr>
      </w:pPr>
      <w:r w:rsidRPr="004C3641">
        <w:t>Recommendation: </w:t>
      </w:r>
    </w:p>
    <w:p w:rsidR="00924F71" w:rsidRDefault="00924F71">
      <w:pPr>
        <w:pStyle w:val="BodyText"/>
      </w:pPr>
      <w:r>
        <w:t> </w:t>
      </w:r>
      <w:r w:rsidR="00AC6B9A">
        <w:t>Once all requirements of the Commission’s July 13, 2017, vote have been met, this docket may be closed administratively</w:t>
      </w:r>
      <w:r>
        <w:t>. (Mapp)</w:t>
      </w:r>
    </w:p>
    <w:p w:rsidR="00924F71" w:rsidRPr="004C3641" w:rsidRDefault="00924F71">
      <w:pPr>
        <w:pStyle w:val="IssueSubsectionHeading"/>
        <w:rPr>
          <w:vanish/>
          <w:specVanish/>
        </w:rPr>
      </w:pPr>
      <w:r w:rsidRPr="004C3641">
        <w:t>Staff Analysis: </w:t>
      </w:r>
    </w:p>
    <w:p w:rsidR="00924F71" w:rsidRDefault="00924F71">
      <w:pPr>
        <w:pStyle w:val="BodyText"/>
      </w:pPr>
      <w:r>
        <w:t> </w:t>
      </w:r>
      <w:r w:rsidR="00AC6B9A">
        <w:t>Once all requirements of the Commission’s July 13, 2017, vote have been met, this docket may be closed administratively</w:t>
      </w:r>
      <w:r>
        <w:t>.</w:t>
      </w:r>
    </w:p>
    <w:p w:rsidR="00B336F0" w:rsidRDefault="00B336F0" w:rsidP="00924F71">
      <w:pPr>
        <w:pStyle w:val="BodyText"/>
        <w:sectPr w:rsidR="00B336F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8455" w:type="dxa"/>
        <w:jc w:val="center"/>
        <w:tblLook w:val="0480" w:firstRow="0" w:lastRow="0" w:firstColumn="1" w:lastColumn="0" w:noHBand="0" w:noVBand="1"/>
      </w:tblPr>
      <w:tblGrid>
        <w:gridCol w:w="2812"/>
        <w:gridCol w:w="1840"/>
        <w:gridCol w:w="1523"/>
        <w:gridCol w:w="2280"/>
      </w:tblGrid>
      <w:tr w:rsidR="00E571B1" w:rsidTr="00B57EC7">
        <w:trPr>
          <w:trHeight w:val="288"/>
          <w:jc w:val="center"/>
        </w:trPr>
        <w:tc>
          <w:tcPr>
            <w:tcW w:w="8455" w:type="dxa"/>
            <w:gridSpan w:val="4"/>
            <w:vAlign w:val="center"/>
            <w:hideMark/>
          </w:tcPr>
          <w:p w:rsidR="00E571B1" w:rsidRDefault="00E571B1" w:rsidP="00B57EC7">
            <w:pPr>
              <w:spacing w:after="200" w:line="276" w:lineRule="auto"/>
              <w:jc w:val="center"/>
              <w:rPr>
                <w:b/>
                <w:bCs/>
                <w:color w:val="000000"/>
                <w:highlight w:val="yellow"/>
              </w:rPr>
            </w:pPr>
            <w:r>
              <w:rPr>
                <w:b/>
                <w:bCs/>
                <w:color w:val="000000"/>
              </w:rPr>
              <w:lastRenderedPageBreak/>
              <w:t>Oak Springs, LLC. Water System Schedule</w:t>
            </w:r>
          </w:p>
        </w:tc>
      </w:tr>
      <w:tr w:rsidR="00E571B1" w:rsidTr="00B57EC7">
        <w:trPr>
          <w:trHeight w:val="288"/>
          <w:jc w:val="center"/>
        </w:trPr>
        <w:tc>
          <w:tcPr>
            <w:tcW w:w="8455" w:type="dxa"/>
            <w:gridSpan w:val="4"/>
            <w:vAlign w:val="center"/>
            <w:hideMark/>
          </w:tcPr>
          <w:p w:rsidR="00E571B1" w:rsidRDefault="00E571B1" w:rsidP="00B57EC7">
            <w:pPr>
              <w:spacing w:after="200" w:line="276" w:lineRule="auto"/>
              <w:jc w:val="center"/>
              <w:rPr>
                <w:b/>
                <w:bCs/>
                <w:color w:val="000000"/>
              </w:rPr>
            </w:pPr>
            <w:r>
              <w:rPr>
                <w:b/>
                <w:bCs/>
                <w:color w:val="000000"/>
              </w:rPr>
              <w:t>Water System</w:t>
            </w:r>
          </w:p>
        </w:tc>
      </w:tr>
      <w:tr w:rsidR="00E571B1" w:rsidTr="00B57EC7">
        <w:trPr>
          <w:trHeight w:val="288"/>
          <w:jc w:val="center"/>
        </w:trPr>
        <w:tc>
          <w:tcPr>
            <w:tcW w:w="8455" w:type="dxa"/>
            <w:gridSpan w:val="4"/>
            <w:vAlign w:val="center"/>
            <w:hideMark/>
          </w:tcPr>
          <w:p w:rsidR="00E571B1" w:rsidRDefault="00E571B1" w:rsidP="00B57EC7">
            <w:pPr>
              <w:spacing w:after="200" w:line="276" w:lineRule="auto"/>
              <w:jc w:val="center"/>
              <w:rPr>
                <w:b/>
                <w:bCs/>
                <w:color w:val="000000"/>
              </w:rPr>
            </w:pPr>
            <w:r>
              <w:rPr>
                <w:b/>
                <w:bCs/>
                <w:color w:val="000000"/>
              </w:rPr>
              <w:t>Schedule of Net Book Value as of May 31, 2015</w:t>
            </w:r>
          </w:p>
        </w:tc>
      </w:tr>
      <w:tr w:rsidR="00E571B1" w:rsidTr="00B57EC7">
        <w:trPr>
          <w:trHeight w:hRule="exact" w:val="288"/>
          <w:jc w:val="center"/>
        </w:trPr>
        <w:tc>
          <w:tcPr>
            <w:tcW w:w="2812" w:type="dxa"/>
            <w:vAlign w:val="center"/>
            <w:hideMark/>
          </w:tcPr>
          <w:p w:rsidR="00E571B1" w:rsidRDefault="00E571B1" w:rsidP="00B57EC7">
            <w:pPr>
              <w:spacing w:line="276" w:lineRule="auto"/>
              <w:rPr>
                <w:sz w:val="22"/>
                <w:szCs w:val="22"/>
              </w:rPr>
            </w:pPr>
          </w:p>
        </w:tc>
        <w:tc>
          <w:tcPr>
            <w:tcW w:w="1840" w:type="dxa"/>
            <w:vAlign w:val="center"/>
            <w:hideMark/>
          </w:tcPr>
          <w:p w:rsidR="00E571B1" w:rsidRDefault="00E571B1" w:rsidP="00B57EC7">
            <w:pPr>
              <w:spacing w:line="276" w:lineRule="auto"/>
              <w:rPr>
                <w:sz w:val="22"/>
                <w:szCs w:val="22"/>
              </w:rPr>
            </w:pPr>
          </w:p>
        </w:tc>
        <w:tc>
          <w:tcPr>
            <w:tcW w:w="1523" w:type="dxa"/>
            <w:vAlign w:val="center"/>
            <w:hideMark/>
          </w:tcPr>
          <w:p w:rsidR="00E571B1" w:rsidRDefault="00E571B1" w:rsidP="00B57EC7">
            <w:pPr>
              <w:spacing w:line="276" w:lineRule="auto"/>
              <w:rPr>
                <w:sz w:val="22"/>
                <w:szCs w:val="22"/>
              </w:rPr>
            </w:pPr>
          </w:p>
        </w:tc>
        <w:tc>
          <w:tcPr>
            <w:tcW w:w="2280" w:type="dxa"/>
            <w:vAlign w:val="center"/>
            <w:hideMark/>
          </w:tcPr>
          <w:p w:rsidR="00E571B1" w:rsidRDefault="00E571B1" w:rsidP="00B57EC7">
            <w:pPr>
              <w:spacing w:line="276" w:lineRule="auto"/>
              <w:rPr>
                <w:sz w:val="22"/>
                <w:szCs w:val="22"/>
              </w:rPr>
            </w:pPr>
          </w:p>
        </w:tc>
      </w:tr>
      <w:tr w:rsidR="00E571B1" w:rsidTr="00B57EC7">
        <w:trPr>
          <w:trHeight w:hRule="exact" w:val="576"/>
          <w:jc w:val="center"/>
        </w:trPr>
        <w:tc>
          <w:tcPr>
            <w:tcW w:w="2812" w:type="dxa"/>
            <w:vAlign w:val="bottom"/>
            <w:hideMark/>
          </w:tcPr>
          <w:p w:rsidR="00E571B1" w:rsidRDefault="00E571B1" w:rsidP="00B57EC7">
            <w:pPr>
              <w:spacing w:after="200" w:line="276" w:lineRule="auto"/>
              <w:jc w:val="center"/>
              <w:rPr>
                <w:b/>
                <w:bCs/>
                <w:color w:val="000000"/>
              </w:rPr>
            </w:pPr>
            <w:r>
              <w:rPr>
                <w:b/>
                <w:bCs/>
                <w:color w:val="000000"/>
              </w:rPr>
              <w:t>Description</w:t>
            </w:r>
          </w:p>
        </w:tc>
        <w:tc>
          <w:tcPr>
            <w:tcW w:w="1840" w:type="dxa"/>
            <w:vAlign w:val="bottom"/>
            <w:hideMark/>
          </w:tcPr>
          <w:p w:rsidR="00E571B1" w:rsidRDefault="00E571B1" w:rsidP="00B57EC7">
            <w:pPr>
              <w:tabs>
                <w:tab w:val="left" w:pos="1532"/>
              </w:tabs>
              <w:spacing w:after="200" w:line="276" w:lineRule="auto"/>
              <w:jc w:val="center"/>
              <w:rPr>
                <w:b/>
                <w:bCs/>
                <w:color w:val="000000"/>
              </w:rPr>
            </w:pPr>
            <w:r>
              <w:rPr>
                <w:b/>
                <w:bCs/>
                <w:color w:val="000000"/>
              </w:rPr>
              <w:t>Balance Per Utility</w:t>
            </w:r>
          </w:p>
        </w:tc>
        <w:tc>
          <w:tcPr>
            <w:tcW w:w="1523" w:type="dxa"/>
            <w:vAlign w:val="bottom"/>
            <w:hideMark/>
          </w:tcPr>
          <w:p w:rsidR="00E571B1" w:rsidRDefault="00E571B1" w:rsidP="00B57EC7">
            <w:pPr>
              <w:spacing w:after="200" w:line="276" w:lineRule="auto"/>
              <w:jc w:val="center"/>
              <w:rPr>
                <w:b/>
                <w:bCs/>
                <w:color w:val="000000"/>
              </w:rPr>
            </w:pPr>
            <w:r>
              <w:rPr>
                <w:b/>
                <w:bCs/>
                <w:color w:val="000000"/>
              </w:rPr>
              <w:t xml:space="preserve">Adjustments </w:t>
            </w:r>
          </w:p>
        </w:tc>
        <w:tc>
          <w:tcPr>
            <w:tcW w:w="2280" w:type="dxa"/>
            <w:vAlign w:val="bottom"/>
            <w:hideMark/>
          </w:tcPr>
          <w:p w:rsidR="00E571B1" w:rsidRDefault="00E571B1" w:rsidP="00B57EC7">
            <w:pPr>
              <w:spacing w:after="200" w:line="276" w:lineRule="auto"/>
              <w:jc w:val="center"/>
              <w:rPr>
                <w:b/>
                <w:bCs/>
                <w:color w:val="000000"/>
              </w:rPr>
            </w:pPr>
            <w:r>
              <w:rPr>
                <w:b/>
                <w:bCs/>
                <w:color w:val="000000"/>
              </w:rPr>
              <w:t>Staff Recommendation</w:t>
            </w:r>
          </w:p>
        </w:tc>
      </w:tr>
      <w:tr w:rsidR="00E571B1" w:rsidTr="00B57EC7">
        <w:trPr>
          <w:trHeight w:hRule="exact" w:val="288"/>
          <w:jc w:val="center"/>
        </w:trPr>
        <w:tc>
          <w:tcPr>
            <w:tcW w:w="2812" w:type="dxa"/>
            <w:noWrap/>
            <w:vAlign w:val="bottom"/>
            <w:hideMark/>
          </w:tcPr>
          <w:p w:rsidR="00E571B1" w:rsidRDefault="00E571B1" w:rsidP="00B57EC7">
            <w:pPr>
              <w:spacing w:after="200" w:line="276" w:lineRule="auto"/>
              <w:rPr>
                <w:color w:val="000000"/>
              </w:rPr>
            </w:pPr>
            <w:r>
              <w:rPr>
                <w:color w:val="000000"/>
              </w:rPr>
              <w:t>Utility Plant in Service</w:t>
            </w:r>
          </w:p>
        </w:tc>
        <w:tc>
          <w:tcPr>
            <w:tcW w:w="1840" w:type="dxa"/>
            <w:noWrap/>
            <w:vAlign w:val="bottom"/>
            <w:hideMark/>
          </w:tcPr>
          <w:p w:rsidR="00E571B1" w:rsidRDefault="00E571B1" w:rsidP="00B57EC7">
            <w:pPr>
              <w:tabs>
                <w:tab w:val="decimal" w:pos="1502"/>
              </w:tabs>
              <w:spacing w:after="200" w:line="276" w:lineRule="auto"/>
              <w:rPr>
                <w:color w:val="000000"/>
              </w:rPr>
            </w:pPr>
            <w:r>
              <w:rPr>
                <w:color w:val="000000"/>
              </w:rPr>
              <w:t xml:space="preserve">$444,857 </w:t>
            </w:r>
          </w:p>
        </w:tc>
        <w:tc>
          <w:tcPr>
            <w:tcW w:w="1523" w:type="dxa"/>
            <w:noWrap/>
            <w:vAlign w:val="bottom"/>
            <w:hideMark/>
          </w:tcPr>
          <w:p w:rsidR="00E571B1" w:rsidRDefault="00E571B1" w:rsidP="00B57EC7">
            <w:pPr>
              <w:tabs>
                <w:tab w:val="decimal" w:pos="994"/>
                <w:tab w:val="left" w:pos="1133"/>
              </w:tabs>
              <w:spacing w:after="200" w:line="276" w:lineRule="auto"/>
              <w:rPr>
                <w:color w:val="000000"/>
                <w:highlight w:val="yellow"/>
              </w:rPr>
            </w:pPr>
            <w:r>
              <w:rPr>
                <w:color w:val="000000"/>
              </w:rPr>
              <w:tab/>
              <w:t>$0</w:t>
            </w:r>
            <w:r>
              <w:rPr>
                <w:color w:val="000000"/>
              </w:rPr>
              <w:tab/>
            </w:r>
          </w:p>
        </w:tc>
        <w:tc>
          <w:tcPr>
            <w:tcW w:w="2280" w:type="dxa"/>
            <w:noWrap/>
            <w:vAlign w:val="bottom"/>
            <w:hideMark/>
          </w:tcPr>
          <w:p w:rsidR="00E571B1" w:rsidRDefault="00E571B1" w:rsidP="00B57EC7">
            <w:pPr>
              <w:tabs>
                <w:tab w:val="decimal" w:pos="1635"/>
              </w:tabs>
              <w:jc w:val="right"/>
              <w:rPr>
                <w:color w:val="000000"/>
              </w:rPr>
            </w:pPr>
            <w:r>
              <w:rPr>
                <w:color w:val="000000"/>
              </w:rPr>
              <w:t>$444,857</w:t>
            </w:r>
          </w:p>
          <w:p w:rsidR="00E571B1" w:rsidRDefault="00E571B1" w:rsidP="00B57EC7">
            <w:pPr>
              <w:tabs>
                <w:tab w:val="decimal" w:pos="1635"/>
              </w:tabs>
              <w:spacing w:after="200" w:line="276" w:lineRule="auto"/>
              <w:jc w:val="right"/>
              <w:rPr>
                <w:color w:val="000000"/>
                <w:highlight w:val="yellow"/>
              </w:rPr>
            </w:pPr>
            <w:r>
              <w:rPr>
                <w:color w:val="000000"/>
                <w:highlight w:val="yellow"/>
              </w:rPr>
              <w:t xml:space="preserve"> </w:t>
            </w:r>
          </w:p>
        </w:tc>
      </w:tr>
      <w:tr w:rsidR="00E571B1" w:rsidTr="00B57EC7">
        <w:trPr>
          <w:trHeight w:hRule="exact" w:val="288"/>
          <w:jc w:val="center"/>
        </w:trPr>
        <w:tc>
          <w:tcPr>
            <w:tcW w:w="2812" w:type="dxa"/>
            <w:noWrap/>
            <w:vAlign w:val="bottom"/>
            <w:hideMark/>
          </w:tcPr>
          <w:p w:rsidR="00E571B1" w:rsidRDefault="00E571B1" w:rsidP="00B57EC7">
            <w:pPr>
              <w:spacing w:after="200" w:line="276" w:lineRule="auto"/>
              <w:rPr>
                <w:color w:val="000000"/>
              </w:rPr>
            </w:pPr>
            <w:r>
              <w:rPr>
                <w:color w:val="000000"/>
              </w:rPr>
              <w:t>Land &amp; Land Rights</w:t>
            </w:r>
          </w:p>
        </w:tc>
        <w:tc>
          <w:tcPr>
            <w:tcW w:w="1840" w:type="dxa"/>
            <w:noWrap/>
            <w:vAlign w:val="bottom"/>
            <w:hideMark/>
          </w:tcPr>
          <w:p w:rsidR="00E571B1" w:rsidRDefault="00E571B1" w:rsidP="00B57EC7">
            <w:pPr>
              <w:tabs>
                <w:tab w:val="decimal" w:pos="1502"/>
              </w:tabs>
              <w:spacing w:after="200" w:line="276" w:lineRule="auto"/>
              <w:rPr>
                <w:color w:val="000000"/>
              </w:rPr>
            </w:pPr>
            <w:r>
              <w:rPr>
                <w:color w:val="000000"/>
              </w:rPr>
              <w:t xml:space="preserve">3,750 </w:t>
            </w:r>
          </w:p>
        </w:tc>
        <w:tc>
          <w:tcPr>
            <w:tcW w:w="1523" w:type="dxa"/>
            <w:noWrap/>
            <w:vAlign w:val="bottom"/>
            <w:hideMark/>
          </w:tcPr>
          <w:p w:rsidR="00E571B1" w:rsidRDefault="00E571B1" w:rsidP="00B57EC7">
            <w:pPr>
              <w:tabs>
                <w:tab w:val="decimal" w:pos="994"/>
                <w:tab w:val="left" w:pos="1133"/>
              </w:tabs>
              <w:spacing w:after="200" w:line="276" w:lineRule="auto"/>
              <w:rPr>
                <w:color w:val="000000"/>
              </w:rPr>
            </w:pPr>
            <w:r>
              <w:rPr>
                <w:color w:val="000000"/>
              </w:rPr>
              <w:tab/>
              <w:t>(1,017)</w:t>
            </w:r>
            <w:r>
              <w:rPr>
                <w:color w:val="000000"/>
              </w:rPr>
              <w:tab/>
            </w:r>
          </w:p>
        </w:tc>
        <w:tc>
          <w:tcPr>
            <w:tcW w:w="2280" w:type="dxa"/>
            <w:noWrap/>
            <w:vAlign w:val="bottom"/>
            <w:hideMark/>
          </w:tcPr>
          <w:p w:rsidR="00E571B1" w:rsidRDefault="00E571B1" w:rsidP="00B57EC7">
            <w:pPr>
              <w:tabs>
                <w:tab w:val="decimal" w:pos="1635"/>
              </w:tabs>
              <w:spacing w:after="200" w:line="276" w:lineRule="auto"/>
              <w:jc w:val="right"/>
              <w:rPr>
                <w:color w:val="000000"/>
              </w:rPr>
            </w:pPr>
            <w:r>
              <w:rPr>
                <w:color w:val="000000"/>
              </w:rPr>
              <w:t>2,733</w:t>
            </w:r>
          </w:p>
        </w:tc>
      </w:tr>
      <w:tr w:rsidR="00E571B1" w:rsidTr="00B57EC7">
        <w:trPr>
          <w:trHeight w:hRule="exact" w:val="288"/>
          <w:jc w:val="center"/>
        </w:trPr>
        <w:tc>
          <w:tcPr>
            <w:tcW w:w="2812" w:type="dxa"/>
            <w:noWrap/>
            <w:vAlign w:val="bottom"/>
            <w:hideMark/>
          </w:tcPr>
          <w:p w:rsidR="00E571B1" w:rsidRDefault="00E571B1" w:rsidP="00B57EC7">
            <w:pPr>
              <w:spacing w:after="200" w:line="276" w:lineRule="auto"/>
              <w:rPr>
                <w:color w:val="000000"/>
              </w:rPr>
            </w:pPr>
            <w:r>
              <w:rPr>
                <w:color w:val="000000"/>
              </w:rPr>
              <w:t>Accumulated Depreciation</w:t>
            </w:r>
          </w:p>
        </w:tc>
        <w:tc>
          <w:tcPr>
            <w:tcW w:w="1840" w:type="dxa"/>
            <w:noWrap/>
            <w:vAlign w:val="bottom"/>
            <w:hideMark/>
          </w:tcPr>
          <w:p w:rsidR="00E571B1" w:rsidRDefault="00E571B1" w:rsidP="00B57EC7">
            <w:pPr>
              <w:tabs>
                <w:tab w:val="decimal" w:pos="1502"/>
              </w:tabs>
              <w:spacing w:after="200" w:line="276" w:lineRule="auto"/>
              <w:rPr>
                <w:color w:val="000000"/>
                <w:u w:val="single"/>
              </w:rPr>
            </w:pPr>
            <w:r>
              <w:rPr>
                <w:color w:val="000000"/>
                <w:u w:val="single"/>
              </w:rPr>
              <w:t>(338,750)</w:t>
            </w:r>
          </w:p>
        </w:tc>
        <w:tc>
          <w:tcPr>
            <w:tcW w:w="1523" w:type="dxa"/>
            <w:noWrap/>
            <w:vAlign w:val="bottom"/>
            <w:hideMark/>
          </w:tcPr>
          <w:p w:rsidR="00E571B1" w:rsidRDefault="00E571B1" w:rsidP="00B57EC7">
            <w:pPr>
              <w:tabs>
                <w:tab w:val="decimal" w:pos="994"/>
                <w:tab w:val="left" w:pos="1133"/>
              </w:tabs>
              <w:spacing w:after="200" w:line="276" w:lineRule="auto"/>
              <w:rPr>
                <w:color w:val="000000"/>
                <w:u w:val="single"/>
              </w:rPr>
            </w:pPr>
            <w:r>
              <w:rPr>
                <w:color w:val="000000"/>
              </w:rPr>
              <w:tab/>
            </w:r>
            <w:r w:rsidRPr="00206B9F">
              <w:rPr>
                <w:color w:val="000000"/>
                <w:highlight w:val="yellow"/>
                <w:u w:val="single"/>
              </w:rPr>
              <w:t>1,138</w:t>
            </w:r>
            <w:r>
              <w:rPr>
                <w:color w:val="000000"/>
                <w:u w:val="single"/>
              </w:rPr>
              <w:tab/>
            </w:r>
          </w:p>
        </w:tc>
        <w:tc>
          <w:tcPr>
            <w:tcW w:w="2280" w:type="dxa"/>
            <w:noWrap/>
            <w:vAlign w:val="bottom"/>
            <w:hideMark/>
          </w:tcPr>
          <w:p w:rsidR="00E571B1" w:rsidRDefault="00E571B1" w:rsidP="00B57EC7">
            <w:pPr>
              <w:tabs>
                <w:tab w:val="decimal" w:pos="1635"/>
              </w:tabs>
              <w:spacing w:after="200" w:line="276" w:lineRule="auto"/>
              <w:jc w:val="right"/>
              <w:rPr>
                <w:color w:val="000000"/>
                <w:u w:val="single"/>
              </w:rPr>
            </w:pPr>
            <w:r w:rsidRPr="00206B9F">
              <w:rPr>
                <w:color w:val="000000"/>
                <w:u w:val="single"/>
              </w:rPr>
              <w:t>(</w:t>
            </w:r>
            <w:r w:rsidRPr="00206B9F">
              <w:rPr>
                <w:color w:val="000000"/>
                <w:highlight w:val="yellow"/>
                <w:u w:val="single"/>
              </w:rPr>
              <w:t>337,612</w:t>
            </w:r>
            <w:r w:rsidRPr="00206B9F">
              <w:rPr>
                <w:color w:val="000000"/>
                <w:u w:val="single"/>
              </w:rPr>
              <w:t>)</w:t>
            </w:r>
          </w:p>
        </w:tc>
      </w:tr>
      <w:tr w:rsidR="00E571B1" w:rsidTr="00B57EC7">
        <w:trPr>
          <w:trHeight w:hRule="exact" w:val="288"/>
          <w:jc w:val="center"/>
        </w:trPr>
        <w:tc>
          <w:tcPr>
            <w:tcW w:w="2812" w:type="dxa"/>
            <w:noWrap/>
            <w:vAlign w:val="bottom"/>
            <w:hideMark/>
          </w:tcPr>
          <w:p w:rsidR="00E571B1" w:rsidRDefault="00E571B1" w:rsidP="00B57EC7">
            <w:pPr>
              <w:spacing w:line="276" w:lineRule="auto"/>
              <w:rPr>
                <w:sz w:val="22"/>
                <w:szCs w:val="22"/>
              </w:rPr>
            </w:pPr>
          </w:p>
        </w:tc>
        <w:tc>
          <w:tcPr>
            <w:tcW w:w="1840" w:type="dxa"/>
            <w:noWrap/>
            <w:vAlign w:val="bottom"/>
          </w:tcPr>
          <w:p w:rsidR="00E571B1" w:rsidRDefault="00E571B1" w:rsidP="00B57EC7">
            <w:pPr>
              <w:tabs>
                <w:tab w:val="decimal" w:pos="1502"/>
              </w:tabs>
              <w:spacing w:after="200" w:line="276" w:lineRule="auto"/>
              <w:rPr>
                <w:color w:val="000000"/>
              </w:rPr>
            </w:pPr>
          </w:p>
        </w:tc>
        <w:tc>
          <w:tcPr>
            <w:tcW w:w="1523" w:type="dxa"/>
            <w:noWrap/>
            <w:vAlign w:val="bottom"/>
          </w:tcPr>
          <w:p w:rsidR="00E571B1" w:rsidRDefault="00E571B1" w:rsidP="00B57EC7">
            <w:pPr>
              <w:tabs>
                <w:tab w:val="decimal" w:pos="994"/>
                <w:tab w:val="left" w:pos="1133"/>
              </w:tabs>
              <w:spacing w:after="200" w:line="276" w:lineRule="auto"/>
              <w:rPr>
                <w:color w:val="000000"/>
                <w:highlight w:val="yellow"/>
              </w:rPr>
            </w:pPr>
          </w:p>
        </w:tc>
        <w:tc>
          <w:tcPr>
            <w:tcW w:w="2280" w:type="dxa"/>
            <w:noWrap/>
            <w:vAlign w:val="bottom"/>
          </w:tcPr>
          <w:p w:rsidR="00E571B1" w:rsidRDefault="00E571B1" w:rsidP="00B57EC7">
            <w:pPr>
              <w:tabs>
                <w:tab w:val="decimal" w:pos="1635"/>
              </w:tabs>
              <w:spacing w:after="200" w:line="276" w:lineRule="auto"/>
              <w:jc w:val="right"/>
              <w:rPr>
                <w:color w:val="000000"/>
                <w:highlight w:val="yellow"/>
              </w:rPr>
            </w:pPr>
          </w:p>
        </w:tc>
      </w:tr>
      <w:tr w:rsidR="00E571B1" w:rsidTr="00B57EC7">
        <w:trPr>
          <w:trHeight w:hRule="exact" w:val="288"/>
          <w:jc w:val="center"/>
        </w:trPr>
        <w:tc>
          <w:tcPr>
            <w:tcW w:w="2812" w:type="dxa"/>
            <w:noWrap/>
            <w:vAlign w:val="bottom"/>
            <w:hideMark/>
          </w:tcPr>
          <w:p w:rsidR="00E571B1" w:rsidRDefault="00E571B1" w:rsidP="00B57EC7">
            <w:pPr>
              <w:spacing w:after="200" w:line="276" w:lineRule="auto"/>
              <w:rPr>
                <w:color w:val="000000"/>
              </w:rPr>
            </w:pPr>
            <w:r>
              <w:rPr>
                <w:color w:val="000000"/>
              </w:rPr>
              <w:t>Total</w:t>
            </w:r>
          </w:p>
        </w:tc>
        <w:tc>
          <w:tcPr>
            <w:tcW w:w="1840" w:type="dxa"/>
            <w:noWrap/>
            <w:vAlign w:val="bottom"/>
            <w:hideMark/>
          </w:tcPr>
          <w:p w:rsidR="00E571B1" w:rsidRDefault="00E571B1" w:rsidP="00B57EC7">
            <w:pPr>
              <w:tabs>
                <w:tab w:val="decimal" w:pos="1502"/>
              </w:tabs>
              <w:spacing w:after="200" w:line="276" w:lineRule="auto"/>
              <w:rPr>
                <w:color w:val="000000"/>
                <w:u w:val="double"/>
              </w:rPr>
            </w:pPr>
            <w:r w:rsidRPr="00206B9F">
              <w:rPr>
                <w:color w:val="000000"/>
                <w:u w:val="double"/>
              </w:rPr>
              <w:t>$</w:t>
            </w:r>
            <w:r w:rsidRPr="00206B9F">
              <w:rPr>
                <w:color w:val="000000"/>
                <w:highlight w:val="yellow"/>
                <w:u w:val="double"/>
              </w:rPr>
              <w:t>109,857</w:t>
            </w:r>
            <w:r>
              <w:rPr>
                <w:color w:val="000000"/>
                <w:u w:val="double"/>
              </w:rPr>
              <w:t xml:space="preserve"> </w:t>
            </w:r>
          </w:p>
        </w:tc>
        <w:tc>
          <w:tcPr>
            <w:tcW w:w="1523" w:type="dxa"/>
            <w:noWrap/>
            <w:vAlign w:val="bottom"/>
            <w:hideMark/>
          </w:tcPr>
          <w:p w:rsidR="00E571B1" w:rsidRDefault="00E571B1" w:rsidP="00B57EC7">
            <w:pPr>
              <w:tabs>
                <w:tab w:val="decimal" w:pos="994"/>
                <w:tab w:val="left" w:pos="1133"/>
              </w:tabs>
              <w:spacing w:after="200" w:line="276" w:lineRule="auto"/>
              <w:rPr>
                <w:color w:val="000000"/>
                <w:u w:val="double"/>
              </w:rPr>
            </w:pPr>
            <w:r>
              <w:rPr>
                <w:color w:val="000000"/>
              </w:rPr>
              <w:tab/>
            </w:r>
            <w:r w:rsidRPr="00206B9F">
              <w:rPr>
                <w:color w:val="000000"/>
                <w:u w:val="double"/>
              </w:rPr>
              <w:t>$</w:t>
            </w:r>
            <w:r w:rsidRPr="00206B9F">
              <w:rPr>
                <w:color w:val="000000"/>
                <w:highlight w:val="yellow"/>
                <w:u w:val="double"/>
              </w:rPr>
              <w:t>121</w:t>
            </w:r>
          </w:p>
        </w:tc>
        <w:tc>
          <w:tcPr>
            <w:tcW w:w="2280" w:type="dxa"/>
            <w:noWrap/>
            <w:vAlign w:val="bottom"/>
            <w:hideMark/>
          </w:tcPr>
          <w:p w:rsidR="00E571B1" w:rsidRDefault="00E571B1" w:rsidP="00B57EC7">
            <w:pPr>
              <w:tabs>
                <w:tab w:val="decimal" w:pos="1635"/>
              </w:tabs>
              <w:spacing w:after="200" w:line="276" w:lineRule="auto"/>
              <w:jc w:val="right"/>
              <w:rPr>
                <w:color w:val="000000"/>
                <w:u w:val="double"/>
              </w:rPr>
            </w:pPr>
            <w:r w:rsidRPr="00206B9F">
              <w:rPr>
                <w:color w:val="000000"/>
                <w:u w:val="double"/>
              </w:rPr>
              <w:t>$</w:t>
            </w:r>
            <w:r w:rsidRPr="00206B9F">
              <w:rPr>
                <w:color w:val="000000"/>
                <w:highlight w:val="yellow"/>
                <w:u w:val="double"/>
              </w:rPr>
              <w:t>109,978</w:t>
            </w:r>
            <w:r>
              <w:rPr>
                <w:color w:val="000000"/>
                <w:u w:val="double"/>
              </w:rPr>
              <w:t xml:space="preserve"> </w:t>
            </w:r>
          </w:p>
        </w:tc>
      </w:tr>
    </w:tbl>
    <w:p w:rsidR="00924F71" w:rsidRDefault="00924F71" w:rsidP="00924F71">
      <w:pPr>
        <w:pStyle w:val="BodyText"/>
      </w:pPr>
    </w:p>
    <w:p w:rsidR="00E571B1" w:rsidRDefault="00E571B1" w:rsidP="00924F71">
      <w:pPr>
        <w:pStyle w:val="BodyText"/>
      </w:pPr>
    </w:p>
    <w:p w:rsidR="00E571B1" w:rsidRDefault="00E571B1" w:rsidP="00924F71">
      <w:pPr>
        <w:pStyle w:val="BodyText"/>
        <w:sectPr w:rsidR="00E571B1"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E571B1" w:rsidTr="00B57EC7">
        <w:trPr>
          <w:jc w:val="center"/>
        </w:trPr>
        <w:tc>
          <w:tcPr>
            <w:tcW w:w="9576" w:type="dxa"/>
            <w:gridSpan w:val="2"/>
            <w:hideMark/>
          </w:tcPr>
          <w:p w:rsidR="00E571B1" w:rsidRDefault="00E571B1" w:rsidP="00B57EC7">
            <w:pPr>
              <w:jc w:val="center"/>
              <w:rPr>
                <w:b/>
              </w:rPr>
            </w:pPr>
            <w:r>
              <w:rPr>
                <w:b/>
              </w:rPr>
              <w:lastRenderedPageBreak/>
              <w:t>Explanation of Staff’s Recommended</w:t>
            </w:r>
          </w:p>
        </w:tc>
      </w:tr>
      <w:tr w:rsidR="00E571B1" w:rsidTr="00B57EC7">
        <w:trPr>
          <w:jc w:val="center"/>
        </w:trPr>
        <w:tc>
          <w:tcPr>
            <w:tcW w:w="9576" w:type="dxa"/>
            <w:gridSpan w:val="2"/>
            <w:hideMark/>
          </w:tcPr>
          <w:p w:rsidR="00E571B1" w:rsidRDefault="00E571B1" w:rsidP="00B57EC7">
            <w:pPr>
              <w:jc w:val="center"/>
              <w:rPr>
                <w:b/>
              </w:rPr>
            </w:pPr>
            <w:r>
              <w:rPr>
                <w:b/>
              </w:rPr>
              <w:t>Adjustments to Net Book Value as of May 31, 2015</w:t>
            </w:r>
          </w:p>
        </w:tc>
      </w:tr>
      <w:tr w:rsidR="00E571B1" w:rsidTr="00B57EC7">
        <w:trPr>
          <w:jc w:val="center"/>
        </w:trPr>
        <w:tc>
          <w:tcPr>
            <w:tcW w:w="9576" w:type="dxa"/>
            <w:gridSpan w:val="2"/>
            <w:hideMark/>
          </w:tcPr>
          <w:p w:rsidR="00E571B1" w:rsidRDefault="00E571B1" w:rsidP="00B57EC7">
            <w:pPr>
              <w:jc w:val="center"/>
              <w:rPr>
                <w:b/>
              </w:rPr>
            </w:pPr>
            <w:r>
              <w:rPr>
                <w:b/>
              </w:rPr>
              <w:t>Water System</w:t>
            </w:r>
          </w:p>
        </w:tc>
      </w:tr>
      <w:tr w:rsidR="00E571B1" w:rsidTr="00B57EC7">
        <w:trPr>
          <w:jc w:val="center"/>
        </w:trPr>
        <w:tc>
          <w:tcPr>
            <w:tcW w:w="7668" w:type="dxa"/>
            <w:hideMark/>
          </w:tcPr>
          <w:p w:rsidR="00E571B1" w:rsidRDefault="00E571B1" w:rsidP="00B57EC7">
            <w:pPr>
              <w:rPr>
                <w:b/>
              </w:rPr>
            </w:pPr>
            <w:r>
              <w:rPr>
                <w:b/>
              </w:rPr>
              <w:t>Explanation</w:t>
            </w:r>
          </w:p>
        </w:tc>
        <w:tc>
          <w:tcPr>
            <w:tcW w:w="1908" w:type="dxa"/>
            <w:hideMark/>
          </w:tcPr>
          <w:p w:rsidR="00E571B1" w:rsidRDefault="00E571B1" w:rsidP="00B57EC7">
            <w:pPr>
              <w:rPr>
                <w:b/>
              </w:rPr>
            </w:pPr>
            <w:r>
              <w:rPr>
                <w:b/>
              </w:rPr>
              <w:t>Amount</w:t>
            </w:r>
          </w:p>
        </w:tc>
      </w:tr>
      <w:tr w:rsidR="00E571B1" w:rsidTr="00B57EC7">
        <w:trPr>
          <w:jc w:val="center"/>
        </w:trPr>
        <w:tc>
          <w:tcPr>
            <w:tcW w:w="7668" w:type="dxa"/>
          </w:tcPr>
          <w:p w:rsidR="00E571B1" w:rsidRDefault="00E571B1" w:rsidP="00B57EC7">
            <w:pPr>
              <w:rPr>
                <w:b/>
              </w:rPr>
            </w:pPr>
          </w:p>
        </w:tc>
        <w:tc>
          <w:tcPr>
            <w:tcW w:w="1908" w:type="dxa"/>
          </w:tcPr>
          <w:p w:rsidR="00E571B1" w:rsidRDefault="00E571B1" w:rsidP="00B57EC7">
            <w:pPr>
              <w:rPr>
                <w:b/>
              </w:rPr>
            </w:pPr>
          </w:p>
        </w:tc>
      </w:tr>
      <w:tr w:rsidR="00E571B1" w:rsidTr="00B57EC7">
        <w:trPr>
          <w:jc w:val="center"/>
        </w:trPr>
        <w:tc>
          <w:tcPr>
            <w:tcW w:w="7668" w:type="dxa"/>
            <w:hideMark/>
          </w:tcPr>
          <w:p w:rsidR="00E571B1" w:rsidRDefault="00E571B1" w:rsidP="00B57EC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Land &amp; Land Rights</w:t>
            </w:r>
          </w:p>
        </w:tc>
        <w:tc>
          <w:tcPr>
            <w:tcW w:w="1908" w:type="dxa"/>
          </w:tcPr>
          <w:p w:rsidR="00E571B1" w:rsidRDefault="00E571B1" w:rsidP="00B57EC7"/>
        </w:tc>
      </w:tr>
      <w:tr w:rsidR="00E571B1" w:rsidTr="00B57EC7">
        <w:trPr>
          <w:jc w:val="center"/>
        </w:trPr>
        <w:tc>
          <w:tcPr>
            <w:tcW w:w="7668" w:type="dxa"/>
            <w:hideMark/>
          </w:tcPr>
          <w:p w:rsidR="00E571B1" w:rsidRDefault="00E571B1" w:rsidP="00B57EC7">
            <w:r>
              <w:t>To reflect appropriate amount of land &amp; land rights.</w:t>
            </w:r>
          </w:p>
        </w:tc>
        <w:tc>
          <w:tcPr>
            <w:tcW w:w="1908" w:type="dxa"/>
            <w:hideMark/>
          </w:tcPr>
          <w:p w:rsidR="00E571B1" w:rsidRDefault="00E571B1" w:rsidP="00B57EC7">
            <w:pPr>
              <w:jc w:val="right"/>
              <w:rPr>
                <w:u w:val="double"/>
              </w:rPr>
            </w:pPr>
            <w:r>
              <w:rPr>
                <w:u w:val="double"/>
              </w:rPr>
              <w:t>($1,017)</w:t>
            </w:r>
          </w:p>
        </w:tc>
      </w:tr>
      <w:tr w:rsidR="00E571B1" w:rsidTr="00B57EC7">
        <w:trPr>
          <w:jc w:val="center"/>
        </w:trPr>
        <w:tc>
          <w:tcPr>
            <w:tcW w:w="7668" w:type="dxa"/>
            <w:hideMark/>
          </w:tcPr>
          <w:p w:rsidR="00E571B1" w:rsidRDefault="00E571B1" w:rsidP="00B57EC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Depreciation</w:t>
            </w:r>
          </w:p>
        </w:tc>
        <w:tc>
          <w:tcPr>
            <w:tcW w:w="1908" w:type="dxa"/>
          </w:tcPr>
          <w:p w:rsidR="00E571B1" w:rsidRDefault="00E571B1" w:rsidP="00B57EC7">
            <w:pPr>
              <w:jc w:val="right"/>
              <w:rPr>
                <w:u w:val="double"/>
              </w:rPr>
            </w:pPr>
          </w:p>
        </w:tc>
      </w:tr>
      <w:tr w:rsidR="00E571B1" w:rsidTr="00B57EC7">
        <w:trPr>
          <w:jc w:val="center"/>
        </w:trPr>
        <w:tc>
          <w:tcPr>
            <w:tcW w:w="7668" w:type="dxa"/>
            <w:hideMark/>
          </w:tcPr>
          <w:p w:rsidR="00E571B1" w:rsidRDefault="00E571B1" w:rsidP="00B57EC7">
            <w:r>
              <w:t>To reflect appropriate amount of accumulated depreciation.</w:t>
            </w:r>
          </w:p>
        </w:tc>
        <w:tc>
          <w:tcPr>
            <w:tcW w:w="1908" w:type="dxa"/>
            <w:hideMark/>
          </w:tcPr>
          <w:p w:rsidR="00E571B1" w:rsidRDefault="00E571B1" w:rsidP="00B57EC7">
            <w:pPr>
              <w:jc w:val="right"/>
              <w:rPr>
                <w:u w:val="double"/>
              </w:rPr>
            </w:pPr>
            <w:r>
              <w:rPr>
                <w:u w:val="double"/>
              </w:rPr>
              <w:t>$1,138</w:t>
            </w:r>
          </w:p>
        </w:tc>
      </w:tr>
      <w:tr w:rsidR="00E571B1" w:rsidTr="00B57EC7">
        <w:trPr>
          <w:jc w:val="center"/>
        </w:trPr>
        <w:tc>
          <w:tcPr>
            <w:tcW w:w="7668" w:type="dxa"/>
          </w:tcPr>
          <w:p w:rsidR="00E571B1" w:rsidRDefault="00E571B1" w:rsidP="00B57EC7"/>
        </w:tc>
        <w:tc>
          <w:tcPr>
            <w:tcW w:w="1908" w:type="dxa"/>
          </w:tcPr>
          <w:p w:rsidR="00E571B1" w:rsidRDefault="00E571B1" w:rsidP="00B57EC7">
            <w:pPr>
              <w:jc w:val="right"/>
              <w:rPr>
                <w:u w:val="double"/>
              </w:rPr>
            </w:pPr>
          </w:p>
        </w:tc>
      </w:tr>
      <w:tr w:rsidR="00E571B1" w:rsidTr="00B57EC7">
        <w:trPr>
          <w:jc w:val="center"/>
        </w:trPr>
        <w:tc>
          <w:tcPr>
            <w:tcW w:w="7668" w:type="dxa"/>
            <w:hideMark/>
          </w:tcPr>
          <w:p w:rsidR="00E571B1" w:rsidRDefault="00E571B1" w:rsidP="00B57EC7">
            <w:r>
              <w:t>Total Adjustments to Net Book Value as of May 31, 2015.</w:t>
            </w:r>
          </w:p>
        </w:tc>
        <w:tc>
          <w:tcPr>
            <w:tcW w:w="1908" w:type="dxa"/>
            <w:hideMark/>
          </w:tcPr>
          <w:p w:rsidR="00E571B1" w:rsidRPr="00206B9F" w:rsidRDefault="00E571B1" w:rsidP="00B57EC7">
            <w:pPr>
              <w:jc w:val="right"/>
              <w:rPr>
                <w:highlight w:val="yellow"/>
                <w:u w:val="double"/>
              </w:rPr>
            </w:pPr>
            <w:r w:rsidRPr="00206B9F">
              <w:rPr>
                <w:u w:val="double"/>
              </w:rPr>
              <w:t>$</w:t>
            </w:r>
            <w:r w:rsidRPr="00206B9F">
              <w:rPr>
                <w:highlight w:val="yellow"/>
                <w:u w:val="double"/>
              </w:rPr>
              <w:t>121</w:t>
            </w:r>
          </w:p>
        </w:tc>
      </w:tr>
      <w:tr w:rsidR="00E571B1" w:rsidTr="00B57EC7">
        <w:trPr>
          <w:jc w:val="center"/>
        </w:trPr>
        <w:tc>
          <w:tcPr>
            <w:tcW w:w="7668" w:type="dxa"/>
          </w:tcPr>
          <w:p w:rsidR="00E571B1" w:rsidRDefault="00E571B1" w:rsidP="00B57EC7"/>
        </w:tc>
        <w:tc>
          <w:tcPr>
            <w:tcW w:w="1908" w:type="dxa"/>
          </w:tcPr>
          <w:p w:rsidR="00E571B1" w:rsidRDefault="00E571B1" w:rsidP="00B57EC7">
            <w:pPr>
              <w:jc w:val="right"/>
              <w:rPr>
                <w:u w:val="double"/>
              </w:rPr>
            </w:pPr>
          </w:p>
        </w:tc>
      </w:tr>
      <w:tr w:rsidR="00E571B1" w:rsidTr="00B57EC7">
        <w:trPr>
          <w:jc w:val="center"/>
        </w:trPr>
        <w:tc>
          <w:tcPr>
            <w:tcW w:w="7668" w:type="dxa"/>
          </w:tcPr>
          <w:p w:rsidR="00E571B1" w:rsidRDefault="00E571B1" w:rsidP="00B57EC7"/>
        </w:tc>
        <w:tc>
          <w:tcPr>
            <w:tcW w:w="1908" w:type="dxa"/>
          </w:tcPr>
          <w:p w:rsidR="00E571B1" w:rsidRDefault="00E571B1" w:rsidP="00B57EC7">
            <w:pPr>
              <w:jc w:val="right"/>
              <w:rPr>
                <w:u w:val="double"/>
              </w:rPr>
            </w:pPr>
          </w:p>
        </w:tc>
      </w:tr>
    </w:tbl>
    <w:p w:rsidR="00E571B1" w:rsidRDefault="00E571B1" w:rsidP="00924F71">
      <w:pPr>
        <w:pStyle w:val="BodyText"/>
      </w:pPr>
    </w:p>
    <w:p w:rsidR="00E571B1" w:rsidRDefault="00E571B1" w:rsidP="00924F71">
      <w:pPr>
        <w:pStyle w:val="BodyText"/>
      </w:pPr>
    </w:p>
    <w:p w:rsidR="00FE7D08" w:rsidRDefault="00FE7D08" w:rsidP="00924F71">
      <w:pPr>
        <w:pStyle w:val="BodyText"/>
        <w:sectPr w:rsidR="00FE7D08" w:rsidSect="0068481F">
          <w:headerReference w:type="default" r:id="rId16"/>
          <w:pgSz w:w="12240" w:h="15840" w:code="1"/>
          <w:pgMar w:top="1584" w:right="1440" w:bottom="1440" w:left="144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7"/>
        <w:gridCol w:w="1615"/>
        <w:gridCol w:w="1576"/>
      </w:tblGrid>
      <w:tr w:rsidR="00FE7D08" w:rsidTr="00B57EC7">
        <w:tc>
          <w:tcPr>
            <w:tcW w:w="9576" w:type="dxa"/>
            <w:gridSpan w:val="4"/>
            <w:hideMark/>
          </w:tcPr>
          <w:p w:rsidR="00FE7D08" w:rsidRDefault="00FE7D08" w:rsidP="00B57EC7">
            <w:pPr>
              <w:jc w:val="center"/>
              <w:rPr>
                <w:b/>
              </w:rPr>
            </w:pPr>
            <w:r>
              <w:rPr>
                <w:b/>
              </w:rPr>
              <w:lastRenderedPageBreak/>
              <w:t>Oak Springs, LLC</w:t>
            </w:r>
          </w:p>
        </w:tc>
      </w:tr>
      <w:tr w:rsidR="00FE7D08" w:rsidTr="00B57EC7">
        <w:tc>
          <w:tcPr>
            <w:tcW w:w="9576" w:type="dxa"/>
            <w:gridSpan w:val="4"/>
            <w:hideMark/>
          </w:tcPr>
          <w:p w:rsidR="00FE7D08" w:rsidRDefault="00FE7D08" w:rsidP="00B57EC7">
            <w:pPr>
              <w:jc w:val="center"/>
              <w:rPr>
                <w:b/>
              </w:rPr>
            </w:pPr>
            <w:r>
              <w:rPr>
                <w:b/>
              </w:rPr>
              <w:t>Water System</w:t>
            </w:r>
          </w:p>
        </w:tc>
      </w:tr>
      <w:tr w:rsidR="00FE7D08" w:rsidTr="00B57EC7">
        <w:tc>
          <w:tcPr>
            <w:tcW w:w="9576" w:type="dxa"/>
            <w:gridSpan w:val="4"/>
            <w:hideMark/>
          </w:tcPr>
          <w:p w:rsidR="00FE7D08" w:rsidRDefault="00FE7D08" w:rsidP="00B57EC7">
            <w:pPr>
              <w:jc w:val="center"/>
              <w:rPr>
                <w:b/>
              </w:rPr>
            </w:pPr>
            <w:r>
              <w:rPr>
                <w:b/>
              </w:rPr>
              <w:t>Schedule of Staff Recommended Account Balances as of May 31, 2015</w:t>
            </w:r>
          </w:p>
        </w:tc>
      </w:tr>
      <w:tr w:rsidR="00FE7D08" w:rsidTr="00B57EC7">
        <w:tc>
          <w:tcPr>
            <w:tcW w:w="1098" w:type="dxa"/>
          </w:tcPr>
          <w:p w:rsidR="00FE7D08" w:rsidRDefault="00FE7D08" w:rsidP="00B57EC7">
            <w:pPr>
              <w:jc w:val="center"/>
              <w:rPr>
                <w:b/>
              </w:rPr>
            </w:pPr>
          </w:p>
        </w:tc>
        <w:tc>
          <w:tcPr>
            <w:tcW w:w="5287" w:type="dxa"/>
          </w:tcPr>
          <w:p w:rsidR="00FE7D08" w:rsidRDefault="00FE7D08" w:rsidP="00B57EC7">
            <w:pPr>
              <w:rPr>
                <w:b/>
              </w:rPr>
            </w:pPr>
          </w:p>
        </w:tc>
        <w:tc>
          <w:tcPr>
            <w:tcW w:w="1615" w:type="dxa"/>
          </w:tcPr>
          <w:p w:rsidR="00FE7D08" w:rsidRDefault="00FE7D08" w:rsidP="00B57EC7">
            <w:pPr>
              <w:rPr>
                <w:b/>
                <w:highlight w:val="yellow"/>
              </w:rPr>
            </w:pPr>
          </w:p>
        </w:tc>
        <w:tc>
          <w:tcPr>
            <w:tcW w:w="1576" w:type="dxa"/>
          </w:tcPr>
          <w:p w:rsidR="00FE7D08" w:rsidRDefault="00FE7D08" w:rsidP="00B57EC7">
            <w:pPr>
              <w:jc w:val="right"/>
              <w:rPr>
                <w:b/>
              </w:rPr>
            </w:pPr>
          </w:p>
        </w:tc>
      </w:tr>
      <w:tr w:rsidR="00FE7D08" w:rsidTr="00B57EC7">
        <w:tc>
          <w:tcPr>
            <w:tcW w:w="1098" w:type="dxa"/>
            <w:hideMark/>
          </w:tcPr>
          <w:p w:rsidR="00FE7D08" w:rsidRDefault="00FE7D08" w:rsidP="00B57EC7">
            <w:pPr>
              <w:jc w:val="center"/>
              <w:rPr>
                <w:b/>
              </w:rPr>
            </w:pPr>
            <w:r>
              <w:rPr>
                <w:b/>
              </w:rPr>
              <w:t>Account</w:t>
            </w:r>
          </w:p>
        </w:tc>
        <w:tc>
          <w:tcPr>
            <w:tcW w:w="5287" w:type="dxa"/>
          </w:tcPr>
          <w:p w:rsidR="00FE7D08" w:rsidRDefault="00FE7D08" w:rsidP="00B57EC7">
            <w:pPr>
              <w:rPr>
                <w:b/>
              </w:rPr>
            </w:pPr>
          </w:p>
        </w:tc>
        <w:tc>
          <w:tcPr>
            <w:tcW w:w="1615" w:type="dxa"/>
          </w:tcPr>
          <w:p w:rsidR="00FE7D08" w:rsidRDefault="00FE7D08" w:rsidP="00B57EC7">
            <w:pPr>
              <w:rPr>
                <w:b/>
                <w:highlight w:val="yellow"/>
              </w:rPr>
            </w:pPr>
          </w:p>
        </w:tc>
        <w:tc>
          <w:tcPr>
            <w:tcW w:w="1576" w:type="dxa"/>
            <w:hideMark/>
          </w:tcPr>
          <w:p w:rsidR="00FE7D08" w:rsidRDefault="00FE7D08" w:rsidP="00B57EC7">
            <w:pPr>
              <w:jc w:val="right"/>
              <w:rPr>
                <w:b/>
              </w:rPr>
            </w:pPr>
            <w:r>
              <w:rPr>
                <w:b/>
              </w:rPr>
              <w:t>Accumulated</w:t>
            </w:r>
          </w:p>
        </w:tc>
      </w:tr>
      <w:tr w:rsidR="00FE7D08" w:rsidTr="00B57EC7">
        <w:tc>
          <w:tcPr>
            <w:tcW w:w="1098" w:type="dxa"/>
            <w:hideMark/>
          </w:tcPr>
          <w:p w:rsidR="00FE7D08" w:rsidRDefault="00FE7D08" w:rsidP="00B57EC7">
            <w:pPr>
              <w:jc w:val="center"/>
              <w:rPr>
                <w:b/>
              </w:rPr>
            </w:pPr>
            <w:r>
              <w:rPr>
                <w:b/>
              </w:rPr>
              <w:t>No.</w:t>
            </w:r>
          </w:p>
        </w:tc>
        <w:tc>
          <w:tcPr>
            <w:tcW w:w="5287" w:type="dxa"/>
            <w:hideMark/>
          </w:tcPr>
          <w:p w:rsidR="00FE7D08" w:rsidRDefault="00FE7D08" w:rsidP="00B57EC7">
            <w:pPr>
              <w:rPr>
                <w:b/>
              </w:rPr>
            </w:pPr>
            <w:r>
              <w:rPr>
                <w:b/>
              </w:rPr>
              <w:t>Description</w:t>
            </w:r>
          </w:p>
        </w:tc>
        <w:tc>
          <w:tcPr>
            <w:tcW w:w="1615" w:type="dxa"/>
            <w:hideMark/>
          </w:tcPr>
          <w:p w:rsidR="00FE7D08" w:rsidRDefault="00FE7D08" w:rsidP="00B57EC7">
            <w:pPr>
              <w:jc w:val="right"/>
              <w:rPr>
                <w:b/>
              </w:rPr>
            </w:pPr>
            <w:r>
              <w:rPr>
                <w:b/>
              </w:rPr>
              <w:t>UPIS</w:t>
            </w:r>
          </w:p>
        </w:tc>
        <w:tc>
          <w:tcPr>
            <w:tcW w:w="1576" w:type="dxa"/>
            <w:hideMark/>
          </w:tcPr>
          <w:p w:rsidR="00FE7D08" w:rsidRDefault="00FE7D08" w:rsidP="00B57EC7">
            <w:pPr>
              <w:jc w:val="right"/>
              <w:rPr>
                <w:b/>
              </w:rPr>
            </w:pPr>
            <w:r>
              <w:rPr>
                <w:b/>
              </w:rPr>
              <w:t>Depreciation</w:t>
            </w:r>
          </w:p>
        </w:tc>
      </w:tr>
      <w:tr w:rsidR="00FE7D08" w:rsidTr="00B57EC7">
        <w:tc>
          <w:tcPr>
            <w:tcW w:w="1098" w:type="dxa"/>
            <w:hideMark/>
          </w:tcPr>
          <w:p w:rsidR="00FE7D08" w:rsidRDefault="00FE7D08" w:rsidP="00B57EC7">
            <w:pPr>
              <w:jc w:val="center"/>
            </w:pPr>
            <w:r>
              <w:t>301</w:t>
            </w:r>
          </w:p>
        </w:tc>
        <w:tc>
          <w:tcPr>
            <w:tcW w:w="5287" w:type="dxa"/>
            <w:hideMark/>
          </w:tcPr>
          <w:p w:rsidR="00FE7D08" w:rsidRDefault="00FE7D08" w:rsidP="00B57EC7">
            <w:r>
              <w:t>Organization</w:t>
            </w:r>
          </w:p>
        </w:tc>
        <w:tc>
          <w:tcPr>
            <w:tcW w:w="1615" w:type="dxa"/>
            <w:hideMark/>
          </w:tcPr>
          <w:p w:rsidR="00FE7D08" w:rsidRDefault="00FE7D08" w:rsidP="00B57EC7">
            <w:pPr>
              <w:jc w:val="right"/>
            </w:pPr>
            <w:r>
              <w:t>$10,000</w:t>
            </w:r>
          </w:p>
        </w:tc>
        <w:tc>
          <w:tcPr>
            <w:tcW w:w="1576" w:type="dxa"/>
            <w:hideMark/>
          </w:tcPr>
          <w:p w:rsidR="00FE7D08" w:rsidRDefault="00FE7D08" w:rsidP="00B57EC7">
            <w:pPr>
              <w:jc w:val="right"/>
            </w:pPr>
            <w:r>
              <w:t>$0</w:t>
            </w:r>
          </w:p>
        </w:tc>
      </w:tr>
      <w:tr w:rsidR="00FE7D08" w:rsidTr="00B57EC7">
        <w:tc>
          <w:tcPr>
            <w:tcW w:w="1098" w:type="dxa"/>
            <w:hideMark/>
          </w:tcPr>
          <w:p w:rsidR="00FE7D08" w:rsidRDefault="00FE7D08" w:rsidP="00B57EC7">
            <w:pPr>
              <w:jc w:val="center"/>
            </w:pPr>
            <w:r>
              <w:t>304</w:t>
            </w:r>
          </w:p>
        </w:tc>
        <w:tc>
          <w:tcPr>
            <w:tcW w:w="5287" w:type="dxa"/>
            <w:hideMark/>
          </w:tcPr>
          <w:p w:rsidR="00FE7D08" w:rsidRDefault="00FE7D08" w:rsidP="00B57EC7">
            <w:r>
              <w:t>Structures &amp; Improvements</w:t>
            </w:r>
          </w:p>
        </w:tc>
        <w:tc>
          <w:tcPr>
            <w:tcW w:w="1615" w:type="dxa"/>
            <w:hideMark/>
          </w:tcPr>
          <w:p w:rsidR="00FE7D08" w:rsidRDefault="00FE7D08" w:rsidP="00B57EC7">
            <w:pPr>
              <w:jc w:val="right"/>
            </w:pPr>
            <w:r>
              <w:t>1,198</w:t>
            </w:r>
          </w:p>
        </w:tc>
        <w:tc>
          <w:tcPr>
            <w:tcW w:w="1576" w:type="dxa"/>
            <w:hideMark/>
          </w:tcPr>
          <w:p w:rsidR="00FE7D08" w:rsidRDefault="00FE7D08" w:rsidP="00B57EC7">
            <w:pPr>
              <w:jc w:val="right"/>
            </w:pPr>
            <w:r>
              <w:t>(1,198)</w:t>
            </w:r>
          </w:p>
        </w:tc>
      </w:tr>
      <w:tr w:rsidR="00FE7D08" w:rsidTr="00B57EC7">
        <w:tc>
          <w:tcPr>
            <w:tcW w:w="1098" w:type="dxa"/>
            <w:hideMark/>
          </w:tcPr>
          <w:p w:rsidR="00FE7D08" w:rsidRDefault="00FE7D08" w:rsidP="00B57EC7">
            <w:pPr>
              <w:jc w:val="center"/>
            </w:pPr>
            <w:r>
              <w:t>307</w:t>
            </w:r>
          </w:p>
        </w:tc>
        <w:tc>
          <w:tcPr>
            <w:tcW w:w="5287" w:type="dxa"/>
            <w:hideMark/>
          </w:tcPr>
          <w:p w:rsidR="00FE7D08" w:rsidRDefault="00FE7D08" w:rsidP="00B57EC7">
            <w:r>
              <w:t>Wells &amp; Springs</w:t>
            </w:r>
          </w:p>
        </w:tc>
        <w:tc>
          <w:tcPr>
            <w:tcW w:w="1615" w:type="dxa"/>
            <w:hideMark/>
          </w:tcPr>
          <w:p w:rsidR="00FE7D08" w:rsidRDefault="00FE7D08" w:rsidP="00B57EC7">
            <w:pPr>
              <w:jc w:val="right"/>
            </w:pPr>
            <w:r>
              <w:t>88,110</w:t>
            </w:r>
          </w:p>
        </w:tc>
        <w:tc>
          <w:tcPr>
            <w:tcW w:w="1576" w:type="dxa"/>
            <w:hideMark/>
          </w:tcPr>
          <w:p w:rsidR="00FE7D08" w:rsidRDefault="00FE7D08" w:rsidP="00B57EC7">
            <w:pPr>
              <w:jc w:val="right"/>
            </w:pPr>
            <w:r>
              <w:t>(88,110)</w:t>
            </w:r>
          </w:p>
        </w:tc>
      </w:tr>
      <w:tr w:rsidR="00FE7D08" w:rsidTr="00B57EC7">
        <w:tc>
          <w:tcPr>
            <w:tcW w:w="1098" w:type="dxa"/>
            <w:hideMark/>
          </w:tcPr>
          <w:p w:rsidR="00FE7D08" w:rsidRDefault="00FE7D08" w:rsidP="00B57EC7">
            <w:pPr>
              <w:jc w:val="center"/>
            </w:pPr>
            <w:r>
              <w:t>309</w:t>
            </w:r>
          </w:p>
        </w:tc>
        <w:tc>
          <w:tcPr>
            <w:tcW w:w="5287" w:type="dxa"/>
            <w:hideMark/>
          </w:tcPr>
          <w:p w:rsidR="00FE7D08" w:rsidRDefault="00FE7D08" w:rsidP="00B57EC7">
            <w:r>
              <w:t>Supply Mains</w:t>
            </w:r>
          </w:p>
        </w:tc>
        <w:tc>
          <w:tcPr>
            <w:tcW w:w="1615" w:type="dxa"/>
            <w:hideMark/>
          </w:tcPr>
          <w:p w:rsidR="00FE7D08" w:rsidRDefault="00FE7D08" w:rsidP="00B57EC7">
            <w:pPr>
              <w:jc w:val="right"/>
            </w:pPr>
            <w:r>
              <w:t>3,754</w:t>
            </w:r>
          </w:p>
        </w:tc>
        <w:tc>
          <w:tcPr>
            <w:tcW w:w="1576" w:type="dxa"/>
            <w:hideMark/>
          </w:tcPr>
          <w:p w:rsidR="00FE7D08" w:rsidRDefault="00FE7D08" w:rsidP="00B57EC7">
            <w:pPr>
              <w:jc w:val="right"/>
            </w:pPr>
            <w:r>
              <w:t>(3,754)</w:t>
            </w:r>
          </w:p>
        </w:tc>
      </w:tr>
      <w:tr w:rsidR="00FE7D08" w:rsidTr="00B57EC7">
        <w:tc>
          <w:tcPr>
            <w:tcW w:w="1098" w:type="dxa"/>
            <w:hideMark/>
          </w:tcPr>
          <w:p w:rsidR="00FE7D08" w:rsidRDefault="00FE7D08" w:rsidP="00B57EC7">
            <w:pPr>
              <w:jc w:val="center"/>
            </w:pPr>
            <w:r>
              <w:t>310</w:t>
            </w:r>
          </w:p>
        </w:tc>
        <w:tc>
          <w:tcPr>
            <w:tcW w:w="5287" w:type="dxa"/>
            <w:hideMark/>
          </w:tcPr>
          <w:p w:rsidR="00FE7D08" w:rsidRDefault="00FE7D08" w:rsidP="00B57EC7">
            <w:r>
              <w:t>Power Generation Equipment</w:t>
            </w:r>
          </w:p>
        </w:tc>
        <w:tc>
          <w:tcPr>
            <w:tcW w:w="1615" w:type="dxa"/>
            <w:hideMark/>
          </w:tcPr>
          <w:p w:rsidR="00FE7D08" w:rsidRDefault="00FE7D08" w:rsidP="00B57EC7">
            <w:pPr>
              <w:jc w:val="right"/>
            </w:pPr>
            <w:r>
              <w:t>48,627</w:t>
            </w:r>
          </w:p>
        </w:tc>
        <w:tc>
          <w:tcPr>
            <w:tcW w:w="1576" w:type="dxa"/>
            <w:hideMark/>
          </w:tcPr>
          <w:p w:rsidR="00FE7D08" w:rsidRDefault="00FE7D08" w:rsidP="00B57EC7">
            <w:pPr>
              <w:jc w:val="right"/>
            </w:pPr>
            <w:r>
              <w:t>(26,055)</w:t>
            </w:r>
          </w:p>
        </w:tc>
      </w:tr>
      <w:tr w:rsidR="00FE7D08" w:rsidTr="00B57EC7">
        <w:tc>
          <w:tcPr>
            <w:tcW w:w="1098" w:type="dxa"/>
            <w:hideMark/>
          </w:tcPr>
          <w:p w:rsidR="00FE7D08" w:rsidRDefault="00FE7D08" w:rsidP="00B57EC7">
            <w:pPr>
              <w:jc w:val="center"/>
            </w:pPr>
            <w:r>
              <w:t>311</w:t>
            </w:r>
          </w:p>
        </w:tc>
        <w:tc>
          <w:tcPr>
            <w:tcW w:w="5287" w:type="dxa"/>
            <w:hideMark/>
          </w:tcPr>
          <w:p w:rsidR="00FE7D08" w:rsidRDefault="00FE7D08" w:rsidP="00B57EC7">
            <w:r>
              <w:t>Pumping Equipment</w:t>
            </w:r>
          </w:p>
        </w:tc>
        <w:tc>
          <w:tcPr>
            <w:tcW w:w="1615" w:type="dxa"/>
            <w:hideMark/>
          </w:tcPr>
          <w:p w:rsidR="00FE7D08" w:rsidRDefault="00FE7D08" w:rsidP="00B57EC7">
            <w:pPr>
              <w:jc w:val="right"/>
            </w:pPr>
            <w:r>
              <w:t>36,900</w:t>
            </w:r>
          </w:p>
        </w:tc>
        <w:tc>
          <w:tcPr>
            <w:tcW w:w="1576" w:type="dxa"/>
            <w:hideMark/>
          </w:tcPr>
          <w:p w:rsidR="00FE7D08" w:rsidRDefault="00FE7D08" w:rsidP="00B57EC7">
            <w:pPr>
              <w:jc w:val="right"/>
            </w:pPr>
            <w:r>
              <w:t>(904)</w:t>
            </w:r>
          </w:p>
        </w:tc>
      </w:tr>
      <w:tr w:rsidR="00FE7D08" w:rsidTr="00B57EC7">
        <w:tc>
          <w:tcPr>
            <w:tcW w:w="1098" w:type="dxa"/>
            <w:hideMark/>
          </w:tcPr>
          <w:p w:rsidR="00FE7D08" w:rsidRDefault="00FE7D08" w:rsidP="00B57EC7">
            <w:pPr>
              <w:jc w:val="center"/>
            </w:pPr>
            <w:r>
              <w:t>320</w:t>
            </w:r>
          </w:p>
        </w:tc>
        <w:tc>
          <w:tcPr>
            <w:tcW w:w="5287" w:type="dxa"/>
            <w:hideMark/>
          </w:tcPr>
          <w:p w:rsidR="00FE7D08" w:rsidRDefault="00FE7D08" w:rsidP="00B57EC7">
            <w:r>
              <w:t>Water Treatment Equipment</w:t>
            </w:r>
          </w:p>
        </w:tc>
        <w:tc>
          <w:tcPr>
            <w:tcW w:w="1615" w:type="dxa"/>
            <w:hideMark/>
          </w:tcPr>
          <w:p w:rsidR="00FE7D08" w:rsidRDefault="00FE7D08" w:rsidP="00B57EC7">
            <w:pPr>
              <w:jc w:val="right"/>
            </w:pPr>
            <w:r>
              <w:t>19,325</w:t>
            </w:r>
          </w:p>
        </w:tc>
        <w:tc>
          <w:tcPr>
            <w:tcW w:w="1576" w:type="dxa"/>
            <w:hideMark/>
          </w:tcPr>
          <w:p w:rsidR="00FE7D08" w:rsidRDefault="00FE7D08" w:rsidP="00B57EC7">
            <w:pPr>
              <w:jc w:val="right"/>
            </w:pPr>
            <w:r>
              <w:t>(19,325)</w:t>
            </w:r>
          </w:p>
        </w:tc>
      </w:tr>
      <w:tr w:rsidR="00FE7D08" w:rsidTr="00B57EC7">
        <w:tc>
          <w:tcPr>
            <w:tcW w:w="1098" w:type="dxa"/>
            <w:hideMark/>
          </w:tcPr>
          <w:p w:rsidR="00FE7D08" w:rsidRDefault="00FE7D08" w:rsidP="00B57EC7">
            <w:pPr>
              <w:jc w:val="center"/>
            </w:pPr>
            <w:r>
              <w:t>330</w:t>
            </w:r>
          </w:p>
        </w:tc>
        <w:tc>
          <w:tcPr>
            <w:tcW w:w="5287" w:type="dxa"/>
            <w:hideMark/>
          </w:tcPr>
          <w:p w:rsidR="00FE7D08" w:rsidRDefault="00FE7D08" w:rsidP="00B57EC7">
            <w:r>
              <w:t>Distribution Reservoirs &amp; Standpipes</w:t>
            </w:r>
          </w:p>
        </w:tc>
        <w:tc>
          <w:tcPr>
            <w:tcW w:w="1615" w:type="dxa"/>
            <w:hideMark/>
          </w:tcPr>
          <w:p w:rsidR="00FE7D08" w:rsidRDefault="00FE7D08" w:rsidP="00B57EC7">
            <w:pPr>
              <w:jc w:val="right"/>
            </w:pPr>
            <w:r>
              <w:t>61,889</w:t>
            </w:r>
          </w:p>
        </w:tc>
        <w:tc>
          <w:tcPr>
            <w:tcW w:w="1576" w:type="dxa"/>
            <w:hideMark/>
          </w:tcPr>
          <w:p w:rsidR="00FE7D08" w:rsidRDefault="00FE7D08" w:rsidP="00B57EC7">
            <w:pPr>
              <w:jc w:val="right"/>
            </w:pPr>
            <w:r>
              <w:t>(35,217)</w:t>
            </w:r>
          </w:p>
        </w:tc>
      </w:tr>
      <w:tr w:rsidR="00FE7D08" w:rsidTr="00B57EC7">
        <w:tc>
          <w:tcPr>
            <w:tcW w:w="1098" w:type="dxa"/>
            <w:hideMark/>
          </w:tcPr>
          <w:p w:rsidR="00FE7D08" w:rsidRDefault="00FE7D08" w:rsidP="00B57EC7">
            <w:pPr>
              <w:jc w:val="center"/>
            </w:pPr>
            <w:r>
              <w:t>331</w:t>
            </w:r>
          </w:p>
        </w:tc>
        <w:tc>
          <w:tcPr>
            <w:tcW w:w="5287" w:type="dxa"/>
            <w:hideMark/>
          </w:tcPr>
          <w:p w:rsidR="00FE7D08" w:rsidRDefault="00FE7D08" w:rsidP="00B57EC7">
            <w:r>
              <w:t>Transmission &amp; Distribution Lines</w:t>
            </w:r>
          </w:p>
        </w:tc>
        <w:tc>
          <w:tcPr>
            <w:tcW w:w="1615" w:type="dxa"/>
            <w:hideMark/>
          </w:tcPr>
          <w:p w:rsidR="00FE7D08" w:rsidRDefault="00FE7D08" w:rsidP="00B57EC7">
            <w:pPr>
              <w:jc w:val="right"/>
            </w:pPr>
            <w:r>
              <w:t>62,738</w:t>
            </w:r>
          </w:p>
        </w:tc>
        <w:tc>
          <w:tcPr>
            <w:tcW w:w="1576" w:type="dxa"/>
            <w:hideMark/>
          </w:tcPr>
          <w:p w:rsidR="00FE7D08" w:rsidRDefault="00FE7D08" w:rsidP="00B57EC7">
            <w:pPr>
              <w:jc w:val="right"/>
            </w:pPr>
            <w:r>
              <w:t>(59,718)</w:t>
            </w:r>
          </w:p>
        </w:tc>
      </w:tr>
      <w:tr w:rsidR="00FE7D08" w:rsidTr="00B57EC7">
        <w:tc>
          <w:tcPr>
            <w:tcW w:w="1098" w:type="dxa"/>
            <w:hideMark/>
          </w:tcPr>
          <w:p w:rsidR="00FE7D08" w:rsidRDefault="00FE7D08" w:rsidP="00B57EC7">
            <w:pPr>
              <w:jc w:val="center"/>
            </w:pPr>
            <w:r>
              <w:t>333</w:t>
            </w:r>
          </w:p>
        </w:tc>
        <w:tc>
          <w:tcPr>
            <w:tcW w:w="5287" w:type="dxa"/>
            <w:hideMark/>
          </w:tcPr>
          <w:p w:rsidR="00FE7D08" w:rsidRDefault="00FE7D08" w:rsidP="00B57EC7">
            <w:r>
              <w:t>Services</w:t>
            </w:r>
          </w:p>
        </w:tc>
        <w:tc>
          <w:tcPr>
            <w:tcW w:w="1615" w:type="dxa"/>
            <w:hideMark/>
          </w:tcPr>
          <w:p w:rsidR="00FE7D08" w:rsidRDefault="00FE7D08" w:rsidP="00B57EC7">
            <w:pPr>
              <w:jc w:val="right"/>
            </w:pPr>
            <w:r>
              <w:t>32,810</w:t>
            </w:r>
          </w:p>
        </w:tc>
        <w:tc>
          <w:tcPr>
            <w:tcW w:w="1576" w:type="dxa"/>
            <w:hideMark/>
          </w:tcPr>
          <w:p w:rsidR="00FE7D08" w:rsidRDefault="00FE7D08" w:rsidP="00B57EC7">
            <w:pPr>
              <w:jc w:val="right"/>
            </w:pPr>
            <w:r>
              <w:t>(32,810)</w:t>
            </w:r>
          </w:p>
        </w:tc>
      </w:tr>
      <w:tr w:rsidR="00FE7D08" w:rsidTr="00B57EC7">
        <w:tc>
          <w:tcPr>
            <w:tcW w:w="1098" w:type="dxa"/>
            <w:hideMark/>
          </w:tcPr>
          <w:p w:rsidR="00FE7D08" w:rsidRDefault="00FE7D08" w:rsidP="00B57EC7">
            <w:pPr>
              <w:jc w:val="center"/>
            </w:pPr>
            <w:r>
              <w:t>334</w:t>
            </w:r>
          </w:p>
        </w:tc>
        <w:tc>
          <w:tcPr>
            <w:tcW w:w="5287" w:type="dxa"/>
            <w:hideMark/>
          </w:tcPr>
          <w:p w:rsidR="00FE7D08" w:rsidRDefault="00FE7D08" w:rsidP="00B57EC7">
            <w:r>
              <w:t>Meters and Meter Installations</w:t>
            </w:r>
          </w:p>
        </w:tc>
        <w:tc>
          <w:tcPr>
            <w:tcW w:w="1615" w:type="dxa"/>
            <w:hideMark/>
          </w:tcPr>
          <w:p w:rsidR="00FE7D08" w:rsidRDefault="00FE7D08" w:rsidP="00B57EC7">
            <w:pPr>
              <w:jc w:val="right"/>
            </w:pPr>
            <w:r>
              <w:t>65,256</w:t>
            </w:r>
          </w:p>
        </w:tc>
        <w:tc>
          <w:tcPr>
            <w:tcW w:w="1576" w:type="dxa"/>
            <w:hideMark/>
          </w:tcPr>
          <w:p w:rsidR="00FE7D08" w:rsidRDefault="00FE7D08" w:rsidP="00B57EC7">
            <w:pPr>
              <w:jc w:val="right"/>
            </w:pPr>
            <w:r w:rsidRPr="00206B9F">
              <w:t>(</w:t>
            </w:r>
            <w:r w:rsidRPr="00206B9F">
              <w:rPr>
                <w:highlight w:val="yellow"/>
              </w:rPr>
              <w:t>56,690</w:t>
            </w:r>
            <w:r w:rsidRPr="00206B9F">
              <w:t>)</w:t>
            </w:r>
          </w:p>
        </w:tc>
      </w:tr>
      <w:tr w:rsidR="00FE7D08" w:rsidTr="00B57EC7">
        <w:tc>
          <w:tcPr>
            <w:tcW w:w="1098" w:type="dxa"/>
            <w:hideMark/>
          </w:tcPr>
          <w:p w:rsidR="00FE7D08" w:rsidRDefault="00FE7D08" w:rsidP="00B57EC7">
            <w:pPr>
              <w:jc w:val="center"/>
            </w:pPr>
            <w:r>
              <w:t>335</w:t>
            </w:r>
          </w:p>
        </w:tc>
        <w:tc>
          <w:tcPr>
            <w:tcW w:w="5287" w:type="dxa"/>
            <w:hideMark/>
          </w:tcPr>
          <w:p w:rsidR="00FE7D08" w:rsidRDefault="00FE7D08" w:rsidP="00B57EC7">
            <w:r>
              <w:t>Hydrants</w:t>
            </w:r>
          </w:p>
        </w:tc>
        <w:tc>
          <w:tcPr>
            <w:tcW w:w="1615" w:type="dxa"/>
            <w:hideMark/>
          </w:tcPr>
          <w:p w:rsidR="00FE7D08" w:rsidRDefault="00FE7D08" w:rsidP="00B57EC7">
            <w:pPr>
              <w:jc w:val="right"/>
            </w:pPr>
            <w:r>
              <w:t>10,850</w:t>
            </w:r>
          </w:p>
        </w:tc>
        <w:tc>
          <w:tcPr>
            <w:tcW w:w="1576" w:type="dxa"/>
            <w:hideMark/>
          </w:tcPr>
          <w:p w:rsidR="00FE7D08" w:rsidRDefault="00FE7D08" w:rsidP="00B57EC7">
            <w:pPr>
              <w:jc w:val="right"/>
            </w:pPr>
            <w:r>
              <w:t>(10,431)</w:t>
            </w:r>
          </w:p>
        </w:tc>
      </w:tr>
      <w:tr w:rsidR="00FE7D08" w:rsidTr="00B57EC7">
        <w:tc>
          <w:tcPr>
            <w:tcW w:w="1098" w:type="dxa"/>
            <w:hideMark/>
          </w:tcPr>
          <w:p w:rsidR="00FE7D08" w:rsidRDefault="00FE7D08" w:rsidP="00B57EC7">
            <w:pPr>
              <w:jc w:val="center"/>
            </w:pPr>
            <w:r>
              <w:t>336</w:t>
            </w:r>
          </w:p>
        </w:tc>
        <w:tc>
          <w:tcPr>
            <w:tcW w:w="5287" w:type="dxa"/>
            <w:hideMark/>
          </w:tcPr>
          <w:p w:rsidR="00FE7D08" w:rsidRDefault="00FE7D08" w:rsidP="00B57EC7">
            <w:r>
              <w:t>Backflow Prevention Devices</w:t>
            </w:r>
          </w:p>
        </w:tc>
        <w:tc>
          <w:tcPr>
            <w:tcW w:w="1615" w:type="dxa"/>
            <w:hideMark/>
          </w:tcPr>
          <w:p w:rsidR="00FE7D08" w:rsidRDefault="00FE7D08" w:rsidP="00B57EC7">
            <w:pPr>
              <w:jc w:val="right"/>
            </w:pPr>
            <w:r>
              <w:rPr>
                <w:u w:val="single"/>
              </w:rPr>
              <w:t>3,400</w:t>
            </w:r>
          </w:p>
        </w:tc>
        <w:tc>
          <w:tcPr>
            <w:tcW w:w="1576" w:type="dxa"/>
            <w:hideMark/>
          </w:tcPr>
          <w:p w:rsidR="00FE7D08" w:rsidRDefault="00FE7D08" w:rsidP="00B57EC7">
            <w:pPr>
              <w:jc w:val="right"/>
            </w:pPr>
            <w:r>
              <w:rPr>
                <w:u w:val="single"/>
              </w:rPr>
              <w:t>(3,400)</w:t>
            </w:r>
          </w:p>
        </w:tc>
      </w:tr>
      <w:tr w:rsidR="00FE7D08" w:rsidTr="00B57EC7">
        <w:tc>
          <w:tcPr>
            <w:tcW w:w="1098" w:type="dxa"/>
          </w:tcPr>
          <w:p w:rsidR="00FE7D08" w:rsidRDefault="00FE7D08" w:rsidP="00B57EC7">
            <w:pPr>
              <w:jc w:val="center"/>
            </w:pPr>
          </w:p>
        </w:tc>
        <w:tc>
          <w:tcPr>
            <w:tcW w:w="5287" w:type="dxa"/>
            <w:hideMark/>
          </w:tcPr>
          <w:p w:rsidR="00FE7D08" w:rsidRDefault="00FE7D08" w:rsidP="00B57EC7">
            <w:r>
              <w:t>Total</w:t>
            </w:r>
          </w:p>
        </w:tc>
        <w:tc>
          <w:tcPr>
            <w:tcW w:w="1615" w:type="dxa"/>
            <w:hideMark/>
          </w:tcPr>
          <w:p w:rsidR="00FE7D08" w:rsidRDefault="00FE7D08" w:rsidP="00B57EC7">
            <w:pPr>
              <w:jc w:val="right"/>
              <w:rPr>
                <w:u w:val="single"/>
              </w:rPr>
            </w:pPr>
            <w:r>
              <w:rPr>
                <w:u w:val="double"/>
              </w:rPr>
              <w:t>$444,857</w:t>
            </w:r>
          </w:p>
        </w:tc>
        <w:tc>
          <w:tcPr>
            <w:tcW w:w="1576" w:type="dxa"/>
            <w:hideMark/>
          </w:tcPr>
          <w:p w:rsidR="00FE7D08" w:rsidRDefault="00FE7D08" w:rsidP="00B57EC7">
            <w:pPr>
              <w:jc w:val="right"/>
              <w:rPr>
                <w:u w:val="single"/>
              </w:rPr>
            </w:pPr>
            <w:r w:rsidRPr="00206B9F">
              <w:rPr>
                <w:u w:val="double"/>
              </w:rPr>
              <w:t>($</w:t>
            </w:r>
            <w:r w:rsidRPr="00206B9F">
              <w:rPr>
                <w:highlight w:val="yellow"/>
                <w:u w:val="double"/>
              </w:rPr>
              <w:t>337,612</w:t>
            </w:r>
            <w:r w:rsidRPr="00206B9F">
              <w:rPr>
                <w:u w:val="double"/>
              </w:rPr>
              <w:t>)</w:t>
            </w:r>
          </w:p>
        </w:tc>
      </w:tr>
      <w:tr w:rsidR="00FE7D08" w:rsidTr="00B57EC7">
        <w:tc>
          <w:tcPr>
            <w:tcW w:w="1098" w:type="dxa"/>
          </w:tcPr>
          <w:p w:rsidR="00FE7D08" w:rsidRDefault="00FE7D08" w:rsidP="00B57EC7"/>
        </w:tc>
        <w:tc>
          <w:tcPr>
            <w:tcW w:w="5287" w:type="dxa"/>
          </w:tcPr>
          <w:p w:rsidR="00FE7D08" w:rsidRDefault="00FE7D08" w:rsidP="00B57EC7"/>
        </w:tc>
        <w:tc>
          <w:tcPr>
            <w:tcW w:w="1615" w:type="dxa"/>
          </w:tcPr>
          <w:p w:rsidR="00FE7D08" w:rsidRDefault="00FE7D08" w:rsidP="00B57EC7">
            <w:pPr>
              <w:jc w:val="right"/>
              <w:rPr>
                <w:u w:val="double"/>
              </w:rPr>
            </w:pPr>
          </w:p>
        </w:tc>
        <w:tc>
          <w:tcPr>
            <w:tcW w:w="1576" w:type="dxa"/>
          </w:tcPr>
          <w:p w:rsidR="00FE7D08" w:rsidRDefault="00FE7D08" w:rsidP="00B57EC7">
            <w:pPr>
              <w:jc w:val="right"/>
              <w:rPr>
                <w:u w:val="double"/>
              </w:rPr>
            </w:pPr>
          </w:p>
        </w:tc>
      </w:tr>
    </w:tbl>
    <w:p w:rsidR="00E571B1" w:rsidRDefault="00E571B1" w:rsidP="00924F71">
      <w:pPr>
        <w:pStyle w:val="BodyText"/>
      </w:pPr>
    </w:p>
    <w:sectPr w:rsidR="00E571B1"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61" w:rsidRDefault="00981E61">
      <w:r>
        <w:separator/>
      </w:r>
    </w:p>
  </w:endnote>
  <w:endnote w:type="continuationSeparator" w:id="0">
    <w:p w:rsidR="00981E61" w:rsidRDefault="0098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675D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61" w:rsidRDefault="00981E61">
      <w:r>
        <w:separator/>
      </w:r>
    </w:p>
  </w:footnote>
  <w:footnote w:type="continuationSeparator" w:id="0">
    <w:p w:rsidR="00981E61" w:rsidRDefault="00981E61">
      <w:r>
        <w:continuationSeparator/>
      </w:r>
    </w:p>
  </w:footnote>
  <w:footnote w:id="1">
    <w:p w:rsidR="00981E61" w:rsidRDefault="00981E61">
      <w:pPr>
        <w:pStyle w:val="FootnoteText"/>
      </w:pPr>
      <w:r>
        <w:rPr>
          <w:rStyle w:val="FootnoteReference"/>
        </w:rPr>
        <w:footnoteRef/>
      </w:r>
      <w:r>
        <w:t xml:space="preserve"> </w:t>
      </w:r>
      <w:r w:rsidRPr="00981E61">
        <w:t xml:space="preserve">Oak Springs was granted an exemption from Commission regulation pursuant to Order No. PSC-96-1246-FOF-WS, issued October 7, 1996, in Docket No. 960589-WS, </w:t>
      </w:r>
      <w:r w:rsidRPr="00981E61">
        <w:rPr>
          <w:i/>
        </w:rPr>
        <w:t>In re: Request for Exemption from Florida Public Service Commission Regulation from Provision of Water and Wastewater Service in Lake County by Oak Springs Manufactured Home Community.</w:t>
      </w:r>
    </w:p>
  </w:footnote>
  <w:footnote w:id="2">
    <w:p w:rsidR="00981E61" w:rsidRDefault="00981E61">
      <w:pPr>
        <w:pStyle w:val="FootnoteText"/>
      </w:pPr>
      <w:r>
        <w:rPr>
          <w:rStyle w:val="FootnoteReference"/>
        </w:rPr>
        <w:footnoteRef/>
      </w:r>
      <w:r>
        <w:t xml:space="preserve"> </w:t>
      </w:r>
      <w:r w:rsidRPr="00981E61">
        <w:t xml:space="preserve">Order No. PSC-1120-PAA-WU, issued November 9, 2005, in Docket No. 040515-WU, </w:t>
      </w:r>
      <w:r w:rsidRPr="00981E61">
        <w:rPr>
          <w:i/>
        </w:rPr>
        <w:t>In re: Application for certificate to operate water utility in Orange and Lake Counties by Oak Springs, LLC.</w:t>
      </w:r>
    </w:p>
  </w:footnote>
  <w:footnote w:id="3">
    <w:p w:rsidR="00B04929" w:rsidRDefault="00B04929">
      <w:pPr>
        <w:pStyle w:val="FootnoteText"/>
      </w:pPr>
      <w:r>
        <w:rPr>
          <w:rStyle w:val="FootnoteReference"/>
        </w:rPr>
        <w:footnoteRef/>
      </w:r>
      <w:r>
        <w:t xml:space="preserve"> </w:t>
      </w:r>
      <w:r w:rsidRPr="00B04929">
        <w:rPr>
          <w:u w:val="single"/>
        </w:rPr>
        <w:t>Reich v. Dept. of Health</w:t>
      </w:r>
      <w:r w:rsidRPr="00B04929">
        <w:t xml:space="preserve">, 868 So. 2d 1275 (Fla. 1st DCA 2004); </w:t>
      </w:r>
      <w:r w:rsidRPr="00B04929">
        <w:rPr>
          <w:u w:val="single"/>
        </w:rPr>
        <w:t>Smull v. Town of Jupiter</w:t>
      </w:r>
      <w:r w:rsidRPr="00B04929">
        <w:t>, 854 So. 2d 780 (Fla. 4th DCA 2003)</w:t>
      </w:r>
      <w:r>
        <w:t>.</w:t>
      </w:r>
    </w:p>
  </w:footnote>
  <w:footnote w:id="4">
    <w:p w:rsidR="00B04929" w:rsidRPr="00B04929" w:rsidRDefault="00B04929">
      <w:pPr>
        <w:pStyle w:val="FootnoteText"/>
      </w:pPr>
      <w:r>
        <w:rPr>
          <w:rStyle w:val="FootnoteReference"/>
        </w:rPr>
        <w:footnoteRef/>
      </w:r>
      <w:r>
        <w:t xml:space="preserve"> </w:t>
      </w:r>
      <w:r>
        <w:rPr>
          <w:u w:val="single"/>
        </w:rPr>
        <w:t>Id.</w:t>
      </w:r>
    </w:p>
  </w:footnote>
  <w:footnote w:id="5">
    <w:p w:rsidR="00B04929" w:rsidRDefault="00B04929">
      <w:pPr>
        <w:pStyle w:val="FootnoteText"/>
      </w:pPr>
      <w:r>
        <w:rPr>
          <w:rStyle w:val="FootnoteReference"/>
        </w:rPr>
        <w:footnoteRef/>
      </w:r>
      <w:r>
        <w:t xml:space="preserve"> </w:t>
      </w:r>
      <w:r w:rsidRPr="00B04929">
        <w:rPr>
          <w:u w:val="single"/>
        </w:rPr>
        <w:t>Boyd v. Southeastern Tel. Co.</w:t>
      </w:r>
      <w:r w:rsidRPr="00B04929">
        <w:t xml:space="preserve"> 105 So. 2d. 889 (Fla. 1958) (citing </w:t>
      </w:r>
      <w:r w:rsidRPr="00B04929">
        <w:rPr>
          <w:u w:val="single"/>
        </w:rPr>
        <w:t>State v. Seaboard Air Line Ry. Co.</w:t>
      </w:r>
      <w:r w:rsidRPr="00B04929">
        <w:t>, 111 So. 391 (Fla. 1927))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81E6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20160075-WU</w:t>
    </w:r>
    <w:bookmarkEnd w:id="15"/>
  </w:p>
  <w:p w:rsidR="00BC402E" w:rsidRDefault="00BC402E">
    <w:pPr>
      <w:pStyle w:val="Header"/>
    </w:pPr>
    <w:r>
      <w:t xml:space="preserve">Date: </w:t>
    </w:r>
    <w:r w:rsidR="00404D7D">
      <w:fldChar w:fldCharType="begin"/>
    </w:r>
    <w:r w:rsidR="00404D7D">
      <w:instrText xml:space="preserve"> REF FilingDate </w:instrText>
    </w:r>
    <w:r w:rsidR="00404D7D">
      <w:fldChar w:fldCharType="separate"/>
    </w:r>
    <w:r w:rsidR="00F268A6">
      <w:t>August 24, 2017</w:t>
    </w:r>
    <w:r w:rsidR="00404D7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268A6">
      <w:t>Docket No.</w:t>
    </w:r>
    <w:r>
      <w:fldChar w:fldCharType="end"/>
    </w:r>
    <w:r>
      <w:t xml:space="preserve"> </w:t>
    </w:r>
    <w:r>
      <w:fldChar w:fldCharType="begin"/>
    </w:r>
    <w:r>
      <w:instrText xml:space="preserve"> REF DocketList</w:instrText>
    </w:r>
    <w:r>
      <w:fldChar w:fldCharType="separate"/>
    </w:r>
    <w:r w:rsidR="00F268A6">
      <w:t>20160075-WU</w:t>
    </w:r>
    <w:r>
      <w:fldChar w:fldCharType="end"/>
    </w:r>
    <w:r>
      <w:tab/>
      <w:t xml:space="preserve">Issue </w:t>
    </w:r>
    <w:r w:rsidR="00404D7D">
      <w:fldChar w:fldCharType="begin"/>
    </w:r>
    <w:r w:rsidR="00404D7D">
      <w:instrText xml:space="preserve"> Seq Issue \c \* Arabic </w:instrText>
    </w:r>
    <w:r w:rsidR="00404D7D">
      <w:fldChar w:fldCharType="separate"/>
    </w:r>
    <w:r w:rsidR="00D675D9">
      <w:rPr>
        <w:noProof/>
      </w:rPr>
      <w:t>2</w:t>
    </w:r>
    <w:r w:rsidR="00404D7D">
      <w:rPr>
        <w:noProof/>
      </w:rPr>
      <w:fldChar w:fldCharType="end"/>
    </w:r>
  </w:p>
  <w:p w:rsidR="00BC402E" w:rsidRDefault="00BC402E">
    <w:pPr>
      <w:pStyle w:val="Header"/>
    </w:pPr>
    <w:r>
      <w:t xml:space="preserve">Date: </w:t>
    </w:r>
    <w:r w:rsidR="00404D7D">
      <w:fldChar w:fldCharType="begin"/>
    </w:r>
    <w:r w:rsidR="00404D7D">
      <w:instrText xml:space="preserve"> REF FilingDate </w:instrText>
    </w:r>
    <w:r w:rsidR="00404D7D">
      <w:fldChar w:fldCharType="separate"/>
    </w:r>
    <w:r w:rsidR="00F268A6">
      <w:t>August 24, 2017</w:t>
    </w:r>
    <w:r w:rsidR="00404D7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rsidP="00220732">
    <w:pPr>
      <w:pStyle w:val="Header"/>
      <w:tabs>
        <w:tab w:val="clear" w:pos="4320"/>
        <w:tab w:val="clear" w:pos="8640"/>
        <w:tab w:val="right" w:pos="9360"/>
      </w:tabs>
    </w:pPr>
    <w:r>
      <w:fldChar w:fldCharType="begin"/>
    </w:r>
    <w:r>
      <w:instrText xml:space="preserve"> REF DocketLabel</w:instrText>
    </w:r>
    <w:r>
      <w:fldChar w:fldCharType="separate"/>
    </w:r>
    <w:r w:rsidR="00F268A6">
      <w:t>Docket No.</w:t>
    </w:r>
    <w:r>
      <w:fldChar w:fldCharType="end"/>
    </w:r>
    <w:r>
      <w:t xml:space="preserve"> </w:t>
    </w:r>
    <w:r>
      <w:fldChar w:fldCharType="begin"/>
    </w:r>
    <w:r>
      <w:instrText xml:space="preserve"> REF DocketList</w:instrText>
    </w:r>
    <w:r>
      <w:fldChar w:fldCharType="separate"/>
    </w:r>
    <w:r w:rsidR="00F268A6">
      <w:t>20160075-WU</w:t>
    </w:r>
    <w:r>
      <w:fldChar w:fldCharType="end"/>
    </w:r>
    <w:r>
      <w:tab/>
      <w:t>Schedule No. 1</w:t>
    </w:r>
  </w:p>
  <w:p w:rsidR="00B336F0" w:rsidRDefault="00B336F0" w:rsidP="00B336F0">
    <w:pPr>
      <w:pStyle w:val="Header"/>
      <w:tabs>
        <w:tab w:val="clear" w:pos="8640"/>
        <w:tab w:val="right" w:pos="9360"/>
      </w:tabs>
    </w:pPr>
    <w:r>
      <w:t xml:space="preserve">Date: </w:t>
    </w:r>
    <w:r w:rsidR="00404D7D">
      <w:fldChar w:fldCharType="begin"/>
    </w:r>
    <w:r w:rsidR="00404D7D">
      <w:instrText xml:space="preserve"> REF FilingDate </w:instrText>
    </w:r>
    <w:r w:rsidR="00404D7D">
      <w:fldChar w:fldCharType="separate"/>
    </w:r>
    <w:r w:rsidR="00F268A6">
      <w:t>August 24, 2017</w:t>
    </w:r>
    <w:r w:rsidR="00404D7D">
      <w:fldChar w:fldCharType="end"/>
    </w:r>
    <w:r>
      <w:tab/>
    </w:r>
    <w:r>
      <w:tab/>
      <w:t>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B1" w:rsidRDefault="00E571B1" w:rsidP="00220732">
    <w:pPr>
      <w:pStyle w:val="Header"/>
      <w:tabs>
        <w:tab w:val="clear" w:pos="4320"/>
        <w:tab w:val="clear" w:pos="8640"/>
        <w:tab w:val="right" w:pos="9360"/>
      </w:tabs>
    </w:pPr>
    <w:r>
      <w:fldChar w:fldCharType="begin"/>
    </w:r>
    <w:r>
      <w:instrText xml:space="preserve"> REF DocketLabel</w:instrText>
    </w:r>
    <w:r>
      <w:fldChar w:fldCharType="separate"/>
    </w:r>
    <w:r w:rsidR="00F268A6">
      <w:t>Docket No.</w:t>
    </w:r>
    <w:r>
      <w:fldChar w:fldCharType="end"/>
    </w:r>
    <w:r>
      <w:t xml:space="preserve"> </w:t>
    </w:r>
    <w:r>
      <w:fldChar w:fldCharType="begin"/>
    </w:r>
    <w:r>
      <w:instrText xml:space="preserve"> REF DocketList</w:instrText>
    </w:r>
    <w:r>
      <w:fldChar w:fldCharType="separate"/>
    </w:r>
    <w:r w:rsidR="00F268A6">
      <w:t>20160075-WU</w:t>
    </w:r>
    <w:r>
      <w:fldChar w:fldCharType="end"/>
    </w:r>
    <w:r>
      <w:tab/>
      <w:t>Schedule No. 1</w:t>
    </w:r>
  </w:p>
  <w:p w:rsidR="00E571B1" w:rsidRDefault="00E571B1" w:rsidP="00B336F0">
    <w:pPr>
      <w:pStyle w:val="Header"/>
      <w:tabs>
        <w:tab w:val="clear" w:pos="8640"/>
        <w:tab w:val="right" w:pos="9360"/>
      </w:tabs>
    </w:pPr>
    <w:r>
      <w:t xml:space="preserve">Date: </w:t>
    </w:r>
    <w:r w:rsidR="00404D7D">
      <w:fldChar w:fldCharType="begin"/>
    </w:r>
    <w:r w:rsidR="00404D7D">
      <w:instrText xml:space="preserve"> REF FilingDate </w:instrText>
    </w:r>
    <w:r w:rsidR="00404D7D">
      <w:fldChar w:fldCharType="separate"/>
    </w:r>
    <w:r w:rsidR="00F268A6">
      <w:t>August 24, 2017</w:t>
    </w:r>
    <w:r w:rsidR="00404D7D">
      <w:fldChar w:fldCharType="end"/>
    </w:r>
    <w:r>
      <w:tab/>
    </w:r>
    <w:r>
      <w:tab/>
      <w:t>Page 2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08" w:rsidRDefault="00FE7D08" w:rsidP="00220732">
    <w:pPr>
      <w:pStyle w:val="Header"/>
      <w:tabs>
        <w:tab w:val="clear" w:pos="4320"/>
        <w:tab w:val="clear" w:pos="8640"/>
        <w:tab w:val="right" w:pos="9360"/>
      </w:tabs>
    </w:pPr>
    <w:r>
      <w:fldChar w:fldCharType="begin"/>
    </w:r>
    <w:r>
      <w:instrText xml:space="preserve"> REF DocketLabel</w:instrText>
    </w:r>
    <w:r>
      <w:fldChar w:fldCharType="separate"/>
    </w:r>
    <w:r w:rsidR="00F268A6">
      <w:t>Docket No.</w:t>
    </w:r>
    <w:r>
      <w:fldChar w:fldCharType="end"/>
    </w:r>
    <w:r>
      <w:t xml:space="preserve"> </w:t>
    </w:r>
    <w:r>
      <w:fldChar w:fldCharType="begin"/>
    </w:r>
    <w:r>
      <w:instrText xml:space="preserve"> REF DocketList</w:instrText>
    </w:r>
    <w:r>
      <w:fldChar w:fldCharType="separate"/>
    </w:r>
    <w:r w:rsidR="00F268A6">
      <w:t>20160075-WU</w:t>
    </w:r>
    <w:r>
      <w:fldChar w:fldCharType="end"/>
    </w:r>
    <w:r>
      <w:tab/>
      <w:t>Schedule No. 1</w:t>
    </w:r>
  </w:p>
  <w:p w:rsidR="00FE7D08" w:rsidRDefault="00FE7D08" w:rsidP="00B336F0">
    <w:pPr>
      <w:pStyle w:val="Header"/>
      <w:tabs>
        <w:tab w:val="clear" w:pos="8640"/>
        <w:tab w:val="right" w:pos="9360"/>
      </w:tabs>
    </w:pPr>
    <w:r>
      <w:t xml:space="preserve">Date: </w:t>
    </w:r>
    <w:r w:rsidR="00404D7D">
      <w:fldChar w:fldCharType="begin"/>
    </w:r>
    <w:r w:rsidR="00404D7D">
      <w:instrText xml:space="preserve"> REF FilingDate </w:instrText>
    </w:r>
    <w:r w:rsidR="00404D7D">
      <w:fldChar w:fldCharType="separate"/>
    </w:r>
    <w:r w:rsidR="00F268A6">
      <w:t>August 24, 2017</w:t>
    </w:r>
    <w:r w:rsidR="00404D7D">
      <w:fldChar w:fldCharType="end"/>
    </w:r>
    <w:r>
      <w:tab/>
    </w:r>
    <w:r>
      <w:tab/>
      <w:t>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1E61"/>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72A6D"/>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D1BE7"/>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129A"/>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F71"/>
    <w:rsid w:val="009271A7"/>
    <w:rsid w:val="0093658B"/>
    <w:rsid w:val="009429FF"/>
    <w:rsid w:val="00945BD6"/>
    <w:rsid w:val="009479FB"/>
    <w:rsid w:val="00951C45"/>
    <w:rsid w:val="009656F2"/>
    <w:rsid w:val="00966A08"/>
    <w:rsid w:val="00971207"/>
    <w:rsid w:val="00975CB4"/>
    <w:rsid w:val="00981E61"/>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25F6"/>
    <w:rsid w:val="00A2374B"/>
    <w:rsid w:val="00A27D6E"/>
    <w:rsid w:val="00A328EC"/>
    <w:rsid w:val="00A33A51"/>
    <w:rsid w:val="00A41CA6"/>
    <w:rsid w:val="00A47927"/>
    <w:rsid w:val="00A47FFC"/>
    <w:rsid w:val="00A5442F"/>
    <w:rsid w:val="00A54FF9"/>
    <w:rsid w:val="00A56765"/>
    <w:rsid w:val="00A628B4"/>
    <w:rsid w:val="00A675AC"/>
    <w:rsid w:val="00A7581F"/>
    <w:rsid w:val="00A92FB1"/>
    <w:rsid w:val="00A95A0C"/>
    <w:rsid w:val="00AA2765"/>
    <w:rsid w:val="00AA77B5"/>
    <w:rsid w:val="00AB6C5D"/>
    <w:rsid w:val="00AC3401"/>
    <w:rsid w:val="00AC51A7"/>
    <w:rsid w:val="00AC6B9A"/>
    <w:rsid w:val="00AD444B"/>
    <w:rsid w:val="00AD6C78"/>
    <w:rsid w:val="00AE2EAB"/>
    <w:rsid w:val="00AF5F89"/>
    <w:rsid w:val="00AF73CB"/>
    <w:rsid w:val="00B002D6"/>
    <w:rsid w:val="00B04929"/>
    <w:rsid w:val="00B05B51"/>
    <w:rsid w:val="00B14E5A"/>
    <w:rsid w:val="00B15370"/>
    <w:rsid w:val="00B16DA4"/>
    <w:rsid w:val="00B17BEB"/>
    <w:rsid w:val="00B21A3C"/>
    <w:rsid w:val="00B223C0"/>
    <w:rsid w:val="00B234ED"/>
    <w:rsid w:val="00B249B2"/>
    <w:rsid w:val="00B25CA3"/>
    <w:rsid w:val="00B2765A"/>
    <w:rsid w:val="00B336F0"/>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D07"/>
    <w:rsid w:val="00D04BE4"/>
    <w:rsid w:val="00D12565"/>
    <w:rsid w:val="00D14127"/>
    <w:rsid w:val="00D60B16"/>
    <w:rsid w:val="00D60F02"/>
    <w:rsid w:val="00D66E49"/>
    <w:rsid w:val="00D675D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571B1"/>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D6E4D"/>
    <w:rsid w:val="00EF264C"/>
    <w:rsid w:val="00EF3FEE"/>
    <w:rsid w:val="00F04B59"/>
    <w:rsid w:val="00F11741"/>
    <w:rsid w:val="00F12B1C"/>
    <w:rsid w:val="00F13CF8"/>
    <w:rsid w:val="00F15855"/>
    <w:rsid w:val="00F268A6"/>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5661"/>
    <w:rsid w:val="00FE0577"/>
    <w:rsid w:val="00FE59EC"/>
    <w:rsid w:val="00FE5B67"/>
    <w:rsid w:val="00FE60D6"/>
    <w:rsid w:val="00FE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81E61"/>
    <w:rPr>
      <w:vertAlign w:val="superscript"/>
    </w:rPr>
  </w:style>
  <w:style w:type="paragraph" w:styleId="ListParagraph">
    <w:name w:val="List Paragraph"/>
    <w:basedOn w:val="Normal"/>
    <w:uiPriority w:val="34"/>
    <w:qFormat/>
    <w:rsid w:val="00E571B1"/>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81E61"/>
    <w:rPr>
      <w:vertAlign w:val="superscript"/>
    </w:rPr>
  </w:style>
  <w:style w:type="paragraph" w:styleId="ListParagraph">
    <w:name w:val="List Paragraph"/>
    <w:basedOn w:val="Normal"/>
    <w:uiPriority w:val="34"/>
    <w:qFormat/>
    <w:rsid w:val="00E571B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B927-EBB0-43C3-B102-E6ECB611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1179</Words>
  <Characters>6797</Characters>
  <Application>Microsoft Office Word</Application>
  <DocSecurity>0</DocSecurity>
  <Lines>261</Lines>
  <Paragraphs>173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Caitlin Burch</cp:lastModifiedBy>
  <cp:revision>2</cp:revision>
  <cp:lastPrinted>2017-08-24T14:14:00Z</cp:lastPrinted>
  <dcterms:created xsi:type="dcterms:W3CDTF">2017-08-24T14:34:00Z</dcterms:created>
  <dcterms:modified xsi:type="dcterms:W3CDTF">2017-08-24T14:34:00Z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20160075-WU</vt:lpwstr>
  </property>
  <property fmtid="{D5CDD505-2E9C-101B-9397-08002B2CF9AE}" pid="3" name="MasterDocument">
    <vt:bool>false</vt:bool>
  </property>
</Properties>
</file>