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D033EB" w:rsidRDefault="00F34150" w:rsidP="00F34150">
      <w:pPr>
        <w:pStyle w:val="OrderHeading"/>
      </w:pPr>
      <w:r w:rsidRPr="00D033EB">
        <w:t>BEFORE THE FLORIDA PUBLIC SERVICE COMMISSION</w:t>
      </w:r>
    </w:p>
    <w:p w:rsidR="00F34150" w:rsidRPr="00D033EB" w:rsidRDefault="00F34150" w:rsidP="00F34150">
      <w:pPr>
        <w:pStyle w:val="OrderHeading"/>
      </w:pPr>
    </w:p>
    <w:p w:rsidR="00F34150" w:rsidRPr="00D033EB" w:rsidRDefault="00F34150" w:rsidP="00F341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4150" w:rsidRPr="00D033EB" w:rsidTr="00B57274">
        <w:trPr>
          <w:trHeight w:val="828"/>
        </w:trPr>
        <w:tc>
          <w:tcPr>
            <w:tcW w:w="4788" w:type="dxa"/>
            <w:tcBorders>
              <w:bottom w:val="single" w:sz="8" w:space="0" w:color="auto"/>
              <w:right w:val="double" w:sz="6" w:space="0" w:color="auto"/>
            </w:tcBorders>
            <w:shd w:val="clear" w:color="auto" w:fill="auto"/>
          </w:tcPr>
          <w:p w:rsidR="00F34150" w:rsidRPr="00D033EB" w:rsidRDefault="00F34150" w:rsidP="00B57274">
            <w:pPr>
              <w:pStyle w:val="OrderBody"/>
              <w:tabs>
                <w:tab w:val="center" w:pos="4320"/>
                <w:tab w:val="right" w:pos="8640"/>
              </w:tabs>
              <w:jc w:val="left"/>
            </w:pPr>
            <w:r w:rsidRPr="00D033EB">
              <w:t xml:space="preserve">In re: </w:t>
            </w:r>
            <w:bookmarkStart w:id="0" w:name="SSInRe"/>
            <w:bookmarkEnd w:id="0"/>
            <w:r w:rsidRPr="00D033EB">
              <w:t>Environmental cost recovery clause.</w:t>
            </w:r>
          </w:p>
        </w:tc>
        <w:tc>
          <w:tcPr>
            <w:tcW w:w="4788" w:type="dxa"/>
            <w:tcBorders>
              <w:left w:val="double" w:sz="6" w:space="0" w:color="auto"/>
            </w:tcBorders>
            <w:shd w:val="clear" w:color="auto" w:fill="auto"/>
          </w:tcPr>
          <w:p w:rsidR="00F34150" w:rsidRPr="00D033EB" w:rsidRDefault="00F34150" w:rsidP="00F34150">
            <w:pPr>
              <w:pStyle w:val="OrderBody"/>
            </w:pPr>
            <w:r w:rsidRPr="00D033EB">
              <w:t xml:space="preserve">DOCKET NO. </w:t>
            </w:r>
            <w:bookmarkStart w:id="1" w:name="SSDocketNo"/>
            <w:bookmarkEnd w:id="1"/>
            <w:r w:rsidRPr="00D033EB">
              <w:t>20170007-EI</w:t>
            </w:r>
          </w:p>
          <w:p w:rsidR="00F34150" w:rsidRPr="00D033EB" w:rsidRDefault="00F34150" w:rsidP="00B57274">
            <w:pPr>
              <w:pStyle w:val="OrderBody"/>
              <w:tabs>
                <w:tab w:val="center" w:pos="4320"/>
                <w:tab w:val="right" w:pos="8640"/>
              </w:tabs>
              <w:jc w:val="left"/>
            </w:pPr>
            <w:r w:rsidRPr="00D033EB">
              <w:t xml:space="preserve">ORDER NO. </w:t>
            </w:r>
            <w:bookmarkStart w:id="2" w:name="OrderNo0400"/>
            <w:r w:rsidR="000A28AF">
              <w:t>PSC-2017-0400-PHO-EI</w:t>
            </w:r>
            <w:bookmarkEnd w:id="2"/>
          </w:p>
          <w:p w:rsidR="00F34150" w:rsidRPr="00D033EB" w:rsidRDefault="00F34150" w:rsidP="00B57274">
            <w:pPr>
              <w:pStyle w:val="OrderBody"/>
              <w:tabs>
                <w:tab w:val="center" w:pos="4320"/>
                <w:tab w:val="right" w:pos="8640"/>
              </w:tabs>
              <w:jc w:val="left"/>
            </w:pPr>
            <w:r w:rsidRPr="00D033EB">
              <w:t xml:space="preserve">ISSUED: </w:t>
            </w:r>
            <w:r w:rsidR="000A28AF">
              <w:t>October 20, 2017</w:t>
            </w:r>
          </w:p>
        </w:tc>
      </w:tr>
    </w:tbl>
    <w:p w:rsidR="00F34150" w:rsidRPr="00D033EB" w:rsidRDefault="00F34150" w:rsidP="00F34150"/>
    <w:p w:rsidR="00F34150" w:rsidRPr="00D033EB" w:rsidRDefault="00F34150" w:rsidP="00F34150"/>
    <w:p w:rsidR="00CB5276" w:rsidRPr="00D033EB" w:rsidRDefault="00F34150" w:rsidP="00F34150">
      <w:pPr>
        <w:pStyle w:val="CenterUnderline"/>
      </w:pPr>
      <w:bookmarkStart w:id="3" w:name="Commissioners"/>
      <w:bookmarkStart w:id="4" w:name="OrderTitle"/>
      <w:bookmarkEnd w:id="3"/>
      <w:r w:rsidRPr="00D033EB">
        <w:t xml:space="preserve">PREHEARING ORDER </w:t>
      </w:r>
      <w:bookmarkEnd w:id="4"/>
    </w:p>
    <w:p w:rsidR="00F34150" w:rsidRPr="00D033EB" w:rsidRDefault="00F34150" w:rsidP="00F34150">
      <w:pPr>
        <w:pStyle w:val="CenterUnderline"/>
      </w:pPr>
    </w:p>
    <w:p w:rsidR="00F34150" w:rsidRPr="00D033EB" w:rsidRDefault="00F34150" w:rsidP="00F34150">
      <w:pPr>
        <w:ind w:firstLine="720"/>
        <w:jc w:val="both"/>
      </w:pPr>
      <w:r w:rsidRPr="00D033EB">
        <w:t xml:space="preserve">Pursuant to Notice and in accordance with Rule 28-106.209, Florida Administrative Code (F.A.C.), a Prehearing Conference was held on </w:t>
      </w:r>
      <w:r w:rsidR="00D44339" w:rsidRPr="00D033EB">
        <w:t>October 11, 2017</w:t>
      </w:r>
      <w:r w:rsidRPr="00D033EB">
        <w:t>, in Tallahassee, Florida, before Commissioner</w:t>
      </w:r>
      <w:r w:rsidR="00D44339" w:rsidRPr="00D033EB">
        <w:t xml:space="preserve"> Ronald A. Brisé,</w:t>
      </w:r>
      <w:r w:rsidRPr="00D033EB">
        <w:t xml:space="preserve"> as Prehearing Officer.</w:t>
      </w:r>
    </w:p>
    <w:p w:rsidR="00F34150" w:rsidRPr="00D033EB" w:rsidRDefault="00F34150" w:rsidP="00F34150">
      <w:pPr>
        <w:jc w:val="both"/>
      </w:pPr>
    </w:p>
    <w:p w:rsidR="00F34150" w:rsidRPr="00D033EB" w:rsidRDefault="00F34150" w:rsidP="00F34150">
      <w:pPr>
        <w:jc w:val="both"/>
      </w:pPr>
      <w:r w:rsidRPr="00D033EB">
        <w:t>APPEARANCES:</w:t>
      </w:r>
    </w:p>
    <w:p w:rsidR="00F34150" w:rsidRPr="00D033EB" w:rsidRDefault="00F34150" w:rsidP="00F34150">
      <w:pPr>
        <w:jc w:val="both"/>
      </w:pPr>
    </w:p>
    <w:p w:rsidR="00F34150" w:rsidRPr="00D033EB" w:rsidRDefault="005862D1" w:rsidP="00ED3A6A">
      <w:pPr>
        <w:ind w:left="1440"/>
        <w:jc w:val="both"/>
      </w:pPr>
      <w:r w:rsidRPr="00D033EB">
        <w:t xml:space="preserve">R. WADE LITCHFIELD, ESQUIRE, Vice President and General Counsel, JOHN T. BUTLER, ESQUIRE, Assistant General Counsel – Regulatory, and JESSICA A. CANO, </w:t>
      </w:r>
      <w:r w:rsidR="00A934C7" w:rsidRPr="00D033EB">
        <w:t xml:space="preserve">ESQUIRE, </w:t>
      </w:r>
      <w:r w:rsidRPr="00D033EB">
        <w:t>Senior Attorney, 700 Universe Boulevard, Juno Beach, Florida 33408-0420</w:t>
      </w:r>
    </w:p>
    <w:p w:rsidR="005862D1" w:rsidRPr="00D033EB" w:rsidRDefault="005862D1" w:rsidP="00ED3A6A">
      <w:pPr>
        <w:ind w:left="1440"/>
        <w:jc w:val="both"/>
        <w:rPr>
          <w:u w:val="single"/>
        </w:rPr>
      </w:pPr>
      <w:r w:rsidRPr="00D033EB">
        <w:rPr>
          <w:u w:val="single"/>
        </w:rPr>
        <w:t>On behalf of Florida Power &amp; Light Company (FPL)</w:t>
      </w:r>
    </w:p>
    <w:p w:rsidR="005862D1" w:rsidRPr="00D033EB" w:rsidRDefault="005862D1" w:rsidP="00E67629">
      <w:pPr>
        <w:ind w:left="1440"/>
        <w:jc w:val="both"/>
        <w:rPr>
          <w:u w:val="single"/>
        </w:rPr>
      </w:pPr>
    </w:p>
    <w:p w:rsidR="005862D1" w:rsidRPr="00D033EB" w:rsidRDefault="005862D1" w:rsidP="00E67629">
      <w:pPr>
        <w:ind w:left="1440"/>
        <w:jc w:val="both"/>
      </w:pPr>
      <w:r w:rsidRPr="00D033EB">
        <w:t xml:space="preserve">DIANNE M. TRIPLETT,  ESQUIRE, </w:t>
      </w:r>
      <w:r w:rsidR="00882749" w:rsidRPr="00D033EB">
        <w:t>Deputy</w:t>
      </w:r>
      <w:r w:rsidRPr="00D033EB">
        <w:t xml:space="preserve"> General Counsel, 299 First Avenue North, St. Petersburg, Florida 33701, and MATTHEW R. BERNIER, ESQUIRE, </w:t>
      </w:r>
      <w:r w:rsidR="00882749" w:rsidRPr="00D033EB">
        <w:t>Associate</w:t>
      </w:r>
      <w:r w:rsidRPr="00D033EB">
        <w:t xml:space="preserve"> </w:t>
      </w:r>
      <w:r w:rsidR="00397F07">
        <w:t xml:space="preserve">General </w:t>
      </w:r>
      <w:r w:rsidRPr="00D033EB">
        <w:t>Counsel, 106 East College Avenue, Suite 800, Tallahassee, Florida 32301</w:t>
      </w:r>
    </w:p>
    <w:p w:rsidR="005862D1" w:rsidRPr="00D033EB" w:rsidRDefault="005862D1" w:rsidP="00ED3A6A">
      <w:pPr>
        <w:ind w:left="1440"/>
        <w:jc w:val="both"/>
        <w:rPr>
          <w:u w:val="single"/>
        </w:rPr>
      </w:pPr>
      <w:r w:rsidRPr="00D033EB">
        <w:rPr>
          <w:u w:val="single"/>
        </w:rPr>
        <w:t>On behalf of Duke Energy Florida, LLC. (DEF)</w:t>
      </w:r>
    </w:p>
    <w:p w:rsidR="005862D1" w:rsidRPr="00D033EB" w:rsidRDefault="005862D1" w:rsidP="00ED3A6A">
      <w:pPr>
        <w:ind w:left="1440"/>
        <w:jc w:val="both"/>
        <w:rPr>
          <w:u w:val="single"/>
        </w:rPr>
      </w:pPr>
    </w:p>
    <w:p w:rsidR="00E67629" w:rsidRPr="00D033EB" w:rsidRDefault="005862D1" w:rsidP="00E67629">
      <w:pPr>
        <w:ind w:left="1440"/>
        <w:jc w:val="both"/>
      </w:pPr>
      <w:r w:rsidRPr="00D033EB">
        <w:rPr>
          <w:caps/>
        </w:rPr>
        <w:t>James D. Beasley, Esquire, and J. Jeffry Wahlen, esquire</w:t>
      </w:r>
      <w:r w:rsidRPr="00D033EB">
        <w:t>, Ausley McMullen, P. O. Box 391, Tallahassee, Florida 32302</w:t>
      </w:r>
    </w:p>
    <w:p w:rsidR="005862D1" w:rsidRPr="00D033EB" w:rsidRDefault="005862D1" w:rsidP="00E67629">
      <w:pPr>
        <w:ind w:left="1440"/>
        <w:jc w:val="both"/>
      </w:pPr>
      <w:r w:rsidRPr="00D033EB">
        <w:rPr>
          <w:u w:val="single"/>
        </w:rPr>
        <w:t>On behalf of Tampa Electric Company (TECO</w:t>
      </w:r>
      <w:r w:rsidRPr="00D033EB">
        <w:t>)</w:t>
      </w:r>
    </w:p>
    <w:p w:rsidR="005862D1" w:rsidRPr="00D033EB" w:rsidRDefault="005862D1" w:rsidP="00ED3A6A">
      <w:pPr>
        <w:jc w:val="both"/>
      </w:pPr>
    </w:p>
    <w:p w:rsidR="002121EE" w:rsidRPr="00D033EB" w:rsidRDefault="002121EE" w:rsidP="00E67629">
      <w:pPr>
        <w:ind w:left="1440"/>
        <w:jc w:val="both"/>
      </w:pPr>
      <w:r w:rsidRPr="00D033EB">
        <w:t>JEFFREY A. STONE, ESQUIRE,  Gulf Power Company, One Energy Place, Pensacola, FL 32520-0100</w:t>
      </w:r>
      <w:r w:rsidR="00E67629" w:rsidRPr="00D033EB">
        <w:t>,</w:t>
      </w:r>
      <w:r w:rsidRPr="00D033EB">
        <w:t xml:space="preserve"> RUSSELL A. BADDERS,</w:t>
      </w:r>
      <w:r w:rsidR="005330D8" w:rsidRPr="00D033EB">
        <w:t xml:space="preserve"> </w:t>
      </w:r>
      <w:r w:rsidRPr="00D033EB">
        <w:t>ESQUIRE and STEVEN R. GRIFFIN ESQUIRE,  Beggs &amp; Lane, P.O. Box 12950, Pensacola, FL 32591</w:t>
      </w:r>
      <w:r w:rsidRPr="00D033EB">
        <w:noBreakHyphen/>
        <w:t>2950</w:t>
      </w:r>
    </w:p>
    <w:p w:rsidR="002121EE" w:rsidRPr="00D033EB" w:rsidRDefault="002121EE" w:rsidP="00ED3A6A">
      <w:pPr>
        <w:spacing w:line="480" w:lineRule="auto"/>
        <w:ind w:firstLine="1440"/>
        <w:jc w:val="both"/>
      </w:pPr>
      <w:r w:rsidRPr="00D033EB">
        <w:rPr>
          <w:u w:val="single"/>
        </w:rPr>
        <w:t>On behalf of Gulf Power Company (Gulf)</w:t>
      </w:r>
    </w:p>
    <w:p w:rsidR="00321A3C" w:rsidRPr="00D033EB" w:rsidRDefault="00321A3C" w:rsidP="00ED3A6A">
      <w:pPr>
        <w:ind w:left="1440"/>
        <w:jc w:val="both"/>
      </w:pPr>
      <w:r w:rsidRPr="00D033EB">
        <w:t xml:space="preserve">STEPHANIE A. MORSE, </w:t>
      </w:r>
      <w:r w:rsidRPr="00D033EB">
        <w:rPr>
          <w:caps/>
        </w:rPr>
        <w:t>Esquire</w:t>
      </w:r>
      <w:r w:rsidRPr="00D033EB">
        <w:t xml:space="preserve">, Associate Public Counsel, </w:t>
      </w:r>
      <w:r w:rsidRPr="00D033EB">
        <w:rPr>
          <w:caps/>
        </w:rPr>
        <w:t xml:space="preserve">Patricia A. </w:t>
      </w:r>
      <w:r w:rsidRPr="00D033EB">
        <w:t>C</w:t>
      </w:r>
      <w:r w:rsidR="00E67629" w:rsidRPr="00D033EB">
        <w:t>HRISTENSEN</w:t>
      </w:r>
      <w:r w:rsidRPr="00D033EB">
        <w:rPr>
          <w:caps/>
        </w:rPr>
        <w:t xml:space="preserve">, Esquire, </w:t>
      </w:r>
      <w:r w:rsidRPr="00D033EB">
        <w:t>Associate Public Counsel,</w:t>
      </w:r>
      <w:r w:rsidRPr="00D033EB">
        <w:rPr>
          <w:caps/>
        </w:rPr>
        <w:t xml:space="preserve"> </w:t>
      </w:r>
      <w:r w:rsidRPr="00D033EB">
        <w:t>and</w:t>
      </w:r>
      <w:r w:rsidRPr="00D033EB">
        <w:rPr>
          <w:caps/>
        </w:rPr>
        <w:t xml:space="preserve"> Charles Rehwinkel, Esquire</w:t>
      </w:r>
      <w:r w:rsidRPr="00D033EB">
        <w:t xml:space="preserve">, Deputy Public Counsel, c/o The Florida Legislature, 111 West Madison Street, Room 812, Tallahassee, Florida 32399-1400 </w:t>
      </w:r>
    </w:p>
    <w:p w:rsidR="00321A3C" w:rsidRPr="00D033EB" w:rsidRDefault="00321A3C" w:rsidP="00E67629">
      <w:pPr>
        <w:spacing w:line="480" w:lineRule="auto"/>
        <w:ind w:firstLine="1440"/>
        <w:jc w:val="both"/>
        <w:rPr>
          <w:u w:val="single"/>
        </w:rPr>
      </w:pPr>
      <w:r w:rsidRPr="00D033EB">
        <w:rPr>
          <w:u w:val="single"/>
        </w:rPr>
        <w:t>On behalf of the Citizens of the State of Florida (OPC)</w:t>
      </w:r>
    </w:p>
    <w:p w:rsidR="00035778" w:rsidRDefault="00035778">
      <w:pPr>
        <w:rPr>
          <w:caps/>
        </w:rPr>
      </w:pPr>
      <w:r>
        <w:rPr>
          <w:caps/>
        </w:rPr>
        <w:br w:type="page"/>
      </w:r>
    </w:p>
    <w:p w:rsidR="00321A3C" w:rsidRPr="00D033EB" w:rsidRDefault="00321A3C" w:rsidP="00ED3A6A">
      <w:pPr>
        <w:ind w:left="1440"/>
        <w:jc w:val="both"/>
      </w:pPr>
      <w:r w:rsidRPr="00D033EB">
        <w:rPr>
          <w:caps/>
        </w:rPr>
        <w:lastRenderedPageBreak/>
        <w:t xml:space="preserve">Jon C. Moyle, Jr., Esquire, </w:t>
      </w:r>
      <w:r w:rsidRPr="00D033EB">
        <w:t>and</w:t>
      </w:r>
      <w:r w:rsidRPr="00D033EB">
        <w:rPr>
          <w:caps/>
        </w:rPr>
        <w:t xml:space="preserve"> Karen Putnal, Esquire</w:t>
      </w:r>
      <w:r w:rsidRPr="00D033EB">
        <w:t>, Moyle Law Firm, P.A., 118 North Gadsden Street, Tallahassee, FL  32312</w:t>
      </w:r>
    </w:p>
    <w:p w:rsidR="00321A3C" w:rsidRPr="00D033EB" w:rsidRDefault="00321A3C" w:rsidP="00ED3A6A">
      <w:pPr>
        <w:ind w:left="720" w:firstLine="720"/>
        <w:jc w:val="both"/>
      </w:pPr>
      <w:r w:rsidRPr="00D033EB">
        <w:rPr>
          <w:u w:val="single"/>
        </w:rPr>
        <w:t>On behalf of Florida Industrial Power Users Group (FIPUG)</w:t>
      </w:r>
      <w:r w:rsidRPr="00D033EB">
        <w:t xml:space="preserve"> </w:t>
      </w:r>
    </w:p>
    <w:p w:rsidR="00321A3C" w:rsidRPr="00D033EB" w:rsidRDefault="00321A3C" w:rsidP="00ED3A6A">
      <w:pPr>
        <w:ind w:left="1440"/>
        <w:jc w:val="both"/>
      </w:pPr>
    </w:p>
    <w:p w:rsidR="00321A3C" w:rsidRPr="00D033EB" w:rsidRDefault="00321A3C" w:rsidP="00ED3A6A">
      <w:pPr>
        <w:ind w:left="1440"/>
        <w:jc w:val="both"/>
      </w:pPr>
      <w:r w:rsidRPr="00D033EB">
        <w:rPr>
          <w:caps/>
        </w:rPr>
        <w:t xml:space="preserve">James W. Brew, Esquire, </w:t>
      </w:r>
      <w:r w:rsidRPr="00D033EB">
        <w:t>and</w:t>
      </w:r>
      <w:r w:rsidRPr="00D033EB">
        <w:rPr>
          <w:caps/>
        </w:rPr>
        <w:t xml:space="preserve"> Laura A. Wynn, Esquire</w:t>
      </w:r>
      <w:r w:rsidRPr="00D033EB">
        <w:t>, Stone Mattheis Xenopoulos &amp; Brew, P.C., 1025 Thomas Jefferson Street, N.W., Eighth Floor, West</w:t>
      </w:r>
      <w:r w:rsidR="00020E67">
        <w:t xml:space="preserve"> Tower, Washington, D.C.  20007</w:t>
      </w:r>
    </w:p>
    <w:p w:rsidR="00321A3C" w:rsidRPr="00D033EB" w:rsidRDefault="00321A3C" w:rsidP="00ED3A6A">
      <w:pPr>
        <w:ind w:left="1440"/>
        <w:jc w:val="both"/>
        <w:rPr>
          <w:u w:val="single"/>
        </w:rPr>
      </w:pPr>
      <w:r w:rsidRPr="00D033EB">
        <w:rPr>
          <w:u w:val="single"/>
        </w:rPr>
        <w:t>On behalf of White Springs Agricultural Chemicals, Inc., d/b/a PCS Phosphate – White Springs (PCS)</w:t>
      </w:r>
    </w:p>
    <w:p w:rsidR="00321A3C" w:rsidRPr="00D033EB" w:rsidRDefault="00321A3C" w:rsidP="00ED3A6A">
      <w:pPr>
        <w:ind w:left="1440"/>
        <w:jc w:val="both"/>
      </w:pPr>
    </w:p>
    <w:p w:rsidR="00035778" w:rsidRDefault="00035778" w:rsidP="00035778">
      <w:pPr>
        <w:ind w:left="1440"/>
        <w:jc w:val="both"/>
      </w:pPr>
      <w:r>
        <w:rPr>
          <w:caps/>
        </w:rPr>
        <w:t xml:space="preserve">GEORGE CAVROS, </w:t>
      </w:r>
      <w:r>
        <w:t>ESQUIRE, 120 E. Oakland Park Boulevard, Suite 105, Fort Lauderdale, Florida, 33334</w:t>
      </w:r>
    </w:p>
    <w:p w:rsidR="00035778" w:rsidRDefault="00035778" w:rsidP="00035778">
      <w:pPr>
        <w:ind w:left="720" w:firstLine="720"/>
        <w:jc w:val="both"/>
      </w:pPr>
      <w:r>
        <w:rPr>
          <w:u w:val="single"/>
        </w:rPr>
        <w:t>On behalf of the Southern Alliance for Clean Energy (SACE)</w:t>
      </w:r>
    </w:p>
    <w:p w:rsidR="00035778" w:rsidRPr="00D033EB" w:rsidRDefault="00035778">
      <w:pPr>
        <w:ind w:left="1440"/>
        <w:jc w:val="both"/>
        <w:rPr>
          <w:caps/>
        </w:rPr>
      </w:pPr>
    </w:p>
    <w:p w:rsidR="00321A3C" w:rsidRPr="00D033EB" w:rsidRDefault="00321A3C" w:rsidP="00ED3A6A">
      <w:pPr>
        <w:ind w:left="1440"/>
        <w:jc w:val="both"/>
      </w:pPr>
      <w:r w:rsidRPr="00D033EB">
        <w:rPr>
          <w:caps/>
        </w:rPr>
        <w:t xml:space="preserve">Charles W. Murphy, ESQUIRE, </w:t>
      </w:r>
      <w:r w:rsidR="00D44339" w:rsidRPr="00D033EB">
        <w:rPr>
          <w:caps/>
        </w:rPr>
        <w:t>STEPHANIE A. CUELLO, ESQUIRE, and MARGO A. DUVAL</w:t>
      </w:r>
      <w:r w:rsidR="003A212D">
        <w:rPr>
          <w:caps/>
        </w:rPr>
        <w:t>,</w:t>
      </w:r>
      <w:r w:rsidR="00D44339" w:rsidRPr="00D033EB">
        <w:rPr>
          <w:caps/>
        </w:rPr>
        <w:t xml:space="preserve"> ESQUIRE, </w:t>
      </w:r>
      <w:r w:rsidRPr="00D033EB">
        <w:t>Florida Public Service Commission, 2540 Shumard Oak Boulevard, Tallahassee, Florida 32399-0850</w:t>
      </w:r>
    </w:p>
    <w:p w:rsidR="00321A3C" w:rsidRPr="00D033EB" w:rsidRDefault="00321A3C" w:rsidP="00ED3A6A">
      <w:pPr>
        <w:ind w:left="720" w:firstLine="720"/>
        <w:jc w:val="both"/>
      </w:pPr>
      <w:r w:rsidRPr="00D033EB">
        <w:rPr>
          <w:u w:val="single"/>
        </w:rPr>
        <w:t>On behalf of the Florida Public Service Commission (Staff)</w:t>
      </w:r>
    </w:p>
    <w:p w:rsidR="00321A3C" w:rsidRPr="00D033EB" w:rsidRDefault="00321A3C" w:rsidP="00ED3A6A">
      <w:pPr>
        <w:ind w:left="1440"/>
        <w:jc w:val="both"/>
      </w:pPr>
    </w:p>
    <w:p w:rsidR="00F34150" w:rsidRPr="00D033EB" w:rsidRDefault="00D44339" w:rsidP="00ED3A6A">
      <w:pPr>
        <w:ind w:left="1440"/>
        <w:jc w:val="both"/>
      </w:pPr>
      <w:r w:rsidRPr="00D033EB">
        <w:t>MARY ANNE HELTON</w:t>
      </w:r>
      <w:r w:rsidR="00F34150" w:rsidRPr="00D033EB">
        <w:t>,</w:t>
      </w:r>
      <w:r w:rsidR="00E103E4" w:rsidRPr="00D033EB">
        <w:t xml:space="preserve"> ESQUIRE,</w:t>
      </w:r>
      <w:r w:rsidR="00F34150" w:rsidRPr="00D033EB">
        <w:t xml:space="preserve"> Deputy General Counsel, Florida Public Service Commission, 2540 Shumard Oak Boulevard, Tallahassee, Florida 32399-0850</w:t>
      </w:r>
    </w:p>
    <w:p w:rsidR="00F34150" w:rsidRPr="00D033EB" w:rsidRDefault="00F34150" w:rsidP="00ED3A6A">
      <w:pPr>
        <w:ind w:left="720" w:firstLine="720"/>
        <w:jc w:val="both"/>
      </w:pPr>
      <w:r w:rsidRPr="00D033EB">
        <w:rPr>
          <w:u w:val="single"/>
        </w:rPr>
        <w:t>Advisor to the Florida Public Service Commission</w:t>
      </w:r>
    </w:p>
    <w:p w:rsidR="00F34150" w:rsidRPr="00D033EB" w:rsidRDefault="00F34150" w:rsidP="00ED3A6A">
      <w:pPr>
        <w:jc w:val="both"/>
        <w:rPr>
          <w:b/>
          <w:bCs/>
          <w:u w:val="single"/>
        </w:rPr>
      </w:pPr>
    </w:p>
    <w:p w:rsidR="00917B54" w:rsidRPr="00D033EB" w:rsidRDefault="00917B54" w:rsidP="00ED3A6A">
      <w:pPr>
        <w:ind w:left="1440"/>
        <w:jc w:val="both"/>
      </w:pPr>
      <w:r w:rsidRPr="00D033EB">
        <w:t>KEITH HETRICK, ESQUIRE, General Counsel, Florida Public Service Commission, 2540 Shumard Oak Boulevard, Tallahassee, Florida 32399-0850</w:t>
      </w:r>
    </w:p>
    <w:p w:rsidR="00917B54" w:rsidRPr="00D033EB" w:rsidRDefault="00917B54" w:rsidP="00ED3A6A">
      <w:pPr>
        <w:ind w:left="720" w:firstLine="720"/>
        <w:jc w:val="both"/>
      </w:pPr>
      <w:r w:rsidRPr="00D033EB">
        <w:rPr>
          <w:u w:val="single"/>
        </w:rPr>
        <w:t>Florida Public Service Commission General Counsel</w:t>
      </w:r>
    </w:p>
    <w:p w:rsidR="00917B54" w:rsidRPr="00D033EB" w:rsidRDefault="00917B54" w:rsidP="00ED3A6A">
      <w:pPr>
        <w:ind w:left="720" w:firstLine="720"/>
        <w:jc w:val="both"/>
      </w:pPr>
    </w:p>
    <w:p w:rsidR="00917B54" w:rsidRPr="00D033EB" w:rsidRDefault="00917B54" w:rsidP="00917B54">
      <w:pPr>
        <w:jc w:val="center"/>
        <w:rPr>
          <w:b/>
          <w:bCs/>
          <w:u w:val="single"/>
        </w:rPr>
      </w:pPr>
    </w:p>
    <w:p w:rsidR="00F34150" w:rsidRPr="00D033EB" w:rsidRDefault="00F34150" w:rsidP="00F34150">
      <w:pPr>
        <w:jc w:val="center"/>
      </w:pPr>
      <w:r w:rsidRPr="00D033EB">
        <w:rPr>
          <w:b/>
          <w:bCs/>
          <w:u w:val="single"/>
        </w:rPr>
        <w:t>PREHEARING ORDER</w:t>
      </w:r>
    </w:p>
    <w:p w:rsidR="00F34150" w:rsidRPr="00D033EB" w:rsidRDefault="00F34150" w:rsidP="00F34150">
      <w:pPr>
        <w:jc w:val="both"/>
      </w:pPr>
    </w:p>
    <w:p w:rsidR="00F34150" w:rsidRPr="00D033EB" w:rsidRDefault="00F34150" w:rsidP="00F34150">
      <w:pPr>
        <w:jc w:val="both"/>
      </w:pPr>
      <w:r w:rsidRPr="00D033EB">
        <w:t>I.</w:t>
      </w:r>
      <w:r w:rsidRPr="00D033EB">
        <w:tab/>
      </w:r>
      <w:r w:rsidRPr="00D033EB">
        <w:rPr>
          <w:u w:val="single"/>
        </w:rPr>
        <w:t>CASE BACKGROUND</w:t>
      </w:r>
    </w:p>
    <w:p w:rsidR="00F34150" w:rsidRPr="00D033EB" w:rsidRDefault="00F34150" w:rsidP="00F34150">
      <w:pPr>
        <w:jc w:val="both"/>
      </w:pPr>
    </w:p>
    <w:p w:rsidR="00F34150" w:rsidRPr="00D033EB" w:rsidRDefault="00F34150" w:rsidP="00F34150">
      <w:pPr>
        <w:jc w:val="both"/>
        <w:rPr>
          <w:color w:val="FF0000"/>
        </w:rPr>
      </w:pPr>
      <w:r w:rsidRPr="00D033EB">
        <w:tab/>
      </w:r>
      <w:r w:rsidR="00D44339" w:rsidRPr="00D033EB">
        <w:t>As part of th</w:t>
      </w:r>
      <w:r w:rsidR="00655988" w:rsidRPr="00D033EB">
        <w:t xml:space="preserve">e Florida Public Service Commission’s (Commission) </w:t>
      </w:r>
      <w:r w:rsidR="00D44339" w:rsidRPr="00D033EB">
        <w:t xml:space="preserve">continuing Environmental Cost Recovery Clause proceedings, </w:t>
      </w:r>
      <w:r w:rsidR="00655988" w:rsidRPr="00D033EB">
        <w:t>undertaken pursuant to Section 366.8255, Florida Statutes (F.S.), a hearing has been set</w:t>
      </w:r>
      <w:r w:rsidR="00D44339" w:rsidRPr="00D033EB">
        <w:t xml:space="preserve"> in this docket for October 25-27, 2017.</w:t>
      </w:r>
    </w:p>
    <w:p w:rsidR="00F34150" w:rsidRPr="00D033EB" w:rsidRDefault="00F34150" w:rsidP="00F34150">
      <w:pPr>
        <w:jc w:val="both"/>
      </w:pPr>
    </w:p>
    <w:p w:rsidR="00F34150" w:rsidRPr="00D033EB" w:rsidRDefault="00F34150" w:rsidP="00F34150">
      <w:pPr>
        <w:jc w:val="both"/>
      </w:pPr>
      <w:r w:rsidRPr="00D033EB">
        <w:t>II.</w:t>
      </w:r>
      <w:r w:rsidRPr="00D033EB">
        <w:tab/>
      </w:r>
      <w:r w:rsidRPr="00D033EB">
        <w:rPr>
          <w:u w:val="single"/>
        </w:rPr>
        <w:t>CONDUCT OF PROCEEDINGS</w:t>
      </w:r>
    </w:p>
    <w:p w:rsidR="00F34150" w:rsidRPr="00D033EB" w:rsidRDefault="00F34150" w:rsidP="00F34150">
      <w:pPr>
        <w:jc w:val="both"/>
      </w:pPr>
    </w:p>
    <w:p w:rsidR="00F34150" w:rsidRPr="00D033EB" w:rsidRDefault="00F34150" w:rsidP="00F34150">
      <w:pPr>
        <w:jc w:val="both"/>
      </w:pPr>
      <w:r w:rsidRPr="00D033EB">
        <w:tab/>
        <w:t>Pursuant to Rule 28-106.211, F.A.C., this Prehearing Order is issued to prevent delay and to promote the just, speedy, and inexpensive determination of all aspects of this case.</w:t>
      </w:r>
    </w:p>
    <w:p w:rsidR="00F34150" w:rsidRPr="00D033EB" w:rsidRDefault="00F34150" w:rsidP="00F34150">
      <w:pPr>
        <w:jc w:val="both"/>
      </w:pPr>
    </w:p>
    <w:p w:rsidR="00D1603E" w:rsidRDefault="00D1603E">
      <w:r>
        <w:br w:type="page"/>
      </w:r>
    </w:p>
    <w:p w:rsidR="00F34150" w:rsidRPr="00D033EB" w:rsidRDefault="00F34150" w:rsidP="00F34150">
      <w:pPr>
        <w:jc w:val="both"/>
      </w:pPr>
      <w:r w:rsidRPr="00D033EB">
        <w:lastRenderedPageBreak/>
        <w:t>III.</w:t>
      </w:r>
      <w:r w:rsidRPr="00D033EB">
        <w:tab/>
      </w:r>
      <w:r w:rsidRPr="00D033EB">
        <w:rPr>
          <w:u w:val="single"/>
        </w:rPr>
        <w:t>JURISDICTION</w:t>
      </w:r>
    </w:p>
    <w:p w:rsidR="00F34150" w:rsidRPr="00D033EB" w:rsidRDefault="00F34150" w:rsidP="00F34150">
      <w:pPr>
        <w:jc w:val="both"/>
      </w:pPr>
    </w:p>
    <w:p w:rsidR="00F34150" w:rsidRPr="00D033EB" w:rsidRDefault="00F34150" w:rsidP="00F34150">
      <w:pPr>
        <w:jc w:val="both"/>
      </w:pPr>
      <w:r w:rsidRPr="00D033EB">
        <w:tab/>
        <w:t xml:space="preserve">This Commission is vested with jurisdiction over the subject matter by the provisions of Chapter </w:t>
      </w:r>
      <w:r w:rsidR="00D44339" w:rsidRPr="00D033EB">
        <w:t>366 and 120</w:t>
      </w:r>
      <w:r w:rsidRPr="00D033EB">
        <w:t>, F.S.  This hearing will be governed by said Chapter and Chapters 25-6, 25-22, and 28-106, F.A.C., as well as any other applicable provisions of law.</w:t>
      </w:r>
    </w:p>
    <w:p w:rsidR="00F34150" w:rsidRPr="00D033EB" w:rsidRDefault="00F34150" w:rsidP="00F34150">
      <w:pPr>
        <w:jc w:val="both"/>
      </w:pPr>
    </w:p>
    <w:p w:rsidR="00F34150" w:rsidRPr="00D033EB" w:rsidRDefault="00F34150" w:rsidP="00F34150">
      <w:pPr>
        <w:jc w:val="both"/>
      </w:pPr>
      <w:r w:rsidRPr="00D033EB">
        <w:t>IV.</w:t>
      </w:r>
      <w:r w:rsidRPr="00D033EB">
        <w:tab/>
      </w:r>
      <w:r w:rsidRPr="00D033EB">
        <w:rPr>
          <w:u w:val="single"/>
        </w:rPr>
        <w:t>PROCEDURE FOR HANDLING CONFIDENTIAL INFORMATION</w:t>
      </w:r>
    </w:p>
    <w:p w:rsidR="00F34150" w:rsidRPr="00D033EB" w:rsidRDefault="00F34150" w:rsidP="00F34150">
      <w:pPr>
        <w:jc w:val="both"/>
      </w:pPr>
    </w:p>
    <w:p w:rsidR="00F34150" w:rsidRPr="00D033EB" w:rsidRDefault="00F34150" w:rsidP="00F34150">
      <w:pPr>
        <w:jc w:val="both"/>
      </w:pPr>
      <w:r w:rsidRPr="00D033EB">
        <w:tab/>
        <w:t xml:space="preserve">Information for which proprietary confidential business information status is requested pursuant to Section </w:t>
      </w:r>
      <w:r w:rsidR="00D44339" w:rsidRPr="00D033EB">
        <w:t>366.093</w:t>
      </w:r>
      <w:r w:rsidRPr="00D033EB">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D44339" w:rsidRPr="00D033EB">
        <w:t>366.093</w:t>
      </w:r>
      <w:r w:rsidRPr="00D033EB">
        <w:t>, F.S.  The Commission may determine that continued possession of the information is necessary for the Commission to conduct its business.</w:t>
      </w:r>
    </w:p>
    <w:p w:rsidR="00F34150" w:rsidRPr="00D033EB" w:rsidRDefault="00F34150" w:rsidP="00F34150">
      <w:pPr>
        <w:jc w:val="both"/>
      </w:pPr>
    </w:p>
    <w:p w:rsidR="00F34150" w:rsidRPr="00D033EB" w:rsidRDefault="00F34150" w:rsidP="00F341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33EB">
        <w:tab/>
        <w:t xml:space="preserve">It is the policy of this Commission that all Commission hearings be open to the public at all times.  The Commission also recognizes its obligation pursuant to Section </w:t>
      </w:r>
      <w:r w:rsidR="005F6D9D" w:rsidRPr="00D033EB">
        <w:t>366.093</w:t>
      </w:r>
      <w:r w:rsidRPr="00D033EB">
        <w:t xml:space="preserve">, F.S., to protect proprietary confidential business information from disclosure outside the proceeding.  Therefore, any party wishing to use any proprietary confidential business information, as that term is defined in Section </w:t>
      </w:r>
      <w:r w:rsidR="005F6D9D" w:rsidRPr="00D033EB">
        <w:t>366.093</w:t>
      </w:r>
      <w:r w:rsidRPr="00D033EB">
        <w:t>, F.S., at the hearing shall adhere to the following:</w:t>
      </w:r>
    </w:p>
    <w:p w:rsidR="00F34150" w:rsidRPr="00D033EB" w:rsidRDefault="00F34150" w:rsidP="00F341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4150" w:rsidRPr="00D033EB" w:rsidRDefault="00F34150" w:rsidP="00F34150">
      <w:pPr>
        <w:spacing w:line="2" w:lineRule="exact"/>
        <w:jc w:val="both"/>
      </w:pPr>
    </w:p>
    <w:p w:rsidR="00F34150" w:rsidRPr="00D033EB" w:rsidRDefault="00F34150" w:rsidP="00F3415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D033EB">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34150" w:rsidRPr="00D033EB" w:rsidRDefault="00F34150" w:rsidP="00F341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34150" w:rsidRPr="00D033EB" w:rsidRDefault="00F34150" w:rsidP="00F3415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D033EB">
        <w:t>Counsel and witnesses are cautioned to avoid verbalizing confidential information in such a way that would compromise confidentiality.  Therefore, confidential information should be presented by written exhibit when reasonably possible.</w:t>
      </w:r>
    </w:p>
    <w:p w:rsidR="00F34150" w:rsidRPr="00D033EB" w:rsidRDefault="00F34150" w:rsidP="00F341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33EB">
        <w:tab/>
      </w:r>
    </w:p>
    <w:p w:rsidR="00F34150" w:rsidRPr="00D033EB" w:rsidRDefault="00F34150" w:rsidP="00F341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33EB">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w:t>
      </w:r>
      <w:r w:rsidRPr="00D033EB">
        <w:lastRenderedPageBreak/>
        <w:t>classification of the information within 21 days of the conclusion of the hearing, as set forth in Rule 25-22.006(8)(b), F.A.C., if continued confidentiality of the information is to be maintained.</w:t>
      </w:r>
    </w:p>
    <w:p w:rsidR="00917B54" w:rsidRPr="00D033EB" w:rsidRDefault="00917B54" w:rsidP="00F34150">
      <w:pPr>
        <w:jc w:val="both"/>
      </w:pPr>
    </w:p>
    <w:p w:rsidR="00F34150" w:rsidRPr="00D033EB" w:rsidRDefault="00F34150" w:rsidP="00F34150">
      <w:pPr>
        <w:jc w:val="both"/>
      </w:pPr>
      <w:r w:rsidRPr="00D033EB">
        <w:t>V.</w:t>
      </w:r>
      <w:r w:rsidRPr="00D033EB">
        <w:tab/>
      </w:r>
      <w:r w:rsidRPr="00D033EB">
        <w:rPr>
          <w:u w:val="single"/>
        </w:rPr>
        <w:t>PREFILED TESTIMONY AND EXHIBITS; WITNESSES</w:t>
      </w:r>
    </w:p>
    <w:p w:rsidR="00F34150" w:rsidRPr="00D033EB" w:rsidRDefault="00F34150" w:rsidP="00F34150">
      <w:pPr>
        <w:jc w:val="both"/>
      </w:pPr>
    </w:p>
    <w:p w:rsidR="0096775C" w:rsidRPr="00D033EB" w:rsidRDefault="00F34150" w:rsidP="00F34150">
      <w:pPr>
        <w:jc w:val="both"/>
      </w:pPr>
      <w:r w:rsidRPr="00D033EB">
        <w:tab/>
      </w:r>
      <w:r w:rsidR="0096775C" w:rsidRPr="00D033EB">
        <w:t>All witnesses, except those of OPC an</w:t>
      </w:r>
      <w:r w:rsidR="00D033EB" w:rsidRPr="00D033EB">
        <w:t>d</w:t>
      </w:r>
      <w:r w:rsidR="0096775C" w:rsidRPr="00D033EB">
        <w:t xml:space="preserve"> FPL, are excused from the hearing. Each excused witnesses is identified below in Section VI by an asterisk.  The testimony of excused witnesses shall be inserted into the record as though read, and all exhibits submitted with those witnesses' testimony shall be identified as shown in Section IX of this Prehearing Order and shall be admitted into the record. </w:t>
      </w:r>
    </w:p>
    <w:p w:rsidR="0096775C" w:rsidRPr="00D033EB" w:rsidRDefault="0096775C" w:rsidP="00F34150">
      <w:pPr>
        <w:jc w:val="both"/>
      </w:pPr>
    </w:p>
    <w:p w:rsidR="00F34150" w:rsidRPr="00D033EB" w:rsidRDefault="0096775C" w:rsidP="00F34150">
      <w:pPr>
        <w:jc w:val="both"/>
      </w:pPr>
      <w:r w:rsidRPr="00D033EB">
        <w:tab/>
      </w:r>
      <w:r w:rsidR="00F34150" w:rsidRPr="00D033EB">
        <w:t xml:space="preserve">Testimony of all witnesses to be sponsored by </w:t>
      </w:r>
      <w:r w:rsidRPr="00D033EB">
        <w:t xml:space="preserve">OPC and FPL </w:t>
      </w:r>
      <w:r w:rsidR="00F34150" w:rsidRPr="00D033EB">
        <w:t>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F34150" w:rsidRPr="00D033EB" w:rsidRDefault="00F34150" w:rsidP="00F34150">
      <w:pPr>
        <w:jc w:val="both"/>
      </w:pPr>
    </w:p>
    <w:p w:rsidR="00F34150" w:rsidRPr="00D033EB" w:rsidRDefault="00F34150" w:rsidP="00F34150">
      <w:pPr>
        <w:ind w:firstLine="720"/>
        <w:jc w:val="both"/>
      </w:pPr>
      <w:r w:rsidRPr="00D033EB">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F34150" w:rsidRPr="00D033EB" w:rsidRDefault="00F34150" w:rsidP="00F34150">
      <w:pPr>
        <w:jc w:val="both"/>
      </w:pPr>
    </w:p>
    <w:p w:rsidR="00F34150" w:rsidRPr="00D033EB" w:rsidRDefault="00F34150" w:rsidP="00F34150">
      <w:pPr>
        <w:jc w:val="both"/>
      </w:pPr>
      <w:r w:rsidRPr="00D033EB">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F34150" w:rsidRPr="00D033EB" w:rsidRDefault="00F34150" w:rsidP="00F34150">
      <w:pPr>
        <w:jc w:val="both"/>
        <w:rPr>
          <w:color w:val="000000"/>
        </w:rPr>
      </w:pPr>
    </w:p>
    <w:p w:rsidR="00F34150" w:rsidRPr="00D033EB" w:rsidRDefault="00F34150" w:rsidP="00F34150">
      <w:pPr>
        <w:ind w:firstLine="720"/>
        <w:jc w:val="both"/>
        <w:rPr>
          <w:color w:val="000000"/>
        </w:rPr>
      </w:pPr>
      <w:r w:rsidRPr="00D033EB">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34150" w:rsidRPr="00D033EB" w:rsidRDefault="00F34150" w:rsidP="00F34150">
      <w:pPr>
        <w:jc w:val="both"/>
      </w:pPr>
    </w:p>
    <w:p w:rsidR="00F34150" w:rsidRPr="00D033EB" w:rsidRDefault="00F34150" w:rsidP="00F34150">
      <w:pPr>
        <w:jc w:val="both"/>
      </w:pPr>
    </w:p>
    <w:p w:rsidR="00F34150" w:rsidRPr="00D033EB" w:rsidRDefault="00F34150" w:rsidP="00F34150">
      <w:pPr>
        <w:jc w:val="both"/>
        <w:rPr>
          <w:u w:val="single"/>
        </w:rPr>
      </w:pPr>
      <w:r w:rsidRPr="00D033EB">
        <w:t>VI.</w:t>
      </w:r>
      <w:r w:rsidRPr="00D033EB">
        <w:tab/>
      </w:r>
      <w:r w:rsidRPr="00D033EB">
        <w:rPr>
          <w:u w:val="single"/>
        </w:rPr>
        <w:t>ORDER OF WITNESSES</w:t>
      </w:r>
    </w:p>
    <w:p w:rsidR="0096775C" w:rsidRPr="00D033EB" w:rsidRDefault="0096775C" w:rsidP="00F34150">
      <w:pPr>
        <w:jc w:val="both"/>
      </w:pPr>
    </w:p>
    <w:p w:rsidR="00F34150" w:rsidRPr="00D033EB" w:rsidRDefault="0096775C" w:rsidP="00F34150">
      <w:pPr>
        <w:jc w:val="both"/>
      </w:pPr>
      <w:r w:rsidRPr="00D033EB">
        <w:tab/>
        <w:t>Each witness whose name is followed by an asterisk (*) is excused from the hearing.</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34150" w:rsidRPr="00D033EB" w:rsidTr="00B57274">
        <w:trPr>
          <w:cantSplit/>
          <w:trHeight w:val="362"/>
          <w:tblHeader/>
        </w:trPr>
        <w:tc>
          <w:tcPr>
            <w:tcW w:w="3507" w:type="dxa"/>
            <w:tcBorders>
              <w:top w:val="nil"/>
              <w:left w:val="nil"/>
              <w:bottom w:val="nil"/>
              <w:right w:val="nil"/>
            </w:tcBorders>
          </w:tcPr>
          <w:p w:rsidR="00F34150" w:rsidRPr="00D033EB" w:rsidRDefault="00F34150" w:rsidP="00B57274">
            <w:pPr>
              <w:jc w:val="both"/>
            </w:pPr>
            <w:r w:rsidRPr="00D033EB">
              <w:rPr>
                <w:u w:val="single"/>
              </w:rPr>
              <w:t>Witness</w:t>
            </w:r>
          </w:p>
        </w:tc>
        <w:tc>
          <w:tcPr>
            <w:tcW w:w="2511" w:type="dxa"/>
            <w:tcBorders>
              <w:top w:val="nil"/>
              <w:left w:val="nil"/>
              <w:bottom w:val="nil"/>
              <w:right w:val="nil"/>
            </w:tcBorders>
          </w:tcPr>
          <w:p w:rsidR="00F34150" w:rsidRPr="00D033EB" w:rsidRDefault="00F34150" w:rsidP="00B57274">
            <w:pPr>
              <w:jc w:val="center"/>
            </w:pPr>
            <w:r w:rsidRPr="00D033EB">
              <w:rPr>
                <w:u w:val="single"/>
              </w:rPr>
              <w:t>Proffered By</w:t>
            </w:r>
          </w:p>
        </w:tc>
        <w:tc>
          <w:tcPr>
            <w:tcW w:w="3546" w:type="dxa"/>
            <w:tcBorders>
              <w:top w:val="nil"/>
              <w:left w:val="nil"/>
              <w:bottom w:val="nil"/>
              <w:right w:val="nil"/>
            </w:tcBorders>
          </w:tcPr>
          <w:p w:rsidR="00F34150" w:rsidRPr="00D033EB" w:rsidRDefault="00F34150" w:rsidP="00B57274">
            <w:pPr>
              <w:jc w:val="both"/>
            </w:pPr>
            <w:r w:rsidRPr="00D033EB">
              <w:rPr>
                <w:u w:val="single"/>
              </w:rPr>
              <w:t>Issues #</w:t>
            </w:r>
          </w:p>
        </w:tc>
      </w:tr>
      <w:tr w:rsidR="00877785" w:rsidRPr="00D033EB" w:rsidTr="00B57274">
        <w:trPr>
          <w:cantSplit/>
          <w:trHeight w:val="382"/>
        </w:trPr>
        <w:tc>
          <w:tcPr>
            <w:tcW w:w="3507" w:type="dxa"/>
            <w:tcBorders>
              <w:top w:val="nil"/>
              <w:left w:val="nil"/>
              <w:bottom w:val="nil"/>
              <w:right w:val="nil"/>
            </w:tcBorders>
          </w:tcPr>
          <w:p w:rsidR="00877785" w:rsidRPr="00D033EB" w:rsidRDefault="00877785" w:rsidP="00877785">
            <w:pPr>
              <w:jc w:val="both"/>
            </w:pPr>
            <w:r w:rsidRPr="00D033EB">
              <w:t>Michael W. Sole</w:t>
            </w:r>
          </w:p>
        </w:tc>
        <w:tc>
          <w:tcPr>
            <w:tcW w:w="2511" w:type="dxa"/>
            <w:tcBorders>
              <w:top w:val="nil"/>
              <w:left w:val="nil"/>
              <w:bottom w:val="nil"/>
              <w:right w:val="nil"/>
            </w:tcBorders>
          </w:tcPr>
          <w:p w:rsidR="00877785" w:rsidRPr="00D033EB" w:rsidRDefault="00877785" w:rsidP="00877785">
            <w:pPr>
              <w:jc w:val="center"/>
            </w:pPr>
            <w:r w:rsidRPr="00D033EB">
              <w:t>FPL</w:t>
            </w:r>
          </w:p>
        </w:tc>
        <w:tc>
          <w:tcPr>
            <w:tcW w:w="3546" w:type="dxa"/>
            <w:tcBorders>
              <w:top w:val="nil"/>
              <w:left w:val="nil"/>
              <w:bottom w:val="nil"/>
              <w:right w:val="nil"/>
            </w:tcBorders>
          </w:tcPr>
          <w:p w:rsidR="00877785" w:rsidRPr="00D033EB" w:rsidRDefault="00877785" w:rsidP="00011940">
            <w:r w:rsidRPr="00D033EB">
              <w:t>10</w:t>
            </w:r>
            <w:r w:rsidR="00011940" w:rsidRPr="00D033EB">
              <w:t>A</w:t>
            </w:r>
            <w:r w:rsidRPr="00D033EB">
              <w:t>, 10</w:t>
            </w:r>
            <w:r w:rsidR="00011940" w:rsidRPr="00D033EB">
              <w:t>B</w:t>
            </w:r>
            <w:r w:rsidRPr="00D033EB">
              <w:t>, 10</w:t>
            </w:r>
            <w:r w:rsidR="00011940" w:rsidRPr="00D033EB">
              <w:t>C</w:t>
            </w:r>
            <w:r w:rsidR="007F693E" w:rsidRPr="00D033EB">
              <w:t>, 10F</w:t>
            </w:r>
          </w:p>
        </w:tc>
      </w:tr>
      <w:tr w:rsidR="00877785" w:rsidRPr="00D033EB" w:rsidTr="00B57274">
        <w:trPr>
          <w:cantSplit/>
          <w:trHeight w:val="362"/>
        </w:trPr>
        <w:tc>
          <w:tcPr>
            <w:tcW w:w="3507" w:type="dxa"/>
            <w:tcBorders>
              <w:top w:val="nil"/>
              <w:left w:val="nil"/>
              <w:bottom w:val="nil"/>
              <w:right w:val="nil"/>
            </w:tcBorders>
          </w:tcPr>
          <w:p w:rsidR="00877785" w:rsidRPr="00D033EB" w:rsidRDefault="00877785" w:rsidP="00877785">
            <w:pPr>
              <w:jc w:val="both"/>
            </w:pPr>
            <w:r w:rsidRPr="00D033EB">
              <w:t>Keith Ferguson</w:t>
            </w:r>
          </w:p>
        </w:tc>
        <w:tc>
          <w:tcPr>
            <w:tcW w:w="2511" w:type="dxa"/>
            <w:tcBorders>
              <w:top w:val="nil"/>
              <w:left w:val="nil"/>
              <w:bottom w:val="nil"/>
              <w:right w:val="nil"/>
            </w:tcBorders>
          </w:tcPr>
          <w:p w:rsidR="00877785" w:rsidRPr="00D033EB" w:rsidRDefault="00877785" w:rsidP="00877785">
            <w:pPr>
              <w:jc w:val="center"/>
            </w:pPr>
            <w:r w:rsidRPr="00D033EB">
              <w:t>FPL</w:t>
            </w:r>
          </w:p>
        </w:tc>
        <w:tc>
          <w:tcPr>
            <w:tcW w:w="3546" w:type="dxa"/>
            <w:tcBorders>
              <w:top w:val="nil"/>
              <w:left w:val="nil"/>
              <w:bottom w:val="nil"/>
              <w:right w:val="nil"/>
            </w:tcBorders>
          </w:tcPr>
          <w:p w:rsidR="00877785" w:rsidRPr="00D033EB" w:rsidRDefault="00877785" w:rsidP="00011940">
            <w:r w:rsidRPr="00D033EB">
              <w:t>10</w:t>
            </w:r>
            <w:r w:rsidR="00011940" w:rsidRPr="00D033EB">
              <w:t>D</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D033EB">
            <w:pPr>
              <w:jc w:val="both"/>
              <w:rPr>
                <w:b/>
              </w:rPr>
            </w:pPr>
            <w:r w:rsidRPr="00D033EB">
              <w:lastRenderedPageBreak/>
              <w:t>Renae B. Deaton</w:t>
            </w:r>
            <w:r w:rsidR="00AD0168" w:rsidRPr="00D033EB">
              <w:t xml:space="preserve"> </w:t>
            </w:r>
          </w:p>
        </w:tc>
        <w:tc>
          <w:tcPr>
            <w:tcW w:w="2511" w:type="dxa"/>
            <w:tcBorders>
              <w:top w:val="nil"/>
              <w:left w:val="nil"/>
              <w:bottom w:val="nil"/>
              <w:right w:val="nil"/>
            </w:tcBorders>
          </w:tcPr>
          <w:p w:rsidR="00C37479" w:rsidRPr="00D033EB" w:rsidRDefault="00C37479" w:rsidP="00E568D9">
            <w:pPr>
              <w:jc w:val="center"/>
            </w:pPr>
            <w:r w:rsidRPr="00D033EB">
              <w:t>FPL</w:t>
            </w:r>
          </w:p>
        </w:tc>
        <w:tc>
          <w:tcPr>
            <w:tcW w:w="3546" w:type="dxa"/>
            <w:tcBorders>
              <w:top w:val="nil"/>
              <w:left w:val="nil"/>
              <w:bottom w:val="nil"/>
              <w:right w:val="nil"/>
            </w:tcBorders>
          </w:tcPr>
          <w:p w:rsidR="00C37479" w:rsidRPr="00D033EB" w:rsidRDefault="00C37479" w:rsidP="00E568D9">
            <w:r w:rsidRPr="00D033EB">
              <w:t>1-9, 10B, 10E, 10F, 10G</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D44339">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D033EB">
              <w:t>Christopher Menendez</w:t>
            </w:r>
            <w:r w:rsidR="00AF4D22" w:rsidRPr="00D033EB">
              <w:t>*</w:t>
            </w:r>
          </w:p>
        </w:tc>
        <w:tc>
          <w:tcPr>
            <w:tcW w:w="2511" w:type="dxa"/>
            <w:tcBorders>
              <w:top w:val="nil"/>
              <w:left w:val="nil"/>
              <w:bottom w:val="nil"/>
              <w:right w:val="nil"/>
            </w:tcBorders>
          </w:tcPr>
          <w:p w:rsidR="00C37479" w:rsidRPr="00D033EB" w:rsidRDefault="00C37479" w:rsidP="00B57274">
            <w:pPr>
              <w:jc w:val="center"/>
            </w:pPr>
            <w:r w:rsidRPr="00D033EB">
              <w:t>DEF</w:t>
            </w:r>
          </w:p>
        </w:tc>
        <w:tc>
          <w:tcPr>
            <w:tcW w:w="3546" w:type="dxa"/>
            <w:tcBorders>
              <w:top w:val="nil"/>
              <w:left w:val="nil"/>
              <w:bottom w:val="nil"/>
              <w:right w:val="nil"/>
            </w:tcBorders>
          </w:tcPr>
          <w:p w:rsidR="00C37479" w:rsidRPr="00D033EB" w:rsidRDefault="00C37479" w:rsidP="002B3172">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D033EB">
              <w:t>1-9, 12B, 12C</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D44339">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D033EB">
              <w:t>Timothy Hill</w:t>
            </w:r>
            <w:r w:rsidR="00AF4D22" w:rsidRPr="00D033EB">
              <w:t>*</w:t>
            </w:r>
          </w:p>
        </w:tc>
        <w:tc>
          <w:tcPr>
            <w:tcW w:w="2511" w:type="dxa"/>
            <w:tcBorders>
              <w:top w:val="nil"/>
              <w:left w:val="nil"/>
              <w:bottom w:val="nil"/>
              <w:right w:val="nil"/>
            </w:tcBorders>
          </w:tcPr>
          <w:p w:rsidR="00C37479" w:rsidRPr="00D033EB" w:rsidRDefault="00C37479" w:rsidP="00877785">
            <w:pPr>
              <w:jc w:val="center"/>
            </w:pPr>
            <w:r w:rsidRPr="00D033EB">
              <w:t>DEF</w:t>
            </w:r>
          </w:p>
        </w:tc>
        <w:tc>
          <w:tcPr>
            <w:tcW w:w="3546" w:type="dxa"/>
            <w:tcBorders>
              <w:top w:val="nil"/>
              <w:left w:val="nil"/>
              <w:bottom w:val="nil"/>
              <w:right w:val="nil"/>
            </w:tcBorders>
          </w:tcPr>
          <w:p w:rsidR="00C37479" w:rsidRPr="00D033EB" w:rsidRDefault="00C37479" w:rsidP="002B3172">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D033EB">
              <w:t>1-3</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D44339">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D033EB">
              <w:t>Jeffrey Swartz</w:t>
            </w:r>
            <w:r w:rsidR="00AF4D22" w:rsidRPr="00D033EB">
              <w:t>*</w:t>
            </w:r>
          </w:p>
        </w:tc>
        <w:tc>
          <w:tcPr>
            <w:tcW w:w="2511" w:type="dxa"/>
            <w:tcBorders>
              <w:top w:val="nil"/>
              <w:left w:val="nil"/>
              <w:bottom w:val="nil"/>
              <w:right w:val="nil"/>
            </w:tcBorders>
          </w:tcPr>
          <w:p w:rsidR="00C37479" w:rsidRPr="00D033EB" w:rsidRDefault="00C37479" w:rsidP="00877785">
            <w:pPr>
              <w:jc w:val="center"/>
            </w:pPr>
            <w:r w:rsidRPr="00D033EB">
              <w:t>DEF</w:t>
            </w:r>
          </w:p>
        </w:tc>
        <w:tc>
          <w:tcPr>
            <w:tcW w:w="3546" w:type="dxa"/>
            <w:tcBorders>
              <w:top w:val="nil"/>
              <w:left w:val="nil"/>
              <w:bottom w:val="nil"/>
              <w:right w:val="nil"/>
            </w:tcBorders>
          </w:tcPr>
          <w:p w:rsidR="00C37479" w:rsidRPr="00D033EB" w:rsidRDefault="00C37479" w:rsidP="002B3172">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D033EB">
              <w:t>1-3</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D44339">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D033EB">
              <w:t>Patricia Q. West</w:t>
            </w:r>
            <w:r w:rsidR="00AF4D22" w:rsidRPr="00D033EB">
              <w:t>*</w:t>
            </w:r>
          </w:p>
        </w:tc>
        <w:tc>
          <w:tcPr>
            <w:tcW w:w="2511" w:type="dxa"/>
            <w:tcBorders>
              <w:top w:val="nil"/>
              <w:left w:val="nil"/>
              <w:bottom w:val="nil"/>
              <w:right w:val="nil"/>
            </w:tcBorders>
          </w:tcPr>
          <w:p w:rsidR="00C37479" w:rsidRPr="00D033EB" w:rsidRDefault="00C37479" w:rsidP="00877785">
            <w:pPr>
              <w:jc w:val="center"/>
            </w:pPr>
            <w:r w:rsidRPr="00D033EB">
              <w:t>DEF</w:t>
            </w:r>
          </w:p>
        </w:tc>
        <w:tc>
          <w:tcPr>
            <w:tcW w:w="3546" w:type="dxa"/>
            <w:tcBorders>
              <w:top w:val="nil"/>
              <w:left w:val="nil"/>
              <w:bottom w:val="nil"/>
              <w:right w:val="nil"/>
            </w:tcBorders>
          </w:tcPr>
          <w:p w:rsidR="00C37479" w:rsidRPr="00D033EB" w:rsidRDefault="00092288" w:rsidP="00882749">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1-3, 12A</w:t>
            </w:r>
            <w:r w:rsidR="00C37479" w:rsidRPr="00D033EB">
              <w:t xml:space="preserve"> </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Penelope A. Rusk</w:t>
            </w:r>
            <w:r w:rsidR="00AF4D22" w:rsidRPr="00D033EB">
              <w:t>*</w:t>
            </w:r>
          </w:p>
        </w:tc>
        <w:tc>
          <w:tcPr>
            <w:tcW w:w="2511" w:type="dxa"/>
            <w:tcBorders>
              <w:top w:val="nil"/>
              <w:left w:val="nil"/>
              <w:bottom w:val="nil"/>
              <w:right w:val="nil"/>
            </w:tcBorders>
          </w:tcPr>
          <w:p w:rsidR="00C37479" w:rsidRPr="00D033EB" w:rsidRDefault="00C37479" w:rsidP="00877785">
            <w:pPr>
              <w:jc w:val="center"/>
            </w:pPr>
            <w:r w:rsidRPr="00D033EB">
              <w:t>TECO</w:t>
            </w:r>
          </w:p>
        </w:tc>
        <w:tc>
          <w:tcPr>
            <w:tcW w:w="3546" w:type="dxa"/>
            <w:tcBorders>
              <w:top w:val="nil"/>
              <w:left w:val="nil"/>
              <w:bottom w:val="nil"/>
              <w:right w:val="nil"/>
            </w:tcBorders>
          </w:tcPr>
          <w:p w:rsidR="00C37479" w:rsidRPr="00D033EB" w:rsidRDefault="00C37479" w:rsidP="002B3172">
            <w:pPr>
              <w:tabs>
                <w:tab w:val="left" w:pos="360"/>
                <w:tab w:val="left" w:pos="2790"/>
                <w:tab w:val="left" w:pos="7200"/>
              </w:tabs>
              <w:suppressAutoHyphens/>
              <w:ind w:right="-360"/>
            </w:pPr>
            <w:r w:rsidRPr="00D033EB">
              <w:t>1, 2, 3, 4, 5, 6, 7, 8, 9, 11</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Paul L. Carpinone</w:t>
            </w:r>
            <w:r w:rsidR="00AF4D22" w:rsidRPr="00D033EB">
              <w:t>*</w:t>
            </w:r>
          </w:p>
        </w:tc>
        <w:tc>
          <w:tcPr>
            <w:tcW w:w="2511" w:type="dxa"/>
            <w:tcBorders>
              <w:top w:val="nil"/>
              <w:left w:val="nil"/>
              <w:bottom w:val="nil"/>
              <w:right w:val="nil"/>
            </w:tcBorders>
          </w:tcPr>
          <w:p w:rsidR="00C37479" w:rsidRPr="00D033EB" w:rsidRDefault="00C37479" w:rsidP="00877785">
            <w:pPr>
              <w:jc w:val="center"/>
            </w:pPr>
            <w:r w:rsidRPr="00D033EB">
              <w:t>TECO</w:t>
            </w:r>
          </w:p>
        </w:tc>
        <w:tc>
          <w:tcPr>
            <w:tcW w:w="3546" w:type="dxa"/>
            <w:tcBorders>
              <w:top w:val="nil"/>
              <w:left w:val="nil"/>
              <w:bottom w:val="nil"/>
              <w:right w:val="nil"/>
            </w:tcBorders>
          </w:tcPr>
          <w:p w:rsidR="00C37479" w:rsidRPr="00D033EB" w:rsidRDefault="00C37479" w:rsidP="002B3172">
            <w:r w:rsidRPr="00D033EB">
              <w:t>3</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494249">
            <w:pPr>
              <w:spacing w:after="58"/>
            </w:pPr>
            <w:r w:rsidRPr="00D033EB">
              <w:t>R. M. Markey</w:t>
            </w:r>
            <w:r w:rsidR="00AF4D22" w:rsidRPr="00D033EB">
              <w:t>*</w:t>
            </w:r>
          </w:p>
        </w:tc>
        <w:tc>
          <w:tcPr>
            <w:tcW w:w="2511" w:type="dxa"/>
            <w:tcBorders>
              <w:top w:val="nil"/>
              <w:left w:val="nil"/>
              <w:bottom w:val="nil"/>
              <w:right w:val="nil"/>
            </w:tcBorders>
          </w:tcPr>
          <w:p w:rsidR="00C37479" w:rsidRPr="00D033EB" w:rsidRDefault="00C37479" w:rsidP="00877785">
            <w:pPr>
              <w:jc w:val="center"/>
            </w:pPr>
            <w:r w:rsidRPr="00D033EB">
              <w:t>GULF</w:t>
            </w:r>
          </w:p>
        </w:tc>
        <w:tc>
          <w:tcPr>
            <w:tcW w:w="3546" w:type="dxa"/>
            <w:tcBorders>
              <w:top w:val="nil"/>
              <w:left w:val="nil"/>
              <w:bottom w:val="nil"/>
              <w:right w:val="nil"/>
            </w:tcBorders>
          </w:tcPr>
          <w:p w:rsidR="00C37479" w:rsidRPr="00D033EB" w:rsidRDefault="00C37479" w:rsidP="00494249">
            <w:pPr>
              <w:spacing w:after="58"/>
            </w:pPr>
            <w:r w:rsidRPr="00D033EB">
              <w:t>1, 2, 3</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494249">
            <w:r w:rsidRPr="00D033EB">
              <w:t>C. S. Boyett</w:t>
            </w:r>
            <w:r w:rsidR="00AF4D22" w:rsidRPr="00D033EB">
              <w:t>*</w:t>
            </w:r>
          </w:p>
        </w:tc>
        <w:tc>
          <w:tcPr>
            <w:tcW w:w="2511" w:type="dxa"/>
            <w:tcBorders>
              <w:top w:val="nil"/>
              <w:left w:val="nil"/>
              <w:bottom w:val="nil"/>
              <w:right w:val="nil"/>
            </w:tcBorders>
          </w:tcPr>
          <w:p w:rsidR="00C37479" w:rsidRPr="00D033EB" w:rsidRDefault="00C37479" w:rsidP="00877785">
            <w:pPr>
              <w:jc w:val="center"/>
            </w:pPr>
            <w:r w:rsidRPr="00D033EB">
              <w:t>GULF</w:t>
            </w:r>
          </w:p>
        </w:tc>
        <w:tc>
          <w:tcPr>
            <w:tcW w:w="3546" w:type="dxa"/>
            <w:tcBorders>
              <w:top w:val="nil"/>
              <w:left w:val="nil"/>
              <w:bottom w:val="nil"/>
              <w:right w:val="nil"/>
            </w:tcBorders>
          </w:tcPr>
          <w:p w:rsidR="00C37479" w:rsidRPr="00D033EB" w:rsidRDefault="00C37479" w:rsidP="00494249">
            <w:pPr>
              <w:spacing w:after="58"/>
            </w:pPr>
            <w:r w:rsidRPr="00D033EB">
              <w:t>1, 2, 3, 4, 5, 6, 7, 8, 9</w:t>
            </w:r>
          </w:p>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Dr. Sorab Panday</w:t>
            </w:r>
          </w:p>
        </w:tc>
        <w:tc>
          <w:tcPr>
            <w:tcW w:w="2511" w:type="dxa"/>
            <w:tcBorders>
              <w:top w:val="nil"/>
              <w:left w:val="nil"/>
              <w:bottom w:val="nil"/>
              <w:right w:val="nil"/>
            </w:tcBorders>
          </w:tcPr>
          <w:p w:rsidR="00C37479" w:rsidRPr="00D033EB" w:rsidRDefault="00C37479" w:rsidP="00877785">
            <w:pPr>
              <w:jc w:val="center"/>
            </w:pPr>
            <w:r w:rsidRPr="00D033EB">
              <w:t>OPC</w:t>
            </w:r>
          </w:p>
        </w:tc>
        <w:tc>
          <w:tcPr>
            <w:tcW w:w="3546" w:type="dxa"/>
            <w:tcBorders>
              <w:top w:val="nil"/>
              <w:left w:val="nil"/>
              <w:bottom w:val="nil"/>
              <w:right w:val="nil"/>
            </w:tcBorders>
          </w:tcPr>
          <w:p w:rsidR="00C37479" w:rsidRPr="00D033EB" w:rsidRDefault="00C37479" w:rsidP="00C31E10">
            <w:pPr>
              <w:ind w:hanging="108"/>
            </w:pPr>
            <w:r w:rsidRPr="00D033EB">
              <w:t>10A, 10B, 10D, 10E</w:t>
            </w:r>
          </w:p>
        </w:tc>
      </w:tr>
      <w:tr w:rsidR="00C37479" w:rsidRPr="00D033EB" w:rsidTr="00B57274">
        <w:trPr>
          <w:cantSplit/>
          <w:trHeight w:val="382"/>
        </w:trPr>
        <w:tc>
          <w:tcPr>
            <w:tcW w:w="3507" w:type="dxa"/>
            <w:tcBorders>
              <w:top w:val="nil"/>
              <w:left w:val="nil"/>
              <w:bottom w:val="nil"/>
              <w:right w:val="nil"/>
            </w:tcBorders>
          </w:tcPr>
          <w:p w:rsidR="00C37479" w:rsidRPr="00D033EB" w:rsidRDefault="00C37479" w:rsidP="00B57274">
            <w:pPr>
              <w:jc w:val="both"/>
            </w:pPr>
            <w:r w:rsidRPr="00D033EB">
              <w:tab/>
            </w:r>
            <w:r w:rsidRPr="00D033EB">
              <w:rPr>
                <w:u w:val="single"/>
              </w:rPr>
              <w:t>Rebuttal</w:t>
            </w:r>
          </w:p>
        </w:tc>
        <w:tc>
          <w:tcPr>
            <w:tcW w:w="2511" w:type="dxa"/>
            <w:tcBorders>
              <w:top w:val="nil"/>
              <w:left w:val="nil"/>
              <w:bottom w:val="nil"/>
              <w:right w:val="nil"/>
            </w:tcBorders>
          </w:tcPr>
          <w:p w:rsidR="00C37479" w:rsidRPr="00D033EB" w:rsidRDefault="00C37479" w:rsidP="00B57274">
            <w:pPr>
              <w:jc w:val="center"/>
            </w:pPr>
          </w:p>
        </w:tc>
        <w:tc>
          <w:tcPr>
            <w:tcW w:w="3546" w:type="dxa"/>
            <w:tcBorders>
              <w:top w:val="nil"/>
              <w:left w:val="nil"/>
              <w:bottom w:val="nil"/>
              <w:right w:val="nil"/>
            </w:tcBorders>
          </w:tcPr>
          <w:p w:rsidR="00C37479" w:rsidRPr="00D033EB" w:rsidRDefault="00C37479" w:rsidP="00B57274"/>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B57274">
            <w:pPr>
              <w:jc w:val="both"/>
            </w:pPr>
            <w:r w:rsidRPr="00D033EB">
              <w:t>Name</w:t>
            </w:r>
          </w:p>
        </w:tc>
        <w:tc>
          <w:tcPr>
            <w:tcW w:w="2511" w:type="dxa"/>
            <w:tcBorders>
              <w:top w:val="nil"/>
              <w:left w:val="nil"/>
              <w:bottom w:val="nil"/>
              <w:right w:val="nil"/>
            </w:tcBorders>
          </w:tcPr>
          <w:p w:rsidR="00C37479" w:rsidRPr="00D033EB" w:rsidRDefault="00C37479" w:rsidP="00B57274">
            <w:pPr>
              <w:jc w:val="center"/>
            </w:pPr>
            <w:r w:rsidRPr="00D033EB">
              <w:t>Utility/Staff</w:t>
            </w:r>
          </w:p>
        </w:tc>
        <w:tc>
          <w:tcPr>
            <w:tcW w:w="3546" w:type="dxa"/>
            <w:tcBorders>
              <w:top w:val="nil"/>
              <w:left w:val="nil"/>
              <w:bottom w:val="nil"/>
              <w:right w:val="nil"/>
            </w:tcBorders>
          </w:tcPr>
          <w:p w:rsidR="00C37479" w:rsidRPr="00D033EB" w:rsidRDefault="00C37479" w:rsidP="00B57274"/>
        </w:tc>
      </w:tr>
      <w:tr w:rsidR="00C37479" w:rsidRPr="00D033EB" w:rsidTr="00B57274">
        <w:trPr>
          <w:cantSplit/>
          <w:trHeight w:val="362"/>
        </w:trPr>
        <w:tc>
          <w:tcPr>
            <w:tcW w:w="3507" w:type="dxa"/>
            <w:tcBorders>
              <w:top w:val="nil"/>
              <w:left w:val="nil"/>
              <w:bottom w:val="nil"/>
              <w:right w:val="nil"/>
            </w:tcBorders>
          </w:tcPr>
          <w:p w:rsidR="00C37479" w:rsidRPr="00D033EB" w:rsidRDefault="00C37479" w:rsidP="00877785">
            <w:pPr>
              <w:jc w:val="both"/>
            </w:pPr>
            <w:r w:rsidRPr="00D033EB">
              <w:t>Michael W. Sole</w:t>
            </w:r>
          </w:p>
        </w:tc>
        <w:tc>
          <w:tcPr>
            <w:tcW w:w="2511" w:type="dxa"/>
            <w:tcBorders>
              <w:top w:val="nil"/>
              <w:left w:val="nil"/>
              <w:bottom w:val="nil"/>
              <w:right w:val="nil"/>
            </w:tcBorders>
          </w:tcPr>
          <w:p w:rsidR="00C37479" w:rsidRPr="00D033EB" w:rsidRDefault="00C37479" w:rsidP="00877785">
            <w:pPr>
              <w:jc w:val="center"/>
            </w:pPr>
            <w:r w:rsidRPr="00D033EB">
              <w:t>FPL</w:t>
            </w:r>
          </w:p>
        </w:tc>
        <w:tc>
          <w:tcPr>
            <w:tcW w:w="3546" w:type="dxa"/>
            <w:tcBorders>
              <w:top w:val="nil"/>
              <w:left w:val="nil"/>
              <w:bottom w:val="nil"/>
              <w:right w:val="nil"/>
            </w:tcBorders>
          </w:tcPr>
          <w:p w:rsidR="00C37479" w:rsidRPr="00D033EB" w:rsidRDefault="00C37479" w:rsidP="00011940">
            <w:pPr>
              <w:jc w:val="both"/>
            </w:pPr>
            <w:r w:rsidRPr="00D033EB">
              <w:t>10A, 10B, 10C</w:t>
            </w:r>
          </w:p>
        </w:tc>
      </w:tr>
      <w:tr w:rsidR="00C37479" w:rsidRPr="00D033EB" w:rsidTr="00B57274">
        <w:trPr>
          <w:cantSplit/>
          <w:trHeight w:val="382"/>
        </w:trPr>
        <w:tc>
          <w:tcPr>
            <w:tcW w:w="3507" w:type="dxa"/>
            <w:tcBorders>
              <w:top w:val="nil"/>
              <w:left w:val="nil"/>
              <w:bottom w:val="nil"/>
              <w:right w:val="nil"/>
            </w:tcBorders>
          </w:tcPr>
          <w:p w:rsidR="00C37479" w:rsidRPr="00D033EB" w:rsidRDefault="00C37479" w:rsidP="00877785">
            <w:pPr>
              <w:jc w:val="both"/>
            </w:pPr>
            <w:r w:rsidRPr="00D033EB">
              <w:t>Keith Ferguson</w:t>
            </w:r>
          </w:p>
        </w:tc>
        <w:tc>
          <w:tcPr>
            <w:tcW w:w="2511" w:type="dxa"/>
            <w:tcBorders>
              <w:top w:val="nil"/>
              <w:left w:val="nil"/>
              <w:bottom w:val="nil"/>
              <w:right w:val="nil"/>
            </w:tcBorders>
          </w:tcPr>
          <w:p w:rsidR="00C37479" w:rsidRPr="00D033EB" w:rsidRDefault="00C37479" w:rsidP="00877785">
            <w:pPr>
              <w:jc w:val="center"/>
            </w:pPr>
            <w:r w:rsidRPr="00D033EB">
              <w:t>FPL</w:t>
            </w:r>
          </w:p>
        </w:tc>
        <w:tc>
          <w:tcPr>
            <w:tcW w:w="3546" w:type="dxa"/>
            <w:tcBorders>
              <w:top w:val="nil"/>
              <w:left w:val="nil"/>
              <w:bottom w:val="nil"/>
              <w:right w:val="nil"/>
            </w:tcBorders>
          </w:tcPr>
          <w:p w:rsidR="00C37479" w:rsidRPr="00D033EB" w:rsidRDefault="00C37479" w:rsidP="00011940">
            <w:pPr>
              <w:jc w:val="both"/>
            </w:pPr>
            <w:r w:rsidRPr="00D033EB">
              <w:t>10D</w:t>
            </w:r>
          </w:p>
        </w:tc>
      </w:tr>
      <w:tr w:rsidR="00C37479" w:rsidRPr="00D033EB" w:rsidTr="00B57274">
        <w:trPr>
          <w:cantSplit/>
          <w:trHeight w:val="382"/>
        </w:trPr>
        <w:tc>
          <w:tcPr>
            <w:tcW w:w="3507" w:type="dxa"/>
            <w:tcBorders>
              <w:top w:val="nil"/>
              <w:left w:val="nil"/>
              <w:bottom w:val="nil"/>
              <w:right w:val="nil"/>
            </w:tcBorders>
          </w:tcPr>
          <w:p w:rsidR="00C37479" w:rsidRPr="00D033EB" w:rsidRDefault="00C37479" w:rsidP="007F693E">
            <w:pPr>
              <w:jc w:val="both"/>
            </w:pPr>
            <w:r w:rsidRPr="00D033EB">
              <w:t xml:space="preserve">Peter Andersen </w:t>
            </w:r>
          </w:p>
        </w:tc>
        <w:tc>
          <w:tcPr>
            <w:tcW w:w="2511" w:type="dxa"/>
            <w:tcBorders>
              <w:top w:val="nil"/>
              <w:left w:val="nil"/>
              <w:bottom w:val="nil"/>
              <w:right w:val="nil"/>
            </w:tcBorders>
          </w:tcPr>
          <w:p w:rsidR="00C37479" w:rsidRPr="00D033EB" w:rsidRDefault="00C37479" w:rsidP="00877785">
            <w:pPr>
              <w:jc w:val="center"/>
            </w:pPr>
            <w:r w:rsidRPr="00D033EB">
              <w:t>FPL</w:t>
            </w:r>
          </w:p>
        </w:tc>
        <w:tc>
          <w:tcPr>
            <w:tcW w:w="3546" w:type="dxa"/>
            <w:tcBorders>
              <w:top w:val="nil"/>
              <w:left w:val="nil"/>
              <w:bottom w:val="nil"/>
              <w:right w:val="nil"/>
            </w:tcBorders>
          </w:tcPr>
          <w:p w:rsidR="00C37479" w:rsidRPr="00D033EB" w:rsidRDefault="00C37479" w:rsidP="00011940">
            <w:pPr>
              <w:jc w:val="both"/>
            </w:pPr>
            <w:r w:rsidRPr="00D033EB">
              <w:t>10A, 10B</w:t>
            </w:r>
          </w:p>
        </w:tc>
      </w:tr>
    </w:tbl>
    <w:p w:rsidR="00F34150" w:rsidRPr="00D033EB" w:rsidRDefault="00F34150" w:rsidP="00F34150">
      <w:pPr>
        <w:jc w:val="both"/>
      </w:pPr>
    </w:p>
    <w:p w:rsidR="00F34150" w:rsidRPr="00D033EB" w:rsidRDefault="00F34150" w:rsidP="00F34150">
      <w:pPr>
        <w:jc w:val="both"/>
      </w:pPr>
    </w:p>
    <w:p w:rsidR="00F34150" w:rsidRPr="00D033EB" w:rsidRDefault="00F34150" w:rsidP="00F34150">
      <w:pPr>
        <w:jc w:val="both"/>
      </w:pPr>
      <w:r w:rsidRPr="00D033EB">
        <w:t>VII.</w:t>
      </w:r>
      <w:r w:rsidRPr="00D033EB">
        <w:tab/>
      </w:r>
      <w:r w:rsidRPr="00D033EB">
        <w:rPr>
          <w:u w:val="single"/>
        </w:rPr>
        <w:t>BASIC POSITIONS</w:t>
      </w:r>
    </w:p>
    <w:p w:rsidR="00F34150" w:rsidRPr="00D033EB" w:rsidRDefault="00F34150" w:rsidP="00F34150">
      <w:pPr>
        <w:jc w:val="both"/>
      </w:pPr>
    </w:p>
    <w:p w:rsidR="00B6089E" w:rsidRPr="00D033EB" w:rsidRDefault="00B6089E" w:rsidP="00B6089E">
      <w:pPr>
        <w:tabs>
          <w:tab w:val="left" w:pos="1440"/>
        </w:tabs>
        <w:ind w:left="1440" w:hanging="1440"/>
        <w:jc w:val="both"/>
      </w:pPr>
      <w:r w:rsidRPr="00D033EB">
        <w:rPr>
          <w:b/>
          <w:bCs/>
        </w:rPr>
        <w:t>FPL</w:t>
      </w:r>
      <w:r w:rsidR="00F34150" w:rsidRPr="00D033EB">
        <w:rPr>
          <w:b/>
          <w:bCs/>
        </w:rPr>
        <w:t>:</w:t>
      </w:r>
      <w:r w:rsidRPr="00D033EB">
        <w:rPr>
          <w:b/>
          <w:bCs/>
        </w:rPr>
        <w:t xml:space="preserve"> </w:t>
      </w:r>
      <w:r w:rsidRPr="00D033EB">
        <w:rPr>
          <w:b/>
          <w:bCs/>
        </w:rPr>
        <w:tab/>
      </w:r>
      <w:r w:rsidRPr="00D033EB">
        <w:t>FPL’s 2018 Environmental Cost Recovery factors, including the prior period true-ups, are reasonable and should be approved.  These factors include costs related to FPL’s Turkey Point Cooling Canal Monitoring Plan (“TPCCMP”) project, which also should be approved for recovery as proposed.  In addition, the Commission should approve a modification to FPL’s Manatee Temporary Heating System (“MTHS”) Project to include a temporary heating system at FPL’s Fort Lauderdale Plant site (“PFL”) during the planned modernization project.</w:t>
      </w:r>
    </w:p>
    <w:p w:rsidR="004A3E2C" w:rsidRPr="00D033EB" w:rsidRDefault="004A3E2C" w:rsidP="00B6089E">
      <w:pPr>
        <w:tabs>
          <w:tab w:val="left" w:pos="1440"/>
        </w:tabs>
        <w:ind w:left="1440" w:hanging="1440"/>
        <w:jc w:val="both"/>
      </w:pPr>
    </w:p>
    <w:p w:rsidR="00B6089E" w:rsidRPr="00D033EB" w:rsidRDefault="00B6089E" w:rsidP="00B6089E">
      <w:pPr>
        <w:tabs>
          <w:tab w:val="left" w:pos="450"/>
        </w:tabs>
        <w:ind w:left="1440" w:hanging="1440"/>
        <w:jc w:val="both"/>
      </w:pPr>
      <w:r w:rsidRPr="00D033EB">
        <w:rPr>
          <w:b/>
          <w:bCs/>
        </w:rPr>
        <w:t>DEF:</w:t>
      </w:r>
      <w:r w:rsidRPr="00D033EB">
        <w:t xml:space="preserve"> </w:t>
      </w:r>
      <w:r w:rsidRPr="00D033EB">
        <w:tab/>
        <w:t>DEF’s positions to specific issues are listed below</w:t>
      </w:r>
      <w:r w:rsidR="00011940" w:rsidRPr="00D033EB">
        <w:t>.</w:t>
      </w:r>
    </w:p>
    <w:p w:rsidR="00B6089E" w:rsidRPr="00D033EB" w:rsidRDefault="00B6089E" w:rsidP="00B6089E">
      <w:pPr>
        <w:tabs>
          <w:tab w:val="left" w:pos="450"/>
        </w:tabs>
        <w:ind w:left="1440" w:hanging="1440"/>
        <w:jc w:val="both"/>
      </w:pPr>
    </w:p>
    <w:p w:rsidR="00B6089E" w:rsidRPr="00D033EB" w:rsidRDefault="00B6089E" w:rsidP="00B6089E">
      <w:pPr>
        <w:tabs>
          <w:tab w:val="left" w:pos="450"/>
        </w:tabs>
        <w:ind w:left="1440" w:hanging="1440"/>
        <w:jc w:val="both"/>
      </w:pPr>
      <w:r w:rsidRPr="00D033EB">
        <w:rPr>
          <w:b/>
        </w:rPr>
        <w:lastRenderedPageBreak/>
        <w:t>TECO:</w:t>
      </w:r>
      <w:r w:rsidRPr="00D033EB">
        <w:rPr>
          <w:b/>
        </w:rPr>
        <w:tab/>
      </w:r>
      <w:r w:rsidRPr="00D033EB">
        <w:t>The Commission should approve the compliance programs described in the testimony and exhibits of Tampa Electric Witnesses Rusk and Carpinone for environmental cost recovery.  The Commission should also approve Tampa Electric’s calculation of its environmental cost recovery final true-up for the period January 2016 through December 2016, the actual/estimated environmental cost recovery true-up for the current period January 2017 through December 2017, and the company’s projected ECRC revenue requirement and the company’s proposed ECRC factors for the period January 2018 through December 2018.</w:t>
      </w:r>
    </w:p>
    <w:p w:rsidR="00B6089E" w:rsidRPr="00D033EB" w:rsidRDefault="00B6089E" w:rsidP="00B6089E">
      <w:pPr>
        <w:tabs>
          <w:tab w:val="left" w:pos="450"/>
        </w:tabs>
        <w:ind w:left="1440" w:hanging="1440"/>
        <w:jc w:val="both"/>
      </w:pPr>
    </w:p>
    <w:p w:rsidR="00B6089E" w:rsidRPr="00D033EB" w:rsidRDefault="00B6089E" w:rsidP="00B6089E">
      <w:pPr>
        <w:tabs>
          <w:tab w:val="left" w:pos="450"/>
        </w:tabs>
        <w:ind w:left="1440" w:hanging="1440"/>
        <w:jc w:val="both"/>
        <w:rPr>
          <w:b/>
          <w:bCs/>
        </w:rPr>
      </w:pPr>
      <w:r w:rsidRPr="00D033EB">
        <w:rPr>
          <w:b/>
        </w:rPr>
        <w:t>GULF:</w:t>
      </w:r>
      <w:r w:rsidRPr="00D033EB">
        <w:rPr>
          <w:b/>
        </w:rPr>
        <w:tab/>
      </w:r>
      <w:r w:rsidR="006E48AC" w:rsidRPr="00D033EB">
        <w:t>It is the basic position of Gulf Power Company that the environmental cost recovery factors proposed by the Company present the best estimate of Gulf's environmental compliance costs recoverable through the Environmental Cost Recovery Clause (ECRC) for the period January 2018 through December 2018, including the true-up calculations and other adjustments allowed by the Commission.</w:t>
      </w:r>
    </w:p>
    <w:p w:rsidR="00F34150" w:rsidRPr="00D033EB" w:rsidRDefault="00F34150" w:rsidP="00F34150">
      <w:pPr>
        <w:ind w:left="1440" w:hanging="1440"/>
        <w:jc w:val="both"/>
      </w:pPr>
      <w:r w:rsidRPr="00D033EB">
        <w:tab/>
      </w:r>
    </w:p>
    <w:p w:rsidR="00B6089E" w:rsidRPr="00D033EB" w:rsidRDefault="00B6089E" w:rsidP="00B6089E">
      <w:pPr>
        <w:ind w:left="1440" w:hanging="1440"/>
        <w:jc w:val="both"/>
      </w:pPr>
      <w:r w:rsidRPr="00D033EB">
        <w:rPr>
          <w:b/>
        </w:rPr>
        <w:t>OPC:</w:t>
      </w:r>
      <w:r w:rsidRPr="00D033EB">
        <w:rPr>
          <w:b/>
        </w:rPr>
        <w:tab/>
      </w:r>
      <w:r w:rsidRPr="00D033EB">
        <w:t>The utilities have the burden of proof to justify and support the recovery of costs, their proposal(s) seeking the Commission's adoption of policy statements (whether new or changed), and any other affirmative relief sought, regardless of whether the Interveners provide evidence to the contrary.  Moreover, regardless of whether the Commission has previously approved a program as meeting the Commission’s requirements, the utilities must still meet their burden of demonstrating that the costs submitted for final recovery meet the statutory test(s), are reasonable in amount, and prudently incurred. Issues that were deferred from 2016 to the current docket carry no presumption of correctness as to the reasonableness, prudence or retail ratepayer responsibility for the type or category of cost for which recovery is being sought.</w:t>
      </w:r>
    </w:p>
    <w:p w:rsidR="00B6089E" w:rsidRPr="00D033EB" w:rsidRDefault="00B6089E" w:rsidP="00B6089E">
      <w:pPr>
        <w:ind w:left="1440" w:hanging="1440"/>
        <w:jc w:val="both"/>
      </w:pPr>
    </w:p>
    <w:p w:rsidR="00B6089E" w:rsidRPr="00D033EB" w:rsidRDefault="00B6089E" w:rsidP="00B6089E">
      <w:pPr>
        <w:ind w:left="1440"/>
        <w:jc w:val="both"/>
      </w:pPr>
      <w:r w:rsidRPr="00D033EB">
        <w:t xml:space="preserve">The Commission has previously stated that the ECRC does not automatically require recovery of prudently incurred environmental costs through the clause. Instead, recovery of even prudently incurred costs is a matter of agency discretion and policy.  Further, Section 366.01, Florida Statutes, states on its face that the provisions of Chapter 366 are to be liberally construed to protect the public welfare. </w:t>
      </w:r>
    </w:p>
    <w:p w:rsidR="00B6089E" w:rsidRPr="00D033EB" w:rsidRDefault="00B6089E" w:rsidP="00B6089E">
      <w:pPr>
        <w:ind w:left="1440" w:hanging="1440"/>
        <w:jc w:val="both"/>
      </w:pPr>
    </w:p>
    <w:p w:rsidR="00B6089E" w:rsidRPr="00D033EB" w:rsidRDefault="00B6089E" w:rsidP="00B6089E">
      <w:pPr>
        <w:ind w:left="1440"/>
        <w:jc w:val="both"/>
        <w:rPr>
          <w:i/>
        </w:rPr>
      </w:pPr>
      <w:r w:rsidRPr="00D033EB">
        <w:t xml:space="preserve">It is well-established that recovery should be denied where imprudent management resulted in additional costs.  This standard applies to costs related to the correction of contamination and violations of law. </w:t>
      </w:r>
      <w:r w:rsidRPr="00D033EB">
        <w:rPr>
          <w:i/>
        </w:rPr>
        <w:t xml:space="preserve">In the case of FPL, the record shows that several decades of management decisions led directly to the development and growth of a hypersaline plume which threatens a public source of drinking water upon which millions of citizens depend.  FPL was issued regulatory notices of violation because of the hypersaline plume. FPL now seeks to burden ratepayers with the costs of retracting the hypersaline plume, or in other words, to make customers pay for the direct results of FPL’s imprudent </w:t>
      </w:r>
      <w:r w:rsidRPr="00D033EB">
        <w:rPr>
          <w:i/>
        </w:rPr>
        <w:lastRenderedPageBreak/>
        <w:t>management decisions. This is contrary to law and policy.  Additionally, FPL seeks to characterize a portion of its remediation responsibilities as ordinary capital improvement expenses related to containing the hypersaline plume, i.e., preventing further contamination of the Biscayne Aquifer.  The purported “allocation” of costs proposed for recovery between O&amp;M and Capital is not supported by scientific data. OPC objects to the recovery by FPL of any costs related to imprudent management.</w:t>
      </w:r>
    </w:p>
    <w:p w:rsidR="00B6089E" w:rsidRPr="00D033EB" w:rsidRDefault="00B6089E" w:rsidP="00B6089E">
      <w:pPr>
        <w:ind w:left="1440"/>
        <w:jc w:val="both"/>
        <w:rPr>
          <w:i/>
        </w:rPr>
      </w:pPr>
    </w:p>
    <w:p w:rsidR="00B6089E" w:rsidRPr="00D033EB" w:rsidRDefault="00B6089E" w:rsidP="00B6089E">
      <w:pPr>
        <w:ind w:left="1440" w:hanging="1440"/>
        <w:jc w:val="both"/>
        <w:rPr>
          <w:bCs/>
        </w:rPr>
      </w:pPr>
      <w:r w:rsidRPr="00D033EB">
        <w:rPr>
          <w:b/>
        </w:rPr>
        <w:t>FIPUG:</w:t>
      </w:r>
      <w:r w:rsidRPr="00D033EB">
        <w:rPr>
          <w:b/>
        </w:rPr>
        <w:tab/>
      </w:r>
      <w:r w:rsidRPr="00D033EB">
        <w:rPr>
          <w:bCs/>
        </w:rPr>
        <w:t>Only costs legally authorized should be recovered through the environmental cost recovery clause.  FIPUG maintains that the respective utilities must satisfy their burden of proof for any and all monies or other relief sought in this proceeding.</w:t>
      </w:r>
    </w:p>
    <w:p w:rsidR="00B6089E" w:rsidRPr="00D033EB" w:rsidRDefault="00B6089E" w:rsidP="00B6089E">
      <w:pPr>
        <w:ind w:left="1440" w:hanging="1440"/>
        <w:jc w:val="both"/>
        <w:rPr>
          <w:bCs/>
        </w:rPr>
      </w:pPr>
    </w:p>
    <w:p w:rsidR="0004288D" w:rsidRPr="00D033EB" w:rsidRDefault="00B6089E" w:rsidP="00703247">
      <w:pPr>
        <w:pStyle w:val="NoSpacing"/>
        <w:ind w:left="1440" w:hanging="1440"/>
        <w:jc w:val="both"/>
        <w:rPr>
          <w:rFonts w:ascii="Times New Roman" w:hAnsi="Times New Roman" w:cs="Times New Roman"/>
          <w:sz w:val="24"/>
          <w:szCs w:val="24"/>
        </w:rPr>
      </w:pPr>
      <w:r w:rsidRPr="00D033EB">
        <w:rPr>
          <w:rFonts w:ascii="Times New Roman" w:hAnsi="Times New Roman" w:cs="Times New Roman"/>
          <w:b/>
          <w:sz w:val="24"/>
          <w:szCs w:val="24"/>
        </w:rPr>
        <w:t>PCS:</w:t>
      </w:r>
      <w:r w:rsidR="0004288D" w:rsidRPr="00D033EB">
        <w:rPr>
          <w:b/>
        </w:rPr>
        <w:tab/>
      </w:r>
      <w:r w:rsidR="0004288D" w:rsidRPr="00D033EB">
        <w:rPr>
          <w:rFonts w:ascii="Times New Roman" w:hAnsi="Times New Roman" w:cs="Times New Roman"/>
          <w:sz w:val="24"/>
          <w:szCs w:val="24"/>
        </w:rPr>
        <w:t>PCS Phosphate generally accepts and adopts the positions taken by the Florida Office of</w:t>
      </w:r>
      <w:r w:rsidR="00703247" w:rsidRPr="00D033EB">
        <w:rPr>
          <w:rFonts w:ascii="Times New Roman" w:hAnsi="Times New Roman" w:cs="Times New Roman"/>
          <w:sz w:val="24"/>
          <w:szCs w:val="24"/>
        </w:rPr>
        <w:t xml:space="preserve"> </w:t>
      </w:r>
      <w:r w:rsidR="0004288D" w:rsidRPr="00D033EB">
        <w:rPr>
          <w:rFonts w:ascii="Times New Roman" w:hAnsi="Times New Roman" w:cs="Times New Roman"/>
          <w:sz w:val="24"/>
          <w:szCs w:val="24"/>
        </w:rPr>
        <w:t>Public Counsel (“OPC”) unless a differing position is stated with respect to an issue.</w:t>
      </w:r>
    </w:p>
    <w:p w:rsidR="0004288D" w:rsidRPr="00D033EB" w:rsidRDefault="0004288D" w:rsidP="00703247">
      <w:pPr>
        <w:pStyle w:val="NoSpacing"/>
        <w:ind w:left="1440"/>
        <w:jc w:val="both"/>
        <w:rPr>
          <w:rFonts w:ascii="Times New Roman" w:hAnsi="Times New Roman" w:cs="Times New Roman"/>
          <w:sz w:val="24"/>
          <w:szCs w:val="24"/>
        </w:rPr>
      </w:pPr>
    </w:p>
    <w:p w:rsidR="0004288D" w:rsidRPr="00D033EB" w:rsidRDefault="0004288D" w:rsidP="00703247">
      <w:pPr>
        <w:pStyle w:val="PrehearingSectionHeading"/>
        <w:tabs>
          <w:tab w:val="left" w:pos="90"/>
        </w:tabs>
        <w:spacing w:before="0" w:after="0"/>
        <w:ind w:left="1440" w:hanging="1440"/>
        <w:outlineLvl w:val="0"/>
        <w:rPr>
          <w:rFonts w:cs="Times New Roman"/>
        </w:rPr>
      </w:pPr>
      <w:r w:rsidRPr="00D033EB">
        <w:rPr>
          <w:b/>
        </w:rPr>
        <w:t>SACE:</w:t>
      </w:r>
      <w:r w:rsidRPr="00D033EB">
        <w:rPr>
          <w:b/>
        </w:rPr>
        <w:tab/>
      </w:r>
      <w:r w:rsidRPr="00D033EB">
        <w:rPr>
          <w:rFonts w:cs="Times New Roman"/>
        </w:rPr>
        <w:t xml:space="preserve">The respective utilities have the burden of proof to justify and support the recovery of costs, and their proposal(s) seeking the Commission’s adoption of policy statements or other affirmative relief sought, regardless of whether the Interveners provide evidence to the contrary. Regardless of whether the Commission has previously approved a program as meeting the Commission’s requirements, the utilities must still meet their burden of showing that costs submitted for final recovery meet the statutory test for recovery and are reasonable and prudently incurred. </w:t>
      </w:r>
    </w:p>
    <w:p w:rsidR="00703247" w:rsidRPr="00D033EB" w:rsidRDefault="00703247" w:rsidP="00703247"/>
    <w:p w:rsidR="00B6089E" w:rsidRPr="00D033EB" w:rsidRDefault="0004288D" w:rsidP="0004288D">
      <w:pPr>
        <w:tabs>
          <w:tab w:val="left" w:pos="90"/>
        </w:tabs>
        <w:ind w:left="1440" w:hanging="1440"/>
        <w:jc w:val="both"/>
      </w:pPr>
      <w:r w:rsidRPr="00D033EB">
        <w:tab/>
      </w:r>
      <w:r w:rsidRPr="00D033EB">
        <w:tab/>
        <w:t>In reference to the Florida Power and Light (FPL)-specific issues: FPL’s failure to act to mounting evidence, dating back to 1978, that its use of the cooling canal system at its Turkey Point plant was leading to a growing underground contamination plume was imprudent. As such, remediation costs now flowing from FPL’s imprudence in not properly acting upon data and reports going back to 1978, are not recoverable from customers. Florida’s families and businesses served by FPL should not have to bear the costs of FPL’s mistakes. Additionally, the costs FPL seeks to recover are not related to earlier monitoring plans, but to alleged remediation and prevention of the growing underground contamination plume at Turkey Point, as such, these costs are not recoverable as part of the Turkey Point Cooling Canal Monitoring Plan (TPCCMP).</w:t>
      </w:r>
    </w:p>
    <w:p w:rsidR="00F34150" w:rsidRPr="00D033EB" w:rsidRDefault="00F34150" w:rsidP="00F34150">
      <w:pPr>
        <w:jc w:val="both"/>
      </w:pPr>
    </w:p>
    <w:p w:rsidR="00F34150" w:rsidRPr="00D033EB" w:rsidRDefault="00F34150" w:rsidP="00F34150">
      <w:pPr>
        <w:ind w:left="1440" w:hanging="1440"/>
        <w:jc w:val="both"/>
      </w:pPr>
      <w:r w:rsidRPr="00D033EB">
        <w:rPr>
          <w:b/>
          <w:bCs/>
        </w:rPr>
        <w:t>STAFF:</w:t>
      </w:r>
      <w:r w:rsidRPr="00D033EB">
        <w:rPr>
          <w:b/>
          <w:bCs/>
        </w:rPr>
        <w:tab/>
      </w:r>
      <w:r w:rsidR="006C05E0" w:rsidRPr="00D033EB">
        <w:rPr>
          <w:bCs/>
        </w:rPr>
        <w:t>Staff takes no position at this time on contested issues and supports all proposed stipulations as set forth in S</w:t>
      </w:r>
      <w:r w:rsidR="00A126C5" w:rsidRPr="00D033EB">
        <w:rPr>
          <w:bCs/>
        </w:rPr>
        <w:t>ection X of this O</w:t>
      </w:r>
      <w:r w:rsidR="006C05E0" w:rsidRPr="00D033EB">
        <w:rPr>
          <w:bCs/>
        </w:rPr>
        <w:t xml:space="preserve">rder. </w:t>
      </w:r>
      <w:r w:rsidRPr="00D033EB">
        <w:t xml:space="preserve">Staff's final positions </w:t>
      </w:r>
      <w:r w:rsidR="006C05E0" w:rsidRPr="00D033EB">
        <w:t xml:space="preserve">on contested issues </w:t>
      </w:r>
      <w:r w:rsidRPr="00D033EB">
        <w:t>will be based upon all the evidence in the record</w:t>
      </w:r>
      <w:r w:rsidR="006C05E0" w:rsidRPr="00D033EB">
        <w:t xml:space="preserve">. </w:t>
      </w:r>
      <w:r w:rsidRPr="00D033EB">
        <w:t xml:space="preserve">  </w:t>
      </w:r>
    </w:p>
    <w:p w:rsidR="005F6D9D" w:rsidRPr="00D033EB" w:rsidRDefault="005F6D9D" w:rsidP="00F34150">
      <w:pPr>
        <w:ind w:left="1440" w:hanging="1440"/>
        <w:jc w:val="both"/>
      </w:pPr>
    </w:p>
    <w:p w:rsidR="0050155F" w:rsidRPr="00D033EB" w:rsidRDefault="0050155F">
      <w:r w:rsidRPr="00D033EB">
        <w:br w:type="page"/>
      </w:r>
    </w:p>
    <w:p w:rsidR="00F34150" w:rsidRPr="00D033EB" w:rsidRDefault="00F34150" w:rsidP="00F34150">
      <w:pPr>
        <w:jc w:val="both"/>
        <w:rPr>
          <w:u w:val="single"/>
        </w:rPr>
      </w:pPr>
      <w:r w:rsidRPr="00D033EB">
        <w:lastRenderedPageBreak/>
        <w:t>VIII.</w:t>
      </w:r>
      <w:r w:rsidRPr="00D033EB">
        <w:tab/>
      </w:r>
      <w:r w:rsidRPr="00D033EB">
        <w:rPr>
          <w:u w:val="single"/>
        </w:rPr>
        <w:t>ISSUES AND POSITIONS</w:t>
      </w:r>
    </w:p>
    <w:p w:rsidR="00E568D9" w:rsidRPr="00D033EB" w:rsidRDefault="00E568D9" w:rsidP="00F34150">
      <w:pPr>
        <w:jc w:val="both"/>
        <w:rPr>
          <w:u w:val="single"/>
        </w:rPr>
      </w:pPr>
    </w:p>
    <w:p w:rsidR="00E568D9" w:rsidRPr="00D033EB" w:rsidRDefault="0042596D" w:rsidP="00F34150">
      <w:pPr>
        <w:jc w:val="both"/>
      </w:pPr>
      <w:r w:rsidRPr="00D033EB">
        <w:t xml:space="preserve">The following contested FPL company-specific issues 10A-10E are related to Turkey Point. </w:t>
      </w:r>
      <w:r w:rsidR="00A126C5" w:rsidRPr="00D033EB">
        <w:t>Please see Section X of this O</w:t>
      </w:r>
      <w:r w:rsidRPr="00D033EB">
        <w:t xml:space="preserve">rder for the proposed stipulation of issues 1-9, </w:t>
      </w:r>
      <w:r w:rsidR="00A97161" w:rsidRPr="00D033EB">
        <w:t xml:space="preserve">13, </w:t>
      </w:r>
      <w:r w:rsidRPr="00D033EB">
        <w:t xml:space="preserve">10F-10G, 11, </w:t>
      </w:r>
      <w:r w:rsidR="00A97161" w:rsidRPr="00D033EB">
        <w:t xml:space="preserve">and </w:t>
      </w:r>
      <w:r w:rsidRPr="00D033EB">
        <w:t>12A-C</w:t>
      </w:r>
      <w:r w:rsidR="00A97161" w:rsidRPr="00D033EB">
        <w:t xml:space="preserve">. </w:t>
      </w:r>
    </w:p>
    <w:p w:rsidR="00F34150" w:rsidRPr="00D033EB" w:rsidRDefault="00F34150" w:rsidP="00F34150">
      <w:pPr>
        <w:jc w:val="both"/>
      </w:pPr>
    </w:p>
    <w:p w:rsidR="00497135" w:rsidRPr="00D033EB" w:rsidRDefault="00497135" w:rsidP="00011940">
      <w:pPr>
        <w:ind w:left="1440" w:hanging="1440"/>
        <w:jc w:val="both"/>
        <w:rPr>
          <w:b/>
          <w:bCs/>
          <w:caps/>
          <w:u w:val="single"/>
        </w:rPr>
      </w:pPr>
    </w:p>
    <w:p w:rsidR="002E55E4" w:rsidRPr="00D033EB" w:rsidRDefault="00960E6F" w:rsidP="00011940">
      <w:pPr>
        <w:ind w:left="1440" w:hanging="1440"/>
        <w:jc w:val="both"/>
      </w:pPr>
      <w:r w:rsidRPr="00D033EB">
        <w:rPr>
          <w:b/>
          <w:bCs/>
          <w:caps/>
          <w:u w:val="single"/>
        </w:rPr>
        <w:t>ISSUE 10A</w:t>
      </w:r>
      <w:r w:rsidRPr="00D033EB">
        <w:rPr>
          <w:b/>
          <w:bCs/>
          <w:caps/>
        </w:rPr>
        <w:t>:</w:t>
      </w:r>
      <w:r w:rsidRPr="00D033EB">
        <w:rPr>
          <w:bCs/>
          <w:caps/>
        </w:rPr>
        <w:tab/>
      </w:r>
      <w:r w:rsidRPr="00D033EB">
        <w:rPr>
          <w:b/>
        </w:rPr>
        <w:t>Should FPL be allowed to recover, through the ECRC, prudently incurred costs, if any,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w:t>
      </w:r>
    </w:p>
    <w:p w:rsidR="00960E6F" w:rsidRPr="00D033EB" w:rsidRDefault="00960E6F" w:rsidP="00960E6F">
      <w:pPr>
        <w:ind w:left="1440" w:hanging="1440"/>
      </w:pPr>
    </w:p>
    <w:p w:rsidR="00960E6F" w:rsidRPr="00D033EB" w:rsidRDefault="00960E6F" w:rsidP="00960E6F">
      <w:pPr>
        <w:ind w:left="1440" w:hanging="1440"/>
        <w:jc w:val="both"/>
      </w:pPr>
      <w:r w:rsidRPr="00D033EB">
        <w:rPr>
          <w:b/>
          <w:bCs/>
        </w:rPr>
        <w:t>FPL:</w:t>
      </w:r>
      <w:r w:rsidRPr="00D033EB">
        <w:rPr>
          <w:b/>
          <w:bCs/>
        </w:rPr>
        <w:tab/>
      </w:r>
      <w:r w:rsidRPr="00D033EB">
        <w:t xml:space="preserve">Yes.  The 2015 Consent Agreement (as amended) and 2016 Consent Order are Environmental Laws or Regulations under Section 366.8255, Fla. Stat.  Costs that FPL has prudently incurred as a result of the 2015 Consent Agreement (as amended) and 2016 Consent Order are Environmental Compliance Costs that are recoverable pursuant to Section 366.8255.  As addressed in Issue 10C below, those costs were incurred as part of FPL’s approved </w:t>
      </w:r>
      <w:r w:rsidRPr="00D033EB">
        <w:rPr>
          <w:bCs/>
        </w:rPr>
        <w:t>Turkey Point Cooling Canal Monitoring Plan project</w:t>
      </w:r>
      <w:r w:rsidRPr="00D033EB">
        <w:t xml:space="preserve"> (“TPCCMP Project”).  (Deaton, Sole, Andersen)</w:t>
      </w:r>
    </w:p>
    <w:p w:rsidR="004530F7" w:rsidRPr="00D033EB" w:rsidRDefault="004530F7" w:rsidP="00960E6F">
      <w:pPr>
        <w:ind w:left="1440" w:hanging="1440"/>
        <w:jc w:val="both"/>
        <w:rPr>
          <w:b/>
          <w:bCs/>
        </w:rPr>
      </w:pPr>
    </w:p>
    <w:p w:rsidR="00960E6F" w:rsidRPr="00D033EB" w:rsidRDefault="00960E6F" w:rsidP="00960E6F">
      <w:pPr>
        <w:tabs>
          <w:tab w:val="left" w:pos="180"/>
        </w:tabs>
        <w:ind w:left="1440" w:hanging="1440"/>
        <w:jc w:val="both"/>
        <w:rPr>
          <w:b/>
          <w:bCs/>
        </w:rPr>
      </w:pPr>
      <w:r w:rsidRPr="00D033EB">
        <w:rPr>
          <w:b/>
          <w:bCs/>
        </w:rPr>
        <w:t>DEF:</w:t>
      </w:r>
      <w:r w:rsidRPr="00D033EB">
        <w:rPr>
          <w:b/>
          <w:bCs/>
        </w:rPr>
        <w:tab/>
      </w:r>
      <w:r w:rsidR="004530F7" w:rsidRPr="00D033EB">
        <w:t>No position.</w:t>
      </w:r>
    </w:p>
    <w:p w:rsidR="00960E6F" w:rsidRPr="00D033EB" w:rsidRDefault="00960E6F" w:rsidP="00960E6F">
      <w:pPr>
        <w:tabs>
          <w:tab w:val="left" w:pos="180"/>
        </w:tabs>
        <w:ind w:left="1440" w:hanging="1440"/>
        <w:jc w:val="both"/>
        <w:rPr>
          <w:b/>
          <w:bCs/>
        </w:rPr>
      </w:pPr>
    </w:p>
    <w:p w:rsidR="00960E6F" w:rsidRPr="00D033EB" w:rsidRDefault="00960E6F" w:rsidP="00960E6F">
      <w:pPr>
        <w:ind w:left="1440" w:hanging="1440"/>
        <w:jc w:val="both"/>
        <w:rPr>
          <w:b/>
          <w:bCs/>
        </w:rPr>
      </w:pPr>
      <w:r w:rsidRPr="00D033EB">
        <w:rPr>
          <w:b/>
          <w:bCs/>
        </w:rPr>
        <w:t>TECO:</w:t>
      </w:r>
      <w:r w:rsidRPr="00D033EB">
        <w:rPr>
          <w:b/>
          <w:bCs/>
        </w:rPr>
        <w:tab/>
      </w:r>
      <w:r w:rsidR="0065505E" w:rsidRPr="00D033EB">
        <w:t>No position.</w:t>
      </w:r>
    </w:p>
    <w:p w:rsidR="00960E6F" w:rsidRPr="00D033EB" w:rsidRDefault="00960E6F" w:rsidP="00960E6F">
      <w:pPr>
        <w:jc w:val="both"/>
        <w:rPr>
          <w:b/>
          <w:bCs/>
        </w:rPr>
      </w:pPr>
    </w:p>
    <w:p w:rsidR="00960E6F" w:rsidRPr="00D033EB" w:rsidRDefault="00960E6F" w:rsidP="00960E6F">
      <w:pPr>
        <w:ind w:left="1440" w:hanging="1440"/>
        <w:jc w:val="both"/>
        <w:rPr>
          <w:bCs/>
        </w:rPr>
      </w:pPr>
      <w:r w:rsidRPr="00D033EB">
        <w:rPr>
          <w:b/>
          <w:bCs/>
        </w:rPr>
        <w:t>GULF:</w:t>
      </w:r>
      <w:r w:rsidRPr="00D033EB">
        <w:rPr>
          <w:b/>
          <w:bCs/>
        </w:rPr>
        <w:tab/>
      </w:r>
      <w:r w:rsidR="0042596D" w:rsidRPr="00D033EB">
        <w:rPr>
          <w:bCs/>
        </w:rPr>
        <w:t>No position</w:t>
      </w:r>
    </w:p>
    <w:p w:rsidR="00960E6F" w:rsidRPr="00D033EB" w:rsidRDefault="00960E6F" w:rsidP="00960E6F">
      <w:pPr>
        <w:jc w:val="both"/>
        <w:rPr>
          <w:b/>
          <w:bCs/>
        </w:rPr>
      </w:pPr>
    </w:p>
    <w:p w:rsidR="00960E6F" w:rsidRPr="00D033EB" w:rsidRDefault="00960E6F" w:rsidP="00960E6F">
      <w:pPr>
        <w:jc w:val="both"/>
        <w:rPr>
          <w:b/>
          <w:bCs/>
        </w:rPr>
      </w:pPr>
      <w:r w:rsidRPr="00D033EB">
        <w:rPr>
          <w:b/>
          <w:bCs/>
        </w:rPr>
        <w:t>OPC:</w:t>
      </w:r>
      <w:r w:rsidRPr="00D033EB">
        <w:rPr>
          <w:b/>
          <w:bCs/>
        </w:rPr>
        <w:tab/>
      </w:r>
      <w:r w:rsidRPr="00D033EB">
        <w:rPr>
          <w:b/>
          <w:bCs/>
        </w:rPr>
        <w:tab/>
      </w:r>
      <w:r w:rsidR="00703981" w:rsidRPr="00D033EB">
        <w:t>No.</w:t>
      </w:r>
    </w:p>
    <w:p w:rsidR="00960E6F" w:rsidRPr="00D033EB" w:rsidRDefault="00960E6F" w:rsidP="00960E6F">
      <w:pPr>
        <w:jc w:val="both"/>
        <w:rPr>
          <w:b/>
          <w:bCs/>
        </w:rPr>
      </w:pPr>
    </w:p>
    <w:p w:rsidR="00960E6F" w:rsidRPr="00D033EB" w:rsidRDefault="00960E6F" w:rsidP="00960E6F">
      <w:pPr>
        <w:jc w:val="both"/>
        <w:rPr>
          <w:b/>
          <w:bCs/>
        </w:rPr>
      </w:pPr>
      <w:r w:rsidRPr="00D033EB">
        <w:rPr>
          <w:b/>
          <w:bCs/>
        </w:rPr>
        <w:t>FIPUG:</w:t>
      </w:r>
      <w:r w:rsidRPr="00D033EB">
        <w:rPr>
          <w:b/>
          <w:bCs/>
        </w:rPr>
        <w:tab/>
      </w:r>
      <w:r w:rsidR="004530F7" w:rsidRPr="00D033EB">
        <w:t>Adopt position of Office of Public Counsel.</w:t>
      </w:r>
    </w:p>
    <w:p w:rsidR="00960E6F" w:rsidRPr="00D033EB" w:rsidRDefault="00960E6F" w:rsidP="00960E6F">
      <w:pPr>
        <w:jc w:val="both"/>
        <w:rPr>
          <w:b/>
          <w:bCs/>
        </w:rPr>
      </w:pPr>
    </w:p>
    <w:p w:rsidR="00960E6F" w:rsidRPr="00D033EB" w:rsidRDefault="00960E6F" w:rsidP="00960E6F">
      <w:pPr>
        <w:ind w:left="1440" w:hanging="1440"/>
        <w:jc w:val="both"/>
        <w:rPr>
          <w:b/>
          <w:bCs/>
        </w:rPr>
      </w:pPr>
      <w:r w:rsidRPr="00D033EB">
        <w:rPr>
          <w:b/>
          <w:bCs/>
        </w:rPr>
        <w:t>PCS:</w:t>
      </w:r>
      <w:r w:rsidRPr="00D033EB">
        <w:rPr>
          <w:b/>
          <w:bCs/>
        </w:rPr>
        <w:tab/>
      </w:r>
      <w:r w:rsidR="00703981" w:rsidRPr="00D033EB">
        <w:t>No position.</w:t>
      </w:r>
    </w:p>
    <w:p w:rsidR="00960E6F" w:rsidRPr="00D033EB" w:rsidRDefault="00960E6F" w:rsidP="00960E6F">
      <w:pPr>
        <w:jc w:val="both"/>
        <w:rPr>
          <w:b/>
          <w:bCs/>
        </w:rPr>
      </w:pPr>
    </w:p>
    <w:p w:rsidR="00960E6F" w:rsidRPr="00D033EB" w:rsidRDefault="00960E6F" w:rsidP="00960E6F">
      <w:pPr>
        <w:jc w:val="both"/>
        <w:rPr>
          <w:b/>
          <w:bCs/>
        </w:rPr>
      </w:pPr>
      <w:r w:rsidRPr="00D033EB">
        <w:rPr>
          <w:b/>
          <w:bCs/>
        </w:rPr>
        <w:t>SACE:</w:t>
      </w:r>
      <w:r w:rsidRPr="00D033EB">
        <w:rPr>
          <w:b/>
          <w:bCs/>
        </w:rPr>
        <w:tab/>
      </w:r>
      <w:r w:rsidR="00703981" w:rsidRPr="00D033EB">
        <w:rPr>
          <w:bCs/>
          <w:color w:val="000000"/>
        </w:rPr>
        <w:t>No.</w:t>
      </w:r>
    </w:p>
    <w:p w:rsidR="00960E6F" w:rsidRPr="00D033EB" w:rsidRDefault="00960E6F" w:rsidP="00960E6F">
      <w:pPr>
        <w:jc w:val="both"/>
        <w:rPr>
          <w:b/>
          <w:bCs/>
        </w:rPr>
      </w:pPr>
    </w:p>
    <w:p w:rsidR="00960E6F" w:rsidRPr="00D033EB" w:rsidRDefault="00960E6F" w:rsidP="00960E6F">
      <w:pPr>
        <w:ind w:left="1440" w:hanging="1440"/>
        <w:rPr>
          <w:b/>
          <w:bCs/>
          <w:caps/>
        </w:rPr>
      </w:pPr>
      <w:r w:rsidRPr="00D033EB">
        <w:rPr>
          <w:b/>
          <w:bCs/>
        </w:rPr>
        <w:t>STAFF:</w:t>
      </w:r>
      <w:r w:rsidR="004530F7" w:rsidRPr="00D033EB">
        <w:rPr>
          <w:b/>
          <w:bCs/>
        </w:rPr>
        <w:tab/>
      </w:r>
      <w:r w:rsidR="004530F7" w:rsidRPr="00D033EB">
        <w:t>Staff has no position at this time.</w:t>
      </w:r>
    </w:p>
    <w:p w:rsidR="002E55E4" w:rsidRPr="00D033EB" w:rsidRDefault="002E55E4" w:rsidP="006E48AC">
      <w:pPr>
        <w:pStyle w:val="IssueBody"/>
        <w:ind w:left="0"/>
        <w:rPr>
          <w:b/>
        </w:rPr>
      </w:pPr>
    </w:p>
    <w:p w:rsidR="0050155F" w:rsidRPr="00D033EB" w:rsidRDefault="0050155F">
      <w:pPr>
        <w:rPr>
          <w:b/>
          <w:szCs w:val="20"/>
          <w:u w:val="single"/>
        </w:rPr>
      </w:pPr>
      <w:r w:rsidRPr="00D033EB">
        <w:rPr>
          <w:b/>
          <w:u w:val="single"/>
        </w:rPr>
        <w:br w:type="page"/>
      </w:r>
    </w:p>
    <w:p w:rsidR="002E55E4" w:rsidRPr="00D033EB" w:rsidRDefault="00960E6F" w:rsidP="00703981">
      <w:pPr>
        <w:pStyle w:val="IssueBody"/>
        <w:ind w:hanging="1440"/>
        <w:rPr>
          <w:b/>
        </w:rPr>
      </w:pPr>
      <w:r w:rsidRPr="00D033EB">
        <w:rPr>
          <w:b/>
          <w:u w:val="single"/>
        </w:rPr>
        <w:lastRenderedPageBreak/>
        <w:t>ISSUE 10B:</w:t>
      </w:r>
      <w:r w:rsidRPr="00D033EB">
        <w:tab/>
      </w:r>
      <w:r w:rsidR="00703981" w:rsidRPr="00D033EB">
        <w:rPr>
          <w:b/>
          <w:bCs/>
          <w:color w:val="000000"/>
          <w:szCs w:val="24"/>
        </w:rPr>
        <w:t>Which costs, if any,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 were prudently incurred?</w:t>
      </w:r>
    </w:p>
    <w:p w:rsidR="00960E6F" w:rsidRPr="00D033EB" w:rsidRDefault="00960E6F" w:rsidP="00960E6F">
      <w:pPr>
        <w:ind w:left="1440" w:hanging="1440"/>
        <w:jc w:val="both"/>
        <w:rPr>
          <w:b/>
          <w:bCs/>
        </w:rPr>
      </w:pPr>
      <w:r w:rsidRPr="00D033EB">
        <w:rPr>
          <w:b/>
          <w:bCs/>
        </w:rPr>
        <w:t>FPL:</w:t>
      </w:r>
      <w:r w:rsidRPr="00D033EB">
        <w:rPr>
          <w:b/>
          <w:bCs/>
        </w:rPr>
        <w:tab/>
      </w:r>
      <w:r w:rsidRPr="00D033EB">
        <w:t>FPL prudently has incurred or expects to incur $70,501,961 in O&amp;M expenses and the revenue requirements (depreciation and return) associated with $68,001,946 in capital investment for the years 2016-2018 for activities required by the 2015 Consent Agreement (as amended) and 2016 Consent Order.  (Deaton, Sole, Anderson, Ferguson)</w:t>
      </w:r>
    </w:p>
    <w:p w:rsidR="00960E6F" w:rsidRPr="00D033EB" w:rsidRDefault="00960E6F" w:rsidP="00960E6F">
      <w:pPr>
        <w:jc w:val="both"/>
        <w:rPr>
          <w:b/>
          <w:bCs/>
        </w:rPr>
      </w:pPr>
    </w:p>
    <w:p w:rsidR="00960E6F" w:rsidRPr="00D033EB" w:rsidRDefault="00960E6F" w:rsidP="00960E6F">
      <w:pPr>
        <w:tabs>
          <w:tab w:val="left" w:pos="180"/>
        </w:tabs>
        <w:ind w:left="1440" w:hanging="1440"/>
        <w:jc w:val="both"/>
        <w:rPr>
          <w:b/>
          <w:bCs/>
        </w:rPr>
      </w:pPr>
      <w:r w:rsidRPr="00D033EB">
        <w:rPr>
          <w:b/>
          <w:bCs/>
        </w:rPr>
        <w:t>DEF:</w:t>
      </w:r>
      <w:r w:rsidRPr="00D033EB">
        <w:rPr>
          <w:b/>
          <w:bCs/>
        </w:rPr>
        <w:tab/>
      </w:r>
      <w:r w:rsidR="004530F7" w:rsidRPr="00D033EB">
        <w:t>No position.</w:t>
      </w:r>
    </w:p>
    <w:p w:rsidR="00960E6F" w:rsidRPr="00D033EB" w:rsidRDefault="00960E6F" w:rsidP="00960E6F">
      <w:pPr>
        <w:tabs>
          <w:tab w:val="left" w:pos="180"/>
        </w:tabs>
        <w:ind w:left="1440" w:hanging="1440"/>
        <w:jc w:val="both"/>
        <w:rPr>
          <w:b/>
          <w:bCs/>
        </w:rPr>
      </w:pPr>
    </w:p>
    <w:p w:rsidR="00960E6F" w:rsidRPr="00D033EB" w:rsidRDefault="00960E6F" w:rsidP="00960E6F">
      <w:pPr>
        <w:ind w:left="1440" w:hanging="1440"/>
        <w:jc w:val="both"/>
        <w:rPr>
          <w:b/>
          <w:bCs/>
        </w:rPr>
      </w:pPr>
      <w:r w:rsidRPr="00D033EB">
        <w:rPr>
          <w:b/>
          <w:bCs/>
        </w:rPr>
        <w:t>TECO:</w:t>
      </w:r>
      <w:r w:rsidRPr="00D033EB">
        <w:rPr>
          <w:b/>
          <w:bCs/>
        </w:rPr>
        <w:tab/>
      </w:r>
      <w:r w:rsidR="0065505E" w:rsidRPr="00D033EB">
        <w:t>No position.</w:t>
      </w:r>
    </w:p>
    <w:p w:rsidR="00960E6F" w:rsidRPr="00D033EB" w:rsidRDefault="00960E6F" w:rsidP="00960E6F">
      <w:pPr>
        <w:jc w:val="both"/>
        <w:rPr>
          <w:b/>
          <w:bCs/>
        </w:rPr>
      </w:pPr>
    </w:p>
    <w:p w:rsidR="00960E6F" w:rsidRPr="00D033EB" w:rsidRDefault="00960E6F" w:rsidP="00960E6F">
      <w:pPr>
        <w:ind w:left="1440" w:hanging="1440"/>
        <w:jc w:val="both"/>
        <w:rPr>
          <w:b/>
          <w:bCs/>
        </w:rPr>
      </w:pPr>
      <w:r w:rsidRPr="00D033EB">
        <w:rPr>
          <w:b/>
          <w:bCs/>
        </w:rPr>
        <w:t>GULF:</w:t>
      </w:r>
      <w:r w:rsidRPr="00D033EB">
        <w:rPr>
          <w:b/>
          <w:bCs/>
        </w:rPr>
        <w:tab/>
      </w:r>
      <w:r w:rsidR="0042596D" w:rsidRPr="00D033EB">
        <w:rPr>
          <w:bCs/>
        </w:rPr>
        <w:t>No position</w:t>
      </w:r>
    </w:p>
    <w:p w:rsidR="00960E6F" w:rsidRPr="00D033EB" w:rsidRDefault="00960E6F" w:rsidP="00960E6F">
      <w:pPr>
        <w:jc w:val="both"/>
        <w:rPr>
          <w:b/>
          <w:bCs/>
        </w:rPr>
      </w:pPr>
    </w:p>
    <w:p w:rsidR="00960E6F" w:rsidRPr="00D033EB" w:rsidRDefault="00960E6F" w:rsidP="00703981">
      <w:pPr>
        <w:ind w:left="1440" w:hanging="1440"/>
        <w:jc w:val="both"/>
        <w:rPr>
          <w:b/>
          <w:bCs/>
        </w:rPr>
      </w:pPr>
      <w:r w:rsidRPr="00D033EB">
        <w:rPr>
          <w:b/>
          <w:bCs/>
        </w:rPr>
        <w:t>OPC:</w:t>
      </w:r>
      <w:r w:rsidRPr="00D033EB">
        <w:rPr>
          <w:b/>
          <w:bCs/>
        </w:rPr>
        <w:tab/>
      </w:r>
      <w:r w:rsidR="00703981" w:rsidRPr="00D033EB">
        <w:t>The costs of the Retraction Well System are remedial in nature and should not be imposed on FPL’s customers. FPL’s management knew or should have known that its actions in operating the CCS were creating material harm to the Biscayne Aquifer.  FPL’s actions and inaction over time placed the Company in violation of law, and therefore constitute imprudence, such that the costs of addressing the consequences of that imprudence are not properly costs that should be borne by customers.</w:t>
      </w:r>
    </w:p>
    <w:p w:rsidR="00960E6F" w:rsidRPr="00D033EB" w:rsidRDefault="00960E6F" w:rsidP="00960E6F">
      <w:pPr>
        <w:jc w:val="both"/>
        <w:rPr>
          <w:b/>
          <w:bCs/>
        </w:rPr>
      </w:pPr>
    </w:p>
    <w:p w:rsidR="00960E6F" w:rsidRPr="00D033EB" w:rsidRDefault="00960E6F" w:rsidP="00960E6F">
      <w:pPr>
        <w:jc w:val="both"/>
        <w:rPr>
          <w:b/>
          <w:bCs/>
        </w:rPr>
      </w:pPr>
      <w:r w:rsidRPr="00D033EB">
        <w:rPr>
          <w:b/>
          <w:bCs/>
        </w:rPr>
        <w:t>FIPUG:</w:t>
      </w:r>
      <w:r w:rsidRPr="00D033EB">
        <w:rPr>
          <w:b/>
          <w:bCs/>
        </w:rPr>
        <w:tab/>
      </w:r>
      <w:r w:rsidR="004530F7" w:rsidRPr="00D033EB">
        <w:t>Adopt position of Office of Public Counsel.</w:t>
      </w:r>
    </w:p>
    <w:p w:rsidR="00960E6F" w:rsidRPr="00D033EB" w:rsidRDefault="00960E6F" w:rsidP="00960E6F">
      <w:pPr>
        <w:jc w:val="both"/>
        <w:rPr>
          <w:b/>
          <w:bCs/>
        </w:rPr>
      </w:pPr>
    </w:p>
    <w:p w:rsidR="00960E6F" w:rsidRPr="00D033EB" w:rsidRDefault="00960E6F" w:rsidP="00960E6F">
      <w:pPr>
        <w:ind w:left="1440" w:hanging="1440"/>
        <w:jc w:val="both"/>
        <w:rPr>
          <w:b/>
          <w:bCs/>
        </w:rPr>
      </w:pPr>
      <w:r w:rsidRPr="00D033EB">
        <w:rPr>
          <w:b/>
          <w:bCs/>
        </w:rPr>
        <w:t>PCS:</w:t>
      </w:r>
      <w:r w:rsidRPr="00D033EB">
        <w:rPr>
          <w:b/>
          <w:bCs/>
        </w:rPr>
        <w:tab/>
      </w:r>
      <w:r w:rsidR="00703981" w:rsidRPr="00D033EB">
        <w:t>No position.</w:t>
      </w:r>
    </w:p>
    <w:p w:rsidR="00960E6F" w:rsidRPr="00D033EB" w:rsidRDefault="00960E6F" w:rsidP="00960E6F">
      <w:pPr>
        <w:jc w:val="both"/>
        <w:rPr>
          <w:b/>
          <w:bCs/>
        </w:rPr>
      </w:pPr>
    </w:p>
    <w:p w:rsidR="00960E6F" w:rsidRPr="00D033EB" w:rsidRDefault="00960E6F" w:rsidP="00703981">
      <w:pPr>
        <w:ind w:left="1440" w:hanging="1440"/>
        <w:jc w:val="both"/>
        <w:rPr>
          <w:b/>
          <w:bCs/>
        </w:rPr>
      </w:pPr>
      <w:r w:rsidRPr="00D033EB">
        <w:rPr>
          <w:b/>
          <w:bCs/>
        </w:rPr>
        <w:t>SACE:</w:t>
      </w:r>
      <w:r w:rsidRPr="00D033EB">
        <w:rPr>
          <w:b/>
          <w:bCs/>
        </w:rPr>
        <w:tab/>
      </w:r>
      <w:r w:rsidR="00703981" w:rsidRPr="00D033EB">
        <w:rPr>
          <w:bCs/>
          <w:color w:val="000000"/>
        </w:rPr>
        <w:t xml:space="preserve">None. Costs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 have and are being incurred due to FPL’s imprudence in </w:t>
      </w:r>
      <w:r w:rsidR="00703981" w:rsidRPr="00D033EB">
        <w:t>not properly monitoring or acting upon data and reports going back to 1978, that showed a growing pollution impact from its cooling canal s</w:t>
      </w:r>
      <w:r w:rsidR="00703981" w:rsidRPr="00D033EB">
        <w:rPr>
          <w:bCs/>
          <w:color w:val="000000"/>
        </w:rPr>
        <w:t>ystem.</w:t>
      </w:r>
    </w:p>
    <w:p w:rsidR="00960E6F" w:rsidRPr="00D033EB" w:rsidRDefault="00960E6F" w:rsidP="00960E6F">
      <w:pPr>
        <w:jc w:val="both"/>
        <w:rPr>
          <w:b/>
          <w:bCs/>
        </w:rPr>
      </w:pPr>
    </w:p>
    <w:p w:rsidR="00960E6F" w:rsidRPr="00D033EB" w:rsidRDefault="00960E6F" w:rsidP="00960E6F">
      <w:pPr>
        <w:ind w:left="1440" w:hanging="1440"/>
        <w:rPr>
          <w:b/>
          <w:bCs/>
          <w:caps/>
        </w:rPr>
      </w:pPr>
      <w:r w:rsidRPr="00D033EB">
        <w:rPr>
          <w:b/>
          <w:bCs/>
        </w:rPr>
        <w:t>STAFF:</w:t>
      </w:r>
      <w:r w:rsidR="004530F7" w:rsidRPr="00D033EB">
        <w:rPr>
          <w:b/>
          <w:bCs/>
        </w:rPr>
        <w:tab/>
      </w:r>
      <w:r w:rsidR="004530F7" w:rsidRPr="00D033EB">
        <w:t>Staff has no position at this time.</w:t>
      </w:r>
    </w:p>
    <w:p w:rsidR="00960E6F" w:rsidRPr="00D033EB" w:rsidRDefault="00960E6F" w:rsidP="006E48AC">
      <w:pPr>
        <w:pStyle w:val="IssueBody"/>
        <w:ind w:left="0"/>
        <w:rPr>
          <w:b/>
          <w:u w:val="single"/>
        </w:rPr>
      </w:pPr>
    </w:p>
    <w:p w:rsidR="0050155F" w:rsidRPr="00D033EB" w:rsidRDefault="0050155F">
      <w:pPr>
        <w:rPr>
          <w:b/>
          <w:u w:val="single"/>
        </w:rPr>
      </w:pPr>
      <w:r w:rsidRPr="00D033EB">
        <w:rPr>
          <w:b/>
          <w:u w:val="single"/>
        </w:rPr>
        <w:br w:type="page"/>
      </w:r>
    </w:p>
    <w:p w:rsidR="00DE10EA" w:rsidRPr="00D033EB" w:rsidRDefault="00960E6F" w:rsidP="003A212D">
      <w:pPr>
        <w:ind w:left="1440" w:hanging="1440"/>
        <w:jc w:val="both"/>
        <w:rPr>
          <w:b/>
        </w:rPr>
      </w:pPr>
      <w:r w:rsidRPr="00D033EB">
        <w:rPr>
          <w:b/>
          <w:u w:val="single"/>
        </w:rPr>
        <w:lastRenderedPageBreak/>
        <w:t>ISSUE 10C:</w:t>
      </w:r>
      <w:r w:rsidR="00DE10EA" w:rsidRPr="00D033EB">
        <w:rPr>
          <w:b/>
          <w:bCs/>
        </w:rPr>
        <w:t xml:space="preserve">  Should the costs FPL seeks to recover in this docket be considered part of its Turkey Point Cooling Canal Monitoring Plan project?</w:t>
      </w:r>
    </w:p>
    <w:p w:rsidR="006E48AC" w:rsidRPr="00D033EB" w:rsidRDefault="006E48AC" w:rsidP="003A212D">
      <w:pPr>
        <w:pStyle w:val="IssueBody"/>
        <w:spacing w:after="0"/>
        <w:ind w:left="0"/>
        <w:rPr>
          <w:b/>
          <w:u w:val="single"/>
        </w:rPr>
      </w:pPr>
    </w:p>
    <w:p w:rsidR="00960E6F" w:rsidRPr="00D033EB" w:rsidRDefault="00960E6F" w:rsidP="00960E6F">
      <w:pPr>
        <w:tabs>
          <w:tab w:val="left" w:pos="720"/>
          <w:tab w:val="left" w:pos="1440"/>
          <w:tab w:val="left" w:pos="2160"/>
        </w:tabs>
        <w:ind w:left="1440" w:hanging="1440"/>
        <w:jc w:val="both"/>
        <w:rPr>
          <w:b/>
          <w:bCs/>
        </w:rPr>
      </w:pPr>
      <w:r w:rsidRPr="00D033EB">
        <w:rPr>
          <w:b/>
          <w:bCs/>
        </w:rPr>
        <w:t>FPL:</w:t>
      </w:r>
      <w:r w:rsidRPr="00D033EB">
        <w:rPr>
          <w:b/>
          <w:bCs/>
        </w:rPr>
        <w:tab/>
      </w:r>
      <w:r w:rsidRPr="00D033EB">
        <w:rPr>
          <w:b/>
          <w:bCs/>
        </w:rPr>
        <w:tab/>
      </w:r>
      <w:r w:rsidRPr="00D033EB">
        <w:t>Yes.  Environmental activities required for the TPCCMP Project have progressed from monitoring, to expanded monitoring, to identification of the need for corrective actions, and now to implementing those corrective actions in compliance with the 2015 Consent Agreement (as amended) and the 2016 Consent Order.  At the time the TPCCMP Project was approved for recovery through the ECRC in 2009, FPL made clear that such a progression was a potential outcome.  Indeed, FPL has reflected incremental costs for the expansion of FPL’s environmental compliance activities each year, and the Commission has approved the recovery of those costs.  (Sole)</w:t>
      </w:r>
    </w:p>
    <w:p w:rsidR="00960E6F" w:rsidRPr="00D033EB" w:rsidRDefault="00960E6F" w:rsidP="00960E6F">
      <w:pPr>
        <w:jc w:val="both"/>
        <w:rPr>
          <w:b/>
          <w:bCs/>
        </w:rPr>
      </w:pPr>
    </w:p>
    <w:p w:rsidR="00960E6F" w:rsidRPr="00D033EB" w:rsidRDefault="00960E6F" w:rsidP="00960E6F">
      <w:pPr>
        <w:tabs>
          <w:tab w:val="left" w:pos="180"/>
        </w:tabs>
        <w:ind w:left="1440" w:hanging="1440"/>
        <w:jc w:val="both"/>
        <w:rPr>
          <w:b/>
          <w:bCs/>
        </w:rPr>
      </w:pPr>
      <w:r w:rsidRPr="00D033EB">
        <w:rPr>
          <w:b/>
          <w:bCs/>
        </w:rPr>
        <w:t>DEF:</w:t>
      </w:r>
      <w:r w:rsidRPr="00D033EB">
        <w:rPr>
          <w:b/>
          <w:bCs/>
        </w:rPr>
        <w:tab/>
      </w:r>
      <w:r w:rsidR="004530F7" w:rsidRPr="00D033EB">
        <w:t>No position.</w:t>
      </w:r>
    </w:p>
    <w:p w:rsidR="00960E6F" w:rsidRPr="00D033EB" w:rsidRDefault="00960E6F" w:rsidP="00960E6F">
      <w:pPr>
        <w:tabs>
          <w:tab w:val="left" w:pos="180"/>
        </w:tabs>
        <w:ind w:left="1440" w:hanging="1440"/>
        <w:jc w:val="both"/>
        <w:rPr>
          <w:b/>
          <w:bCs/>
        </w:rPr>
      </w:pPr>
    </w:p>
    <w:p w:rsidR="00960E6F" w:rsidRPr="00D033EB" w:rsidRDefault="00960E6F" w:rsidP="00960E6F">
      <w:pPr>
        <w:ind w:left="1440" w:hanging="1440"/>
        <w:jc w:val="both"/>
        <w:rPr>
          <w:b/>
          <w:bCs/>
        </w:rPr>
      </w:pPr>
      <w:r w:rsidRPr="00D033EB">
        <w:rPr>
          <w:b/>
          <w:bCs/>
        </w:rPr>
        <w:t>TECO:</w:t>
      </w:r>
      <w:r w:rsidRPr="00D033EB">
        <w:rPr>
          <w:b/>
          <w:bCs/>
        </w:rPr>
        <w:tab/>
      </w:r>
      <w:r w:rsidR="0065505E" w:rsidRPr="00D033EB">
        <w:t>No position.</w:t>
      </w:r>
    </w:p>
    <w:p w:rsidR="00960E6F" w:rsidRPr="00D033EB" w:rsidRDefault="00960E6F" w:rsidP="00960E6F">
      <w:pPr>
        <w:jc w:val="both"/>
        <w:rPr>
          <w:b/>
          <w:bCs/>
        </w:rPr>
      </w:pPr>
    </w:p>
    <w:p w:rsidR="00960E6F" w:rsidRPr="00D033EB" w:rsidRDefault="00960E6F" w:rsidP="00960E6F">
      <w:pPr>
        <w:ind w:left="1440" w:hanging="1440"/>
        <w:jc w:val="both"/>
        <w:rPr>
          <w:bCs/>
        </w:rPr>
      </w:pPr>
      <w:r w:rsidRPr="00D033EB">
        <w:rPr>
          <w:b/>
          <w:bCs/>
        </w:rPr>
        <w:t>GULF:</w:t>
      </w:r>
      <w:r w:rsidRPr="00D033EB">
        <w:rPr>
          <w:b/>
          <w:bCs/>
        </w:rPr>
        <w:tab/>
      </w:r>
      <w:r w:rsidR="00D033EB" w:rsidRPr="00D033EB">
        <w:rPr>
          <w:bCs/>
        </w:rPr>
        <w:t>No position</w:t>
      </w:r>
    </w:p>
    <w:p w:rsidR="00960E6F" w:rsidRPr="00D033EB" w:rsidRDefault="00960E6F" w:rsidP="00960E6F">
      <w:pPr>
        <w:jc w:val="both"/>
        <w:rPr>
          <w:b/>
          <w:bCs/>
        </w:rPr>
      </w:pPr>
    </w:p>
    <w:p w:rsidR="00960E6F" w:rsidRPr="00D033EB" w:rsidRDefault="00960E6F" w:rsidP="00960E6F">
      <w:pPr>
        <w:jc w:val="both"/>
        <w:rPr>
          <w:b/>
          <w:bCs/>
        </w:rPr>
      </w:pPr>
      <w:r w:rsidRPr="00D033EB">
        <w:rPr>
          <w:b/>
          <w:bCs/>
        </w:rPr>
        <w:t>OPC:</w:t>
      </w:r>
      <w:r w:rsidRPr="00D033EB">
        <w:rPr>
          <w:b/>
          <w:bCs/>
        </w:rPr>
        <w:tab/>
      </w:r>
      <w:r w:rsidRPr="00D033EB">
        <w:rPr>
          <w:b/>
          <w:bCs/>
        </w:rPr>
        <w:tab/>
      </w:r>
      <w:r w:rsidR="00703981" w:rsidRPr="00D033EB">
        <w:t>No.</w:t>
      </w:r>
    </w:p>
    <w:p w:rsidR="00960E6F" w:rsidRPr="00D033EB" w:rsidRDefault="00960E6F" w:rsidP="00960E6F">
      <w:pPr>
        <w:jc w:val="both"/>
        <w:rPr>
          <w:b/>
          <w:bCs/>
        </w:rPr>
      </w:pPr>
    </w:p>
    <w:p w:rsidR="00960E6F" w:rsidRPr="00D033EB" w:rsidRDefault="00960E6F" w:rsidP="00960E6F">
      <w:pPr>
        <w:jc w:val="both"/>
        <w:rPr>
          <w:bCs/>
        </w:rPr>
      </w:pPr>
      <w:r w:rsidRPr="00D033EB">
        <w:rPr>
          <w:b/>
          <w:bCs/>
        </w:rPr>
        <w:t>FIPUG:</w:t>
      </w:r>
      <w:r w:rsidRPr="00D033EB">
        <w:rPr>
          <w:b/>
          <w:bCs/>
        </w:rPr>
        <w:tab/>
      </w:r>
      <w:r w:rsidR="004530F7" w:rsidRPr="00D033EB">
        <w:t>Adopt position of Office of Public Counsel.</w:t>
      </w:r>
    </w:p>
    <w:p w:rsidR="00960E6F" w:rsidRPr="00D033EB" w:rsidRDefault="00960E6F" w:rsidP="00960E6F">
      <w:pPr>
        <w:jc w:val="both"/>
        <w:rPr>
          <w:b/>
          <w:bCs/>
        </w:rPr>
      </w:pPr>
    </w:p>
    <w:p w:rsidR="00960E6F" w:rsidRPr="00D033EB" w:rsidRDefault="00960E6F" w:rsidP="00960E6F">
      <w:pPr>
        <w:ind w:left="1440" w:hanging="1440"/>
        <w:jc w:val="both"/>
        <w:rPr>
          <w:b/>
          <w:bCs/>
        </w:rPr>
      </w:pPr>
      <w:r w:rsidRPr="00D033EB">
        <w:rPr>
          <w:b/>
          <w:bCs/>
        </w:rPr>
        <w:t>PCS:</w:t>
      </w:r>
      <w:r w:rsidRPr="00D033EB">
        <w:rPr>
          <w:b/>
          <w:bCs/>
        </w:rPr>
        <w:tab/>
      </w:r>
      <w:r w:rsidR="00703981" w:rsidRPr="00D033EB">
        <w:t>No position.</w:t>
      </w:r>
    </w:p>
    <w:p w:rsidR="00960E6F" w:rsidRPr="00D033EB" w:rsidRDefault="00960E6F" w:rsidP="00960E6F">
      <w:pPr>
        <w:jc w:val="both"/>
        <w:rPr>
          <w:b/>
          <w:bCs/>
        </w:rPr>
      </w:pPr>
    </w:p>
    <w:p w:rsidR="00960E6F" w:rsidRPr="00D033EB" w:rsidRDefault="00960E6F" w:rsidP="00703981">
      <w:pPr>
        <w:ind w:left="1440" w:hanging="1440"/>
        <w:jc w:val="both"/>
        <w:rPr>
          <w:b/>
          <w:bCs/>
        </w:rPr>
      </w:pPr>
      <w:r w:rsidRPr="00D033EB">
        <w:rPr>
          <w:b/>
          <w:bCs/>
        </w:rPr>
        <w:t>SACE:</w:t>
      </w:r>
      <w:r w:rsidRPr="00D033EB">
        <w:rPr>
          <w:b/>
          <w:bCs/>
        </w:rPr>
        <w:tab/>
      </w:r>
      <w:r w:rsidR="00703981" w:rsidRPr="00D033EB">
        <w:rPr>
          <w:bCs/>
          <w:color w:val="000000"/>
        </w:rPr>
        <w:t>No. The Turkey Point Cooling Canal Monitoring Plan is not intended to for the type of remediation activities that FPL seeks cost recovery for in this docket.</w:t>
      </w:r>
    </w:p>
    <w:p w:rsidR="00960E6F" w:rsidRPr="00D033EB" w:rsidRDefault="00960E6F" w:rsidP="00960E6F">
      <w:pPr>
        <w:jc w:val="both"/>
        <w:rPr>
          <w:b/>
          <w:bCs/>
        </w:rPr>
      </w:pPr>
    </w:p>
    <w:p w:rsidR="00960E6F" w:rsidRPr="00D033EB" w:rsidRDefault="00960E6F" w:rsidP="00960E6F">
      <w:pPr>
        <w:ind w:left="1440" w:hanging="1440"/>
        <w:rPr>
          <w:b/>
          <w:bCs/>
          <w:caps/>
        </w:rPr>
      </w:pPr>
      <w:r w:rsidRPr="00D033EB">
        <w:rPr>
          <w:b/>
          <w:bCs/>
        </w:rPr>
        <w:t>STAFF:</w:t>
      </w:r>
      <w:r w:rsidR="004530F7" w:rsidRPr="00D033EB">
        <w:rPr>
          <w:b/>
          <w:bCs/>
        </w:rPr>
        <w:tab/>
      </w:r>
      <w:r w:rsidR="004530F7" w:rsidRPr="00D033EB">
        <w:t>Staff has no position at this time.</w:t>
      </w:r>
    </w:p>
    <w:p w:rsidR="00960E6F" w:rsidRPr="00D033EB" w:rsidRDefault="00960E6F" w:rsidP="006E48AC">
      <w:pPr>
        <w:pStyle w:val="IssueBody"/>
        <w:ind w:left="0"/>
        <w:rPr>
          <w:b/>
        </w:rPr>
      </w:pPr>
    </w:p>
    <w:p w:rsidR="00960E6F" w:rsidRPr="00D033EB" w:rsidRDefault="00960E6F" w:rsidP="00DE10EA">
      <w:pPr>
        <w:pStyle w:val="IssueBody"/>
        <w:ind w:hanging="1440"/>
        <w:rPr>
          <w:b/>
          <w:u w:val="single"/>
        </w:rPr>
      </w:pPr>
      <w:r w:rsidRPr="00D033EB">
        <w:rPr>
          <w:b/>
          <w:u w:val="single"/>
        </w:rPr>
        <w:t>ISSUE 10D:</w:t>
      </w:r>
      <w:r w:rsidR="00DE10EA" w:rsidRPr="00D033EB">
        <w:rPr>
          <w:b/>
          <w:bCs/>
        </w:rPr>
        <w:t xml:space="preserve"> Is FPL’s proposed allocation of costs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 between O&amp;M and capital appropriate?  If not, what is the correct allocation of costs between O&amp;M and capital?</w:t>
      </w:r>
    </w:p>
    <w:p w:rsidR="00960E6F" w:rsidRPr="00D033EB" w:rsidRDefault="00960E6F" w:rsidP="00960E6F">
      <w:pPr>
        <w:ind w:left="1440" w:hanging="1440"/>
        <w:jc w:val="both"/>
        <w:rPr>
          <w:b/>
          <w:bCs/>
        </w:rPr>
      </w:pPr>
      <w:r w:rsidRPr="00D033EB">
        <w:rPr>
          <w:b/>
          <w:bCs/>
        </w:rPr>
        <w:t>FPL:</w:t>
      </w:r>
      <w:r w:rsidRPr="00D033EB">
        <w:rPr>
          <w:b/>
          <w:bCs/>
        </w:rPr>
        <w:tab/>
      </w:r>
      <w:r w:rsidRPr="00D033EB">
        <w:t>Yes, the FPSC should approve FPL’s proposed allocation between O&amp;M and capital.  (Ferguson)</w:t>
      </w:r>
    </w:p>
    <w:p w:rsidR="00960E6F" w:rsidRPr="00D033EB" w:rsidRDefault="00960E6F" w:rsidP="00960E6F">
      <w:pPr>
        <w:jc w:val="both"/>
        <w:rPr>
          <w:b/>
          <w:bCs/>
        </w:rPr>
      </w:pPr>
    </w:p>
    <w:p w:rsidR="00960E6F" w:rsidRPr="00D033EB" w:rsidRDefault="00960E6F" w:rsidP="00960E6F">
      <w:pPr>
        <w:tabs>
          <w:tab w:val="left" w:pos="180"/>
        </w:tabs>
        <w:ind w:left="1440" w:hanging="1440"/>
        <w:jc w:val="both"/>
        <w:rPr>
          <w:b/>
          <w:bCs/>
        </w:rPr>
      </w:pPr>
      <w:r w:rsidRPr="00D033EB">
        <w:rPr>
          <w:b/>
          <w:bCs/>
        </w:rPr>
        <w:t>DEF:</w:t>
      </w:r>
      <w:r w:rsidRPr="00D033EB">
        <w:rPr>
          <w:b/>
          <w:bCs/>
        </w:rPr>
        <w:tab/>
      </w:r>
      <w:r w:rsidR="004530F7" w:rsidRPr="00D033EB">
        <w:t>No position.</w:t>
      </w:r>
    </w:p>
    <w:p w:rsidR="00960E6F" w:rsidRPr="00D033EB" w:rsidRDefault="00960E6F" w:rsidP="00960E6F">
      <w:pPr>
        <w:tabs>
          <w:tab w:val="left" w:pos="180"/>
        </w:tabs>
        <w:ind w:left="1440" w:hanging="1440"/>
        <w:jc w:val="both"/>
        <w:rPr>
          <w:b/>
          <w:bCs/>
        </w:rPr>
      </w:pPr>
    </w:p>
    <w:p w:rsidR="00960E6F" w:rsidRPr="00D033EB" w:rsidRDefault="00960E6F" w:rsidP="00960E6F">
      <w:pPr>
        <w:ind w:left="1440" w:hanging="1440"/>
        <w:jc w:val="both"/>
        <w:rPr>
          <w:b/>
          <w:bCs/>
        </w:rPr>
      </w:pPr>
      <w:r w:rsidRPr="00D033EB">
        <w:rPr>
          <w:b/>
          <w:bCs/>
        </w:rPr>
        <w:t>TECO:</w:t>
      </w:r>
      <w:r w:rsidRPr="00D033EB">
        <w:rPr>
          <w:b/>
          <w:bCs/>
        </w:rPr>
        <w:tab/>
      </w:r>
      <w:r w:rsidR="0065505E" w:rsidRPr="00D033EB">
        <w:t>No position.</w:t>
      </w:r>
    </w:p>
    <w:p w:rsidR="00960E6F" w:rsidRPr="00D033EB" w:rsidRDefault="00960E6F" w:rsidP="00960E6F">
      <w:pPr>
        <w:ind w:left="1440" w:hanging="1440"/>
        <w:jc w:val="both"/>
        <w:rPr>
          <w:b/>
          <w:bCs/>
        </w:rPr>
      </w:pPr>
      <w:r w:rsidRPr="00D033EB">
        <w:rPr>
          <w:b/>
          <w:bCs/>
        </w:rPr>
        <w:lastRenderedPageBreak/>
        <w:t>GULF:</w:t>
      </w:r>
      <w:r w:rsidRPr="00D033EB">
        <w:rPr>
          <w:b/>
          <w:bCs/>
        </w:rPr>
        <w:tab/>
      </w:r>
      <w:r w:rsidR="00D033EB" w:rsidRPr="00D033EB">
        <w:rPr>
          <w:bCs/>
        </w:rPr>
        <w:t>No position.</w:t>
      </w:r>
    </w:p>
    <w:p w:rsidR="00960E6F" w:rsidRPr="00D033EB" w:rsidRDefault="00960E6F" w:rsidP="00960E6F">
      <w:pPr>
        <w:jc w:val="both"/>
        <w:rPr>
          <w:b/>
          <w:bCs/>
        </w:rPr>
      </w:pPr>
    </w:p>
    <w:p w:rsidR="00960E6F" w:rsidRPr="00D033EB" w:rsidRDefault="00960E6F" w:rsidP="00703981">
      <w:pPr>
        <w:ind w:left="1440" w:hanging="1440"/>
        <w:jc w:val="both"/>
        <w:rPr>
          <w:b/>
          <w:bCs/>
        </w:rPr>
      </w:pPr>
      <w:r w:rsidRPr="00D033EB">
        <w:rPr>
          <w:b/>
          <w:bCs/>
        </w:rPr>
        <w:t>OPC:</w:t>
      </w:r>
      <w:r w:rsidRPr="00D033EB">
        <w:rPr>
          <w:b/>
          <w:bCs/>
        </w:rPr>
        <w:tab/>
      </w:r>
      <w:r w:rsidR="00703981" w:rsidRPr="00D033EB">
        <w:t>No.  The costs of the Retraction Well System are remedial in nature and should not be imposed on FPL’s customers. FPL’s management knew or should have known that its actions in operating the CCS were creating material harm to the Biscayne Aquifer.  FPL’s actions and inaction over time placed the Company in violation of law, and therefore constitute imprudence, such that the costs of addressing the consequences of that imprudence are not properly costs that should be borne by customers.</w:t>
      </w:r>
    </w:p>
    <w:p w:rsidR="00960E6F" w:rsidRPr="00D033EB" w:rsidRDefault="00960E6F" w:rsidP="00960E6F">
      <w:pPr>
        <w:jc w:val="both"/>
        <w:rPr>
          <w:b/>
          <w:bCs/>
        </w:rPr>
      </w:pPr>
    </w:p>
    <w:p w:rsidR="00960E6F" w:rsidRPr="00D033EB" w:rsidRDefault="00960E6F" w:rsidP="00960E6F">
      <w:pPr>
        <w:jc w:val="both"/>
        <w:rPr>
          <w:bCs/>
        </w:rPr>
      </w:pPr>
      <w:r w:rsidRPr="00D033EB">
        <w:rPr>
          <w:b/>
          <w:bCs/>
        </w:rPr>
        <w:t>FIPUG:</w:t>
      </w:r>
      <w:r w:rsidRPr="00D033EB">
        <w:rPr>
          <w:b/>
          <w:bCs/>
        </w:rPr>
        <w:tab/>
      </w:r>
      <w:r w:rsidR="004530F7" w:rsidRPr="00D033EB">
        <w:t>Adopt position of Office of Public Counsel.</w:t>
      </w:r>
    </w:p>
    <w:p w:rsidR="00960E6F" w:rsidRPr="00D033EB" w:rsidRDefault="00960E6F" w:rsidP="00960E6F">
      <w:pPr>
        <w:jc w:val="both"/>
        <w:rPr>
          <w:b/>
          <w:bCs/>
        </w:rPr>
      </w:pPr>
    </w:p>
    <w:p w:rsidR="00960E6F" w:rsidRPr="00D033EB" w:rsidRDefault="00960E6F" w:rsidP="00960E6F">
      <w:pPr>
        <w:ind w:left="1440" w:hanging="1440"/>
        <w:jc w:val="both"/>
        <w:rPr>
          <w:b/>
          <w:bCs/>
        </w:rPr>
      </w:pPr>
      <w:r w:rsidRPr="00D033EB">
        <w:rPr>
          <w:b/>
          <w:bCs/>
        </w:rPr>
        <w:t>PCS:</w:t>
      </w:r>
      <w:r w:rsidRPr="00D033EB">
        <w:rPr>
          <w:b/>
          <w:bCs/>
        </w:rPr>
        <w:tab/>
      </w:r>
      <w:r w:rsidR="00703981" w:rsidRPr="00D033EB">
        <w:t>No position.</w:t>
      </w:r>
    </w:p>
    <w:p w:rsidR="00960E6F" w:rsidRPr="00D033EB" w:rsidRDefault="00960E6F" w:rsidP="00960E6F">
      <w:pPr>
        <w:jc w:val="both"/>
        <w:rPr>
          <w:b/>
          <w:bCs/>
        </w:rPr>
      </w:pPr>
    </w:p>
    <w:p w:rsidR="00960E6F" w:rsidRPr="00D033EB" w:rsidRDefault="00960E6F" w:rsidP="00703981">
      <w:pPr>
        <w:ind w:left="1440" w:hanging="1440"/>
        <w:jc w:val="both"/>
        <w:rPr>
          <w:b/>
          <w:bCs/>
        </w:rPr>
      </w:pPr>
      <w:r w:rsidRPr="00D033EB">
        <w:rPr>
          <w:b/>
          <w:bCs/>
        </w:rPr>
        <w:t>SACE:</w:t>
      </w:r>
      <w:r w:rsidRPr="00D033EB">
        <w:rPr>
          <w:b/>
          <w:bCs/>
        </w:rPr>
        <w:tab/>
      </w:r>
      <w:r w:rsidR="00703981" w:rsidRPr="00D033EB">
        <w:rPr>
          <w:bCs/>
          <w:color w:val="000000"/>
        </w:rPr>
        <w:t>No monies should be recovered from customers for O&amp;M or capital expenditures flowing from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w:t>
      </w:r>
    </w:p>
    <w:p w:rsidR="00960E6F" w:rsidRPr="00D033EB" w:rsidRDefault="00960E6F" w:rsidP="00960E6F">
      <w:pPr>
        <w:jc w:val="both"/>
        <w:rPr>
          <w:b/>
          <w:bCs/>
        </w:rPr>
      </w:pPr>
    </w:p>
    <w:p w:rsidR="00960E6F" w:rsidRPr="00D033EB" w:rsidRDefault="00960E6F" w:rsidP="00960E6F">
      <w:pPr>
        <w:ind w:left="1440" w:hanging="1440"/>
        <w:rPr>
          <w:b/>
          <w:bCs/>
          <w:caps/>
        </w:rPr>
      </w:pPr>
      <w:r w:rsidRPr="00D033EB">
        <w:rPr>
          <w:b/>
          <w:bCs/>
        </w:rPr>
        <w:t>STAFF:</w:t>
      </w:r>
      <w:r w:rsidR="004530F7" w:rsidRPr="00D033EB">
        <w:rPr>
          <w:b/>
          <w:bCs/>
        </w:rPr>
        <w:tab/>
      </w:r>
      <w:r w:rsidR="004530F7" w:rsidRPr="00D033EB">
        <w:t>Staff has no position at this time.</w:t>
      </w:r>
    </w:p>
    <w:p w:rsidR="00960E6F" w:rsidRPr="00D033EB" w:rsidRDefault="00960E6F" w:rsidP="006E48AC">
      <w:pPr>
        <w:pStyle w:val="IssueBody"/>
        <w:ind w:left="0"/>
        <w:rPr>
          <w:b/>
        </w:rPr>
      </w:pPr>
    </w:p>
    <w:p w:rsidR="00DE10EA" w:rsidRPr="00D033EB" w:rsidRDefault="00960E6F" w:rsidP="00DE10EA">
      <w:pPr>
        <w:spacing w:after="200" w:line="276" w:lineRule="auto"/>
        <w:ind w:left="1440" w:hanging="1440"/>
        <w:jc w:val="both"/>
        <w:rPr>
          <w:b/>
          <w:bCs/>
        </w:rPr>
      </w:pPr>
      <w:r w:rsidRPr="00D033EB">
        <w:rPr>
          <w:b/>
          <w:u w:val="single"/>
        </w:rPr>
        <w:t>ISSUE 10E:</w:t>
      </w:r>
      <w:r w:rsidR="00DE10EA" w:rsidRPr="00D033EB">
        <w:rPr>
          <w:b/>
          <w:bCs/>
        </w:rPr>
        <w:t xml:space="preserve"> How should the costs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 be allocated to the rate classes?</w:t>
      </w:r>
    </w:p>
    <w:p w:rsidR="00960E6F" w:rsidRPr="00D033EB" w:rsidRDefault="00960E6F" w:rsidP="00960E6F">
      <w:pPr>
        <w:ind w:left="1440" w:hanging="1440"/>
        <w:jc w:val="both"/>
        <w:rPr>
          <w:b/>
          <w:bCs/>
        </w:rPr>
      </w:pPr>
      <w:r w:rsidRPr="00D033EB">
        <w:rPr>
          <w:b/>
          <w:bCs/>
        </w:rPr>
        <w:t>FPL:</w:t>
      </w:r>
      <w:r w:rsidRPr="00D033EB">
        <w:rPr>
          <w:b/>
          <w:bCs/>
        </w:rPr>
        <w:tab/>
      </w:r>
      <w:r w:rsidRPr="00D033EB">
        <w:t>Costs associated with the 2015 Consent Agreement (as amended) and 2016 Consent Order should be allocated in the same manner as all other environmental cost recovery amounts approved for recovery under the TPCCMP Project.  (Deaton)</w:t>
      </w:r>
    </w:p>
    <w:p w:rsidR="00960E6F" w:rsidRPr="00D033EB" w:rsidRDefault="00960E6F" w:rsidP="00960E6F">
      <w:pPr>
        <w:jc w:val="both"/>
        <w:rPr>
          <w:b/>
          <w:bCs/>
        </w:rPr>
      </w:pPr>
    </w:p>
    <w:p w:rsidR="00960E6F" w:rsidRPr="00D033EB" w:rsidRDefault="00960E6F" w:rsidP="00960E6F">
      <w:pPr>
        <w:tabs>
          <w:tab w:val="left" w:pos="180"/>
        </w:tabs>
        <w:ind w:left="1440" w:hanging="1440"/>
        <w:jc w:val="both"/>
        <w:rPr>
          <w:b/>
          <w:bCs/>
        </w:rPr>
      </w:pPr>
      <w:r w:rsidRPr="00D033EB">
        <w:rPr>
          <w:b/>
          <w:bCs/>
        </w:rPr>
        <w:t>DEF:</w:t>
      </w:r>
      <w:r w:rsidRPr="00D033EB">
        <w:rPr>
          <w:b/>
          <w:bCs/>
        </w:rPr>
        <w:tab/>
      </w:r>
      <w:r w:rsidR="004530F7" w:rsidRPr="00D033EB">
        <w:t>No position.</w:t>
      </w:r>
    </w:p>
    <w:p w:rsidR="00960E6F" w:rsidRPr="00D033EB" w:rsidRDefault="00960E6F" w:rsidP="00960E6F">
      <w:pPr>
        <w:tabs>
          <w:tab w:val="left" w:pos="180"/>
        </w:tabs>
        <w:ind w:left="1440" w:hanging="1440"/>
        <w:jc w:val="both"/>
        <w:rPr>
          <w:b/>
          <w:bCs/>
        </w:rPr>
      </w:pPr>
    </w:p>
    <w:p w:rsidR="00960E6F" w:rsidRPr="00D033EB" w:rsidRDefault="00960E6F" w:rsidP="00960E6F">
      <w:pPr>
        <w:ind w:left="1440" w:hanging="1440"/>
        <w:jc w:val="both"/>
        <w:rPr>
          <w:b/>
          <w:bCs/>
        </w:rPr>
      </w:pPr>
      <w:r w:rsidRPr="00D033EB">
        <w:rPr>
          <w:b/>
          <w:bCs/>
        </w:rPr>
        <w:t>TECO:</w:t>
      </w:r>
      <w:r w:rsidRPr="00D033EB">
        <w:rPr>
          <w:b/>
          <w:bCs/>
        </w:rPr>
        <w:tab/>
      </w:r>
      <w:r w:rsidR="0065505E" w:rsidRPr="00D033EB">
        <w:t>No position.</w:t>
      </w:r>
    </w:p>
    <w:p w:rsidR="00960E6F" w:rsidRPr="00D033EB" w:rsidRDefault="00960E6F" w:rsidP="00960E6F">
      <w:pPr>
        <w:jc w:val="both"/>
        <w:rPr>
          <w:b/>
          <w:bCs/>
        </w:rPr>
      </w:pPr>
    </w:p>
    <w:p w:rsidR="00960E6F" w:rsidRPr="00D033EB" w:rsidRDefault="00960E6F" w:rsidP="00960E6F">
      <w:pPr>
        <w:ind w:left="1440" w:hanging="1440"/>
        <w:jc w:val="both"/>
        <w:rPr>
          <w:bCs/>
        </w:rPr>
      </w:pPr>
      <w:r w:rsidRPr="00D033EB">
        <w:rPr>
          <w:b/>
          <w:bCs/>
        </w:rPr>
        <w:t>GULF:</w:t>
      </w:r>
      <w:r w:rsidRPr="00D033EB">
        <w:rPr>
          <w:b/>
          <w:bCs/>
        </w:rPr>
        <w:tab/>
      </w:r>
      <w:r w:rsidR="00D033EB" w:rsidRPr="00D033EB">
        <w:rPr>
          <w:bCs/>
        </w:rPr>
        <w:t>No position.</w:t>
      </w:r>
    </w:p>
    <w:p w:rsidR="00960E6F" w:rsidRPr="00D033EB" w:rsidRDefault="00960E6F" w:rsidP="00960E6F">
      <w:pPr>
        <w:jc w:val="both"/>
        <w:rPr>
          <w:b/>
          <w:bCs/>
        </w:rPr>
      </w:pPr>
    </w:p>
    <w:p w:rsidR="00960E6F" w:rsidRPr="00D033EB" w:rsidRDefault="00960E6F" w:rsidP="00960E6F">
      <w:pPr>
        <w:jc w:val="both"/>
        <w:rPr>
          <w:b/>
          <w:bCs/>
        </w:rPr>
      </w:pPr>
      <w:r w:rsidRPr="00D033EB">
        <w:rPr>
          <w:b/>
          <w:bCs/>
        </w:rPr>
        <w:t>OPC:</w:t>
      </w:r>
      <w:r w:rsidRPr="00D033EB">
        <w:rPr>
          <w:b/>
          <w:bCs/>
        </w:rPr>
        <w:tab/>
      </w:r>
      <w:r w:rsidRPr="00D033EB">
        <w:rPr>
          <w:b/>
          <w:bCs/>
        </w:rPr>
        <w:tab/>
      </w:r>
      <w:r w:rsidR="00703981" w:rsidRPr="00D033EB">
        <w:t>No position at this time.</w:t>
      </w:r>
    </w:p>
    <w:p w:rsidR="00960E6F" w:rsidRPr="00D033EB" w:rsidRDefault="00960E6F" w:rsidP="00960E6F">
      <w:pPr>
        <w:jc w:val="both"/>
        <w:rPr>
          <w:b/>
          <w:bCs/>
        </w:rPr>
      </w:pPr>
    </w:p>
    <w:p w:rsidR="00960E6F" w:rsidRPr="00D033EB" w:rsidRDefault="00960E6F" w:rsidP="00960E6F">
      <w:pPr>
        <w:jc w:val="both"/>
        <w:rPr>
          <w:b/>
          <w:bCs/>
        </w:rPr>
      </w:pPr>
      <w:r w:rsidRPr="00D033EB">
        <w:rPr>
          <w:b/>
          <w:bCs/>
        </w:rPr>
        <w:t>FIPUG:</w:t>
      </w:r>
      <w:r w:rsidRPr="00D033EB">
        <w:rPr>
          <w:b/>
          <w:bCs/>
        </w:rPr>
        <w:tab/>
      </w:r>
      <w:r w:rsidR="004530F7" w:rsidRPr="00D033EB">
        <w:t>Adopt position of Office of Public Counsel.</w:t>
      </w:r>
    </w:p>
    <w:p w:rsidR="00960E6F" w:rsidRPr="00D033EB" w:rsidRDefault="00960E6F" w:rsidP="00960E6F">
      <w:pPr>
        <w:ind w:left="1440" w:hanging="1440"/>
        <w:jc w:val="both"/>
        <w:rPr>
          <w:b/>
          <w:bCs/>
        </w:rPr>
      </w:pPr>
      <w:r w:rsidRPr="00D033EB">
        <w:rPr>
          <w:b/>
          <w:bCs/>
        </w:rPr>
        <w:lastRenderedPageBreak/>
        <w:t>PCS:</w:t>
      </w:r>
      <w:r w:rsidRPr="00D033EB">
        <w:rPr>
          <w:b/>
          <w:bCs/>
        </w:rPr>
        <w:tab/>
      </w:r>
      <w:r w:rsidR="00703981" w:rsidRPr="00D033EB">
        <w:t>No position.</w:t>
      </w:r>
    </w:p>
    <w:p w:rsidR="00960E6F" w:rsidRPr="00D033EB" w:rsidRDefault="00960E6F" w:rsidP="00960E6F">
      <w:pPr>
        <w:jc w:val="both"/>
        <w:rPr>
          <w:b/>
          <w:bCs/>
        </w:rPr>
      </w:pPr>
    </w:p>
    <w:p w:rsidR="00960E6F" w:rsidRPr="00D033EB" w:rsidRDefault="00960E6F" w:rsidP="00960E6F">
      <w:pPr>
        <w:jc w:val="both"/>
        <w:rPr>
          <w:b/>
          <w:bCs/>
        </w:rPr>
      </w:pPr>
      <w:r w:rsidRPr="00D033EB">
        <w:rPr>
          <w:b/>
          <w:bCs/>
        </w:rPr>
        <w:t>SACE:</w:t>
      </w:r>
      <w:r w:rsidRPr="00D033EB">
        <w:rPr>
          <w:b/>
          <w:bCs/>
        </w:rPr>
        <w:tab/>
      </w:r>
      <w:r w:rsidR="00703981" w:rsidRPr="00D033EB">
        <w:rPr>
          <w:color w:val="000000"/>
        </w:rPr>
        <w:t>No costs should be recovered from customers.</w:t>
      </w:r>
    </w:p>
    <w:p w:rsidR="00960E6F" w:rsidRPr="00D033EB" w:rsidRDefault="00960E6F" w:rsidP="00960E6F">
      <w:pPr>
        <w:jc w:val="both"/>
        <w:rPr>
          <w:b/>
          <w:bCs/>
        </w:rPr>
      </w:pPr>
    </w:p>
    <w:p w:rsidR="00960E6F" w:rsidRPr="00D033EB" w:rsidRDefault="00960E6F" w:rsidP="00960E6F">
      <w:pPr>
        <w:ind w:left="1440" w:hanging="1440"/>
        <w:rPr>
          <w:b/>
          <w:bCs/>
        </w:rPr>
      </w:pPr>
      <w:r w:rsidRPr="00D033EB">
        <w:rPr>
          <w:b/>
          <w:bCs/>
        </w:rPr>
        <w:t>STAFF:</w:t>
      </w:r>
      <w:r w:rsidR="004530F7" w:rsidRPr="00D033EB">
        <w:rPr>
          <w:b/>
          <w:bCs/>
        </w:rPr>
        <w:tab/>
      </w:r>
      <w:r w:rsidR="004530F7" w:rsidRPr="00D033EB">
        <w:t>Staff has no position at this time.</w:t>
      </w:r>
    </w:p>
    <w:p w:rsidR="00DD52D1" w:rsidRPr="00D033EB" w:rsidRDefault="00DD52D1"/>
    <w:p w:rsidR="0050155F" w:rsidRPr="00D033EB" w:rsidRDefault="0050155F"/>
    <w:p w:rsidR="00F34150" w:rsidRPr="00D033EB" w:rsidRDefault="00F34150" w:rsidP="00F34150">
      <w:pPr>
        <w:jc w:val="both"/>
      </w:pPr>
      <w:r w:rsidRPr="00D033EB">
        <w:t>IX.</w:t>
      </w:r>
      <w:r w:rsidRPr="00D033EB">
        <w:tab/>
      </w:r>
      <w:r w:rsidRPr="00D033EB">
        <w:rPr>
          <w:u w:val="single"/>
        </w:rPr>
        <w:t>EXHIBIT LIST</w:t>
      </w:r>
    </w:p>
    <w:p w:rsidR="00F34150" w:rsidRPr="00D033EB" w:rsidRDefault="00F34150" w:rsidP="00F34150">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160"/>
        <w:gridCol w:w="1350"/>
        <w:gridCol w:w="1530"/>
        <w:gridCol w:w="4525"/>
      </w:tblGrid>
      <w:tr w:rsidR="00F34150" w:rsidRPr="00D033EB" w:rsidTr="008D6B75">
        <w:trPr>
          <w:cantSplit/>
          <w:trHeight w:val="373"/>
          <w:tblHeader/>
        </w:trPr>
        <w:tc>
          <w:tcPr>
            <w:tcW w:w="2160" w:type="dxa"/>
            <w:tcBorders>
              <w:top w:val="nil"/>
              <w:left w:val="nil"/>
              <w:bottom w:val="nil"/>
              <w:right w:val="nil"/>
            </w:tcBorders>
          </w:tcPr>
          <w:p w:rsidR="00F34150" w:rsidRPr="00D033EB" w:rsidRDefault="00F34150" w:rsidP="00B57274">
            <w:pPr>
              <w:jc w:val="both"/>
            </w:pPr>
            <w:r w:rsidRPr="00D033EB">
              <w:rPr>
                <w:u w:val="single"/>
              </w:rPr>
              <w:t>Witness</w:t>
            </w:r>
          </w:p>
        </w:tc>
        <w:tc>
          <w:tcPr>
            <w:tcW w:w="1350" w:type="dxa"/>
            <w:tcBorders>
              <w:top w:val="nil"/>
              <w:left w:val="nil"/>
              <w:bottom w:val="nil"/>
              <w:right w:val="nil"/>
            </w:tcBorders>
          </w:tcPr>
          <w:p w:rsidR="00F34150" w:rsidRPr="00D033EB" w:rsidRDefault="00F34150" w:rsidP="00B57274">
            <w:pPr>
              <w:jc w:val="center"/>
            </w:pPr>
            <w:r w:rsidRPr="00D033EB">
              <w:rPr>
                <w:u w:val="single"/>
              </w:rPr>
              <w:t>Proffered By</w:t>
            </w:r>
          </w:p>
        </w:tc>
        <w:tc>
          <w:tcPr>
            <w:tcW w:w="1530" w:type="dxa"/>
            <w:tcBorders>
              <w:top w:val="nil"/>
              <w:left w:val="nil"/>
              <w:bottom w:val="nil"/>
              <w:right w:val="nil"/>
            </w:tcBorders>
          </w:tcPr>
          <w:p w:rsidR="00F34150" w:rsidRPr="00D033EB" w:rsidRDefault="00F34150" w:rsidP="00B57274">
            <w:pPr>
              <w:jc w:val="center"/>
            </w:pPr>
          </w:p>
        </w:tc>
        <w:tc>
          <w:tcPr>
            <w:tcW w:w="4525" w:type="dxa"/>
            <w:tcBorders>
              <w:top w:val="nil"/>
              <w:left w:val="nil"/>
              <w:bottom w:val="nil"/>
              <w:right w:val="nil"/>
            </w:tcBorders>
          </w:tcPr>
          <w:p w:rsidR="00F34150" w:rsidRPr="00D033EB" w:rsidRDefault="00F34150" w:rsidP="00B57274">
            <w:pPr>
              <w:jc w:val="both"/>
            </w:pPr>
            <w:r w:rsidRPr="00D033EB">
              <w:rPr>
                <w:u w:val="single"/>
              </w:rPr>
              <w:t>Description</w:t>
            </w:r>
          </w:p>
        </w:tc>
      </w:tr>
      <w:tr w:rsidR="00F34150" w:rsidRPr="00D033EB" w:rsidTr="008D6B75">
        <w:trPr>
          <w:cantSplit/>
          <w:trHeight w:val="353"/>
        </w:trPr>
        <w:tc>
          <w:tcPr>
            <w:tcW w:w="2160" w:type="dxa"/>
            <w:tcBorders>
              <w:top w:val="nil"/>
              <w:left w:val="nil"/>
              <w:bottom w:val="nil"/>
              <w:right w:val="nil"/>
            </w:tcBorders>
          </w:tcPr>
          <w:p w:rsidR="00F34150" w:rsidRPr="00D033EB" w:rsidRDefault="00F34150" w:rsidP="00B57274">
            <w:pPr>
              <w:jc w:val="both"/>
            </w:pPr>
            <w:r w:rsidRPr="00D033EB">
              <w:tab/>
            </w:r>
            <w:r w:rsidRPr="00D033EB">
              <w:rPr>
                <w:u w:val="single"/>
              </w:rPr>
              <w:t>Direct</w:t>
            </w:r>
          </w:p>
        </w:tc>
        <w:tc>
          <w:tcPr>
            <w:tcW w:w="1350" w:type="dxa"/>
            <w:tcBorders>
              <w:top w:val="nil"/>
              <w:left w:val="nil"/>
              <w:bottom w:val="nil"/>
              <w:right w:val="nil"/>
            </w:tcBorders>
          </w:tcPr>
          <w:p w:rsidR="00F34150" w:rsidRPr="00D033EB" w:rsidRDefault="00F34150" w:rsidP="00B57274">
            <w:pPr>
              <w:jc w:val="center"/>
            </w:pPr>
          </w:p>
        </w:tc>
        <w:tc>
          <w:tcPr>
            <w:tcW w:w="1530" w:type="dxa"/>
            <w:tcBorders>
              <w:top w:val="nil"/>
              <w:left w:val="nil"/>
              <w:bottom w:val="nil"/>
              <w:right w:val="nil"/>
            </w:tcBorders>
          </w:tcPr>
          <w:p w:rsidR="00F34150" w:rsidRPr="00D033EB" w:rsidRDefault="00F34150" w:rsidP="00B57274">
            <w:pPr>
              <w:jc w:val="center"/>
            </w:pPr>
          </w:p>
        </w:tc>
        <w:tc>
          <w:tcPr>
            <w:tcW w:w="4525" w:type="dxa"/>
            <w:tcBorders>
              <w:top w:val="nil"/>
              <w:left w:val="nil"/>
              <w:bottom w:val="nil"/>
              <w:right w:val="nil"/>
            </w:tcBorders>
          </w:tcPr>
          <w:p w:rsidR="00F34150" w:rsidRPr="00D033EB" w:rsidRDefault="00F34150" w:rsidP="00B57274"/>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B57274">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w:t>
            </w:r>
          </w:p>
        </w:tc>
        <w:tc>
          <w:tcPr>
            <w:tcW w:w="4525" w:type="dxa"/>
            <w:tcBorders>
              <w:top w:val="nil"/>
              <w:left w:val="nil"/>
              <w:bottom w:val="nil"/>
              <w:right w:val="nil"/>
            </w:tcBorders>
          </w:tcPr>
          <w:p w:rsidR="00A10952" w:rsidRPr="00D033EB" w:rsidRDefault="00042429" w:rsidP="00A10952">
            <w:pPr>
              <w:rPr>
                <w:color w:val="000000"/>
              </w:rPr>
            </w:pPr>
            <w:r w:rsidRPr="00D033EB">
              <w:rPr>
                <w:color w:val="000000"/>
              </w:rPr>
              <w:t>FPL Supplemental CAIR/MATS/CAVR Filing</w:t>
            </w:r>
          </w:p>
        </w:tc>
      </w:tr>
      <w:tr w:rsidR="00A10952" w:rsidRPr="00D033EB" w:rsidTr="008D6B75">
        <w:trPr>
          <w:cantSplit/>
          <w:trHeight w:val="37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MWS-2</w:t>
            </w:r>
          </w:p>
        </w:tc>
        <w:tc>
          <w:tcPr>
            <w:tcW w:w="4525" w:type="dxa"/>
            <w:tcBorders>
              <w:top w:val="nil"/>
              <w:left w:val="nil"/>
              <w:bottom w:val="nil"/>
              <w:right w:val="nil"/>
            </w:tcBorders>
          </w:tcPr>
          <w:p w:rsidR="00A10952" w:rsidRPr="00D033EB" w:rsidRDefault="00042429" w:rsidP="00A10952">
            <w:pPr>
              <w:rPr>
                <w:color w:val="000000"/>
              </w:rPr>
            </w:pPr>
            <w:r w:rsidRPr="00D033EB">
              <w:rPr>
                <w:color w:val="000000"/>
              </w:rPr>
              <w:t>1971 U.S. Department of Justice (“USDOJ”) Settlement Agreement</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MWS-3</w:t>
            </w:r>
          </w:p>
        </w:tc>
        <w:tc>
          <w:tcPr>
            <w:tcW w:w="4525" w:type="dxa"/>
            <w:tcBorders>
              <w:top w:val="nil"/>
              <w:left w:val="nil"/>
              <w:bottom w:val="nil"/>
              <w:right w:val="nil"/>
            </w:tcBorders>
          </w:tcPr>
          <w:p w:rsidR="00A10952" w:rsidRPr="00D033EB" w:rsidRDefault="00042429" w:rsidP="00A10952">
            <w:pPr>
              <w:rPr>
                <w:color w:val="000000"/>
              </w:rPr>
            </w:pPr>
            <w:r w:rsidRPr="00D033EB">
              <w:rPr>
                <w:color w:val="000000"/>
              </w:rPr>
              <w:t>NPDES/Industrial Wastewater (“IWW”) Permit Number FL0001562</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MWS-4</w:t>
            </w:r>
          </w:p>
        </w:tc>
        <w:tc>
          <w:tcPr>
            <w:tcW w:w="4525" w:type="dxa"/>
            <w:tcBorders>
              <w:top w:val="nil"/>
              <w:left w:val="nil"/>
              <w:bottom w:val="nil"/>
              <w:right w:val="nil"/>
            </w:tcBorders>
          </w:tcPr>
          <w:p w:rsidR="00A10952" w:rsidRPr="00D033EB" w:rsidRDefault="00042429" w:rsidP="00A10952">
            <w:pPr>
              <w:rPr>
                <w:color w:val="000000"/>
              </w:rPr>
            </w:pPr>
            <w:r w:rsidRPr="00D033EB">
              <w:rPr>
                <w:color w:val="000000"/>
              </w:rPr>
              <w:t>Fifth Supplemental Agreement between the South Florida Water Management District (“SFWMD”) and FPL</w:t>
            </w:r>
          </w:p>
        </w:tc>
      </w:tr>
      <w:tr w:rsidR="00A10952" w:rsidRPr="00D033EB" w:rsidTr="008D6B75">
        <w:trPr>
          <w:cantSplit/>
          <w:trHeight w:val="37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MWS-5</w:t>
            </w:r>
          </w:p>
        </w:tc>
        <w:tc>
          <w:tcPr>
            <w:tcW w:w="4525" w:type="dxa"/>
            <w:tcBorders>
              <w:top w:val="nil"/>
              <w:left w:val="nil"/>
              <w:bottom w:val="nil"/>
              <w:right w:val="nil"/>
            </w:tcBorders>
          </w:tcPr>
          <w:p w:rsidR="00A10952" w:rsidRPr="00D033EB" w:rsidRDefault="00042429" w:rsidP="00A10952">
            <w:pPr>
              <w:rPr>
                <w:color w:val="000000"/>
              </w:rPr>
            </w:pPr>
            <w:r w:rsidRPr="00D033EB">
              <w:rPr>
                <w:color w:val="000000"/>
              </w:rPr>
              <w:t>Turkey Point Extended Power Uprate Site Certification Conditions of Certification IX and X</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MWS-6</w:t>
            </w:r>
          </w:p>
        </w:tc>
        <w:tc>
          <w:tcPr>
            <w:tcW w:w="4525" w:type="dxa"/>
            <w:tcBorders>
              <w:top w:val="nil"/>
              <w:left w:val="nil"/>
              <w:bottom w:val="nil"/>
              <w:right w:val="nil"/>
            </w:tcBorders>
          </w:tcPr>
          <w:p w:rsidR="00A10952" w:rsidRPr="00D033EB" w:rsidRDefault="00042429" w:rsidP="00A10952">
            <w:pPr>
              <w:rPr>
                <w:color w:val="000000"/>
              </w:rPr>
            </w:pPr>
            <w:r w:rsidRPr="00D033EB">
              <w:rPr>
                <w:color w:val="000000"/>
              </w:rPr>
              <w:t>2013 SFWMD Letter Requesting Consultation</w:t>
            </w:r>
          </w:p>
        </w:tc>
      </w:tr>
      <w:tr w:rsidR="00A10952" w:rsidRPr="00D033EB" w:rsidTr="008D6B75">
        <w:trPr>
          <w:cantSplit/>
          <w:trHeight w:val="37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MWS-7</w:t>
            </w:r>
          </w:p>
        </w:tc>
        <w:tc>
          <w:tcPr>
            <w:tcW w:w="4525" w:type="dxa"/>
            <w:tcBorders>
              <w:top w:val="nil"/>
              <w:left w:val="nil"/>
              <w:bottom w:val="nil"/>
              <w:right w:val="nil"/>
            </w:tcBorders>
          </w:tcPr>
          <w:p w:rsidR="00A10952" w:rsidRPr="00D033EB" w:rsidRDefault="00042429" w:rsidP="00A10952">
            <w:pPr>
              <w:rPr>
                <w:color w:val="000000"/>
              </w:rPr>
            </w:pPr>
            <w:r w:rsidRPr="00D033EB">
              <w:rPr>
                <w:color w:val="000000"/>
              </w:rPr>
              <w:t>December 2014 FDEP Administrative Order</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MWS-8</w:t>
            </w:r>
          </w:p>
        </w:tc>
        <w:tc>
          <w:tcPr>
            <w:tcW w:w="4525" w:type="dxa"/>
            <w:tcBorders>
              <w:top w:val="nil"/>
              <w:left w:val="nil"/>
              <w:bottom w:val="nil"/>
              <w:right w:val="nil"/>
            </w:tcBorders>
          </w:tcPr>
          <w:p w:rsidR="00A10952" w:rsidRPr="00D033EB" w:rsidRDefault="00042429" w:rsidP="00A10952">
            <w:pPr>
              <w:rPr>
                <w:color w:val="000000"/>
              </w:rPr>
            </w:pPr>
            <w:r w:rsidRPr="00D033EB">
              <w:rPr>
                <w:color w:val="000000"/>
              </w:rPr>
              <w:t>October 2015 Miami-Dade County Department of Environmental Resources Management Notice of Violation</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MWS-9</w:t>
            </w:r>
          </w:p>
        </w:tc>
        <w:tc>
          <w:tcPr>
            <w:tcW w:w="4525" w:type="dxa"/>
            <w:tcBorders>
              <w:top w:val="nil"/>
              <w:left w:val="nil"/>
              <w:bottom w:val="nil"/>
              <w:right w:val="nil"/>
            </w:tcBorders>
          </w:tcPr>
          <w:p w:rsidR="00A10952" w:rsidRPr="00D033EB" w:rsidRDefault="00A10952" w:rsidP="00A10952">
            <w:pPr>
              <w:rPr>
                <w:color w:val="000000"/>
              </w:rPr>
            </w:pPr>
            <w:r w:rsidRPr="00D033EB">
              <w:rPr>
                <w:color w:val="000000"/>
              </w:rPr>
              <w:t>October 2015 Miami-Dade County Department of Environmental Resources Management Consent Agreement and Related Correspondence</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MWS-10</w:t>
            </w:r>
          </w:p>
        </w:tc>
        <w:tc>
          <w:tcPr>
            <w:tcW w:w="4525" w:type="dxa"/>
            <w:tcBorders>
              <w:top w:val="nil"/>
              <w:left w:val="nil"/>
              <w:bottom w:val="nil"/>
              <w:right w:val="nil"/>
            </w:tcBorders>
          </w:tcPr>
          <w:p w:rsidR="00A10952" w:rsidRPr="00D033EB" w:rsidRDefault="00A10952" w:rsidP="00A10952">
            <w:pPr>
              <w:rPr>
                <w:color w:val="000000"/>
              </w:rPr>
            </w:pPr>
            <w:r w:rsidRPr="00D033EB">
              <w:rPr>
                <w:color w:val="000000"/>
              </w:rPr>
              <w:t>April 2016 FDEP Warning Letter and Notice of Violation</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lastRenderedPageBreak/>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MWS-11</w:t>
            </w:r>
          </w:p>
        </w:tc>
        <w:tc>
          <w:tcPr>
            <w:tcW w:w="4525" w:type="dxa"/>
            <w:tcBorders>
              <w:top w:val="nil"/>
              <w:left w:val="nil"/>
              <w:bottom w:val="nil"/>
              <w:right w:val="nil"/>
            </w:tcBorders>
          </w:tcPr>
          <w:p w:rsidR="00A10952" w:rsidRPr="00D033EB" w:rsidRDefault="00A10952" w:rsidP="00A10952">
            <w:pPr>
              <w:rPr>
                <w:color w:val="000000"/>
              </w:rPr>
            </w:pPr>
            <w:r w:rsidRPr="00D033EB">
              <w:rPr>
                <w:color w:val="000000"/>
              </w:rPr>
              <w:t>April 2016 FDEP Warning Letter and Notice of Violation</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MWS-12</w:t>
            </w:r>
          </w:p>
        </w:tc>
        <w:tc>
          <w:tcPr>
            <w:tcW w:w="4525" w:type="dxa"/>
            <w:tcBorders>
              <w:top w:val="nil"/>
              <w:left w:val="nil"/>
              <w:bottom w:val="nil"/>
              <w:right w:val="nil"/>
            </w:tcBorders>
          </w:tcPr>
          <w:p w:rsidR="00A10952" w:rsidRPr="00D033EB" w:rsidRDefault="00A10952" w:rsidP="00A10952">
            <w:pPr>
              <w:rPr>
                <w:color w:val="000000"/>
              </w:rPr>
            </w:pPr>
            <w:r w:rsidRPr="00D033EB">
              <w:rPr>
                <w:color w:val="000000"/>
              </w:rPr>
              <w:t>June 2016 FDEP Consent Order</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MWS-13</w:t>
            </w:r>
          </w:p>
        </w:tc>
        <w:tc>
          <w:tcPr>
            <w:tcW w:w="4525" w:type="dxa"/>
            <w:tcBorders>
              <w:top w:val="nil"/>
              <w:left w:val="nil"/>
              <w:bottom w:val="nil"/>
              <w:right w:val="nil"/>
            </w:tcBorders>
          </w:tcPr>
          <w:p w:rsidR="00A10952" w:rsidRPr="00D033EB" w:rsidRDefault="00A10952" w:rsidP="00A10952">
            <w:pPr>
              <w:rPr>
                <w:color w:val="000000"/>
              </w:rPr>
            </w:pPr>
            <w:r w:rsidRPr="00D033EB">
              <w:rPr>
                <w:color w:val="000000"/>
              </w:rPr>
              <w:t>Addendum to October 2015 Consent Agreement and Related Correspondence</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MWS-14</w:t>
            </w:r>
          </w:p>
        </w:tc>
        <w:tc>
          <w:tcPr>
            <w:tcW w:w="4525" w:type="dxa"/>
            <w:tcBorders>
              <w:top w:val="nil"/>
              <w:left w:val="nil"/>
              <w:bottom w:val="nil"/>
              <w:right w:val="nil"/>
            </w:tcBorders>
          </w:tcPr>
          <w:p w:rsidR="00A10952" w:rsidRPr="00D033EB" w:rsidRDefault="00A10952" w:rsidP="00A10952">
            <w:pPr>
              <w:rPr>
                <w:color w:val="000000"/>
              </w:rPr>
            </w:pPr>
            <w:r w:rsidRPr="00D033EB">
              <w:rPr>
                <w:color w:val="000000"/>
              </w:rPr>
              <w:t>TPCCMP Project O&amp;M Expenses and Capital Costs</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MWS-15</w:t>
            </w:r>
          </w:p>
        </w:tc>
        <w:tc>
          <w:tcPr>
            <w:tcW w:w="4525" w:type="dxa"/>
            <w:tcBorders>
              <w:top w:val="nil"/>
              <w:left w:val="nil"/>
              <w:bottom w:val="nil"/>
              <w:right w:val="nil"/>
            </w:tcBorders>
          </w:tcPr>
          <w:p w:rsidR="00A10952" w:rsidRPr="00D033EB" w:rsidRDefault="00A10952" w:rsidP="00A10952">
            <w:pPr>
              <w:rPr>
                <w:color w:val="000000"/>
              </w:rPr>
            </w:pPr>
            <w:r w:rsidRPr="00D033EB">
              <w:rPr>
                <w:color w:val="000000"/>
              </w:rPr>
              <w:t>FDEP Industrial Wastewater Facility (“IWWF”) Permit Number FL0001503 for PFL</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MWS-16</w:t>
            </w:r>
          </w:p>
        </w:tc>
        <w:tc>
          <w:tcPr>
            <w:tcW w:w="4525" w:type="dxa"/>
            <w:tcBorders>
              <w:top w:val="nil"/>
              <w:left w:val="nil"/>
              <w:bottom w:val="nil"/>
              <w:right w:val="nil"/>
            </w:tcBorders>
          </w:tcPr>
          <w:p w:rsidR="00A10952" w:rsidRPr="00D033EB" w:rsidRDefault="00A10952" w:rsidP="00B57274">
            <w:r w:rsidRPr="00D033EB">
              <w:rPr>
                <w:color w:val="000000"/>
              </w:rPr>
              <w:t>PFL Manatee Protection Plan (“MPP”)</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MWS-17</w:t>
            </w:r>
          </w:p>
        </w:tc>
        <w:tc>
          <w:tcPr>
            <w:tcW w:w="4525" w:type="dxa"/>
            <w:tcBorders>
              <w:top w:val="nil"/>
              <w:left w:val="nil"/>
              <w:bottom w:val="nil"/>
              <w:right w:val="nil"/>
            </w:tcBorders>
          </w:tcPr>
          <w:p w:rsidR="00A10952" w:rsidRPr="00D033EB" w:rsidRDefault="00A10952" w:rsidP="00B57274">
            <w:r w:rsidRPr="00D033EB">
              <w:rPr>
                <w:color w:val="000000"/>
              </w:rPr>
              <w:t>U.S. Fish and Wildlife Service (“FWS”) letter to FPL regarding manatee protection at PFL</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MWS-18</w:t>
            </w:r>
          </w:p>
        </w:tc>
        <w:tc>
          <w:tcPr>
            <w:tcW w:w="4525" w:type="dxa"/>
            <w:tcBorders>
              <w:top w:val="nil"/>
              <w:left w:val="nil"/>
              <w:bottom w:val="nil"/>
              <w:right w:val="nil"/>
            </w:tcBorders>
          </w:tcPr>
          <w:p w:rsidR="00A10952" w:rsidRPr="00D033EB" w:rsidRDefault="00A10952" w:rsidP="00B57274">
            <w:r w:rsidRPr="00D033EB">
              <w:rPr>
                <w:color w:val="000000"/>
              </w:rPr>
              <w:t>PFL Manatee Temporary Heating System Conceptual Location of heated refuge, heater and pump systems</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M.W. SOLE</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MWS-19</w:t>
            </w:r>
          </w:p>
        </w:tc>
        <w:tc>
          <w:tcPr>
            <w:tcW w:w="4525" w:type="dxa"/>
            <w:tcBorders>
              <w:top w:val="nil"/>
              <w:left w:val="nil"/>
              <w:bottom w:val="nil"/>
              <w:right w:val="nil"/>
            </w:tcBorders>
          </w:tcPr>
          <w:p w:rsidR="00A10952" w:rsidRPr="00D033EB" w:rsidRDefault="00A10952" w:rsidP="00B57274">
            <w:r w:rsidRPr="00D033EB">
              <w:rPr>
                <w:color w:val="000000"/>
              </w:rPr>
              <w:t>Excerpt from PSL NPDES Permit</w:t>
            </w:r>
          </w:p>
        </w:tc>
      </w:tr>
      <w:tr w:rsidR="006335CA" w:rsidRPr="00D033EB" w:rsidTr="008D6B75">
        <w:trPr>
          <w:cantSplit/>
          <w:trHeight w:val="353"/>
        </w:trPr>
        <w:tc>
          <w:tcPr>
            <w:tcW w:w="2160" w:type="dxa"/>
            <w:tcBorders>
              <w:top w:val="nil"/>
              <w:left w:val="nil"/>
              <w:bottom w:val="nil"/>
              <w:right w:val="nil"/>
            </w:tcBorders>
          </w:tcPr>
          <w:p w:rsidR="006335CA" w:rsidRPr="00D033EB" w:rsidRDefault="006335CA" w:rsidP="00DD4B17">
            <w:pPr>
              <w:rPr>
                <w:color w:val="000000"/>
              </w:rPr>
            </w:pPr>
            <w:r w:rsidRPr="00D033EB">
              <w:rPr>
                <w:color w:val="000000"/>
              </w:rPr>
              <w:t>K. FERGUSON</w:t>
            </w:r>
          </w:p>
        </w:tc>
        <w:tc>
          <w:tcPr>
            <w:tcW w:w="1350" w:type="dxa"/>
            <w:tcBorders>
              <w:top w:val="nil"/>
              <w:left w:val="nil"/>
              <w:bottom w:val="nil"/>
              <w:right w:val="nil"/>
            </w:tcBorders>
          </w:tcPr>
          <w:p w:rsidR="006335CA" w:rsidRPr="00D033EB" w:rsidRDefault="006335CA" w:rsidP="00DD4B17">
            <w:pPr>
              <w:jc w:val="center"/>
            </w:pPr>
            <w:r w:rsidRPr="00D033EB">
              <w:t>FPL</w:t>
            </w:r>
          </w:p>
        </w:tc>
        <w:tc>
          <w:tcPr>
            <w:tcW w:w="1530" w:type="dxa"/>
            <w:tcBorders>
              <w:top w:val="nil"/>
              <w:left w:val="nil"/>
              <w:bottom w:val="nil"/>
              <w:right w:val="nil"/>
            </w:tcBorders>
          </w:tcPr>
          <w:p w:rsidR="006335CA" w:rsidRPr="00D033EB" w:rsidRDefault="006335CA" w:rsidP="00DD4B17">
            <w:pPr>
              <w:jc w:val="center"/>
              <w:rPr>
                <w:color w:val="000000"/>
              </w:rPr>
            </w:pPr>
            <w:r w:rsidRPr="00D033EB">
              <w:rPr>
                <w:color w:val="000000"/>
              </w:rPr>
              <w:t>KF-1</w:t>
            </w:r>
          </w:p>
        </w:tc>
        <w:tc>
          <w:tcPr>
            <w:tcW w:w="4525" w:type="dxa"/>
            <w:tcBorders>
              <w:top w:val="nil"/>
              <w:left w:val="nil"/>
              <w:bottom w:val="nil"/>
              <w:right w:val="nil"/>
            </w:tcBorders>
          </w:tcPr>
          <w:p w:rsidR="006335CA" w:rsidRPr="00D033EB" w:rsidRDefault="006335CA" w:rsidP="00DD4B17">
            <w:r w:rsidRPr="00D033EB">
              <w:rPr>
                <w:bCs/>
                <w:color w:val="000000"/>
              </w:rPr>
              <w:t>Tetra Tech Analysis – Determination of Allocation of Costs for CCS Recovery and Improvement for the Recovery Well System</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R.B. DEATON</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RBD-1</w:t>
            </w:r>
          </w:p>
        </w:tc>
        <w:tc>
          <w:tcPr>
            <w:tcW w:w="4525" w:type="dxa"/>
            <w:tcBorders>
              <w:top w:val="nil"/>
              <w:left w:val="nil"/>
              <w:bottom w:val="nil"/>
              <w:right w:val="nil"/>
            </w:tcBorders>
          </w:tcPr>
          <w:p w:rsidR="00A10952" w:rsidRPr="00D033EB" w:rsidRDefault="00A10952" w:rsidP="00B57274">
            <w:r w:rsidRPr="00D033EB">
              <w:rPr>
                <w:color w:val="000000"/>
              </w:rPr>
              <w:t>Environmental Cost Recovery Final True-up January 2016 - December 2016  Commission Forms 42-1A through 42-9A</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R.B. DEATON</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RBD-2</w:t>
            </w:r>
          </w:p>
        </w:tc>
        <w:tc>
          <w:tcPr>
            <w:tcW w:w="4525" w:type="dxa"/>
            <w:tcBorders>
              <w:top w:val="nil"/>
              <w:left w:val="nil"/>
              <w:bottom w:val="nil"/>
              <w:right w:val="nil"/>
            </w:tcBorders>
          </w:tcPr>
          <w:p w:rsidR="00A10952" w:rsidRPr="00D033EB" w:rsidRDefault="00A10952" w:rsidP="00B57274">
            <w:r w:rsidRPr="00D033EB">
              <w:rPr>
                <w:color w:val="000000"/>
              </w:rPr>
              <w:t>Appendix I - Environmental Cost Recovery Actual/Estimated True-up January 2017 – December 2017 -  Commission Forms 42-1E through 42-9E</w:t>
            </w:r>
          </w:p>
        </w:tc>
      </w:tr>
      <w:tr w:rsidR="00A10952" w:rsidRPr="00D033EB" w:rsidTr="008D6B75">
        <w:trPr>
          <w:cantSplit/>
          <w:trHeight w:val="353"/>
        </w:trPr>
        <w:tc>
          <w:tcPr>
            <w:tcW w:w="2160" w:type="dxa"/>
            <w:tcBorders>
              <w:top w:val="nil"/>
              <w:left w:val="nil"/>
              <w:bottom w:val="nil"/>
              <w:right w:val="nil"/>
            </w:tcBorders>
          </w:tcPr>
          <w:p w:rsidR="00A10952" w:rsidRPr="00D033EB" w:rsidRDefault="00A10952" w:rsidP="00A10952">
            <w:pPr>
              <w:rPr>
                <w:color w:val="000000"/>
              </w:rPr>
            </w:pPr>
            <w:r w:rsidRPr="00D033EB">
              <w:rPr>
                <w:color w:val="000000"/>
              </w:rPr>
              <w:t>R.B. DEATON</w:t>
            </w:r>
          </w:p>
        </w:tc>
        <w:tc>
          <w:tcPr>
            <w:tcW w:w="1350" w:type="dxa"/>
            <w:tcBorders>
              <w:top w:val="nil"/>
              <w:left w:val="nil"/>
              <w:bottom w:val="nil"/>
              <w:right w:val="nil"/>
            </w:tcBorders>
          </w:tcPr>
          <w:p w:rsidR="00A10952" w:rsidRPr="00D033EB" w:rsidRDefault="00A10952" w:rsidP="00A10952">
            <w:pPr>
              <w:jc w:val="center"/>
            </w:pPr>
            <w:r w:rsidRPr="00D033EB">
              <w:t>FPL</w:t>
            </w:r>
          </w:p>
        </w:tc>
        <w:tc>
          <w:tcPr>
            <w:tcW w:w="1530" w:type="dxa"/>
            <w:tcBorders>
              <w:top w:val="nil"/>
              <w:left w:val="nil"/>
              <w:bottom w:val="nil"/>
              <w:right w:val="nil"/>
            </w:tcBorders>
          </w:tcPr>
          <w:p w:rsidR="00A10952" w:rsidRPr="00D033EB" w:rsidRDefault="00A10952" w:rsidP="00A10952">
            <w:pPr>
              <w:jc w:val="center"/>
              <w:rPr>
                <w:color w:val="000000"/>
              </w:rPr>
            </w:pPr>
            <w:r w:rsidRPr="00D033EB">
              <w:rPr>
                <w:color w:val="000000"/>
              </w:rPr>
              <w:t>RBD-3</w:t>
            </w:r>
          </w:p>
        </w:tc>
        <w:tc>
          <w:tcPr>
            <w:tcW w:w="4525" w:type="dxa"/>
            <w:tcBorders>
              <w:top w:val="nil"/>
              <w:left w:val="nil"/>
              <w:bottom w:val="nil"/>
              <w:right w:val="nil"/>
            </w:tcBorders>
          </w:tcPr>
          <w:p w:rsidR="00A10952" w:rsidRPr="00D033EB" w:rsidRDefault="00A10952" w:rsidP="00B57274">
            <w:r w:rsidRPr="00D033EB">
              <w:rPr>
                <w:color w:val="000000"/>
              </w:rPr>
              <w:t>Appendix I - Environmental Cost Recovery Projections - January 2018 – December 2018 Commission Forms 42-1P through 42-8P     Appendix II - Calculation of Stratified Separation Factors</w:t>
            </w: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lastRenderedPageBreak/>
              <w:t>CHRISTOPHER MENENDEZ</w:t>
            </w:r>
          </w:p>
        </w:tc>
        <w:tc>
          <w:tcPr>
            <w:tcW w:w="135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CAM-1</w:t>
            </w:r>
          </w:p>
        </w:tc>
        <w:tc>
          <w:tcPr>
            <w:tcW w:w="4525"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Forms 42-1A - 42-9A January 2016 – December 2016</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CHRISTOPHER MENENDEZ</w:t>
            </w:r>
          </w:p>
        </w:tc>
        <w:tc>
          <w:tcPr>
            <w:tcW w:w="1350" w:type="dxa"/>
            <w:tcBorders>
              <w:top w:val="nil"/>
              <w:left w:val="nil"/>
              <w:bottom w:val="nil"/>
              <w:right w:val="nil"/>
            </w:tcBorders>
          </w:tcPr>
          <w:p w:rsidR="00877785" w:rsidRPr="00D033EB" w:rsidRDefault="00877785" w:rsidP="00D44339">
            <w:pPr>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CAM-2</w:t>
            </w:r>
          </w:p>
        </w:tc>
        <w:tc>
          <w:tcPr>
            <w:tcW w:w="4525"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Capital Program Detail</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January 2016 – December 2016</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CHRISTOPHER MENENDEZ</w:t>
            </w:r>
          </w:p>
        </w:tc>
        <w:tc>
          <w:tcPr>
            <w:tcW w:w="1350" w:type="dxa"/>
            <w:tcBorders>
              <w:top w:val="nil"/>
              <w:left w:val="nil"/>
              <w:bottom w:val="nil"/>
              <w:right w:val="nil"/>
            </w:tcBorders>
          </w:tcPr>
          <w:p w:rsidR="00877785" w:rsidRPr="00D033EB" w:rsidRDefault="00877785" w:rsidP="00D44339">
            <w:pPr>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CAM-3</w:t>
            </w:r>
          </w:p>
        </w:tc>
        <w:tc>
          <w:tcPr>
            <w:tcW w:w="4525" w:type="dxa"/>
            <w:tcBorders>
              <w:top w:val="nil"/>
              <w:left w:val="nil"/>
              <w:bottom w:val="nil"/>
              <w:right w:val="nil"/>
            </w:tcBorders>
          </w:tcPr>
          <w:p w:rsidR="00877785" w:rsidRPr="00D033EB" w:rsidRDefault="00877785" w:rsidP="00D44339">
            <w:pPr>
              <w:autoSpaceDE w:val="0"/>
              <w:autoSpaceDN w:val="0"/>
              <w:adjustRightInd w:val="0"/>
              <w:ind w:left="720" w:hanging="720"/>
            </w:pPr>
            <w:r w:rsidRPr="00D033EB">
              <w:t>Forms 42-1E – 42-9E</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January 2017 – December 2017</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CHRISTOPHER MENENDEZ</w:t>
            </w:r>
          </w:p>
        </w:tc>
        <w:tc>
          <w:tcPr>
            <w:tcW w:w="1350" w:type="dxa"/>
            <w:tcBorders>
              <w:top w:val="nil"/>
              <w:left w:val="nil"/>
              <w:bottom w:val="nil"/>
              <w:right w:val="nil"/>
            </w:tcBorders>
          </w:tcPr>
          <w:p w:rsidR="00877785" w:rsidRPr="00D033EB" w:rsidRDefault="00877785" w:rsidP="00D44339">
            <w:pPr>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CAM-4</w:t>
            </w:r>
          </w:p>
        </w:tc>
        <w:tc>
          <w:tcPr>
            <w:tcW w:w="4525"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Capital Program Detail</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January 2017 – December 2017</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CHRISTOPHER MENENDEZ</w:t>
            </w:r>
          </w:p>
        </w:tc>
        <w:tc>
          <w:tcPr>
            <w:tcW w:w="1350" w:type="dxa"/>
            <w:tcBorders>
              <w:top w:val="nil"/>
              <w:left w:val="nil"/>
              <w:bottom w:val="nil"/>
              <w:right w:val="nil"/>
            </w:tcBorders>
          </w:tcPr>
          <w:p w:rsidR="00877785" w:rsidRPr="00D033EB" w:rsidRDefault="00877785" w:rsidP="00D44339">
            <w:pPr>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CAM-5</w:t>
            </w:r>
          </w:p>
          <w:p w:rsidR="00882749" w:rsidRPr="00D033EB" w:rsidRDefault="00882749"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(Revised)</w:t>
            </w:r>
          </w:p>
        </w:tc>
        <w:tc>
          <w:tcPr>
            <w:tcW w:w="4525"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Forms 42-1P – 42-8P</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January 2018– December 2018</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CHRISTOPHER MENENDEZ</w:t>
            </w:r>
          </w:p>
        </w:tc>
        <w:tc>
          <w:tcPr>
            <w:tcW w:w="1350" w:type="dxa"/>
            <w:tcBorders>
              <w:top w:val="nil"/>
              <w:left w:val="nil"/>
              <w:bottom w:val="nil"/>
              <w:right w:val="nil"/>
            </w:tcBorders>
          </w:tcPr>
          <w:p w:rsidR="00877785" w:rsidRPr="00D033EB" w:rsidRDefault="00877785" w:rsidP="00D44339">
            <w:pPr>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CAM-6</w:t>
            </w:r>
          </w:p>
        </w:tc>
        <w:tc>
          <w:tcPr>
            <w:tcW w:w="4525" w:type="dxa"/>
            <w:tcBorders>
              <w:top w:val="nil"/>
              <w:left w:val="nil"/>
              <w:bottom w:val="nil"/>
              <w:right w:val="nil"/>
            </w:tcBorders>
          </w:tcPr>
          <w:p w:rsidR="00877785" w:rsidRPr="00D033EB" w:rsidRDefault="00877785" w:rsidP="00D44339">
            <w:pPr>
              <w:autoSpaceDE w:val="0"/>
              <w:autoSpaceDN w:val="0"/>
              <w:adjustRightInd w:val="0"/>
              <w:ind w:left="720" w:hanging="720"/>
            </w:pPr>
            <w:r w:rsidRPr="00D033EB">
              <w:t>Capital Program Detail</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January 2018 – December 2018</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TIMOTHY HILL</w:t>
            </w:r>
          </w:p>
        </w:tc>
        <w:tc>
          <w:tcPr>
            <w:tcW w:w="135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CAM-5</w:t>
            </w:r>
          </w:p>
          <w:p w:rsidR="00882749" w:rsidRPr="00D033EB" w:rsidRDefault="00882749"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(Revised)</w:t>
            </w:r>
          </w:p>
        </w:tc>
        <w:tc>
          <w:tcPr>
            <w:tcW w:w="4525"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Form 42-5P, page 23 of 23</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JEFFREY SWARTZ</w:t>
            </w:r>
          </w:p>
        </w:tc>
        <w:tc>
          <w:tcPr>
            <w:tcW w:w="135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JS-1</w:t>
            </w:r>
          </w:p>
        </w:tc>
        <w:tc>
          <w:tcPr>
            <w:tcW w:w="4525" w:type="dxa"/>
            <w:tcBorders>
              <w:top w:val="nil"/>
              <w:left w:val="nil"/>
              <w:bottom w:val="nil"/>
              <w:right w:val="nil"/>
            </w:tcBorders>
          </w:tcPr>
          <w:p w:rsidR="00877785" w:rsidRPr="00D033EB" w:rsidRDefault="00877785" w:rsidP="00D44339">
            <w:pPr>
              <w:autoSpaceDE w:val="0"/>
              <w:autoSpaceDN w:val="0"/>
              <w:adjustRightInd w:val="0"/>
              <w:ind w:left="720" w:hanging="720"/>
            </w:pPr>
            <w:r w:rsidRPr="00D033EB">
              <w:t>Crystal River Clean Air</w:t>
            </w:r>
          </w:p>
          <w:p w:rsidR="00877785" w:rsidRPr="00D033EB" w:rsidRDefault="00877785" w:rsidP="00D44339">
            <w:pPr>
              <w:autoSpaceDE w:val="0"/>
              <w:autoSpaceDN w:val="0"/>
              <w:adjustRightInd w:val="0"/>
              <w:ind w:left="720" w:hanging="720"/>
            </w:pPr>
            <w:r w:rsidRPr="00D033EB">
              <w:t>Projects Organizational Chart</w:t>
            </w:r>
            <w:r w:rsidRPr="00D033EB">
              <w:tab/>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D033EB">
              <w:t>JEFFREY SWARTZ</w:t>
            </w:r>
          </w:p>
        </w:tc>
        <w:tc>
          <w:tcPr>
            <w:tcW w:w="135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CAM-5</w:t>
            </w:r>
          </w:p>
          <w:p w:rsidR="00882749" w:rsidRPr="00D033EB" w:rsidRDefault="00882749"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(Revised)</w:t>
            </w:r>
          </w:p>
        </w:tc>
        <w:tc>
          <w:tcPr>
            <w:tcW w:w="4525"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Form 42-5P, pages 7, 21 and 22 of 23</w:t>
            </w:r>
          </w:p>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DD3A9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PATRICIA Q. WEST</w:t>
            </w:r>
          </w:p>
        </w:tc>
        <w:tc>
          <w:tcPr>
            <w:tcW w:w="135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DEF</w:t>
            </w:r>
          </w:p>
        </w:tc>
        <w:tc>
          <w:tcPr>
            <w:tcW w:w="1530"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CAM-5</w:t>
            </w:r>
          </w:p>
          <w:p w:rsidR="00882749" w:rsidRPr="00D033EB" w:rsidRDefault="00882749"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D033EB">
              <w:t>(Revised)</w:t>
            </w:r>
          </w:p>
        </w:tc>
        <w:tc>
          <w:tcPr>
            <w:tcW w:w="4525" w:type="dxa"/>
            <w:tcBorders>
              <w:top w:val="nil"/>
              <w:left w:val="nil"/>
              <w:bottom w:val="nil"/>
              <w:right w:val="nil"/>
            </w:tcBorders>
          </w:tcPr>
          <w:p w:rsidR="00877785" w:rsidRPr="00D033EB" w:rsidRDefault="00877785" w:rsidP="00D4433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033EB">
              <w:t>Form 42-5P, pages 1-4, and 6-20 of 23</w:t>
            </w: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8D6B75">
            <w:r w:rsidRPr="00D033EB">
              <w:t>PENELOPE A. RUSK</w:t>
            </w:r>
          </w:p>
        </w:tc>
        <w:tc>
          <w:tcPr>
            <w:tcW w:w="1350" w:type="dxa"/>
            <w:tcBorders>
              <w:top w:val="nil"/>
              <w:left w:val="nil"/>
              <w:bottom w:val="nil"/>
              <w:right w:val="nil"/>
            </w:tcBorders>
          </w:tcPr>
          <w:p w:rsidR="00877785" w:rsidRPr="00D033EB" w:rsidRDefault="00877785" w:rsidP="00AB0609">
            <w:pPr>
              <w:jc w:val="center"/>
            </w:pPr>
            <w:r w:rsidRPr="00D033EB">
              <w:t>TECO</w:t>
            </w:r>
          </w:p>
        </w:tc>
        <w:tc>
          <w:tcPr>
            <w:tcW w:w="1530" w:type="dxa"/>
            <w:tcBorders>
              <w:top w:val="nil"/>
              <w:left w:val="nil"/>
              <w:bottom w:val="nil"/>
              <w:right w:val="nil"/>
            </w:tcBorders>
          </w:tcPr>
          <w:p w:rsidR="00877785" w:rsidRPr="00D033EB" w:rsidRDefault="002B3172" w:rsidP="00B57274">
            <w:pPr>
              <w:jc w:val="center"/>
            </w:pPr>
            <w:r w:rsidRPr="00D033EB">
              <w:t>PAR-1</w:t>
            </w:r>
          </w:p>
        </w:tc>
        <w:tc>
          <w:tcPr>
            <w:tcW w:w="4525" w:type="dxa"/>
            <w:tcBorders>
              <w:top w:val="nil"/>
              <w:left w:val="nil"/>
              <w:bottom w:val="nil"/>
              <w:right w:val="nil"/>
            </w:tcBorders>
          </w:tcPr>
          <w:p w:rsidR="00877785" w:rsidRPr="00D033EB" w:rsidRDefault="002B3172" w:rsidP="00B57274">
            <w:r w:rsidRPr="00D033EB">
              <w:t>Final Environmental Cost Recovery Commission Forms 42-1A through 42-9A for the period January 2016 through December 2016</w:t>
            </w: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494249">
            <w:pPr>
              <w:ind w:right="600"/>
            </w:pPr>
            <w:r w:rsidRPr="00D033EB">
              <w:t>PENELOPE A. RUSK</w:t>
            </w:r>
          </w:p>
        </w:tc>
        <w:tc>
          <w:tcPr>
            <w:tcW w:w="1350" w:type="dxa"/>
            <w:tcBorders>
              <w:top w:val="nil"/>
              <w:left w:val="nil"/>
              <w:bottom w:val="nil"/>
              <w:right w:val="nil"/>
            </w:tcBorders>
          </w:tcPr>
          <w:p w:rsidR="00877785" w:rsidRPr="00D033EB" w:rsidRDefault="00877785" w:rsidP="00AB0609">
            <w:pPr>
              <w:jc w:val="center"/>
            </w:pPr>
            <w:r w:rsidRPr="00D033EB">
              <w:t>TECO</w:t>
            </w:r>
          </w:p>
        </w:tc>
        <w:tc>
          <w:tcPr>
            <w:tcW w:w="1530" w:type="dxa"/>
            <w:tcBorders>
              <w:top w:val="nil"/>
              <w:left w:val="nil"/>
              <w:bottom w:val="nil"/>
              <w:right w:val="nil"/>
            </w:tcBorders>
          </w:tcPr>
          <w:p w:rsidR="00877785" w:rsidRPr="00D033EB" w:rsidRDefault="002B3172" w:rsidP="00B57274">
            <w:pPr>
              <w:jc w:val="center"/>
            </w:pPr>
            <w:r w:rsidRPr="00D033EB">
              <w:t>PAR-2</w:t>
            </w:r>
          </w:p>
        </w:tc>
        <w:tc>
          <w:tcPr>
            <w:tcW w:w="4525" w:type="dxa"/>
            <w:tcBorders>
              <w:top w:val="nil"/>
              <w:left w:val="nil"/>
              <w:bottom w:val="nil"/>
              <w:right w:val="nil"/>
            </w:tcBorders>
          </w:tcPr>
          <w:p w:rsidR="00877785" w:rsidRPr="00D033EB" w:rsidRDefault="002B3172" w:rsidP="00B57274">
            <w:r w:rsidRPr="00D033EB">
              <w:t>Environmental Cost Recovery Commission Forms 42-1E through 42-9E for the Period January 2017 through December 2017</w:t>
            </w:r>
          </w:p>
        </w:tc>
      </w:tr>
      <w:tr w:rsidR="00877785" w:rsidRPr="00D033EB" w:rsidTr="008D6B75">
        <w:trPr>
          <w:cantSplit/>
          <w:trHeight w:val="373"/>
        </w:trPr>
        <w:tc>
          <w:tcPr>
            <w:tcW w:w="2160" w:type="dxa"/>
            <w:tcBorders>
              <w:top w:val="nil"/>
              <w:left w:val="nil"/>
              <w:bottom w:val="nil"/>
              <w:right w:val="nil"/>
            </w:tcBorders>
          </w:tcPr>
          <w:p w:rsidR="00877785" w:rsidRPr="00D033EB" w:rsidRDefault="00DD3A96" w:rsidP="00494249">
            <w:pPr>
              <w:ind w:right="600"/>
            </w:pPr>
            <w:r w:rsidRPr="00D033EB">
              <w:lastRenderedPageBreak/>
              <w:t>PENELOPE A. RUSK</w:t>
            </w:r>
          </w:p>
        </w:tc>
        <w:tc>
          <w:tcPr>
            <w:tcW w:w="1350" w:type="dxa"/>
            <w:tcBorders>
              <w:top w:val="nil"/>
              <w:left w:val="nil"/>
              <w:bottom w:val="nil"/>
              <w:right w:val="nil"/>
            </w:tcBorders>
          </w:tcPr>
          <w:p w:rsidR="00877785" w:rsidRPr="00D033EB" w:rsidRDefault="00877785" w:rsidP="00AB0609">
            <w:pPr>
              <w:jc w:val="center"/>
            </w:pPr>
            <w:r w:rsidRPr="00D033EB">
              <w:t>TECO</w:t>
            </w:r>
          </w:p>
        </w:tc>
        <w:tc>
          <w:tcPr>
            <w:tcW w:w="1530" w:type="dxa"/>
            <w:tcBorders>
              <w:top w:val="nil"/>
              <w:left w:val="nil"/>
              <w:bottom w:val="nil"/>
              <w:right w:val="nil"/>
            </w:tcBorders>
          </w:tcPr>
          <w:p w:rsidR="00877785" w:rsidRPr="00D033EB" w:rsidRDefault="002B3172" w:rsidP="00B57274">
            <w:pPr>
              <w:jc w:val="center"/>
            </w:pPr>
            <w:r w:rsidRPr="00D033EB">
              <w:t>PAR-3</w:t>
            </w:r>
          </w:p>
        </w:tc>
        <w:tc>
          <w:tcPr>
            <w:tcW w:w="4525" w:type="dxa"/>
            <w:tcBorders>
              <w:top w:val="nil"/>
              <w:left w:val="nil"/>
              <w:bottom w:val="nil"/>
              <w:right w:val="nil"/>
            </w:tcBorders>
          </w:tcPr>
          <w:p w:rsidR="00877785" w:rsidRPr="00D033EB" w:rsidRDefault="002B3172" w:rsidP="002B3172">
            <w:r w:rsidRPr="00D033EB">
              <w:t>Forms 42-1P through 42-8P Forms for the January 2018 through December 2018</w:t>
            </w:r>
          </w:p>
        </w:tc>
      </w:tr>
      <w:tr w:rsidR="006335CA" w:rsidRPr="00D033EB" w:rsidTr="008D6B75">
        <w:trPr>
          <w:cantSplit/>
          <w:trHeight w:val="373"/>
        </w:trPr>
        <w:tc>
          <w:tcPr>
            <w:tcW w:w="2160" w:type="dxa"/>
            <w:tcBorders>
              <w:top w:val="nil"/>
              <w:left w:val="nil"/>
              <w:bottom w:val="nil"/>
              <w:right w:val="nil"/>
            </w:tcBorders>
          </w:tcPr>
          <w:p w:rsidR="006335CA" w:rsidRPr="00D033EB" w:rsidRDefault="006335CA" w:rsidP="00DD4B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033EB">
              <w:t>MARKEY</w:t>
            </w:r>
          </w:p>
        </w:tc>
        <w:tc>
          <w:tcPr>
            <w:tcW w:w="1350" w:type="dxa"/>
            <w:tcBorders>
              <w:top w:val="nil"/>
              <w:left w:val="nil"/>
              <w:bottom w:val="nil"/>
              <w:right w:val="nil"/>
            </w:tcBorders>
          </w:tcPr>
          <w:p w:rsidR="006335CA" w:rsidRPr="00D033EB" w:rsidRDefault="006335CA" w:rsidP="00DD4B17">
            <w:pPr>
              <w:numPr>
                <w:ilvl w:val="12"/>
                <w:numId w:val="0"/>
              </w:numPr>
              <w:tabs>
                <w:tab w:val="left" w:pos="33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0"/>
              <w:jc w:val="center"/>
            </w:pPr>
            <w:r w:rsidRPr="00D033EB">
              <w:t>Gulf</w:t>
            </w:r>
          </w:p>
        </w:tc>
        <w:tc>
          <w:tcPr>
            <w:tcW w:w="1530" w:type="dxa"/>
            <w:tcBorders>
              <w:top w:val="nil"/>
              <w:left w:val="nil"/>
              <w:bottom w:val="nil"/>
              <w:right w:val="nil"/>
            </w:tcBorders>
          </w:tcPr>
          <w:p w:rsidR="006335CA" w:rsidRPr="00D033EB" w:rsidRDefault="006335CA" w:rsidP="00DD4B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20"/>
              <w:jc w:val="center"/>
            </w:pPr>
            <w:r w:rsidRPr="00D033EB">
              <w:t>RMM-1</w:t>
            </w:r>
          </w:p>
        </w:tc>
        <w:tc>
          <w:tcPr>
            <w:tcW w:w="4525" w:type="dxa"/>
            <w:tcBorders>
              <w:top w:val="nil"/>
              <w:left w:val="nil"/>
              <w:bottom w:val="nil"/>
              <w:right w:val="nil"/>
            </w:tcBorders>
          </w:tcPr>
          <w:p w:rsidR="006335CA" w:rsidRPr="00D033EB" w:rsidRDefault="006335CA" w:rsidP="00DD4B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D033EB">
              <w:t xml:space="preserve">Schedule 5P - Description and Progress Report of Environmental Compliance Activities and Projects </w:t>
            </w:r>
          </w:p>
        </w:tc>
      </w:tr>
      <w:tr w:rsidR="00494249" w:rsidRPr="00D033EB" w:rsidTr="008D6B75">
        <w:trPr>
          <w:cantSplit/>
          <w:trHeight w:val="373"/>
        </w:trPr>
        <w:tc>
          <w:tcPr>
            <w:tcW w:w="2160" w:type="dxa"/>
            <w:tcBorders>
              <w:top w:val="nil"/>
              <w:left w:val="nil"/>
              <w:bottom w:val="nil"/>
              <w:right w:val="nil"/>
            </w:tcBorders>
          </w:tcPr>
          <w:p w:rsidR="00494249" w:rsidRPr="00D033EB" w:rsidRDefault="00DD3A96"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033EB">
              <w:t>BOYETT</w:t>
            </w:r>
          </w:p>
        </w:tc>
        <w:tc>
          <w:tcPr>
            <w:tcW w:w="1350" w:type="dxa"/>
            <w:tcBorders>
              <w:top w:val="nil"/>
              <w:left w:val="nil"/>
              <w:bottom w:val="nil"/>
              <w:right w:val="nil"/>
            </w:tcBorders>
          </w:tcPr>
          <w:p w:rsidR="00494249" w:rsidRPr="00D033EB" w:rsidRDefault="00AB0609" w:rsidP="00AB0609">
            <w:pPr>
              <w:numPr>
                <w:ilvl w:val="12"/>
                <w:numId w:val="0"/>
              </w:numPr>
              <w:tabs>
                <w:tab w:val="left" w:pos="0"/>
                <w:tab w:val="left" w:pos="615"/>
                <w:tab w:val="left" w:pos="720"/>
                <w:tab w:val="left" w:pos="141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20"/>
            </w:pPr>
            <w:r w:rsidRPr="00D033EB">
              <w:t xml:space="preserve">      </w:t>
            </w:r>
            <w:r w:rsidR="00494249" w:rsidRPr="00D033EB">
              <w:t>Gulf</w:t>
            </w:r>
          </w:p>
        </w:tc>
        <w:tc>
          <w:tcPr>
            <w:tcW w:w="1530" w:type="dxa"/>
            <w:tcBorders>
              <w:top w:val="nil"/>
              <w:left w:val="nil"/>
              <w:bottom w:val="nil"/>
              <w:right w:val="nil"/>
            </w:tcBorders>
          </w:tcPr>
          <w:p w:rsidR="00494249" w:rsidRPr="00D033EB" w:rsidRDefault="00494249" w:rsidP="004942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20"/>
              <w:jc w:val="center"/>
            </w:pPr>
            <w:r w:rsidRPr="00D033EB">
              <w:t>CSB</w:t>
            </w:r>
            <w:r w:rsidRPr="00D033EB">
              <w:noBreakHyphen/>
              <w:t>1</w:t>
            </w:r>
          </w:p>
        </w:tc>
        <w:tc>
          <w:tcPr>
            <w:tcW w:w="4525" w:type="dxa"/>
            <w:tcBorders>
              <w:top w:val="nil"/>
              <w:left w:val="nil"/>
              <w:bottom w:val="nil"/>
              <w:right w:val="nil"/>
            </w:tcBorders>
          </w:tcPr>
          <w:p w:rsidR="00494249" w:rsidRPr="00D033EB" w:rsidRDefault="00494249"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D033EB">
              <w:t>Calculation of Final True-up 1/16 – 12/16</w:t>
            </w:r>
          </w:p>
        </w:tc>
      </w:tr>
      <w:tr w:rsidR="00494249" w:rsidRPr="00D033EB" w:rsidTr="008D6B75">
        <w:trPr>
          <w:cantSplit/>
          <w:trHeight w:val="373"/>
        </w:trPr>
        <w:tc>
          <w:tcPr>
            <w:tcW w:w="2160" w:type="dxa"/>
            <w:tcBorders>
              <w:top w:val="nil"/>
              <w:left w:val="nil"/>
              <w:bottom w:val="nil"/>
              <w:right w:val="nil"/>
            </w:tcBorders>
          </w:tcPr>
          <w:p w:rsidR="00494249" w:rsidRPr="00D033EB" w:rsidRDefault="00DD3A96"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033EB">
              <w:t>BOYETT</w:t>
            </w:r>
          </w:p>
        </w:tc>
        <w:tc>
          <w:tcPr>
            <w:tcW w:w="1350" w:type="dxa"/>
            <w:tcBorders>
              <w:top w:val="nil"/>
              <w:left w:val="nil"/>
              <w:bottom w:val="nil"/>
              <w:right w:val="nil"/>
            </w:tcBorders>
          </w:tcPr>
          <w:p w:rsidR="00494249" w:rsidRPr="00D033EB" w:rsidRDefault="00AB0609" w:rsidP="00AB0609">
            <w:pPr>
              <w:numPr>
                <w:ilvl w:val="12"/>
                <w:numId w:val="0"/>
              </w:numPr>
              <w:tabs>
                <w:tab w:val="left" w:pos="0"/>
                <w:tab w:val="left" w:pos="615"/>
                <w:tab w:val="left" w:pos="720"/>
                <w:tab w:val="left" w:pos="141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20"/>
            </w:pPr>
            <w:r w:rsidRPr="00D033EB">
              <w:t xml:space="preserve">      </w:t>
            </w:r>
            <w:r w:rsidR="00494249" w:rsidRPr="00D033EB">
              <w:t>Gulf</w:t>
            </w:r>
          </w:p>
        </w:tc>
        <w:tc>
          <w:tcPr>
            <w:tcW w:w="1530" w:type="dxa"/>
            <w:tcBorders>
              <w:top w:val="nil"/>
              <w:left w:val="nil"/>
              <w:bottom w:val="nil"/>
              <w:right w:val="nil"/>
            </w:tcBorders>
          </w:tcPr>
          <w:p w:rsidR="00494249" w:rsidRPr="00D033EB" w:rsidRDefault="00494249" w:rsidP="004942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20"/>
              <w:jc w:val="center"/>
            </w:pPr>
            <w:r w:rsidRPr="00D033EB">
              <w:t>CSB</w:t>
            </w:r>
            <w:r w:rsidRPr="00D033EB">
              <w:noBreakHyphen/>
              <w:t>2</w:t>
            </w:r>
          </w:p>
        </w:tc>
        <w:tc>
          <w:tcPr>
            <w:tcW w:w="4525" w:type="dxa"/>
            <w:tcBorders>
              <w:top w:val="nil"/>
              <w:left w:val="nil"/>
              <w:bottom w:val="nil"/>
              <w:right w:val="nil"/>
            </w:tcBorders>
          </w:tcPr>
          <w:p w:rsidR="00494249" w:rsidRPr="00D033EB" w:rsidRDefault="00494249"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D033EB">
              <w:t>Calculation of Estimated True-up 1/17 – 12/17</w:t>
            </w:r>
          </w:p>
        </w:tc>
      </w:tr>
      <w:tr w:rsidR="00494249" w:rsidRPr="00D033EB" w:rsidTr="008D6B75">
        <w:trPr>
          <w:cantSplit/>
          <w:trHeight w:val="373"/>
        </w:trPr>
        <w:tc>
          <w:tcPr>
            <w:tcW w:w="2160" w:type="dxa"/>
            <w:tcBorders>
              <w:top w:val="nil"/>
              <w:left w:val="nil"/>
              <w:bottom w:val="nil"/>
              <w:right w:val="nil"/>
            </w:tcBorders>
          </w:tcPr>
          <w:p w:rsidR="00494249" w:rsidRPr="00D033EB" w:rsidRDefault="00DD3A96"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033EB">
              <w:t>BOYETT</w:t>
            </w:r>
          </w:p>
        </w:tc>
        <w:tc>
          <w:tcPr>
            <w:tcW w:w="1350" w:type="dxa"/>
            <w:tcBorders>
              <w:top w:val="nil"/>
              <w:left w:val="nil"/>
              <w:bottom w:val="nil"/>
              <w:right w:val="nil"/>
            </w:tcBorders>
          </w:tcPr>
          <w:p w:rsidR="00494249" w:rsidRPr="00D033EB" w:rsidRDefault="00494249" w:rsidP="00AB0609">
            <w:pPr>
              <w:numPr>
                <w:ilvl w:val="12"/>
                <w:numId w:val="0"/>
              </w:numPr>
              <w:tabs>
                <w:tab w:val="left" w:pos="33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0"/>
              <w:jc w:val="center"/>
            </w:pPr>
            <w:r w:rsidRPr="00D033EB">
              <w:t>Gulf</w:t>
            </w:r>
          </w:p>
        </w:tc>
        <w:tc>
          <w:tcPr>
            <w:tcW w:w="1530" w:type="dxa"/>
            <w:tcBorders>
              <w:top w:val="nil"/>
              <w:left w:val="nil"/>
              <w:bottom w:val="nil"/>
              <w:right w:val="nil"/>
            </w:tcBorders>
          </w:tcPr>
          <w:p w:rsidR="00494249" w:rsidRPr="00D033EB" w:rsidRDefault="00494249" w:rsidP="004942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20"/>
              <w:jc w:val="center"/>
            </w:pPr>
            <w:r w:rsidRPr="00D033EB">
              <w:t>CSB</w:t>
            </w:r>
            <w:r w:rsidRPr="00D033EB">
              <w:noBreakHyphen/>
              <w:t>3</w:t>
            </w:r>
          </w:p>
        </w:tc>
        <w:tc>
          <w:tcPr>
            <w:tcW w:w="4525" w:type="dxa"/>
            <w:tcBorders>
              <w:top w:val="nil"/>
              <w:left w:val="nil"/>
              <w:bottom w:val="nil"/>
              <w:right w:val="nil"/>
            </w:tcBorders>
          </w:tcPr>
          <w:p w:rsidR="00494249" w:rsidRPr="00D033EB" w:rsidRDefault="00494249" w:rsidP="00D44339">
            <w:r w:rsidRPr="00D033EB">
              <w:t>Calculation of the Estimated Scherer/Flint Credit 1/17-12/17</w:t>
            </w:r>
          </w:p>
          <w:p w:rsidR="00494249" w:rsidRPr="00D033EB" w:rsidRDefault="00494249"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p>
        </w:tc>
      </w:tr>
      <w:tr w:rsidR="00494249" w:rsidRPr="00D033EB" w:rsidTr="008D6B75">
        <w:trPr>
          <w:cantSplit/>
          <w:trHeight w:val="373"/>
        </w:trPr>
        <w:tc>
          <w:tcPr>
            <w:tcW w:w="2160" w:type="dxa"/>
            <w:tcBorders>
              <w:top w:val="nil"/>
              <w:left w:val="nil"/>
              <w:bottom w:val="nil"/>
              <w:right w:val="nil"/>
            </w:tcBorders>
          </w:tcPr>
          <w:p w:rsidR="00494249" w:rsidRPr="00D033EB" w:rsidRDefault="00DD3A96"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033EB">
              <w:t>BOYETT</w:t>
            </w:r>
          </w:p>
        </w:tc>
        <w:tc>
          <w:tcPr>
            <w:tcW w:w="1350" w:type="dxa"/>
            <w:tcBorders>
              <w:top w:val="nil"/>
              <w:left w:val="nil"/>
              <w:bottom w:val="nil"/>
              <w:right w:val="nil"/>
            </w:tcBorders>
          </w:tcPr>
          <w:p w:rsidR="00494249" w:rsidRPr="00D033EB" w:rsidRDefault="00494249" w:rsidP="00AB0609">
            <w:pPr>
              <w:numPr>
                <w:ilvl w:val="12"/>
                <w:numId w:val="0"/>
              </w:numPr>
              <w:tabs>
                <w:tab w:val="left" w:pos="33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0"/>
              <w:jc w:val="center"/>
            </w:pPr>
            <w:r w:rsidRPr="00D033EB">
              <w:t>Gulf</w:t>
            </w:r>
          </w:p>
        </w:tc>
        <w:tc>
          <w:tcPr>
            <w:tcW w:w="1530" w:type="dxa"/>
            <w:tcBorders>
              <w:top w:val="nil"/>
              <w:left w:val="nil"/>
              <w:bottom w:val="nil"/>
              <w:right w:val="nil"/>
            </w:tcBorders>
          </w:tcPr>
          <w:p w:rsidR="00494249" w:rsidRPr="00D033EB" w:rsidRDefault="00494249" w:rsidP="004942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20"/>
              <w:jc w:val="center"/>
            </w:pPr>
            <w:r w:rsidRPr="00D033EB">
              <w:t>CSB</w:t>
            </w:r>
            <w:r w:rsidRPr="00D033EB">
              <w:noBreakHyphen/>
              <w:t>4</w:t>
            </w:r>
          </w:p>
        </w:tc>
        <w:tc>
          <w:tcPr>
            <w:tcW w:w="4525" w:type="dxa"/>
            <w:tcBorders>
              <w:top w:val="nil"/>
              <w:left w:val="nil"/>
              <w:bottom w:val="nil"/>
              <w:right w:val="nil"/>
            </w:tcBorders>
          </w:tcPr>
          <w:p w:rsidR="00494249" w:rsidRPr="00D033EB" w:rsidRDefault="00494249"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D033EB">
              <w:t>Calculation of Projection 1/18 – 12/18</w:t>
            </w:r>
          </w:p>
        </w:tc>
      </w:tr>
      <w:tr w:rsidR="00494249" w:rsidRPr="00D033EB" w:rsidTr="008D6B75">
        <w:trPr>
          <w:cantSplit/>
          <w:trHeight w:val="373"/>
        </w:trPr>
        <w:tc>
          <w:tcPr>
            <w:tcW w:w="2160" w:type="dxa"/>
            <w:tcBorders>
              <w:top w:val="nil"/>
              <w:left w:val="nil"/>
              <w:bottom w:val="nil"/>
              <w:right w:val="nil"/>
            </w:tcBorders>
          </w:tcPr>
          <w:p w:rsidR="00494249" w:rsidRPr="00D033EB" w:rsidRDefault="00DD3A96"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033EB">
              <w:t>BOYETT</w:t>
            </w:r>
          </w:p>
        </w:tc>
        <w:tc>
          <w:tcPr>
            <w:tcW w:w="1350" w:type="dxa"/>
            <w:tcBorders>
              <w:top w:val="nil"/>
              <w:left w:val="nil"/>
              <w:bottom w:val="nil"/>
              <w:right w:val="nil"/>
            </w:tcBorders>
          </w:tcPr>
          <w:p w:rsidR="00494249" w:rsidRPr="00D033EB" w:rsidRDefault="00494249" w:rsidP="00AB0609">
            <w:pPr>
              <w:numPr>
                <w:ilvl w:val="12"/>
                <w:numId w:val="0"/>
              </w:numPr>
              <w:tabs>
                <w:tab w:val="left" w:pos="33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0"/>
              <w:jc w:val="center"/>
            </w:pPr>
            <w:r w:rsidRPr="00D033EB">
              <w:t>Gulf</w:t>
            </w:r>
          </w:p>
        </w:tc>
        <w:tc>
          <w:tcPr>
            <w:tcW w:w="1530" w:type="dxa"/>
            <w:tcBorders>
              <w:top w:val="nil"/>
              <w:left w:val="nil"/>
              <w:bottom w:val="nil"/>
              <w:right w:val="nil"/>
            </w:tcBorders>
          </w:tcPr>
          <w:p w:rsidR="00494249" w:rsidRPr="00D033EB" w:rsidRDefault="00494249" w:rsidP="00AB06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20"/>
              <w:jc w:val="center"/>
            </w:pPr>
            <w:r w:rsidRPr="00D033EB">
              <w:t>CSB</w:t>
            </w:r>
            <w:r w:rsidRPr="00D033EB">
              <w:noBreakHyphen/>
              <w:t>5</w:t>
            </w:r>
          </w:p>
        </w:tc>
        <w:tc>
          <w:tcPr>
            <w:tcW w:w="4525" w:type="dxa"/>
            <w:tcBorders>
              <w:top w:val="nil"/>
              <w:left w:val="nil"/>
              <w:bottom w:val="nil"/>
              <w:right w:val="nil"/>
            </w:tcBorders>
          </w:tcPr>
          <w:p w:rsidR="00494249" w:rsidRPr="00D033EB" w:rsidRDefault="00494249" w:rsidP="00D443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D033EB">
              <w:t>Calculation of the Projected Scherer/Flint Credit 1/18-12/18</w:t>
            </w:r>
          </w:p>
        </w:tc>
      </w:tr>
      <w:tr w:rsidR="00AB0609" w:rsidRPr="00D033EB" w:rsidTr="008D6B75">
        <w:trPr>
          <w:cantSplit/>
          <w:trHeight w:val="373"/>
        </w:trPr>
        <w:tc>
          <w:tcPr>
            <w:tcW w:w="2160" w:type="dxa"/>
            <w:tcBorders>
              <w:top w:val="nil"/>
              <w:left w:val="nil"/>
              <w:bottom w:val="nil"/>
              <w:right w:val="nil"/>
            </w:tcBorders>
          </w:tcPr>
          <w:p w:rsidR="00AB0609" w:rsidRPr="00D033EB" w:rsidRDefault="00DD3A96" w:rsidP="00AB0609">
            <w:pPr>
              <w:spacing w:line="360" w:lineRule="auto"/>
            </w:pPr>
            <w:r w:rsidRPr="00D033EB">
              <w:t>DR. SORAB PANDAY</w:t>
            </w:r>
          </w:p>
        </w:tc>
        <w:tc>
          <w:tcPr>
            <w:tcW w:w="1350" w:type="dxa"/>
            <w:tcBorders>
              <w:top w:val="nil"/>
              <w:left w:val="nil"/>
              <w:bottom w:val="nil"/>
              <w:right w:val="nil"/>
            </w:tcBorders>
          </w:tcPr>
          <w:p w:rsidR="00AB0609" w:rsidRPr="00D033EB" w:rsidRDefault="00AB0609" w:rsidP="00AB0609">
            <w:pPr>
              <w:spacing w:line="360" w:lineRule="auto"/>
              <w:ind w:right="60"/>
              <w:jc w:val="center"/>
            </w:pPr>
            <w:r w:rsidRPr="00D033EB">
              <w:t>OPC</w:t>
            </w:r>
          </w:p>
        </w:tc>
        <w:tc>
          <w:tcPr>
            <w:tcW w:w="1530" w:type="dxa"/>
            <w:tcBorders>
              <w:top w:val="nil"/>
              <w:left w:val="nil"/>
              <w:bottom w:val="nil"/>
              <w:right w:val="nil"/>
            </w:tcBorders>
          </w:tcPr>
          <w:p w:rsidR="00AB0609" w:rsidRPr="00D033EB" w:rsidRDefault="00AB0609" w:rsidP="00AB0609">
            <w:pPr>
              <w:spacing w:line="360" w:lineRule="auto"/>
              <w:jc w:val="center"/>
            </w:pPr>
            <w:r w:rsidRPr="00D033EB">
              <w:t>SP-1</w:t>
            </w:r>
          </w:p>
        </w:tc>
        <w:tc>
          <w:tcPr>
            <w:tcW w:w="4525" w:type="dxa"/>
            <w:tcBorders>
              <w:top w:val="nil"/>
              <w:left w:val="nil"/>
              <w:bottom w:val="nil"/>
              <w:right w:val="nil"/>
            </w:tcBorders>
          </w:tcPr>
          <w:p w:rsidR="00AB0609" w:rsidRPr="00D033EB" w:rsidRDefault="00AB0609" w:rsidP="00D44339">
            <w:pPr>
              <w:spacing w:line="360" w:lineRule="auto"/>
            </w:pPr>
            <w:r w:rsidRPr="00D033EB">
              <w:t>Resume of Sorab Panday</w:t>
            </w:r>
          </w:p>
        </w:tc>
      </w:tr>
      <w:tr w:rsidR="00AB0609" w:rsidRPr="00D033EB" w:rsidTr="008D6B75">
        <w:trPr>
          <w:cantSplit/>
          <w:trHeight w:val="373"/>
        </w:trPr>
        <w:tc>
          <w:tcPr>
            <w:tcW w:w="2160" w:type="dxa"/>
            <w:tcBorders>
              <w:top w:val="nil"/>
              <w:left w:val="nil"/>
              <w:bottom w:val="nil"/>
              <w:right w:val="nil"/>
            </w:tcBorders>
          </w:tcPr>
          <w:p w:rsidR="00AB0609" w:rsidRPr="00D033EB" w:rsidRDefault="00DD3A96" w:rsidP="00D44339">
            <w:pPr>
              <w:spacing w:line="360" w:lineRule="auto"/>
            </w:pPr>
            <w:r w:rsidRPr="00D033EB">
              <w:t>DR. SORAB PANDAY</w:t>
            </w:r>
          </w:p>
        </w:tc>
        <w:tc>
          <w:tcPr>
            <w:tcW w:w="1350" w:type="dxa"/>
            <w:tcBorders>
              <w:top w:val="nil"/>
              <w:left w:val="nil"/>
              <w:bottom w:val="nil"/>
              <w:right w:val="nil"/>
            </w:tcBorders>
          </w:tcPr>
          <w:p w:rsidR="00AB0609" w:rsidRPr="00D033EB" w:rsidRDefault="00AB0609" w:rsidP="00AB0609">
            <w:pPr>
              <w:spacing w:line="360" w:lineRule="auto"/>
              <w:ind w:right="60"/>
              <w:jc w:val="center"/>
            </w:pPr>
            <w:r w:rsidRPr="00D033EB">
              <w:t>OPC</w:t>
            </w:r>
          </w:p>
        </w:tc>
        <w:tc>
          <w:tcPr>
            <w:tcW w:w="1530" w:type="dxa"/>
            <w:tcBorders>
              <w:top w:val="nil"/>
              <w:left w:val="nil"/>
              <w:bottom w:val="nil"/>
              <w:right w:val="nil"/>
            </w:tcBorders>
          </w:tcPr>
          <w:p w:rsidR="00F77771" w:rsidRPr="00D033EB" w:rsidRDefault="00AB0609" w:rsidP="00F77771">
            <w:pPr>
              <w:jc w:val="center"/>
            </w:pPr>
            <w:r w:rsidRPr="00D033EB">
              <w:t>SP-2</w:t>
            </w:r>
            <w:r w:rsidR="00F77771">
              <w:t xml:space="preserve"> (Revised)</w:t>
            </w:r>
          </w:p>
        </w:tc>
        <w:tc>
          <w:tcPr>
            <w:tcW w:w="4525" w:type="dxa"/>
            <w:tcBorders>
              <w:top w:val="nil"/>
              <w:left w:val="nil"/>
              <w:bottom w:val="nil"/>
              <w:right w:val="nil"/>
            </w:tcBorders>
          </w:tcPr>
          <w:p w:rsidR="00AB0609" w:rsidRPr="00D033EB" w:rsidRDefault="00AB0609" w:rsidP="00D44339">
            <w:pPr>
              <w:spacing w:line="360" w:lineRule="auto"/>
            </w:pPr>
            <w:r w:rsidRPr="00D033EB">
              <w:t>Table of Referenced Documents</w:t>
            </w:r>
          </w:p>
        </w:tc>
      </w:tr>
      <w:tr w:rsidR="00AB0609" w:rsidRPr="00D033EB" w:rsidTr="008D6B75">
        <w:trPr>
          <w:cantSplit/>
          <w:trHeight w:val="373"/>
        </w:trPr>
        <w:tc>
          <w:tcPr>
            <w:tcW w:w="2160" w:type="dxa"/>
            <w:tcBorders>
              <w:top w:val="nil"/>
              <w:left w:val="nil"/>
              <w:bottom w:val="nil"/>
              <w:right w:val="nil"/>
            </w:tcBorders>
          </w:tcPr>
          <w:p w:rsidR="00AB0609" w:rsidRPr="00D033EB" w:rsidRDefault="00DD3A96" w:rsidP="00D44339">
            <w:pPr>
              <w:spacing w:line="360" w:lineRule="auto"/>
            </w:pPr>
            <w:r w:rsidRPr="00D033EB">
              <w:t>DR. SORAB PANDAY</w:t>
            </w:r>
          </w:p>
        </w:tc>
        <w:tc>
          <w:tcPr>
            <w:tcW w:w="1350" w:type="dxa"/>
            <w:tcBorders>
              <w:top w:val="nil"/>
              <w:left w:val="nil"/>
              <w:bottom w:val="nil"/>
              <w:right w:val="nil"/>
            </w:tcBorders>
          </w:tcPr>
          <w:p w:rsidR="00AB0609" w:rsidRPr="00D033EB" w:rsidRDefault="00AB0609" w:rsidP="00AB0609">
            <w:pPr>
              <w:spacing w:line="360" w:lineRule="auto"/>
              <w:ind w:right="60"/>
              <w:jc w:val="center"/>
            </w:pPr>
            <w:r w:rsidRPr="00D033EB">
              <w:t>OPC</w:t>
            </w:r>
          </w:p>
        </w:tc>
        <w:tc>
          <w:tcPr>
            <w:tcW w:w="1530" w:type="dxa"/>
            <w:tcBorders>
              <w:top w:val="nil"/>
              <w:left w:val="nil"/>
              <w:bottom w:val="nil"/>
              <w:right w:val="nil"/>
            </w:tcBorders>
          </w:tcPr>
          <w:p w:rsidR="00AB0609" w:rsidRPr="00D033EB" w:rsidRDefault="00AB0609" w:rsidP="00AB0609">
            <w:pPr>
              <w:spacing w:line="360" w:lineRule="auto"/>
              <w:jc w:val="center"/>
            </w:pPr>
            <w:r w:rsidRPr="00D033EB">
              <w:t>SP-3</w:t>
            </w:r>
          </w:p>
        </w:tc>
        <w:tc>
          <w:tcPr>
            <w:tcW w:w="4525" w:type="dxa"/>
            <w:tcBorders>
              <w:top w:val="nil"/>
              <w:left w:val="nil"/>
              <w:bottom w:val="nil"/>
              <w:right w:val="nil"/>
            </w:tcBorders>
          </w:tcPr>
          <w:p w:rsidR="00DD3A96" w:rsidRPr="00D033EB" w:rsidRDefault="00AB0609" w:rsidP="00D44339">
            <w:pPr>
              <w:spacing w:line="360" w:lineRule="auto"/>
            </w:pPr>
            <w:r w:rsidRPr="00D033EB">
              <w:t>Demonstratives 1-28</w:t>
            </w:r>
          </w:p>
          <w:p w:rsidR="00DD3A96" w:rsidRPr="00D033EB" w:rsidRDefault="00DD3A96" w:rsidP="00D44339">
            <w:pPr>
              <w:spacing w:line="360" w:lineRule="auto"/>
            </w:pPr>
          </w:p>
        </w:tc>
      </w:tr>
      <w:tr w:rsidR="00DD3A96" w:rsidRPr="00D033EB" w:rsidTr="008D6B75">
        <w:trPr>
          <w:cantSplit/>
          <w:trHeight w:val="373"/>
        </w:trPr>
        <w:tc>
          <w:tcPr>
            <w:tcW w:w="2160" w:type="dxa"/>
            <w:tcBorders>
              <w:top w:val="nil"/>
              <w:left w:val="nil"/>
              <w:bottom w:val="nil"/>
              <w:right w:val="nil"/>
            </w:tcBorders>
          </w:tcPr>
          <w:p w:rsidR="00DD3A96" w:rsidRPr="00D033EB" w:rsidRDefault="00DD3A96" w:rsidP="00E568D9">
            <w:pPr>
              <w:jc w:val="both"/>
              <w:rPr>
                <w:u w:val="single"/>
              </w:rPr>
            </w:pPr>
            <w:r w:rsidRPr="00D033EB">
              <w:rPr>
                <w:u w:val="single"/>
              </w:rPr>
              <w:t>Rebuttal</w:t>
            </w:r>
          </w:p>
          <w:p w:rsidR="00DD3A96" w:rsidRPr="00D033EB" w:rsidRDefault="00DD3A96" w:rsidP="00E568D9">
            <w:pPr>
              <w:jc w:val="both"/>
              <w:rPr>
                <w:u w:val="single"/>
              </w:rPr>
            </w:pPr>
          </w:p>
        </w:tc>
        <w:tc>
          <w:tcPr>
            <w:tcW w:w="1350" w:type="dxa"/>
            <w:tcBorders>
              <w:top w:val="nil"/>
              <w:left w:val="nil"/>
              <w:bottom w:val="nil"/>
              <w:right w:val="nil"/>
            </w:tcBorders>
          </w:tcPr>
          <w:p w:rsidR="00DD3A96" w:rsidRPr="00D033EB" w:rsidRDefault="00DD3A96" w:rsidP="00E568D9">
            <w:pPr>
              <w:jc w:val="center"/>
            </w:pPr>
          </w:p>
        </w:tc>
        <w:tc>
          <w:tcPr>
            <w:tcW w:w="1530" w:type="dxa"/>
            <w:tcBorders>
              <w:top w:val="nil"/>
              <w:left w:val="nil"/>
              <w:bottom w:val="nil"/>
              <w:right w:val="nil"/>
            </w:tcBorders>
          </w:tcPr>
          <w:p w:rsidR="00DD3A96" w:rsidRPr="00D033EB" w:rsidRDefault="00DD3A96" w:rsidP="00E568D9">
            <w:pPr>
              <w:jc w:val="center"/>
            </w:pPr>
          </w:p>
        </w:tc>
        <w:tc>
          <w:tcPr>
            <w:tcW w:w="4525" w:type="dxa"/>
            <w:tcBorders>
              <w:top w:val="nil"/>
              <w:left w:val="nil"/>
              <w:bottom w:val="nil"/>
              <w:right w:val="nil"/>
            </w:tcBorders>
          </w:tcPr>
          <w:p w:rsidR="00DD3A96" w:rsidRPr="00D033EB" w:rsidRDefault="00DD3A96" w:rsidP="00E568D9"/>
        </w:tc>
      </w:tr>
      <w:tr w:rsidR="00DD3A96" w:rsidRPr="00D033EB" w:rsidTr="008D6B75">
        <w:trPr>
          <w:cantSplit/>
          <w:trHeight w:val="373"/>
        </w:trPr>
        <w:tc>
          <w:tcPr>
            <w:tcW w:w="2160" w:type="dxa"/>
            <w:tcBorders>
              <w:top w:val="nil"/>
              <w:left w:val="nil"/>
              <w:bottom w:val="nil"/>
              <w:right w:val="nil"/>
            </w:tcBorders>
          </w:tcPr>
          <w:p w:rsidR="00DD3A96" w:rsidRPr="00D033EB" w:rsidRDefault="00DD3A96" w:rsidP="00E568D9">
            <w:pPr>
              <w:rPr>
                <w:color w:val="000000"/>
              </w:rPr>
            </w:pPr>
            <w:r w:rsidRPr="00D033EB">
              <w:rPr>
                <w:color w:val="000000"/>
              </w:rPr>
              <w:t>M.W. SOLE</w:t>
            </w:r>
          </w:p>
        </w:tc>
        <w:tc>
          <w:tcPr>
            <w:tcW w:w="1350" w:type="dxa"/>
            <w:tcBorders>
              <w:top w:val="nil"/>
              <w:left w:val="nil"/>
              <w:bottom w:val="nil"/>
              <w:right w:val="nil"/>
            </w:tcBorders>
          </w:tcPr>
          <w:p w:rsidR="00DD3A96" w:rsidRPr="00D033EB" w:rsidRDefault="00DD3A96" w:rsidP="00E568D9">
            <w:pPr>
              <w:jc w:val="center"/>
            </w:pPr>
            <w:r w:rsidRPr="00D033EB">
              <w:t>FPL</w:t>
            </w:r>
          </w:p>
        </w:tc>
        <w:tc>
          <w:tcPr>
            <w:tcW w:w="1530" w:type="dxa"/>
            <w:tcBorders>
              <w:top w:val="nil"/>
              <w:left w:val="nil"/>
              <w:bottom w:val="nil"/>
              <w:right w:val="nil"/>
            </w:tcBorders>
          </w:tcPr>
          <w:p w:rsidR="00DD3A96" w:rsidRPr="00D033EB" w:rsidRDefault="00DD3A96" w:rsidP="00E568D9">
            <w:pPr>
              <w:rPr>
                <w:color w:val="000000"/>
              </w:rPr>
            </w:pPr>
            <w:r w:rsidRPr="00D033EB">
              <w:rPr>
                <w:color w:val="000000"/>
              </w:rPr>
              <w:t>MWS-20</w:t>
            </w:r>
          </w:p>
        </w:tc>
        <w:tc>
          <w:tcPr>
            <w:tcW w:w="4525" w:type="dxa"/>
            <w:tcBorders>
              <w:top w:val="nil"/>
              <w:left w:val="nil"/>
              <w:bottom w:val="nil"/>
              <w:right w:val="nil"/>
            </w:tcBorders>
          </w:tcPr>
          <w:p w:rsidR="00DD3A96" w:rsidRPr="00D033EB" w:rsidRDefault="00DD3A96" w:rsidP="00E568D9">
            <w:pPr>
              <w:rPr>
                <w:color w:val="000000"/>
              </w:rPr>
            </w:pPr>
            <w:r w:rsidRPr="00D033EB">
              <w:rPr>
                <w:color w:val="000000"/>
              </w:rPr>
              <w:t>FPL and SFWMD Fourth Supplemental Agreement</w:t>
            </w:r>
          </w:p>
        </w:tc>
      </w:tr>
      <w:tr w:rsidR="00DD3A96" w:rsidRPr="00D033EB" w:rsidTr="008D6B75">
        <w:trPr>
          <w:cantSplit/>
          <w:trHeight w:val="373"/>
        </w:trPr>
        <w:tc>
          <w:tcPr>
            <w:tcW w:w="2160" w:type="dxa"/>
            <w:tcBorders>
              <w:top w:val="nil"/>
              <w:left w:val="nil"/>
              <w:bottom w:val="nil"/>
              <w:right w:val="nil"/>
            </w:tcBorders>
          </w:tcPr>
          <w:p w:rsidR="00DD3A96" w:rsidRPr="00D033EB" w:rsidRDefault="00DD3A96" w:rsidP="00E568D9">
            <w:pPr>
              <w:rPr>
                <w:color w:val="000000"/>
              </w:rPr>
            </w:pPr>
            <w:r w:rsidRPr="00D033EB">
              <w:rPr>
                <w:color w:val="000000"/>
              </w:rPr>
              <w:t>P.F. ANDERSEN</w:t>
            </w:r>
          </w:p>
        </w:tc>
        <w:tc>
          <w:tcPr>
            <w:tcW w:w="1350" w:type="dxa"/>
            <w:tcBorders>
              <w:top w:val="nil"/>
              <w:left w:val="nil"/>
              <w:bottom w:val="nil"/>
              <w:right w:val="nil"/>
            </w:tcBorders>
          </w:tcPr>
          <w:p w:rsidR="00DD3A96" w:rsidRPr="00D033EB" w:rsidRDefault="00DD3A96" w:rsidP="00E568D9">
            <w:pPr>
              <w:jc w:val="center"/>
            </w:pPr>
            <w:r w:rsidRPr="00D033EB">
              <w:t>FPL</w:t>
            </w:r>
          </w:p>
        </w:tc>
        <w:tc>
          <w:tcPr>
            <w:tcW w:w="1530" w:type="dxa"/>
            <w:tcBorders>
              <w:top w:val="nil"/>
              <w:left w:val="nil"/>
              <w:bottom w:val="nil"/>
              <w:right w:val="nil"/>
            </w:tcBorders>
          </w:tcPr>
          <w:p w:rsidR="00DD3A96" w:rsidRPr="00D033EB" w:rsidRDefault="00DD3A96" w:rsidP="00E568D9">
            <w:pPr>
              <w:rPr>
                <w:color w:val="000000"/>
              </w:rPr>
            </w:pPr>
            <w:r w:rsidRPr="00D033EB">
              <w:rPr>
                <w:color w:val="000000"/>
              </w:rPr>
              <w:t>PFA-1</w:t>
            </w:r>
          </w:p>
        </w:tc>
        <w:tc>
          <w:tcPr>
            <w:tcW w:w="4525" w:type="dxa"/>
            <w:tcBorders>
              <w:top w:val="nil"/>
              <w:left w:val="nil"/>
              <w:bottom w:val="nil"/>
              <w:right w:val="nil"/>
            </w:tcBorders>
          </w:tcPr>
          <w:p w:rsidR="00DD3A96" w:rsidRPr="00D033EB" w:rsidRDefault="00DD3A96" w:rsidP="00E568D9">
            <w:pPr>
              <w:rPr>
                <w:color w:val="000000"/>
              </w:rPr>
            </w:pPr>
            <w:r w:rsidRPr="00D033EB">
              <w:rPr>
                <w:color w:val="000000"/>
              </w:rPr>
              <w:t>Resume of Peter F. Andersen</w:t>
            </w:r>
          </w:p>
        </w:tc>
      </w:tr>
      <w:tr w:rsidR="00DD3A96" w:rsidRPr="00D033EB" w:rsidTr="008D6B75">
        <w:trPr>
          <w:cantSplit/>
          <w:trHeight w:val="373"/>
        </w:trPr>
        <w:tc>
          <w:tcPr>
            <w:tcW w:w="2160" w:type="dxa"/>
            <w:tcBorders>
              <w:top w:val="nil"/>
              <w:left w:val="nil"/>
              <w:bottom w:val="nil"/>
              <w:right w:val="nil"/>
            </w:tcBorders>
          </w:tcPr>
          <w:p w:rsidR="00DD3A96" w:rsidRPr="00D033EB" w:rsidRDefault="00DD3A96" w:rsidP="00E568D9">
            <w:pPr>
              <w:rPr>
                <w:color w:val="000000"/>
              </w:rPr>
            </w:pPr>
            <w:r w:rsidRPr="00D033EB">
              <w:rPr>
                <w:color w:val="000000"/>
              </w:rPr>
              <w:t>P.F. ANDERSEN</w:t>
            </w:r>
          </w:p>
        </w:tc>
        <w:tc>
          <w:tcPr>
            <w:tcW w:w="1350" w:type="dxa"/>
            <w:tcBorders>
              <w:top w:val="nil"/>
              <w:left w:val="nil"/>
              <w:bottom w:val="nil"/>
              <w:right w:val="nil"/>
            </w:tcBorders>
          </w:tcPr>
          <w:p w:rsidR="00DD3A96" w:rsidRPr="00D033EB" w:rsidRDefault="00DD3A96" w:rsidP="00E568D9">
            <w:pPr>
              <w:jc w:val="center"/>
            </w:pPr>
            <w:r w:rsidRPr="00D033EB">
              <w:t>FPL</w:t>
            </w:r>
          </w:p>
        </w:tc>
        <w:tc>
          <w:tcPr>
            <w:tcW w:w="1530" w:type="dxa"/>
            <w:tcBorders>
              <w:top w:val="nil"/>
              <w:left w:val="nil"/>
              <w:bottom w:val="nil"/>
              <w:right w:val="nil"/>
            </w:tcBorders>
          </w:tcPr>
          <w:p w:rsidR="00DD3A96" w:rsidRPr="00D033EB" w:rsidRDefault="00DD3A96" w:rsidP="00E568D9">
            <w:pPr>
              <w:rPr>
                <w:color w:val="000000"/>
              </w:rPr>
            </w:pPr>
            <w:r w:rsidRPr="00D033EB">
              <w:rPr>
                <w:color w:val="000000"/>
              </w:rPr>
              <w:t>PFA-2</w:t>
            </w:r>
          </w:p>
        </w:tc>
        <w:tc>
          <w:tcPr>
            <w:tcW w:w="4525" w:type="dxa"/>
            <w:tcBorders>
              <w:top w:val="nil"/>
              <w:left w:val="nil"/>
              <w:bottom w:val="nil"/>
              <w:right w:val="nil"/>
            </w:tcBorders>
          </w:tcPr>
          <w:p w:rsidR="00DD3A96" w:rsidRPr="00D033EB" w:rsidRDefault="00DD3A96" w:rsidP="00E568D9">
            <w:pPr>
              <w:rPr>
                <w:color w:val="000000"/>
              </w:rPr>
            </w:pPr>
            <w:r w:rsidRPr="00D033EB">
              <w:rPr>
                <w:color w:val="000000"/>
              </w:rPr>
              <w:t>Simulated Relative Salt Concentrations in Model Layer 8 after 10 years for Alternatives 1, 2, and 3D</w:t>
            </w:r>
          </w:p>
        </w:tc>
      </w:tr>
      <w:tr w:rsidR="00DD3A96" w:rsidRPr="00D033EB" w:rsidTr="008D6B75">
        <w:trPr>
          <w:cantSplit/>
          <w:trHeight w:val="373"/>
        </w:trPr>
        <w:tc>
          <w:tcPr>
            <w:tcW w:w="2160" w:type="dxa"/>
            <w:tcBorders>
              <w:top w:val="nil"/>
              <w:left w:val="nil"/>
              <w:bottom w:val="nil"/>
              <w:right w:val="nil"/>
            </w:tcBorders>
          </w:tcPr>
          <w:p w:rsidR="00DD3A96" w:rsidRPr="00D033EB" w:rsidRDefault="00DD3A96" w:rsidP="00E568D9">
            <w:pPr>
              <w:rPr>
                <w:color w:val="000000"/>
              </w:rPr>
            </w:pPr>
            <w:r w:rsidRPr="00D033EB">
              <w:rPr>
                <w:color w:val="000000"/>
              </w:rPr>
              <w:lastRenderedPageBreak/>
              <w:t>P.F. ANDERSEN</w:t>
            </w:r>
          </w:p>
        </w:tc>
        <w:tc>
          <w:tcPr>
            <w:tcW w:w="1350" w:type="dxa"/>
            <w:tcBorders>
              <w:top w:val="nil"/>
              <w:left w:val="nil"/>
              <w:bottom w:val="nil"/>
              <w:right w:val="nil"/>
            </w:tcBorders>
          </w:tcPr>
          <w:p w:rsidR="00DD3A96" w:rsidRPr="00D033EB" w:rsidRDefault="00DD3A96" w:rsidP="00E568D9">
            <w:pPr>
              <w:jc w:val="center"/>
            </w:pPr>
            <w:r w:rsidRPr="00D033EB">
              <w:t>FPL</w:t>
            </w:r>
          </w:p>
        </w:tc>
        <w:tc>
          <w:tcPr>
            <w:tcW w:w="1530" w:type="dxa"/>
            <w:tcBorders>
              <w:top w:val="nil"/>
              <w:left w:val="nil"/>
              <w:bottom w:val="nil"/>
              <w:right w:val="nil"/>
            </w:tcBorders>
          </w:tcPr>
          <w:p w:rsidR="00DD3A96" w:rsidRPr="00D033EB" w:rsidRDefault="00DD3A96" w:rsidP="00E568D9">
            <w:pPr>
              <w:rPr>
                <w:color w:val="000000"/>
              </w:rPr>
            </w:pPr>
            <w:r w:rsidRPr="00D033EB">
              <w:rPr>
                <w:color w:val="000000"/>
              </w:rPr>
              <w:t>PFA-3</w:t>
            </w:r>
          </w:p>
        </w:tc>
        <w:tc>
          <w:tcPr>
            <w:tcW w:w="4525" w:type="dxa"/>
            <w:tcBorders>
              <w:top w:val="nil"/>
              <w:left w:val="nil"/>
              <w:bottom w:val="nil"/>
              <w:right w:val="nil"/>
            </w:tcBorders>
          </w:tcPr>
          <w:p w:rsidR="00DD3A96" w:rsidRPr="00D033EB" w:rsidRDefault="00DD3A96" w:rsidP="00E568D9">
            <w:pPr>
              <w:rPr>
                <w:color w:val="000000"/>
              </w:rPr>
            </w:pPr>
            <w:r w:rsidRPr="00D033EB">
              <w:rPr>
                <w:color w:val="000000"/>
              </w:rPr>
              <w:t>Revision of OPC Witness Panday’s Demonstrative 23</w:t>
            </w:r>
          </w:p>
        </w:tc>
      </w:tr>
      <w:tr w:rsidR="00DD3A96" w:rsidRPr="00D033EB" w:rsidTr="008D6B75">
        <w:trPr>
          <w:cantSplit/>
          <w:trHeight w:val="373"/>
        </w:trPr>
        <w:tc>
          <w:tcPr>
            <w:tcW w:w="2160" w:type="dxa"/>
            <w:tcBorders>
              <w:top w:val="nil"/>
              <w:left w:val="nil"/>
              <w:bottom w:val="nil"/>
              <w:right w:val="nil"/>
            </w:tcBorders>
          </w:tcPr>
          <w:p w:rsidR="00DD3A96" w:rsidRPr="00D033EB" w:rsidRDefault="00DD3A96" w:rsidP="00E568D9">
            <w:pPr>
              <w:rPr>
                <w:color w:val="000000"/>
              </w:rPr>
            </w:pPr>
            <w:r w:rsidRPr="00D033EB">
              <w:rPr>
                <w:color w:val="000000"/>
              </w:rPr>
              <w:t>P.F. ANDERSEN</w:t>
            </w:r>
          </w:p>
        </w:tc>
        <w:tc>
          <w:tcPr>
            <w:tcW w:w="1350" w:type="dxa"/>
            <w:tcBorders>
              <w:top w:val="nil"/>
              <w:left w:val="nil"/>
              <w:bottom w:val="nil"/>
              <w:right w:val="nil"/>
            </w:tcBorders>
          </w:tcPr>
          <w:p w:rsidR="00DD3A96" w:rsidRPr="00D033EB" w:rsidRDefault="00DD3A96" w:rsidP="00E568D9">
            <w:pPr>
              <w:jc w:val="center"/>
            </w:pPr>
            <w:r w:rsidRPr="00D033EB">
              <w:t>FPL</w:t>
            </w:r>
          </w:p>
        </w:tc>
        <w:tc>
          <w:tcPr>
            <w:tcW w:w="1530" w:type="dxa"/>
            <w:tcBorders>
              <w:top w:val="nil"/>
              <w:left w:val="nil"/>
              <w:bottom w:val="nil"/>
              <w:right w:val="nil"/>
            </w:tcBorders>
          </w:tcPr>
          <w:p w:rsidR="00DD3A96" w:rsidRPr="00D033EB" w:rsidRDefault="00DD3A96" w:rsidP="00E568D9">
            <w:pPr>
              <w:rPr>
                <w:color w:val="000000"/>
              </w:rPr>
            </w:pPr>
            <w:r w:rsidRPr="00D033EB">
              <w:rPr>
                <w:color w:val="000000"/>
              </w:rPr>
              <w:t>PFA-4</w:t>
            </w:r>
          </w:p>
        </w:tc>
        <w:tc>
          <w:tcPr>
            <w:tcW w:w="4525" w:type="dxa"/>
            <w:tcBorders>
              <w:top w:val="nil"/>
              <w:left w:val="nil"/>
              <w:bottom w:val="nil"/>
              <w:right w:val="nil"/>
            </w:tcBorders>
          </w:tcPr>
          <w:p w:rsidR="00DD3A96" w:rsidRPr="00D033EB" w:rsidRDefault="00DD3A96" w:rsidP="00E568D9">
            <w:pPr>
              <w:rPr>
                <w:color w:val="000000"/>
              </w:rPr>
            </w:pPr>
            <w:r w:rsidRPr="00D033EB">
              <w:rPr>
                <w:color w:val="000000"/>
              </w:rPr>
              <w:t>Comparison of 2015 Modeled Freshwater-Saltwater Interface with CSEM Data</w:t>
            </w:r>
          </w:p>
        </w:tc>
      </w:tr>
      <w:tr w:rsidR="00DD3A96" w:rsidRPr="00D033EB" w:rsidTr="008D6B75">
        <w:trPr>
          <w:cantSplit/>
          <w:trHeight w:val="373"/>
        </w:trPr>
        <w:tc>
          <w:tcPr>
            <w:tcW w:w="2160" w:type="dxa"/>
            <w:tcBorders>
              <w:top w:val="nil"/>
              <w:left w:val="nil"/>
              <w:bottom w:val="nil"/>
              <w:right w:val="nil"/>
            </w:tcBorders>
          </w:tcPr>
          <w:p w:rsidR="00DD3A96" w:rsidRPr="00D033EB" w:rsidRDefault="00DD3A96" w:rsidP="00E568D9">
            <w:pPr>
              <w:rPr>
                <w:color w:val="000000"/>
              </w:rPr>
            </w:pPr>
            <w:r w:rsidRPr="00D033EB">
              <w:rPr>
                <w:color w:val="000000"/>
              </w:rPr>
              <w:t>P.F. ANDERSEN</w:t>
            </w:r>
          </w:p>
        </w:tc>
        <w:tc>
          <w:tcPr>
            <w:tcW w:w="1350" w:type="dxa"/>
            <w:tcBorders>
              <w:top w:val="nil"/>
              <w:left w:val="nil"/>
              <w:bottom w:val="nil"/>
              <w:right w:val="nil"/>
            </w:tcBorders>
          </w:tcPr>
          <w:p w:rsidR="00DD3A96" w:rsidRPr="00D033EB" w:rsidRDefault="00DD3A96" w:rsidP="00E568D9">
            <w:pPr>
              <w:jc w:val="center"/>
            </w:pPr>
            <w:r w:rsidRPr="00D033EB">
              <w:t>FPL</w:t>
            </w:r>
          </w:p>
        </w:tc>
        <w:tc>
          <w:tcPr>
            <w:tcW w:w="1530" w:type="dxa"/>
            <w:tcBorders>
              <w:top w:val="nil"/>
              <w:left w:val="nil"/>
              <w:bottom w:val="nil"/>
              <w:right w:val="nil"/>
            </w:tcBorders>
          </w:tcPr>
          <w:p w:rsidR="00DD3A96" w:rsidRPr="00D033EB" w:rsidRDefault="00DD3A96" w:rsidP="00E568D9">
            <w:pPr>
              <w:rPr>
                <w:color w:val="000000"/>
              </w:rPr>
            </w:pPr>
            <w:r w:rsidRPr="00D033EB">
              <w:rPr>
                <w:color w:val="000000"/>
              </w:rPr>
              <w:t>PFA-5</w:t>
            </w:r>
          </w:p>
        </w:tc>
        <w:tc>
          <w:tcPr>
            <w:tcW w:w="4525" w:type="dxa"/>
            <w:tcBorders>
              <w:top w:val="nil"/>
              <w:left w:val="nil"/>
              <w:bottom w:val="nil"/>
              <w:right w:val="nil"/>
            </w:tcBorders>
          </w:tcPr>
          <w:p w:rsidR="00DD3A96" w:rsidRPr="00D033EB" w:rsidRDefault="00DD3A96" w:rsidP="00E568D9">
            <w:pPr>
              <w:rPr>
                <w:color w:val="000000"/>
              </w:rPr>
            </w:pPr>
            <w:r w:rsidRPr="00D033EB">
              <w:rPr>
                <w:bCs/>
                <w:color w:val="000000"/>
              </w:rPr>
              <w:t>Location of CCS Monitoring Stations Relative to Plant Cooling Water Intake and Biscayne Bay</w:t>
            </w:r>
          </w:p>
        </w:tc>
      </w:tr>
      <w:tr w:rsidR="00DD3A96" w:rsidRPr="00D033EB" w:rsidTr="008D6B75">
        <w:trPr>
          <w:cantSplit/>
          <w:trHeight w:val="373"/>
        </w:trPr>
        <w:tc>
          <w:tcPr>
            <w:tcW w:w="2160" w:type="dxa"/>
            <w:tcBorders>
              <w:top w:val="nil"/>
              <w:left w:val="nil"/>
              <w:bottom w:val="nil"/>
              <w:right w:val="nil"/>
            </w:tcBorders>
          </w:tcPr>
          <w:p w:rsidR="00DD3A96" w:rsidRPr="00D033EB" w:rsidRDefault="00DD3A96" w:rsidP="00E568D9">
            <w:pPr>
              <w:rPr>
                <w:color w:val="000000"/>
              </w:rPr>
            </w:pPr>
            <w:r w:rsidRPr="00D033EB">
              <w:rPr>
                <w:color w:val="000000"/>
              </w:rPr>
              <w:t>P.F. ANDERSEN</w:t>
            </w:r>
          </w:p>
        </w:tc>
        <w:tc>
          <w:tcPr>
            <w:tcW w:w="1350" w:type="dxa"/>
            <w:tcBorders>
              <w:top w:val="nil"/>
              <w:left w:val="nil"/>
              <w:bottom w:val="nil"/>
              <w:right w:val="nil"/>
            </w:tcBorders>
          </w:tcPr>
          <w:p w:rsidR="00DD3A96" w:rsidRPr="00D033EB" w:rsidRDefault="00DD3A96" w:rsidP="00E568D9">
            <w:pPr>
              <w:jc w:val="center"/>
            </w:pPr>
            <w:r w:rsidRPr="00D033EB">
              <w:t>FPL</w:t>
            </w:r>
          </w:p>
        </w:tc>
        <w:tc>
          <w:tcPr>
            <w:tcW w:w="1530" w:type="dxa"/>
            <w:tcBorders>
              <w:top w:val="nil"/>
              <w:left w:val="nil"/>
              <w:bottom w:val="nil"/>
              <w:right w:val="nil"/>
            </w:tcBorders>
          </w:tcPr>
          <w:p w:rsidR="00DD3A96" w:rsidRPr="00D033EB" w:rsidRDefault="00DD3A96" w:rsidP="00E568D9">
            <w:pPr>
              <w:rPr>
                <w:color w:val="000000"/>
              </w:rPr>
            </w:pPr>
            <w:r w:rsidRPr="00D033EB">
              <w:rPr>
                <w:color w:val="000000"/>
              </w:rPr>
              <w:t>PFA-6</w:t>
            </w:r>
          </w:p>
        </w:tc>
        <w:tc>
          <w:tcPr>
            <w:tcW w:w="4525" w:type="dxa"/>
            <w:tcBorders>
              <w:top w:val="nil"/>
              <w:left w:val="nil"/>
              <w:bottom w:val="nil"/>
              <w:right w:val="nil"/>
            </w:tcBorders>
          </w:tcPr>
          <w:p w:rsidR="00DD3A96" w:rsidRPr="00D033EB" w:rsidRDefault="00DD3A96" w:rsidP="00E568D9">
            <w:pPr>
              <w:rPr>
                <w:color w:val="000000"/>
              </w:rPr>
            </w:pPr>
            <w:r w:rsidRPr="00D033EB">
              <w:rPr>
                <w:color w:val="000000"/>
              </w:rPr>
              <w:t>Saltwater Intrusion as Mapped by the USGS, 1984 and 1995</w:t>
            </w:r>
          </w:p>
        </w:tc>
      </w:tr>
    </w:tbl>
    <w:p w:rsidR="00F34150" w:rsidRPr="00D033EB" w:rsidRDefault="00F34150" w:rsidP="00F34150">
      <w:pPr>
        <w:jc w:val="both"/>
      </w:pPr>
    </w:p>
    <w:p w:rsidR="00F34150" w:rsidRPr="00D033EB" w:rsidRDefault="00F34150" w:rsidP="00F34150">
      <w:pPr>
        <w:jc w:val="both"/>
      </w:pPr>
      <w:r w:rsidRPr="00D033EB">
        <w:tab/>
        <w:t>Parties and Staff reserve the right to identify additional exhibits for the purpose of cross-examination.</w:t>
      </w:r>
    </w:p>
    <w:p w:rsidR="00F34150" w:rsidRDefault="00F34150" w:rsidP="00F34150">
      <w:pPr>
        <w:jc w:val="both"/>
      </w:pPr>
    </w:p>
    <w:p w:rsidR="009418C4" w:rsidRPr="00D033EB" w:rsidRDefault="009418C4" w:rsidP="00F34150">
      <w:pPr>
        <w:jc w:val="both"/>
      </w:pPr>
    </w:p>
    <w:p w:rsidR="00F34150" w:rsidRPr="00D033EB" w:rsidRDefault="00F34150" w:rsidP="00F34150">
      <w:pPr>
        <w:jc w:val="both"/>
      </w:pPr>
      <w:r w:rsidRPr="00D033EB">
        <w:t>X.</w:t>
      </w:r>
      <w:r w:rsidRPr="00D033EB">
        <w:tab/>
      </w:r>
      <w:r w:rsidRPr="00D033EB">
        <w:rPr>
          <w:u w:val="single"/>
        </w:rPr>
        <w:t>PROPOSED STIPULATIONS</w:t>
      </w:r>
    </w:p>
    <w:p w:rsidR="00F34150" w:rsidRPr="00D033EB" w:rsidRDefault="00F34150" w:rsidP="00F34150">
      <w:pPr>
        <w:jc w:val="both"/>
      </w:pPr>
    </w:p>
    <w:p w:rsidR="0042596D" w:rsidRPr="00D033EB" w:rsidRDefault="00F34150" w:rsidP="00F34150">
      <w:pPr>
        <w:ind w:firstLine="720"/>
        <w:jc w:val="both"/>
      </w:pPr>
      <w:r w:rsidRPr="00D033EB">
        <w:t xml:space="preserve">There are proposed stipulations </w:t>
      </w:r>
      <w:r w:rsidR="00E568D9" w:rsidRPr="00D033EB">
        <w:t>for all issues</w:t>
      </w:r>
      <w:r w:rsidR="00E568D9" w:rsidRPr="00D033EB">
        <w:rPr>
          <w:i/>
        </w:rPr>
        <w:t xml:space="preserve"> except</w:t>
      </w:r>
      <w:r w:rsidR="00E568D9" w:rsidRPr="00D033EB">
        <w:t xml:space="preserve"> issues 10A-10E.</w:t>
      </w:r>
      <w:r w:rsidR="00A97161" w:rsidRPr="00D033EB">
        <w:t xml:space="preserve"> Staff, DEF, FPL, Gulf, and TECO support the proposed stipulation </w:t>
      </w:r>
      <w:r w:rsidR="00D033EB" w:rsidRPr="00D033EB">
        <w:t>I</w:t>
      </w:r>
      <w:r w:rsidR="00A97161" w:rsidRPr="00D033EB">
        <w:t xml:space="preserve">ssues 1-9, 13, 10F-G, 11, and 12A-C, which are set forth below. </w:t>
      </w:r>
      <w:r w:rsidR="00955DCD" w:rsidRPr="00D033EB">
        <w:t xml:space="preserve">SACE, PCS, </w:t>
      </w:r>
      <w:r w:rsidR="00E81B6E" w:rsidRPr="00D033EB">
        <w:t xml:space="preserve">and FIPUG </w:t>
      </w:r>
      <w:r w:rsidR="00955DCD" w:rsidRPr="00D033EB">
        <w:t xml:space="preserve">take no position on the stipulations. OPC takes no position on </w:t>
      </w:r>
      <w:r w:rsidR="00E81B6E" w:rsidRPr="00D033EB">
        <w:t xml:space="preserve">all of </w:t>
      </w:r>
      <w:r w:rsidR="00955DCD" w:rsidRPr="00D033EB">
        <w:t xml:space="preserve">the stipulations except for issue </w:t>
      </w:r>
      <w:r w:rsidR="00E81B6E" w:rsidRPr="00D033EB">
        <w:t xml:space="preserve">10G </w:t>
      </w:r>
      <w:r w:rsidR="00955DCD" w:rsidRPr="00D033EB">
        <w:t>which it does not oppose and affirmatively states that “</w:t>
      </w:r>
      <w:r w:rsidR="00E81B6E" w:rsidRPr="00D033EB">
        <w:t>[t]</w:t>
      </w:r>
      <w:r w:rsidR="00955DCD" w:rsidRPr="00D033EB">
        <w:t>he OPC does not object to the process proposed by FPL.”</w:t>
      </w:r>
      <w:r w:rsidR="00E81B6E" w:rsidRPr="00D033EB">
        <w:t xml:space="preserve"> </w:t>
      </w:r>
    </w:p>
    <w:p w:rsidR="0042596D" w:rsidRPr="00D033EB" w:rsidRDefault="0042596D" w:rsidP="0042596D">
      <w:pPr>
        <w:jc w:val="both"/>
      </w:pPr>
    </w:p>
    <w:p w:rsidR="00D641C6" w:rsidRPr="00D033EB" w:rsidRDefault="00D641C6" w:rsidP="0042596D">
      <w:pPr>
        <w:ind w:left="1440" w:hanging="1440"/>
        <w:rPr>
          <w:b/>
          <w:bCs/>
          <w:u w:val="single"/>
        </w:rPr>
      </w:pPr>
    </w:p>
    <w:p w:rsidR="0042596D" w:rsidRPr="00D033EB" w:rsidRDefault="0042596D" w:rsidP="0042596D">
      <w:pPr>
        <w:ind w:left="1440" w:hanging="1440"/>
      </w:pPr>
      <w:r w:rsidRPr="00D033EB">
        <w:rPr>
          <w:b/>
          <w:bCs/>
          <w:u w:val="single"/>
        </w:rPr>
        <w:t>ISSUE 1:</w:t>
      </w:r>
      <w:r w:rsidRPr="00D033EB">
        <w:tab/>
      </w:r>
      <w:r w:rsidRPr="00D033EB">
        <w:rPr>
          <w:b/>
        </w:rPr>
        <w:t>What are the final environmental cost recovery true-up amounts for the period January 2016 through December 2016?</w:t>
      </w:r>
    </w:p>
    <w:p w:rsidR="0042596D" w:rsidRPr="00D033EB" w:rsidRDefault="0042596D" w:rsidP="0042596D">
      <w:pPr>
        <w:pStyle w:val="IssueHeading"/>
      </w:pPr>
      <w:r w:rsidRPr="00D033EB">
        <w:t>Proposed Stipulation</w:t>
      </w:r>
    </w:p>
    <w:p w:rsidR="0042596D" w:rsidRPr="00D033EB" w:rsidRDefault="0042596D" w:rsidP="0042596D">
      <w:pPr>
        <w:pStyle w:val="IssueBody"/>
        <w:ind w:left="0"/>
      </w:pPr>
      <w:r w:rsidRPr="00D033EB">
        <w:t>The appropriate final environmental cost recovery true-up amounts for the period January 2016 through December 2016 are as follows:</w:t>
      </w:r>
    </w:p>
    <w:p w:rsidR="0042596D" w:rsidRPr="00D033EB" w:rsidRDefault="0042596D" w:rsidP="0042596D">
      <w:pPr>
        <w:pStyle w:val="IssueBody"/>
        <w:ind w:left="0"/>
      </w:pPr>
      <w:r w:rsidRPr="00D033EB">
        <w:t>FPL: $23,872,381 over-recovery</w:t>
      </w:r>
    </w:p>
    <w:p w:rsidR="0042596D" w:rsidRPr="00D033EB" w:rsidRDefault="0042596D" w:rsidP="0042596D">
      <w:pPr>
        <w:pStyle w:val="IssueBody"/>
        <w:ind w:left="0"/>
      </w:pPr>
      <w:r w:rsidRPr="00D033EB">
        <w:t xml:space="preserve">DEF: </w:t>
      </w:r>
      <w:r w:rsidRPr="00D033EB">
        <w:rPr>
          <w:bCs/>
        </w:rPr>
        <w:t>$1,266,492 over-recovery</w:t>
      </w:r>
    </w:p>
    <w:p w:rsidR="0042596D" w:rsidRPr="00D033EB" w:rsidRDefault="0042596D" w:rsidP="0042596D">
      <w:pPr>
        <w:pStyle w:val="IssueBody"/>
        <w:ind w:left="0"/>
      </w:pPr>
      <w:r w:rsidRPr="00D033EB">
        <w:t>TECO: $658,080 under-recovery</w:t>
      </w:r>
    </w:p>
    <w:p w:rsidR="0042596D" w:rsidRPr="00D033EB" w:rsidRDefault="0042596D" w:rsidP="0042596D">
      <w:pPr>
        <w:pStyle w:val="IssueBody"/>
        <w:ind w:left="0"/>
      </w:pPr>
      <w:r w:rsidRPr="00D033EB">
        <w:t>GULF: $3,262,290 under-recovery</w:t>
      </w:r>
    </w:p>
    <w:p w:rsidR="00DD4B17" w:rsidRDefault="00DD4B17" w:rsidP="0042596D">
      <w:pPr>
        <w:pStyle w:val="IssueHeading"/>
        <w:rPr>
          <w:u w:val="single"/>
        </w:rPr>
      </w:pPr>
    </w:p>
    <w:p w:rsidR="0042596D" w:rsidRPr="00D033EB" w:rsidRDefault="0042596D" w:rsidP="0042596D">
      <w:pPr>
        <w:pStyle w:val="IssueHeading"/>
        <w:rPr>
          <w:vanish/>
          <w:specVanish/>
        </w:rPr>
      </w:pPr>
      <w:r w:rsidRPr="00D033EB">
        <w:rPr>
          <w:u w:val="single"/>
        </w:rPr>
        <w:lastRenderedPageBreak/>
        <w:t>ISSUE 2</w:t>
      </w:r>
      <w:r w:rsidRPr="00D033EB">
        <w:t>:</w:t>
      </w:r>
    </w:p>
    <w:p w:rsidR="0042596D" w:rsidRPr="00D033EB" w:rsidRDefault="0042596D" w:rsidP="0042596D">
      <w:pPr>
        <w:pStyle w:val="IssueBody"/>
        <w:rPr>
          <w:b/>
        </w:rPr>
      </w:pPr>
      <w:r w:rsidRPr="00D033EB">
        <w:tab/>
      </w:r>
      <w:r w:rsidRPr="00D033EB">
        <w:rPr>
          <w:b/>
        </w:rPr>
        <w:t>What are the estimated/actual environmental cost recovery true-up amounts for the period January 2017 through December 2017?</w:t>
      </w:r>
    </w:p>
    <w:p w:rsidR="0042596D" w:rsidRPr="00D033EB" w:rsidRDefault="0042596D" w:rsidP="0042596D">
      <w:pPr>
        <w:pStyle w:val="IssueHeading"/>
      </w:pPr>
      <w:r w:rsidRPr="00D033EB">
        <w:t>Proposed Stipulation</w:t>
      </w:r>
    </w:p>
    <w:p w:rsidR="0042596D" w:rsidRPr="00D033EB" w:rsidRDefault="0042596D" w:rsidP="0042596D">
      <w:pPr>
        <w:pStyle w:val="IssueBody"/>
        <w:ind w:left="0"/>
      </w:pPr>
      <w:r w:rsidRPr="00D033EB">
        <w:t>The appropriate estimated/actual environmental cost recovery true-up amounts for the period January 2017 through December 2017 are as follows:</w:t>
      </w:r>
    </w:p>
    <w:p w:rsidR="0042596D" w:rsidRPr="00D033EB" w:rsidRDefault="0042596D" w:rsidP="0042596D">
      <w:pPr>
        <w:pStyle w:val="IssueBody"/>
        <w:ind w:left="0"/>
      </w:pPr>
      <w:r w:rsidRPr="00D033EB">
        <w:t>FPL</w:t>
      </w:r>
      <w:r w:rsidR="00965251" w:rsidRPr="00D033EB">
        <w:t>*</w:t>
      </w:r>
      <w:r w:rsidRPr="00D033EB">
        <w:t>: $28,797,701 over-recovery</w:t>
      </w:r>
    </w:p>
    <w:p w:rsidR="0042596D" w:rsidRPr="00D033EB" w:rsidRDefault="0042596D" w:rsidP="0042596D">
      <w:pPr>
        <w:pStyle w:val="IssueBody"/>
        <w:ind w:left="0"/>
      </w:pPr>
      <w:r w:rsidRPr="00D033EB">
        <w:t xml:space="preserve">DEF: </w:t>
      </w:r>
      <w:r w:rsidRPr="00D033EB">
        <w:rPr>
          <w:bCs/>
        </w:rPr>
        <w:t>$1,751,015 over-recovery</w:t>
      </w:r>
    </w:p>
    <w:p w:rsidR="0042596D" w:rsidRPr="00D033EB" w:rsidRDefault="0042596D" w:rsidP="0042596D">
      <w:pPr>
        <w:pStyle w:val="IssueBody"/>
        <w:ind w:left="0"/>
      </w:pPr>
      <w:r w:rsidRPr="00D033EB">
        <w:t>TECO: $6,759,424 over-recovery</w:t>
      </w:r>
    </w:p>
    <w:p w:rsidR="0042596D" w:rsidRPr="00D033EB" w:rsidRDefault="0042596D" w:rsidP="0042596D">
      <w:pPr>
        <w:pStyle w:val="IssueBody"/>
        <w:ind w:left="0"/>
      </w:pPr>
      <w:r w:rsidRPr="00D033EB">
        <w:t>GULF: $11,475,260 over-recovery</w:t>
      </w:r>
    </w:p>
    <w:p w:rsidR="00965251" w:rsidRPr="00D033EB" w:rsidRDefault="00965251" w:rsidP="009418C4">
      <w:pPr>
        <w:pStyle w:val="IssueBody"/>
        <w:spacing w:after="0"/>
        <w:ind w:left="0"/>
      </w:pPr>
      <w:r w:rsidRPr="00D033EB">
        <w:t>* Subject to modification from company-specific issues.</w:t>
      </w:r>
    </w:p>
    <w:p w:rsidR="0042596D" w:rsidRPr="00D033EB" w:rsidRDefault="0042596D" w:rsidP="009418C4">
      <w:pPr>
        <w:pStyle w:val="IssueHeading"/>
        <w:spacing w:before="0" w:after="0"/>
        <w:rPr>
          <w:u w:val="single"/>
        </w:rPr>
      </w:pPr>
    </w:p>
    <w:p w:rsidR="0042596D" w:rsidRPr="00D033EB" w:rsidRDefault="0042596D" w:rsidP="0042596D">
      <w:pPr>
        <w:pStyle w:val="IssueHeading"/>
        <w:rPr>
          <w:vanish/>
          <w:specVanish/>
        </w:rPr>
      </w:pPr>
      <w:r w:rsidRPr="00D033EB">
        <w:rPr>
          <w:u w:val="single"/>
        </w:rPr>
        <w:t>ISSUE 3</w:t>
      </w:r>
      <w:r w:rsidRPr="00D033EB">
        <w:t>:</w:t>
      </w:r>
    </w:p>
    <w:p w:rsidR="0042596D" w:rsidRPr="00D033EB" w:rsidRDefault="0042596D" w:rsidP="0042596D">
      <w:pPr>
        <w:pStyle w:val="IssueBody"/>
        <w:rPr>
          <w:b/>
        </w:rPr>
      </w:pPr>
      <w:r w:rsidRPr="00D033EB">
        <w:tab/>
      </w:r>
      <w:r w:rsidRPr="00D033EB">
        <w:rPr>
          <w:b/>
        </w:rPr>
        <w:t>What are the projected environmental cost recovery amounts for the period January 2018 through December 2018?</w:t>
      </w:r>
    </w:p>
    <w:p w:rsidR="0042596D" w:rsidRPr="00D033EB" w:rsidRDefault="0042596D" w:rsidP="0042596D">
      <w:pPr>
        <w:pStyle w:val="IssueHeading"/>
      </w:pPr>
      <w:r w:rsidRPr="00D033EB">
        <w:t>Proposed Stipulation</w:t>
      </w:r>
    </w:p>
    <w:p w:rsidR="0042596D" w:rsidRPr="00D033EB" w:rsidRDefault="0042596D" w:rsidP="0042596D">
      <w:pPr>
        <w:pStyle w:val="IssueBody"/>
        <w:ind w:left="0"/>
      </w:pPr>
      <w:r w:rsidRPr="00D033EB">
        <w:t>The appropriate projected environmental cost recovery amounts for the period January 2018 through December 2018 are as follows:</w:t>
      </w:r>
    </w:p>
    <w:p w:rsidR="0042596D" w:rsidRPr="00D033EB" w:rsidRDefault="0042596D" w:rsidP="0042596D">
      <w:pPr>
        <w:pStyle w:val="IssueBody"/>
        <w:ind w:left="0"/>
      </w:pPr>
      <w:r w:rsidRPr="00D033EB">
        <w:t>FPL*: $212,389,989</w:t>
      </w:r>
    </w:p>
    <w:p w:rsidR="0042596D" w:rsidRPr="00D033EB" w:rsidRDefault="0042596D" w:rsidP="0042596D">
      <w:pPr>
        <w:pStyle w:val="IssueBody"/>
        <w:ind w:left="0"/>
      </w:pPr>
      <w:r w:rsidRPr="00D033EB">
        <w:t xml:space="preserve">DEF: </w:t>
      </w:r>
      <w:r w:rsidRPr="00D033EB">
        <w:rPr>
          <w:bCs/>
        </w:rPr>
        <w:t>$62,786,148</w:t>
      </w:r>
    </w:p>
    <w:p w:rsidR="0042596D" w:rsidRPr="00D033EB" w:rsidRDefault="0042596D" w:rsidP="0042596D">
      <w:pPr>
        <w:pStyle w:val="IssueBody"/>
        <w:ind w:left="0"/>
      </w:pPr>
      <w:r w:rsidRPr="00D033EB">
        <w:t>TECO: $72,821,226</w:t>
      </w:r>
    </w:p>
    <w:p w:rsidR="0042596D" w:rsidRPr="00D033EB" w:rsidRDefault="0042596D" w:rsidP="0042596D">
      <w:pPr>
        <w:pStyle w:val="IssueBody"/>
        <w:ind w:left="0"/>
      </w:pPr>
      <w:r w:rsidRPr="00D033EB">
        <w:t>GULF: $211,656,376</w:t>
      </w:r>
    </w:p>
    <w:p w:rsidR="0042596D" w:rsidRPr="00D033EB" w:rsidRDefault="00965251" w:rsidP="009418C4">
      <w:pPr>
        <w:pStyle w:val="IssueBody"/>
        <w:spacing w:after="0"/>
        <w:ind w:left="0"/>
      </w:pPr>
      <w:r w:rsidRPr="00D033EB">
        <w:t>* S</w:t>
      </w:r>
      <w:r w:rsidR="0042596D" w:rsidRPr="00D033EB">
        <w:t>ubject to modification from company-specific issues</w:t>
      </w:r>
      <w:r w:rsidRPr="00D033EB">
        <w:t>.</w:t>
      </w:r>
    </w:p>
    <w:p w:rsidR="0042596D" w:rsidRPr="00D033EB" w:rsidRDefault="0042596D" w:rsidP="009418C4">
      <w:pPr>
        <w:pStyle w:val="IssueHeading"/>
        <w:spacing w:before="0" w:after="0"/>
        <w:rPr>
          <w:u w:val="single"/>
        </w:rPr>
      </w:pPr>
    </w:p>
    <w:p w:rsidR="0042596D" w:rsidRPr="00D033EB" w:rsidRDefault="0042596D" w:rsidP="0042596D">
      <w:pPr>
        <w:pStyle w:val="IssueHeading"/>
        <w:rPr>
          <w:vanish/>
          <w:specVanish/>
        </w:rPr>
      </w:pPr>
      <w:r w:rsidRPr="00D033EB">
        <w:rPr>
          <w:u w:val="single"/>
        </w:rPr>
        <w:t>ISSUE 4</w:t>
      </w:r>
      <w:r w:rsidRPr="00D033EB">
        <w:t>:</w:t>
      </w:r>
    </w:p>
    <w:p w:rsidR="0042596D" w:rsidRPr="00D033EB" w:rsidRDefault="0042596D" w:rsidP="0042596D">
      <w:pPr>
        <w:pStyle w:val="IssueBody"/>
        <w:rPr>
          <w:b/>
        </w:rPr>
      </w:pPr>
      <w:r w:rsidRPr="00D033EB">
        <w:tab/>
      </w:r>
      <w:r w:rsidRPr="00D033EB">
        <w:rPr>
          <w:b/>
        </w:rPr>
        <w:t>What are the environmental cost recovery amounts, including true-up amounts, for the period January 2018 through December 2018?</w:t>
      </w:r>
    </w:p>
    <w:p w:rsidR="0042596D" w:rsidRPr="00D033EB" w:rsidRDefault="0042596D" w:rsidP="0042596D">
      <w:pPr>
        <w:pStyle w:val="IssueHeading"/>
      </w:pPr>
      <w:r w:rsidRPr="00D033EB">
        <w:t>Proposed Stipulation</w:t>
      </w:r>
    </w:p>
    <w:p w:rsidR="0042596D" w:rsidRPr="00D033EB" w:rsidRDefault="0042596D" w:rsidP="0042596D">
      <w:pPr>
        <w:jc w:val="both"/>
      </w:pPr>
      <w:r w:rsidRPr="00D033EB">
        <w:t>The appropriate environmental cost recovery amount, including true-up amounts, for the period January 2018 through December 2018, are as follows:</w:t>
      </w:r>
    </w:p>
    <w:p w:rsidR="00574968" w:rsidRDefault="00574968">
      <w:r>
        <w:br w:type="page"/>
      </w:r>
    </w:p>
    <w:p w:rsidR="0042596D" w:rsidRPr="00D033EB" w:rsidRDefault="0042596D" w:rsidP="0042596D">
      <w:pPr>
        <w:pStyle w:val="IssueBody"/>
        <w:ind w:left="0"/>
      </w:pPr>
      <w:r w:rsidRPr="00D033EB">
        <w:lastRenderedPageBreak/>
        <w:t>FPL*: $159,834,905</w:t>
      </w:r>
    </w:p>
    <w:p w:rsidR="0042596D" w:rsidRPr="00D033EB" w:rsidRDefault="0042596D" w:rsidP="0042596D">
      <w:pPr>
        <w:pStyle w:val="IssueBody"/>
        <w:ind w:left="0"/>
      </w:pPr>
      <w:r w:rsidRPr="00D033EB">
        <w:t xml:space="preserve">DEF: </w:t>
      </w:r>
      <w:r w:rsidRPr="00D033EB">
        <w:rPr>
          <w:bCs/>
        </w:rPr>
        <w:t>$59,811,674</w:t>
      </w:r>
    </w:p>
    <w:p w:rsidR="0042596D" w:rsidRPr="00D033EB" w:rsidRDefault="0042596D" w:rsidP="0042596D">
      <w:pPr>
        <w:pStyle w:val="IssueBody"/>
        <w:ind w:left="0"/>
      </w:pPr>
      <w:r w:rsidRPr="00D033EB">
        <w:t>TECO: $66,767,920</w:t>
      </w:r>
    </w:p>
    <w:p w:rsidR="0042596D" w:rsidRPr="00D033EB" w:rsidRDefault="0042596D" w:rsidP="0042596D">
      <w:pPr>
        <w:pStyle w:val="IssueBody"/>
        <w:ind w:left="0"/>
      </w:pPr>
      <w:r w:rsidRPr="00D033EB">
        <w:t>GULF: $203,589,886</w:t>
      </w:r>
    </w:p>
    <w:p w:rsidR="0042596D" w:rsidRPr="00D033EB" w:rsidRDefault="00965251" w:rsidP="0042596D">
      <w:pPr>
        <w:pStyle w:val="IssueBody"/>
        <w:ind w:left="0"/>
      </w:pPr>
      <w:r w:rsidRPr="00D033EB">
        <w:t>* S</w:t>
      </w:r>
      <w:r w:rsidR="0042596D" w:rsidRPr="00D033EB">
        <w:t>ubject to modification from company-specific issues</w:t>
      </w:r>
      <w:r w:rsidRPr="00D033EB">
        <w:t>.</w:t>
      </w:r>
    </w:p>
    <w:p w:rsidR="0042596D" w:rsidRPr="00D033EB" w:rsidRDefault="0042596D" w:rsidP="0042596D">
      <w:pPr>
        <w:pStyle w:val="IssueHeading"/>
        <w:spacing w:before="0" w:after="0"/>
        <w:rPr>
          <w:u w:val="single"/>
        </w:rPr>
      </w:pPr>
    </w:p>
    <w:p w:rsidR="0042596D" w:rsidRPr="00D033EB" w:rsidRDefault="0042596D" w:rsidP="0042596D">
      <w:pPr>
        <w:pStyle w:val="IssueHeading"/>
        <w:spacing w:before="0" w:after="0"/>
        <w:rPr>
          <w:vanish/>
          <w:specVanish/>
        </w:rPr>
      </w:pPr>
      <w:r w:rsidRPr="00D033EB">
        <w:rPr>
          <w:u w:val="single"/>
        </w:rPr>
        <w:t>ISSUE 5</w:t>
      </w:r>
      <w:r w:rsidRPr="00D033EB">
        <w:t>:</w:t>
      </w:r>
    </w:p>
    <w:p w:rsidR="0042596D" w:rsidRPr="00D033EB" w:rsidRDefault="0042596D" w:rsidP="0042596D">
      <w:pPr>
        <w:pStyle w:val="IssueBody"/>
        <w:spacing w:after="0"/>
        <w:rPr>
          <w:b/>
        </w:rPr>
      </w:pPr>
      <w:r w:rsidRPr="00D033EB">
        <w:tab/>
      </w:r>
      <w:r w:rsidRPr="00D033EB">
        <w:rPr>
          <w:b/>
        </w:rPr>
        <w:t>What depreciation rates should be used to develop the depreciation expense included in the total environmental cost recovery amounts for the period January 2018 through December 2018?</w:t>
      </w:r>
    </w:p>
    <w:p w:rsidR="0042596D" w:rsidRPr="00D033EB" w:rsidRDefault="0042596D" w:rsidP="0042596D">
      <w:pPr>
        <w:pStyle w:val="IssueHeading"/>
      </w:pPr>
      <w:r w:rsidRPr="00D033EB">
        <w:t>Proposed Stipulation</w:t>
      </w:r>
    </w:p>
    <w:p w:rsidR="0042596D" w:rsidRPr="00D033EB" w:rsidRDefault="0042596D" w:rsidP="0042596D">
      <w:pPr>
        <w:pStyle w:val="IssueHeading"/>
        <w:rPr>
          <w:b w:val="0"/>
          <w:u w:val="single"/>
        </w:rPr>
      </w:pPr>
      <w:r w:rsidRPr="00D033EB">
        <w:rPr>
          <w:b w:val="0"/>
        </w:rPr>
        <w:t>For the period January 2018 through December 2018, the depreciation rates used to calculate the depreciation expense shall be the rates that are in effect during the period the allowed capital investment is in service.</w:t>
      </w:r>
    </w:p>
    <w:p w:rsidR="0042596D" w:rsidRPr="00D033EB" w:rsidRDefault="0042596D" w:rsidP="0042596D">
      <w:pPr>
        <w:rPr>
          <w:rFonts w:cs="Arial"/>
          <w:b/>
          <w:bCs/>
          <w:szCs w:val="26"/>
          <w:u w:val="single"/>
        </w:rPr>
      </w:pPr>
    </w:p>
    <w:p w:rsidR="0042596D" w:rsidRPr="00D033EB" w:rsidRDefault="0042596D" w:rsidP="0042596D">
      <w:pPr>
        <w:pStyle w:val="IssueHeading"/>
        <w:rPr>
          <w:vanish/>
          <w:specVanish/>
        </w:rPr>
      </w:pPr>
      <w:r w:rsidRPr="00D033EB">
        <w:rPr>
          <w:u w:val="single"/>
        </w:rPr>
        <w:t>ISSUE 6</w:t>
      </w:r>
      <w:r w:rsidRPr="00D033EB">
        <w:t>:</w:t>
      </w:r>
    </w:p>
    <w:p w:rsidR="0042596D" w:rsidRPr="00D033EB" w:rsidRDefault="0042596D" w:rsidP="0042596D">
      <w:pPr>
        <w:pStyle w:val="IssueBody"/>
        <w:rPr>
          <w:b/>
        </w:rPr>
      </w:pPr>
      <w:r w:rsidRPr="00D033EB">
        <w:tab/>
      </w:r>
      <w:r w:rsidRPr="00D033EB">
        <w:rPr>
          <w:b/>
        </w:rPr>
        <w:t>What are the appropriate jurisdictional separation factors for the projected period January 2018 through December 2018?</w:t>
      </w:r>
    </w:p>
    <w:p w:rsidR="0042596D" w:rsidRPr="00D033EB" w:rsidRDefault="0042596D" w:rsidP="0042596D">
      <w:pPr>
        <w:pStyle w:val="IssueHeading"/>
      </w:pPr>
      <w:r w:rsidRPr="00D033EB">
        <w:t>Proposed Stipulation</w:t>
      </w:r>
    </w:p>
    <w:p w:rsidR="0042596D" w:rsidRPr="00D033EB" w:rsidRDefault="0042596D" w:rsidP="0042596D">
      <w:pPr>
        <w:pStyle w:val="IssueBody"/>
        <w:ind w:left="0"/>
      </w:pPr>
      <w:r w:rsidRPr="00D033EB">
        <w:t>The appropriate jurisdictional separation factors for the projected period January 2018 through December 2018 are as follows:</w:t>
      </w:r>
    </w:p>
    <w:p w:rsidR="0042596D" w:rsidRPr="00D033EB" w:rsidRDefault="0042596D" w:rsidP="0042596D">
      <w:pPr>
        <w:pStyle w:val="IssueBody"/>
        <w:pBdr>
          <w:top w:val="single" w:sz="4" w:space="1" w:color="auto"/>
        </w:pBdr>
        <w:ind w:left="0"/>
        <w:rPr>
          <w:b/>
        </w:rPr>
      </w:pPr>
      <w:r w:rsidRPr="00D033EB">
        <w:rPr>
          <w:b/>
        </w:rPr>
        <w:t>FPL</w:t>
      </w:r>
    </w:p>
    <w:p w:rsidR="0042596D" w:rsidRPr="00D033EB" w:rsidRDefault="0042596D" w:rsidP="0042596D">
      <w:pPr>
        <w:pStyle w:val="BodyTextIndent"/>
        <w:ind w:left="0" w:firstLine="0"/>
        <w:rPr>
          <w:rFonts w:ascii="Times New Roman" w:hAnsi="Times New Roman"/>
          <w:sz w:val="24"/>
          <w:szCs w:val="24"/>
        </w:rPr>
      </w:pPr>
      <w:r w:rsidRPr="00D033EB">
        <w:rPr>
          <w:rFonts w:ascii="Times New Roman" w:hAnsi="Times New Roman"/>
          <w:sz w:val="24"/>
          <w:szCs w:val="24"/>
        </w:rPr>
        <w:t xml:space="preserve">Retail Energy Jurisdictional Factor - Base  </w:t>
      </w:r>
      <w:r w:rsidRPr="00D033EB">
        <w:rPr>
          <w:rFonts w:ascii="Times New Roman" w:hAnsi="Times New Roman"/>
          <w:sz w:val="24"/>
          <w:szCs w:val="24"/>
        </w:rPr>
        <w:tab/>
      </w:r>
      <w:r w:rsidRPr="00D033EB">
        <w:rPr>
          <w:rFonts w:ascii="Times New Roman" w:hAnsi="Times New Roman"/>
          <w:sz w:val="24"/>
          <w:szCs w:val="24"/>
        </w:rPr>
        <w:tab/>
        <w:t xml:space="preserve"> </w:t>
      </w:r>
      <w:r w:rsidRPr="00D033EB">
        <w:rPr>
          <w:rFonts w:ascii="Times New Roman" w:hAnsi="Times New Roman"/>
          <w:sz w:val="24"/>
          <w:szCs w:val="24"/>
        </w:rPr>
        <w:tab/>
        <w:t xml:space="preserve"> 95.7811% </w:t>
      </w:r>
    </w:p>
    <w:p w:rsidR="0042596D" w:rsidRPr="00D033EB" w:rsidRDefault="0042596D" w:rsidP="0042596D">
      <w:pPr>
        <w:pStyle w:val="BodyTextIndent"/>
        <w:ind w:left="0" w:firstLine="0"/>
        <w:rPr>
          <w:rFonts w:ascii="Times New Roman" w:hAnsi="Times New Roman"/>
          <w:sz w:val="24"/>
          <w:szCs w:val="24"/>
        </w:rPr>
      </w:pPr>
      <w:r w:rsidRPr="00D033EB">
        <w:rPr>
          <w:rFonts w:ascii="Times New Roman" w:hAnsi="Times New Roman"/>
          <w:sz w:val="24"/>
          <w:szCs w:val="24"/>
        </w:rPr>
        <w:t xml:space="preserve">Retail Energy Jurisdictional Factor - Intermediate  </w:t>
      </w:r>
      <w:r w:rsidRPr="00D033EB">
        <w:rPr>
          <w:rFonts w:ascii="Times New Roman" w:hAnsi="Times New Roman"/>
          <w:sz w:val="24"/>
          <w:szCs w:val="24"/>
        </w:rPr>
        <w:tab/>
      </w:r>
      <w:r w:rsidRPr="00D033EB">
        <w:rPr>
          <w:rFonts w:ascii="Times New Roman" w:hAnsi="Times New Roman"/>
          <w:sz w:val="24"/>
          <w:szCs w:val="24"/>
        </w:rPr>
        <w:tab/>
        <w:t xml:space="preserve"> 94.2579%</w:t>
      </w:r>
    </w:p>
    <w:p w:rsidR="0042596D" w:rsidRPr="00D033EB" w:rsidRDefault="0042596D" w:rsidP="0042596D">
      <w:pPr>
        <w:pStyle w:val="BodyTextIndent"/>
        <w:ind w:left="0" w:firstLine="0"/>
        <w:rPr>
          <w:rFonts w:ascii="Times New Roman" w:hAnsi="Times New Roman"/>
          <w:b/>
          <w:sz w:val="24"/>
          <w:szCs w:val="24"/>
        </w:rPr>
      </w:pPr>
      <w:r w:rsidRPr="00D033EB">
        <w:rPr>
          <w:rFonts w:ascii="Times New Roman" w:hAnsi="Times New Roman"/>
          <w:sz w:val="24"/>
          <w:szCs w:val="24"/>
        </w:rPr>
        <w:t>Retail Energy Jurisdictional Factor - Peaking</w:t>
      </w:r>
      <w:r w:rsidRPr="00D033EB">
        <w:rPr>
          <w:rFonts w:ascii="Times New Roman" w:hAnsi="Times New Roman"/>
          <w:sz w:val="24"/>
          <w:szCs w:val="24"/>
        </w:rPr>
        <w:tab/>
        <w:t xml:space="preserve"> </w:t>
      </w:r>
      <w:r w:rsidRPr="00D033EB">
        <w:rPr>
          <w:rFonts w:ascii="Times New Roman" w:hAnsi="Times New Roman"/>
          <w:sz w:val="24"/>
          <w:szCs w:val="24"/>
        </w:rPr>
        <w:tab/>
        <w:t xml:space="preserve"> 94.8545%</w:t>
      </w:r>
    </w:p>
    <w:p w:rsidR="0042596D" w:rsidRPr="00D033EB" w:rsidRDefault="0042596D" w:rsidP="0042596D">
      <w:pPr>
        <w:pStyle w:val="BodyTextIndent"/>
        <w:ind w:left="0" w:firstLine="0"/>
        <w:rPr>
          <w:rFonts w:ascii="Times New Roman" w:hAnsi="Times New Roman"/>
          <w:sz w:val="24"/>
          <w:szCs w:val="24"/>
        </w:rPr>
      </w:pPr>
      <w:r w:rsidRPr="00D033EB">
        <w:rPr>
          <w:rFonts w:ascii="Times New Roman" w:hAnsi="Times New Roman"/>
          <w:sz w:val="24"/>
          <w:szCs w:val="24"/>
        </w:rPr>
        <w:t xml:space="preserve">Retail Demand Jurisdictional Factor - Transmission    </w:t>
      </w:r>
      <w:r w:rsidRPr="00D033EB">
        <w:rPr>
          <w:rFonts w:ascii="Times New Roman" w:hAnsi="Times New Roman"/>
          <w:sz w:val="24"/>
          <w:szCs w:val="24"/>
        </w:rPr>
        <w:tab/>
        <w:t xml:space="preserve"> 88.7974%</w:t>
      </w:r>
    </w:p>
    <w:p w:rsidR="0042596D" w:rsidRPr="00D033EB" w:rsidRDefault="0042596D" w:rsidP="0042596D">
      <w:pPr>
        <w:pStyle w:val="BodyTextIndent"/>
        <w:ind w:left="0" w:firstLine="0"/>
        <w:rPr>
          <w:rFonts w:ascii="Times New Roman" w:hAnsi="Times New Roman"/>
          <w:sz w:val="24"/>
          <w:szCs w:val="24"/>
        </w:rPr>
      </w:pPr>
      <w:r w:rsidRPr="00D033EB">
        <w:rPr>
          <w:rFonts w:ascii="Times New Roman" w:hAnsi="Times New Roman"/>
          <w:sz w:val="24"/>
          <w:szCs w:val="24"/>
        </w:rPr>
        <w:t xml:space="preserve">Retail Demand Jurisdictional Factor - Base/Solar      </w:t>
      </w:r>
      <w:r w:rsidRPr="00D033EB">
        <w:rPr>
          <w:rFonts w:ascii="Times New Roman" w:hAnsi="Times New Roman"/>
          <w:sz w:val="24"/>
          <w:szCs w:val="24"/>
        </w:rPr>
        <w:tab/>
        <w:t xml:space="preserve"> 95.6652%</w:t>
      </w:r>
    </w:p>
    <w:p w:rsidR="0042596D" w:rsidRPr="00D033EB" w:rsidRDefault="0042596D" w:rsidP="0042596D">
      <w:pPr>
        <w:pStyle w:val="BodyTextIndent"/>
        <w:ind w:left="0" w:firstLine="0"/>
        <w:rPr>
          <w:rFonts w:ascii="Times New Roman" w:hAnsi="Times New Roman"/>
          <w:sz w:val="24"/>
          <w:szCs w:val="24"/>
        </w:rPr>
      </w:pPr>
      <w:r w:rsidRPr="00D033EB">
        <w:rPr>
          <w:rFonts w:ascii="Times New Roman" w:hAnsi="Times New Roman"/>
          <w:sz w:val="24"/>
          <w:szCs w:val="24"/>
        </w:rPr>
        <w:t xml:space="preserve">Retail Demand Jurisdictional Factor - Intermediate     </w:t>
      </w:r>
      <w:r w:rsidRPr="00D033EB">
        <w:rPr>
          <w:rFonts w:ascii="Times New Roman" w:hAnsi="Times New Roman"/>
          <w:sz w:val="24"/>
          <w:szCs w:val="24"/>
        </w:rPr>
        <w:tab/>
        <w:t xml:space="preserve"> 94.1431%</w:t>
      </w:r>
    </w:p>
    <w:p w:rsidR="0042596D" w:rsidRPr="00D033EB" w:rsidRDefault="0042596D" w:rsidP="0042596D">
      <w:pPr>
        <w:pStyle w:val="BodyTextIndent"/>
        <w:ind w:left="0" w:firstLine="0"/>
        <w:rPr>
          <w:rFonts w:ascii="Times New Roman" w:hAnsi="Times New Roman"/>
          <w:sz w:val="24"/>
          <w:szCs w:val="24"/>
        </w:rPr>
      </w:pPr>
      <w:r w:rsidRPr="00D033EB">
        <w:rPr>
          <w:rFonts w:ascii="Times New Roman" w:hAnsi="Times New Roman"/>
          <w:sz w:val="24"/>
          <w:szCs w:val="24"/>
        </w:rPr>
        <w:t xml:space="preserve">Retail Demand Jurisdictional Factor - Peaking       </w:t>
      </w:r>
      <w:r w:rsidRPr="00D033EB">
        <w:rPr>
          <w:rFonts w:ascii="Times New Roman" w:hAnsi="Times New Roman"/>
          <w:sz w:val="24"/>
          <w:szCs w:val="24"/>
        </w:rPr>
        <w:tab/>
      </w:r>
      <w:r w:rsidRPr="00D033EB">
        <w:rPr>
          <w:rFonts w:ascii="Times New Roman" w:hAnsi="Times New Roman"/>
          <w:sz w:val="24"/>
          <w:szCs w:val="24"/>
        </w:rPr>
        <w:tab/>
        <w:t xml:space="preserve"> 94.7386%</w:t>
      </w:r>
    </w:p>
    <w:p w:rsidR="0042596D" w:rsidRPr="00D033EB" w:rsidRDefault="0042596D" w:rsidP="0042596D">
      <w:pPr>
        <w:jc w:val="both"/>
        <w:rPr>
          <w:b/>
          <w:bCs/>
        </w:rPr>
      </w:pPr>
      <w:r w:rsidRPr="00D033EB">
        <w:t xml:space="preserve">Retail Demand Jurisdictional Factor - Distribution   </w:t>
      </w:r>
      <w:r w:rsidRPr="00D033EB">
        <w:tab/>
      </w:r>
      <w:r w:rsidRPr="00D033EB">
        <w:tab/>
        <w:t>100.0000%</w:t>
      </w:r>
    </w:p>
    <w:p w:rsidR="0042596D" w:rsidRPr="00D033EB" w:rsidRDefault="0042596D" w:rsidP="0042596D">
      <w:pPr>
        <w:pStyle w:val="IssueBody"/>
        <w:ind w:left="0"/>
      </w:pPr>
    </w:p>
    <w:p w:rsidR="0042596D" w:rsidRPr="00D033EB" w:rsidRDefault="0042596D" w:rsidP="0042596D">
      <w:pPr>
        <w:pStyle w:val="IssueBody"/>
        <w:pBdr>
          <w:top w:val="single" w:sz="4" w:space="1" w:color="auto"/>
        </w:pBdr>
        <w:ind w:left="0"/>
        <w:rPr>
          <w:b/>
        </w:rPr>
      </w:pPr>
      <w:r w:rsidRPr="00D033EB">
        <w:rPr>
          <w:b/>
        </w:rPr>
        <w:t>DEF</w:t>
      </w:r>
    </w:p>
    <w:p w:rsidR="0042596D" w:rsidRPr="00D033EB" w:rsidRDefault="0042596D" w:rsidP="0042596D">
      <w:pPr>
        <w:spacing w:line="276" w:lineRule="auto"/>
        <w:jc w:val="both"/>
        <w:rPr>
          <w:bCs/>
        </w:rPr>
      </w:pPr>
      <w:r w:rsidRPr="00D033EB">
        <w:rPr>
          <w:bCs/>
        </w:rPr>
        <w:t>The Energy separation factor is calculated for each month based on retail kWh sales as a percentage of projected total kWh sales.  The remaining separation factors are below and are consistent with the Revised Stipulation and Settlement Agreement approved in Order No. PSC-</w:t>
      </w:r>
      <w:r w:rsidRPr="00D033EB">
        <w:rPr>
          <w:bCs/>
        </w:rPr>
        <w:lastRenderedPageBreak/>
        <w:t>13-0598-FOF-EI as well as DEF’s 2017 Second Revised and Restated Stipulation and Settlement Agreement (“2017 Agreement”), filed on August 29, 2017 in Docket No. 20170183-EI.</w:t>
      </w:r>
    </w:p>
    <w:p w:rsidR="0042596D" w:rsidRPr="00D033EB" w:rsidRDefault="0042596D" w:rsidP="0042596D"/>
    <w:p w:rsidR="0042596D" w:rsidRPr="00D033EB" w:rsidRDefault="0042596D" w:rsidP="0042596D">
      <w:pPr>
        <w:jc w:val="both"/>
        <w:rPr>
          <w:bCs/>
        </w:rPr>
      </w:pPr>
      <w:r w:rsidRPr="00D033EB">
        <w:rPr>
          <w:bCs/>
        </w:rPr>
        <w:t>Transmission Average 12 CP Demand – 70.203%</w:t>
      </w:r>
    </w:p>
    <w:p w:rsidR="0042596D" w:rsidRPr="00D033EB" w:rsidRDefault="0042596D" w:rsidP="0042596D">
      <w:pPr>
        <w:jc w:val="both"/>
        <w:rPr>
          <w:bCs/>
        </w:rPr>
      </w:pPr>
      <w:r w:rsidRPr="00D033EB">
        <w:rPr>
          <w:bCs/>
        </w:rPr>
        <w:t>Distribution Primary Demand – 99.561%</w:t>
      </w:r>
    </w:p>
    <w:p w:rsidR="0042596D" w:rsidRPr="00D033EB" w:rsidRDefault="0042596D" w:rsidP="0042596D">
      <w:pPr>
        <w:jc w:val="both"/>
        <w:rPr>
          <w:bCs/>
        </w:rPr>
      </w:pPr>
    </w:p>
    <w:p w:rsidR="0042596D" w:rsidRPr="00D033EB" w:rsidRDefault="0042596D" w:rsidP="0042596D">
      <w:pPr>
        <w:jc w:val="both"/>
        <w:rPr>
          <w:bCs/>
        </w:rPr>
      </w:pPr>
      <w:r w:rsidRPr="00D033EB">
        <w:rPr>
          <w:bCs/>
        </w:rPr>
        <w:t>Production Demand:</w:t>
      </w:r>
    </w:p>
    <w:p w:rsidR="0042596D" w:rsidRPr="00D033EB" w:rsidRDefault="0042596D" w:rsidP="0042596D">
      <w:pPr>
        <w:jc w:val="both"/>
        <w:rPr>
          <w:bCs/>
        </w:rPr>
      </w:pPr>
      <w:r w:rsidRPr="00D033EB">
        <w:rPr>
          <w:bCs/>
        </w:rPr>
        <w:t>Production Base – 92.885%</w:t>
      </w:r>
    </w:p>
    <w:p w:rsidR="0042596D" w:rsidRPr="00D033EB" w:rsidRDefault="0042596D" w:rsidP="0042596D">
      <w:pPr>
        <w:jc w:val="both"/>
        <w:rPr>
          <w:bCs/>
        </w:rPr>
      </w:pPr>
      <w:r w:rsidRPr="00D033EB">
        <w:rPr>
          <w:bCs/>
        </w:rPr>
        <w:t>Production Intermediate – 72.703%</w:t>
      </w:r>
    </w:p>
    <w:p w:rsidR="0042596D" w:rsidRPr="00D033EB" w:rsidRDefault="0042596D" w:rsidP="0042596D">
      <w:pPr>
        <w:jc w:val="both"/>
        <w:rPr>
          <w:bCs/>
        </w:rPr>
      </w:pPr>
      <w:r w:rsidRPr="00D033EB">
        <w:rPr>
          <w:bCs/>
        </w:rPr>
        <w:t>Production Peaking – 95.924%</w:t>
      </w:r>
    </w:p>
    <w:p w:rsidR="00A97161" w:rsidRPr="00D033EB" w:rsidRDefault="0042596D" w:rsidP="0042596D">
      <w:pPr>
        <w:pStyle w:val="IssueBody"/>
        <w:ind w:left="0"/>
        <w:rPr>
          <w:bCs/>
        </w:rPr>
      </w:pPr>
      <w:r w:rsidRPr="00D033EB">
        <w:rPr>
          <w:bCs/>
        </w:rPr>
        <w:t>Production A&amp;G – 93.221%</w:t>
      </w:r>
    </w:p>
    <w:p w:rsidR="0042596D" w:rsidRPr="00D033EB" w:rsidRDefault="0042596D" w:rsidP="0042596D">
      <w:pPr>
        <w:pStyle w:val="IssueBody"/>
        <w:pBdr>
          <w:top w:val="single" w:sz="4" w:space="1" w:color="auto"/>
        </w:pBdr>
        <w:ind w:left="0"/>
        <w:rPr>
          <w:b/>
        </w:rPr>
      </w:pPr>
      <w:r w:rsidRPr="00D033EB">
        <w:rPr>
          <w:b/>
        </w:rPr>
        <w:t>TECO</w:t>
      </w:r>
    </w:p>
    <w:p w:rsidR="0042596D" w:rsidRPr="00D033EB" w:rsidRDefault="0042596D" w:rsidP="0042596D">
      <w:pPr>
        <w:ind w:left="1440" w:right="-360" w:hanging="1440"/>
        <w:jc w:val="both"/>
      </w:pPr>
      <w:r w:rsidRPr="00D033EB">
        <w:t>Energy: 100.00%</w:t>
      </w:r>
    </w:p>
    <w:p w:rsidR="0042596D" w:rsidRPr="00D033EB" w:rsidRDefault="0042596D" w:rsidP="0042596D">
      <w:pPr>
        <w:pStyle w:val="IssueBody"/>
        <w:ind w:left="0"/>
      </w:pPr>
      <w:r w:rsidRPr="00D033EB">
        <w:t>Demand: 100.00%</w:t>
      </w:r>
    </w:p>
    <w:p w:rsidR="0042596D" w:rsidRPr="00D033EB" w:rsidRDefault="0042596D" w:rsidP="0042596D">
      <w:pPr>
        <w:pStyle w:val="IssueBody"/>
        <w:pBdr>
          <w:top w:val="single" w:sz="4" w:space="1" w:color="auto"/>
        </w:pBdr>
        <w:ind w:left="0"/>
        <w:rPr>
          <w:b/>
        </w:rPr>
      </w:pPr>
      <w:r w:rsidRPr="00D033EB">
        <w:rPr>
          <w:b/>
        </w:rPr>
        <w:t>GULF</w:t>
      </w:r>
    </w:p>
    <w:p w:rsidR="0042596D" w:rsidRPr="00D033EB" w:rsidRDefault="0042596D" w:rsidP="0042596D">
      <w:pPr>
        <w:pStyle w:val="IssueBody"/>
        <w:pBdr>
          <w:top w:val="single" w:sz="4" w:space="1" w:color="auto"/>
        </w:pBdr>
        <w:ind w:left="0"/>
        <w:rPr>
          <w:b/>
        </w:rPr>
      </w:pPr>
      <w:r w:rsidRPr="00D033EB">
        <w:t>The demand jurisdictional separation factor is 97.18277%.  Energy jurisdictional separation factors are calculated each month based on retail kWh sales as a percentage of projected total territorial kWh sales.</w:t>
      </w:r>
    </w:p>
    <w:p w:rsidR="00574968" w:rsidRDefault="00574968" w:rsidP="00574968">
      <w:pPr>
        <w:rPr>
          <w:u w:val="single"/>
        </w:rPr>
      </w:pPr>
    </w:p>
    <w:p w:rsidR="0042596D" w:rsidRPr="00D033EB" w:rsidRDefault="0042596D" w:rsidP="00574968">
      <w:pPr>
        <w:rPr>
          <w:vanish/>
          <w:specVanish/>
        </w:rPr>
      </w:pPr>
      <w:r w:rsidRPr="00574968">
        <w:rPr>
          <w:b/>
          <w:u w:val="single"/>
        </w:rPr>
        <w:t>ISSUE 7</w:t>
      </w:r>
      <w:r w:rsidRPr="00D033EB">
        <w:t>:</w:t>
      </w:r>
    </w:p>
    <w:p w:rsidR="0042596D" w:rsidRPr="00D033EB" w:rsidRDefault="0042596D" w:rsidP="0042596D">
      <w:pPr>
        <w:pStyle w:val="IssueBody"/>
        <w:rPr>
          <w:b/>
        </w:rPr>
      </w:pPr>
      <w:r w:rsidRPr="00D033EB">
        <w:tab/>
      </w:r>
      <w:r w:rsidRPr="00D033EB">
        <w:rPr>
          <w:b/>
        </w:rPr>
        <w:t>What are the appropriate environmental cost recovery factors for the period January 2018 through December 2018 for each rate group?</w:t>
      </w:r>
    </w:p>
    <w:p w:rsidR="0042596D" w:rsidRPr="00D033EB" w:rsidRDefault="0042596D" w:rsidP="0042596D">
      <w:pPr>
        <w:pStyle w:val="IssueHeading"/>
      </w:pPr>
      <w:r w:rsidRPr="00D033EB">
        <w:t>Proposed Stipulation</w:t>
      </w:r>
    </w:p>
    <w:p w:rsidR="0042596D" w:rsidRPr="00D033EB" w:rsidRDefault="0042596D" w:rsidP="0042596D">
      <w:pPr>
        <w:pStyle w:val="IssueBody"/>
        <w:ind w:left="0"/>
      </w:pPr>
      <w:r w:rsidRPr="00D033EB">
        <w:t>The appropriate environmental cost recovery factors for the period January 2018 through December 2018 for each rate group are as follows:</w:t>
      </w:r>
    </w:p>
    <w:p w:rsidR="0042596D" w:rsidRPr="00574968" w:rsidRDefault="0042596D" w:rsidP="0042596D">
      <w:pPr>
        <w:pStyle w:val="IssueBody"/>
        <w:pBdr>
          <w:top w:val="single" w:sz="4" w:space="1" w:color="auto"/>
        </w:pBdr>
        <w:ind w:left="0"/>
        <w:rPr>
          <w:b/>
        </w:rPr>
      </w:pPr>
      <w:r w:rsidRPr="00574968">
        <w:rPr>
          <w:b/>
        </w:rPr>
        <w:t>FPL</w:t>
      </w:r>
    </w:p>
    <w:tbl>
      <w:tblPr>
        <w:tblW w:w="6357" w:type="dxa"/>
        <w:tblLook w:val="04A0" w:firstRow="1" w:lastRow="0" w:firstColumn="1" w:lastColumn="0" w:noHBand="0" w:noVBand="1"/>
      </w:tblPr>
      <w:tblGrid>
        <w:gridCol w:w="3937"/>
        <w:gridCol w:w="2420"/>
      </w:tblGrid>
      <w:tr w:rsidR="0042596D" w:rsidRPr="00D033EB" w:rsidTr="00D1603E">
        <w:trPr>
          <w:trHeight w:val="915"/>
          <w:tblHeader/>
        </w:trPr>
        <w:tc>
          <w:tcPr>
            <w:tcW w:w="393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42596D" w:rsidRPr="00D033EB" w:rsidRDefault="0042596D" w:rsidP="006C05E0">
            <w:pPr>
              <w:jc w:val="center"/>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2596D" w:rsidRPr="00D033EB" w:rsidRDefault="0042596D" w:rsidP="006C05E0">
            <w:pPr>
              <w:jc w:val="center"/>
              <w:rPr>
                <w:b/>
              </w:rPr>
            </w:pPr>
            <w:r w:rsidRPr="00D033EB">
              <w:rPr>
                <w:b/>
              </w:rPr>
              <w:t>Environmental Cost</w:t>
            </w:r>
          </w:p>
          <w:p w:rsidR="0042596D" w:rsidRPr="00D033EB" w:rsidRDefault="0042596D" w:rsidP="006C05E0">
            <w:pPr>
              <w:jc w:val="center"/>
              <w:rPr>
                <w:b/>
              </w:rPr>
            </w:pPr>
            <w:r w:rsidRPr="00D033EB">
              <w:rPr>
                <w:b/>
              </w:rPr>
              <w:t>Recovery Factor*</w:t>
            </w:r>
          </w:p>
          <w:p w:rsidR="0042596D" w:rsidRPr="00D033EB" w:rsidRDefault="0042596D" w:rsidP="006C05E0">
            <w:pPr>
              <w:jc w:val="center"/>
              <w:rPr>
                <w:b/>
              </w:rPr>
            </w:pPr>
            <w:r w:rsidRPr="00D033EB">
              <w:rPr>
                <w:b/>
              </w:rPr>
              <w:t>(cents/kWh)</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RS1/RTR1</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0.159</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GS1/GST1</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0.150</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GSD1/GSDT1/HLFT1</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0.136</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OS2</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0.083</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GSLD1/GSLDT1/CS1/CST1/HLFT2</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0.131</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GSLD2/GSLDT2/CS2/CST2/HLFT3</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0.115</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GSLD3/GSLDT3/CS3/CST3</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0.116</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SST1T</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0.102</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SST1D1/SST1D2/SST1D3</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0.126</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lastRenderedPageBreak/>
              <w:t>CILC D/CILC G</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0.116</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CILC T</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0.109</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MET</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0.128</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OL1/SL1/SL1M/PL1</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0.030</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r w:rsidRPr="00D033EB">
              <w:t>SL2/SL2M/GSCU1</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0.109</w:t>
            </w:r>
          </w:p>
        </w:tc>
      </w:tr>
      <w:tr w:rsidR="0042596D" w:rsidRPr="00D033EB" w:rsidTr="006C05E0">
        <w:trPr>
          <w:trHeight w:val="285"/>
        </w:trPr>
        <w:tc>
          <w:tcPr>
            <w:tcW w:w="3937" w:type="dxa"/>
            <w:tcBorders>
              <w:top w:val="nil"/>
              <w:left w:val="single" w:sz="8" w:space="0" w:color="auto"/>
              <w:bottom w:val="nil"/>
              <w:right w:val="nil"/>
            </w:tcBorders>
            <w:shd w:val="clear" w:color="auto" w:fill="auto"/>
            <w:noWrap/>
            <w:vAlign w:val="bottom"/>
            <w:hideMark/>
          </w:tcPr>
          <w:p w:rsidR="0042596D" w:rsidRPr="00D033EB" w:rsidRDefault="0042596D" w:rsidP="006C05E0">
            <w:pPr>
              <w:rPr>
                <w:color w:val="000000"/>
              </w:rPr>
            </w:pPr>
            <w:r w:rsidRPr="00D033EB">
              <w:rPr>
                <w:color w:val="000000"/>
              </w:rPr>
              <w:t> </w:t>
            </w:r>
          </w:p>
        </w:tc>
        <w:tc>
          <w:tcPr>
            <w:tcW w:w="2420" w:type="dxa"/>
            <w:tcBorders>
              <w:top w:val="nil"/>
              <w:left w:val="single" w:sz="8" w:space="0" w:color="auto"/>
              <w:bottom w:val="nil"/>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 </w:t>
            </w:r>
          </w:p>
        </w:tc>
      </w:tr>
      <w:tr w:rsidR="0042596D" w:rsidRPr="00D033EB" w:rsidTr="006C05E0">
        <w:trPr>
          <w:trHeight w:val="300"/>
        </w:trPr>
        <w:tc>
          <w:tcPr>
            <w:tcW w:w="3937" w:type="dxa"/>
            <w:tcBorders>
              <w:top w:val="nil"/>
              <w:left w:val="single" w:sz="8" w:space="0" w:color="auto"/>
              <w:bottom w:val="single" w:sz="8" w:space="0" w:color="auto"/>
              <w:right w:val="nil"/>
            </w:tcBorders>
            <w:shd w:val="clear" w:color="auto" w:fill="auto"/>
            <w:noWrap/>
            <w:vAlign w:val="bottom"/>
            <w:hideMark/>
          </w:tcPr>
          <w:p w:rsidR="0042596D" w:rsidRPr="00D033EB" w:rsidRDefault="0042596D" w:rsidP="006C05E0">
            <w:r w:rsidRPr="00D033EB">
              <w:t>Total</w:t>
            </w:r>
          </w:p>
        </w:tc>
        <w:tc>
          <w:tcPr>
            <w:tcW w:w="2420" w:type="dxa"/>
            <w:tcBorders>
              <w:top w:val="nil"/>
              <w:left w:val="single" w:sz="8" w:space="0" w:color="auto"/>
              <w:bottom w:val="single" w:sz="8" w:space="0" w:color="auto"/>
              <w:right w:val="single" w:sz="8" w:space="0" w:color="auto"/>
            </w:tcBorders>
            <w:shd w:val="clear" w:color="auto" w:fill="auto"/>
            <w:noWrap/>
            <w:vAlign w:val="bottom"/>
            <w:hideMark/>
          </w:tcPr>
          <w:p w:rsidR="0042596D" w:rsidRPr="00D033EB" w:rsidRDefault="0042596D" w:rsidP="006C05E0">
            <w:pPr>
              <w:jc w:val="center"/>
              <w:rPr>
                <w:color w:val="000000"/>
              </w:rPr>
            </w:pPr>
            <w:r w:rsidRPr="00D033EB">
              <w:rPr>
                <w:color w:val="000000"/>
              </w:rPr>
              <w:t>0.146</w:t>
            </w:r>
          </w:p>
        </w:tc>
      </w:tr>
    </w:tbl>
    <w:p w:rsidR="0042596D" w:rsidRDefault="00965251" w:rsidP="00DD52D1">
      <w:pPr>
        <w:pStyle w:val="IssueBody"/>
        <w:ind w:left="0"/>
      </w:pPr>
      <w:r w:rsidRPr="00D033EB">
        <w:t>* S</w:t>
      </w:r>
      <w:r w:rsidR="0042596D" w:rsidRPr="00D033EB">
        <w:t>ubject to modification from company-specific issues</w:t>
      </w:r>
      <w:r w:rsidRPr="00D033EB">
        <w:t>.</w:t>
      </w:r>
    </w:p>
    <w:p w:rsidR="00574968" w:rsidRPr="00D033EB" w:rsidRDefault="00574968" w:rsidP="00DD52D1">
      <w:pPr>
        <w:pStyle w:val="IssueBody"/>
        <w:ind w:left="0"/>
      </w:pPr>
    </w:p>
    <w:p w:rsidR="0042596D" w:rsidRPr="00574968" w:rsidRDefault="0042596D" w:rsidP="0042596D">
      <w:pPr>
        <w:pStyle w:val="IssueBody"/>
        <w:pBdr>
          <w:top w:val="single" w:sz="4" w:space="1" w:color="auto"/>
        </w:pBdr>
        <w:ind w:left="0"/>
        <w:rPr>
          <w:b/>
        </w:rPr>
      </w:pPr>
      <w:r w:rsidRPr="00574968">
        <w:rPr>
          <w:b/>
        </w:rPr>
        <w:t>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8"/>
      </w:tblGrid>
      <w:tr w:rsidR="0042596D" w:rsidRPr="00D033EB" w:rsidTr="006C05E0">
        <w:tc>
          <w:tcPr>
            <w:tcW w:w="4158" w:type="dxa"/>
            <w:shd w:val="clear" w:color="auto" w:fill="auto"/>
          </w:tcPr>
          <w:p w:rsidR="0042596D" w:rsidRPr="00D033EB" w:rsidRDefault="0042596D" w:rsidP="006C05E0">
            <w:pPr>
              <w:jc w:val="center"/>
              <w:rPr>
                <w:b/>
              </w:rPr>
            </w:pPr>
            <w:r w:rsidRPr="00D033EB">
              <w:rPr>
                <w:b/>
              </w:rPr>
              <w:t>Rate Class</w:t>
            </w:r>
          </w:p>
        </w:tc>
        <w:tc>
          <w:tcPr>
            <w:tcW w:w="4158" w:type="dxa"/>
            <w:shd w:val="clear" w:color="auto" w:fill="auto"/>
          </w:tcPr>
          <w:p w:rsidR="0042596D" w:rsidRPr="00D033EB" w:rsidRDefault="0042596D" w:rsidP="006C05E0">
            <w:pPr>
              <w:jc w:val="center"/>
              <w:rPr>
                <w:b/>
              </w:rPr>
            </w:pPr>
            <w:r w:rsidRPr="00D033EB">
              <w:rPr>
                <w:b/>
              </w:rPr>
              <w:t>ECRC Factors</w:t>
            </w:r>
          </w:p>
        </w:tc>
      </w:tr>
      <w:tr w:rsidR="0042596D" w:rsidRPr="00D033EB" w:rsidTr="006C05E0">
        <w:tc>
          <w:tcPr>
            <w:tcW w:w="4158" w:type="dxa"/>
            <w:shd w:val="clear" w:color="auto" w:fill="auto"/>
          </w:tcPr>
          <w:p w:rsidR="0042596D" w:rsidRPr="00D033EB" w:rsidRDefault="0042596D" w:rsidP="006C05E0">
            <w:r w:rsidRPr="00D033EB">
              <w:t>Residential</w:t>
            </w:r>
          </w:p>
        </w:tc>
        <w:tc>
          <w:tcPr>
            <w:tcW w:w="4158" w:type="dxa"/>
            <w:shd w:val="clear" w:color="auto" w:fill="auto"/>
          </w:tcPr>
          <w:p w:rsidR="0042596D" w:rsidRPr="00D033EB" w:rsidRDefault="0042596D" w:rsidP="006C05E0">
            <w:pPr>
              <w:pStyle w:val="Default"/>
              <w:jc w:val="center"/>
              <w:rPr>
                <w:color w:val="auto"/>
              </w:rPr>
            </w:pPr>
            <w:r w:rsidRPr="00D033EB">
              <w:rPr>
                <w:color w:val="auto"/>
              </w:rPr>
              <w:t>0.157 cents/kWh</w:t>
            </w:r>
          </w:p>
        </w:tc>
      </w:tr>
      <w:tr w:rsidR="0042596D" w:rsidRPr="00D033EB" w:rsidTr="006C05E0">
        <w:tc>
          <w:tcPr>
            <w:tcW w:w="4158" w:type="dxa"/>
            <w:shd w:val="clear" w:color="auto" w:fill="auto"/>
          </w:tcPr>
          <w:p w:rsidR="0042596D" w:rsidRPr="00D033EB" w:rsidRDefault="0042596D" w:rsidP="006C05E0">
            <w:r w:rsidRPr="00D033EB">
              <w:t>General Service Non-Demand</w:t>
            </w:r>
          </w:p>
          <w:p w:rsidR="0042596D" w:rsidRPr="00D033EB" w:rsidRDefault="0042596D" w:rsidP="006C05E0">
            <w:r w:rsidRPr="00D033EB">
              <w:t>@ Secondary Voltage</w:t>
            </w:r>
          </w:p>
          <w:p w:rsidR="0042596D" w:rsidRPr="00D033EB" w:rsidRDefault="0042596D" w:rsidP="006C05E0">
            <w:r w:rsidRPr="00D033EB">
              <w:t>@ Primary Voltage</w:t>
            </w:r>
          </w:p>
          <w:p w:rsidR="0042596D" w:rsidRPr="00D033EB" w:rsidRDefault="0042596D" w:rsidP="006C05E0">
            <w:r w:rsidRPr="00D033EB">
              <w:t>@ Transmission Voltage</w:t>
            </w:r>
          </w:p>
        </w:tc>
        <w:tc>
          <w:tcPr>
            <w:tcW w:w="4158" w:type="dxa"/>
            <w:shd w:val="clear" w:color="auto" w:fill="auto"/>
          </w:tcPr>
          <w:p w:rsidR="0042596D" w:rsidRPr="00D033EB" w:rsidRDefault="0042596D" w:rsidP="006C05E0">
            <w:pPr>
              <w:jc w:val="center"/>
            </w:pPr>
          </w:p>
          <w:p w:rsidR="0042596D" w:rsidRPr="00D033EB" w:rsidRDefault="0042596D" w:rsidP="006C05E0">
            <w:pPr>
              <w:jc w:val="center"/>
            </w:pPr>
            <w:r w:rsidRPr="00D033EB">
              <w:t>0.154 cents/kWh</w:t>
            </w:r>
          </w:p>
          <w:p w:rsidR="0042596D" w:rsidRPr="00D033EB" w:rsidRDefault="0042596D" w:rsidP="006C05E0">
            <w:pPr>
              <w:jc w:val="center"/>
            </w:pPr>
            <w:r w:rsidRPr="00D033EB">
              <w:t>0.152 cents/kWh</w:t>
            </w:r>
          </w:p>
          <w:p w:rsidR="0042596D" w:rsidRPr="00D033EB" w:rsidRDefault="0042596D" w:rsidP="006C05E0">
            <w:pPr>
              <w:jc w:val="center"/>
            </w:pPr>
            <w:r w:rsidRPr="00D033EB">
              <w:t>0.151 cents/kWh</w:t>
            </w:r>
          </w:p>
        </w:tc>
      </w:tr>
      <w:tr w:rsidR="0042596D" w:rsidRPr="00D033EB" w:rsidTr="006C05E0">
        <w:tc>
          <w:tcPr>
            <w:tcW w:w="4158" w:type="dxa"/>
            <w:shd w:val="clear" w:color="auto" w:fill="auto"/>
          </w:tcPr>
          <w:p w:rsidR="0042596D" w:rsidRPr="00D033EB" w:rsidRDefault="0042596D" w:rsidP="006C05E0">
            <w:r w:rsidRPr="00D033EB">
              <w:t>General Service 100% Load Factor</w:t>
            </w:r>
          </w:p>
        </w:tc>
        <w:tc>
          <w:tcPr>
            <w:tcW w:w="4158" w:type="dxa"/>
            <w:shd w:val="clear" w:color="auto" w:fill="auto"/>
          </w:tcPr>
          <w:p w:rsidR="0042596D" w:rsidRPr="00D033EB" w:rsidRDefault="0042596D" w:rsidP="006C05E0">
            <w:pPr>
              <w:jc w:val="center"/>
            </w:pPr>
            <w:r w:rsidRPr="00D033EB">
              <w:t>0.150 cents/kWh</w:t>
            </w:r>
          </w:p>
        </w:tc>
      </w:tr>
      <w:tr w:rsidR="0042596D" w:rsidRPr="00D033EB" w:rsidTr="006C05E0">
        <w:tc>
          <w:tcPr>
            <w:tcW w:w="4158" w:type="dxa"/>
            <w:shd w:val="clear" w:color="auto" w:fill="auto"/>
          </w:tcPr>
          <w:p w:rsidR="0042596D" w:rsidRPr="00D033EB" w:rsidRDefault="0042596D" w:rsidP="006C05E0">
            <w:r w:rsidRPr="00D033EB">
              <w:t>General Service Demand</w:t>
            </w:r>
          </w:p>
          <w:p w:rsidR="0042596D" w:rsidRPr="00D033EB" w:rsidRDefault="0042596D" w:rsidP="006C05E0">
            <w:r w:rsidRPr="00D033EB">
              <w:t>@Secondary Voltage</w:t>
            </w:r>
          </w:p>
          <w:p w:rsidR="0042596D" w:rsidRPr="00D033EB" w:rsidRDefault="0042596D" w:rsidP="006C05E0">
            <w:r w:rsidRPr="00D033EB">
              <w:t>@ Primary Voltage</w:t>
            </w:r>
          </w:p>
          <w:p w:rsidR="0042596D" w:rsidRPr="00D033EB" w:rsidRDefault="0042596D" w:rsidP="006C05E0">
            <w:r w:rsidRPr="00D033EB">
              <w:t>@ Transmission Voltage</w:t>
            </w:r>
          </w:p>
        </w:tc>
        <w:tc>
          <w:tcPr>
            <w:tcW w:w="4158" w:type="dxa"/>
            <w:shd w:val="clear" w:color="auto" w:fill="auto"/>
          </w:tcPr>
          <w:p w:rsidR="0042596D" w:rsidRPr="00D033EB" w:rsidRDefault="0042596D" w:rsidP="006C05E0">
            <w:pPr>
              <w:jc w:val="center"/>
            </w:pPr>
          </w:p>
          <w:p w:rsidR="0042596D" w:rsidRPr="00D033EB" w:rsidRDefault="0042596D" w:rsidP="006C05E0">
            <w:pPr>
              <w:jc w:val="center"/>
            </w:pPr>
            <w:r w:rsidRPr="00D033EB">
              <w:t>0.152 cents/kWh</w:t>
            </w:r>
          </w:p>
          <w:p w:rsidR="0042596D" w:rsidRPr="00D033EB" w:rsidRDefault="0042596D" w:rsidP="006C05E0">
            <w:pPr>
              <w:jc w:val="center"/>
            </w:pPr>
            <w:r w:rsidRPr="00D033EB">
              <w:t>0.150 cents/kWh</w:t>
            </w:r>
          </w:p>
          <w:p w:rsidR="0042596D" w:rsidRPr="00D033EB" w:rsidRDefault="0042596D" w:rsidP="006C05E0">
            <w:pPr>
              <w:jc w:val="center"/>
            </w:pPr>
            <w:r w:rsidRPr="00D033EB">
              <w:t>0.149 cents/kWh</w:t>
            </w:r>
          </w:p>
        </w:tc>
      </w:tr>
      <w:tr w:rsidR="0042596D" w:rsidRPr="00D033EB" w:rsidTr="006C05E0">
        <w:tc>
          <w:tcPr>
            <w:tcW w:w="4158" w:type="dxa"/>
            <w:shd w:val="clear" w:color="auto" w:fill="auto"/>
          </w:tcPr>
          <w:p w:rsidR="0042596D" w:rsidRPr="00D033EB" w:rsidRDefault="0042596D" w:rsidP="006C05E0">
            <w:r w:rsidRPr="00D033EB">
              <w:t>Curtailable</w:t>
            </w:r>
          </w:p>
          <w:p w:rsidR="0042596D" w:rsidRPr="00D033EB" w:rsidRDefault="0042596D" w:rsidP="006C05E0">
            <w:r w:rsidRPr="00D033EB">
              <w:t>@ Secondary Voltage</w:t>
            </w:r>
          </w:p>
          <w:p w:rsidR="0042596D" w:rsidRPr="00D033EB" w:rsidRDefault="0042596D" w:rsidP="006C05E0">
            <w:r w:rsidRPr="00D033EB">
              <w:t>@ Primary Voltage</w:t>
            </w:r>
          </w:p>
          <w:p w:rsidR="0042596D" w:rsidRPr="00D033EB" w:rsidRDefault="0042596D" w:rsidP="006C05E0">
            <w:r w:rsidRPr="00D033EB">
              <w:t>@ Transmission Voltage</w:t>
            </w:r>
          </w:p>
        </w:tc>
        <w:tc>
          <w:tcPr>
            <w:tcW w:w="4158" w:type="dxa"/>
            <w:shd w:val="clear" w:color="auto" w:fill="auto"/>
          </w:tcPr>
          <w:p w:rsidR="0042596D" w:rsidRPr="00D033EB" w:rsidRDefault="0042596D" w:rsidP="006C05E0">
            <w:pPr>
              <w:jc w:val="center"/>
            </w:pPr>
          </w:p>
          <w:p w:rsidR="0042596D" w:rsidRPr="00D033EB" w:rsidRDefault="0042596D" w:rsidP="006C05E0">
            <w:pPr>
              <w:jc w:val="center"/>
            </w:pPr>
            <w:r w:rsidRPr="00D033EB">
              <w:t>0.151 cents/kWh</w:t>
            </w:r>
          </w:p>
          <w:p w:rsidR="0042596D" w:rsidRPr="00D033EB" w:rsidRDefault="0042596D" w:rsidP="006C05E0">
            <w:pPr>
              <w:jc w:val="center"/>
            </w:pPr>
            <w:r w:rsidRPr="00D033EB">
              <w:t>0.149 cents/kWh</w:t>
            </w:r>
          </w:p>
          <w:p w:rsidR="0042596D" w:rsidRPr="00D033EB" w:rsidRDefault="0042596D" w:rsidP="006C05E0">
            <w:pPr>
              <w:jc w:val="center"/>
            </w:pPr>
            <w:r w:rsidRPr="00D033EB">
              <w:t>0.148 cents/kWh</w:t>
            </w:r>
          </w:p>
        </w:tc>
      </w:tr>
      <w:tr w:rsidR="0042596D" w:rsidRPr="00D033EB" w:rsidTr="006C05E0">
        <w:tc>
          <w:tcPr>
            <w:tcW w:w="4158" w:type="dxa"/>
            <w:shd w:val="clear" w:color="auto" w:fill="auto"/>
          </w:tcPr>
          <w:p w:rsidR="0042596D" w:rsidRPr="00D033EB" w:rsidRDefault="0042596D" w:rsidP="006C05E0">
            <w:r w:rsidRPr="00D033EB">
              <w:t>Interruptible</w:t>
            </w:r>
          </w:p>
          <w:p w:rsidR="0042596D" w:rsidRPr="00D033EB" w:rsidRDefault="0042596D" w:rsidP="006C05E0">
            <w:r w:rsidRPr="00D033EB">
              <w:t>@ Secondary Voltage</w:t>
            </w:r>
          </w:p>
          <w:p w:rsidR="0042596D" w:rsidRPr="00D033EB" w:rsidRDefault="0042596D" w:rsidP="006C05E0">
            <w:r w:rsidRPr="00D033EB">
              <w:t>@ Primary Voltage</w:t>
            </w:r>
          </w:p>
          <w:p w:rsidR="0042596D" w:rsidRPr="00D033EB" w:rsidRDefault="0042596D" w:rsidP="006C05E0">
            <w:r w:rsidRPr="00D033EB">
              <w:t>@ Transmission Voltage</w:t>
            </w:r>
          </w:p>
        </w:tc>
        <w:tc>
          <w:tcPr>
            <w:tcW w:w="4158" w:type="dxa"/>
            <w:shd w:val="clear" w:color="auto" w:fill="auto"/>
          </w:tcPr>
          <w:p w:rsidR="0042596D" w:rsidRPr="00D033EB" w:rsidRDefault="0042596D" w:rsidP="006C05E0">
            <w:pPr>
              <w:jc w:val="center"/>
            </w:pPr>
          </w:p>
          <w:p w:rsidR="0042596D" w:rsidRPr="00D033EB" w:rsidRDefault="0042596D" w:rsidP="006C05E0">
            <w:pPr>
              <w:jc w:val="center"/>
            </w:pPr>
            <w:r w:rsidRPr="00D033EB">
              <w:t>0.147 cents/kWh</w:t>
            </w:r>
          </w:p>
          <w:p w:rsidR="0042596D" w:rsidRPr="00D033EB" w:rsidRDefault="0042596D" w:rsidP="006C05E0">
            <w:pPr>
              <w:jc w:val="center"/>
            </w:pPr>
            <w:r w:rsidRPr="00D033EB">
              <w:t>0.146 cents/kWh</w:t>
            </w:r>
          </w:p>
          <w:p w:rsidR="0042596D" w:rsidRPr="00D033EB" w:rsidRDefault="0042596D" w:rsidP="006C05E0">
            <w:pPr>
              <w:jc w:val="center"/>
            </w:pPr>
            <w:r w:rsidRPr="00D033EB">
              <w:t>0.144 cents/kWh</w:t>
            </w:r>
          </w:p>
        </w:tc>
      </w:tr>
      <w:tr w:rsidR="0042596D" w:rsidRPr="00D033EB" w:rsidTr="006C05E0">
        <w:tc>
          <w:tcPr>
            <w:tcW w:w="4158" w:type="dxa"/>
            <w:shd w:val="clear" w:color="auto" w:fill="auto"/>
          </w:tcPr>
          <w:p w:rsidR="0042596D" w:rsidRPr="00D033EB" w:rsidRDefault="0042596D" w:rsidP="006C05E0">
            <w:r w:rsidRPr="00D033EB">
              <w:t>Lighting</w:t>
            </w:r>
          </w:p>
        </w:tc>
        <w:tc>
          <w:tcPr>
            <w:tcW w:w="4158" w:type="dxa"/>
            <w:shd w:val="clear" w:color="auto" w:fill="auto"/>
          </w:tcPr>
          <w:p w:rsidR="0042596D" w:rsidRPr="00D033EB" w:rsidRDefault="0042596D" w:rsidP="006C05E0">
            <w:pPr>
              <w:jc w:val="center"/>
            </w:pPr>
            <w:r w:rsidRPr="00D033EB">
              <w:t>0.146 cents/kWh</w:t>
            </w:r>
          </w:p>
        </w:tc>
      </w:tr>
    </w:tbl>
    <w:p w:rsidR="0042596D" w:rsidRPr="00D033EB" w:rsidRDefault="0042596D" w:rsidP="0042596D">
      <w:pPr>
        <w:pStyle w:val="IssueBody"/>
        <w:ind w:left="0"/>
      </w:pPr>
    </w:p>
    <w:p w:rsidR="00D1603E" w:rsidRDefault="00D1603E">
      <w:pPr>
        <w:rPr>
          <w:b/>
          <w:szCs w:val="20"/>
        </w:rPr>
      </w:pPr>
      <w:r>
        <w:rPr>
          <w:b/>
        </w:rPr>
        <w:br w:type="page"/>
      </w:r>
    </w:p>
    <w:p w:rsidR="0042596D" w:rsidRPr="00574968" w:rsidRDefault="0042596D" w:rsidP="0042596D">
      <w:pPr>
        <w:pStyle w:val="IssueBody"/>
        <w:pBdr>
          <w:top w:val="single" w:sz="4" w:space="1" w:color="auto"/>
        </w:pBdr>
        <w:ind w:left="0"/>
        <w:rPr>
          <w:b/>
        </w:rPr>
      </w:pPr>
      <w:r w:rsidRPr="00574968">
        <w:rPr>
          <w:b/>
        </w:rPr>
        <w:lastRenderedPageBreak/>
        <w:t>TECO</w:t>
      </w:r>
    </w:p>
    <w:p w:rsidR="0042596D" w:rsidRPr="00D033EB" w:rsidRDefault="0042596D" w:rsidP="0042596D">
      <w:pPr>
        <w:ind w:left="720" w:right="-360" w:hanging="720"/>
        <w:jc w:val="both"/>
        <w:rPr>
          <w:b/>
          <w:u w:val="single"/>
        </w:rPr>
      </w:pPr>
      <w:r w:rsidRPr="00D033EB">
        <w:rPr>
          <w:b/>
        </w:rPr>
        <w:tab/>
      </w:r>
      <w:r w:rsidRPr="00D033EB">
        <w:rPr>
          <w:b/>
        </w:rPr>
        <w:tab/>
      </w:r>
      <w:r w:rsidRPr="00D033EB">
        <w:rPr>
          <w:b/>
          <w:u w:val="single"/>
        </w:rPr>
        <w:t>Rate Class</w:t>
      </w:r>
      <w:r w:rsidRPr="00D033EB">
        <w:tab/>
      </w:r>
      <w:r w:rsidRPr="00D033EB">
        <w:tab/>
      </w:r>
      <w:r w:rsidRPr="00D033EB">
        <w:tab/>
      </w:r>
      <w:r w:rsidRPr="00D033EB">
        <w:tab/>
      </w:r>
      <w:r w:rsidRPr="00D033EB">
        <w:tab/>
      </w:r>
      <w:r w:rsidRPr="00D033EB">
        <w:tab/>
      </w:r>
      <w:r w:rsidRPr="00D033EB">
        <w:rPr>
          <w:b/>
          <w:u w:val="single"/>
        </w:rPr>
        <w:t>ECRC Factor (¢/kWh</w:t>
      </w:r>
      <w:r w:rsidRPr="00D033EB">
        <w:rPr>
          <w:b/>
          <w:color w:val="000000" w:themeColor="text1"/>
          <w:u w:val="single"/>
        </w:rPr>
        <w:t>)</w:t>
      </w:r>
    </w:p>
    <w:p w:rsidR="0042596D" w:rsidRPr="00D033EB" w:rsidRDefault="0042596D" w:rsidP="0042596D">
      <w:pPr>
        <w:ind w:left="720" w:right="-360" w:hanging="720"/>
        <w:jc w:val="both"/>
      </w:pPr>
    </w:p>
    <w:p w:rsidR="0042596D" w:rsidRPr="00D033EB" w:rsidRDefault="0042596D" w:rsidP="0042596D">
      <w:pPr>
        <w:tabs>
          <w:tab w:val="left" w:pos="-1440"/>
          <w:tab w:val="left" w:pos="-720"/>
          <w:tab w:val="left" w:pos="720"/>
          <w:tab w:val="left" w:pos="1440"/>
          <w:tab w:val="left" w:pos="7200"/>
        </w:tabs>
        <w:ind w:right="-360" w:firstLine="1440"/>
      </w:pPr>
      <w:r w:rsidRPr="00D033EB">
        <w:t>RS</w:t>
      </w:r>
      <w:r w:rsidRPr="00D033EB">
        <w:tab/>
        <w:t>0.343</w:t>
      </w:r>
    </w:p>
    <w:p w:rsidR="0042596D" w:rsidRPr="00D033EB" w:rsidRDefault="0042596D" w:rsidP="0042596D">
      <w:pPr>
        <w:tabs>
          <w:tab w:val="left" w:pos="-1440"/>
          <w:tab w:val="left" w:pos="-720"/>
          <w:tab w:val="left" w:pos="720"/>
          <w:tab w:val="left" w:pos="1440"/>
          <w:tab w:val="left" w:pos="7200"/>
        </w:tabs>
        <w:ind w:right="-360" w:firstLine="1440"/>
      </w:pPr>
      <w:r w:rsidRPr="00D033EB">
        <w:t>GS, CS</w:t>
      </w:r>
      <w:r w:rsidRPr="00D033EB">
        <w:tab/>
        <w:t>0.343</w:t>
      </w:r>
    </w:p>
    <w:p w:rsidR="0042596D" w:rsidRPr="00D033EB" w:rsidRDefault="0042596D" w:rsidP="0042596D">
      <w:pPr>
        <w:tabs>
          <w:tab w:val="left" w:pos="-1440"/>
          <w:tab w:val="left" w:pos="-720"/>
          <w:tab w:val="left" w:pos="720"/>
          <w:tab w:val="left" w:pos="1440"/>
          <w:tab w:val="left" w:pos="6840"/>
        </w:tabs>
        <w:ind w:right="-360" w:firstLine="1440"/>
      </w:pPr>
      <w:r w:rsidRPr="00D033EB">
        <w:t>GSD, SBF</w:t>
      </w:r>
    </w:p>
    <w:p w:rsidR="0042596D" w:rsidRPr="00D033EB" w:rsidRDefault="0042596D" w:rsidP="0042596D">
      <w:pPr>
        <w:tabs>
          <w:tab w:val="left" w:pos="-1440"/>
          <w:tab w:val="left" w:pos="-720"/>
          <w:tab w:val="left" w:pos="720"/>
          <w:tab w:val="left" w:pos="1440"/>
          <w:tab w:val="left" w:pos="2880"/>
          <w:tab w:val="left" w:pos="7200"/>
        </w:tabs>
        <w:ind w:right="-360"/>
      </w:pPr>
      <w:r w:rsidRPr="00D033EB">
        <w:tab/>
      </w:r>
      <w:r w:rsidRPr="00D033EB">
        <w:tab/>
      </w:r>
      <w:r w:rsidRPr="00D033EB">
        <w:tab/>
        <w:t>Secondary</w:t>
      </w:r>
      <w:r w:rsidRPr="00D033EB">
        <w:tab/>
        <w:t>0.342</w:t>
      </w:r>
    </w:p>
    <w:p w:rsidR="0042596D" w:rsidRPr="00D033EB" w:rsidRDefault="0042596D" w:rsidP="0042596D">
      <w:pPr>
        <w:tabs>
          <w:tab w:val="left" w:pos="-1440"/>
          <w:tab w:val="left" w:pos="-720"/>
          <w:tab w:val="left" w:pos="720"/>
          <w:tab w:val="left" w:pos="1440"/>
          <w:tab w:val="left" w:pos="2880"/>
          <w:tab w:val="left" w:pos="7200"/>
        </w:tabs>
        <w:ind w:right="-360"/>
      </w:pPr>
      <w:r w:rsidRPr="00D033EB">
        <w:tab/>
      </w:r>
      <w:r w:rsidRPr="00D033EB">
        <w:tab/>
      </w:r>
      <w:r w:rsidRPr="00D033EB">
        <w:tab/>
        <w:t>Primary</w:t>
      </w:r>
      <w:r w:rsidRPr="00D033EB">
        <w:tab/>
        <w:t>0.338</w:t>
      </w:r>
    </w:p>
    <w:p w:rsidR="0042596D" w:rsidRPr="00D033EB" w:rsidRDefault="0042596D" w:rsidP="0042596D">
      <w:pPr>
        <w:tabs>
          <w:tab w:val="left" w:pos="-1440"/>
          <w:tab w:val="left" w:pos="-720"/>
          <w:tab w:val="left" w:pos="720"/>
          <w:tab w:val="left" w:pos="1440"/>
          <w:tab w:val="left" w:pos="2880"/>
          <w:tab w:val="left" w:pos="7200"/>
        </w:tabs>
        <w:ind w:right="-360"/>
      </w:pPr>
      <w:r w:rsidRPr="00D033EB">
        <w:tab/>
      </w:r>
      <w:r w:rsidRPr="00D033EB">
        <w:tab/>
      </w:r>
      <w:r w:rsidRPr="00D033EB">
        <w:tab/>
        <w:t>Transmission</w:t>
      </w:r>
      <w:r w:rsidRPr="00D033EB">
        <w:tab/>
        <w:t>0.335</w:t>
      </w:r>
    </w:p>
    <w:p w:rsidR="0042596D" w:rsidRPr="00D033EB" w:rsidRDefault="0042596D" w:rsidP="0042596D">
      <w:pPr>
        <w:tabs>
          <w:tab w:val="left" w:pos="4590"/>
          <w:tab w:val="left" w:pos="6660"/>
          <w:tab w:val="left" w:pos="6840"/>
        </w:tabs>
        <w:ind w:right="-360" w:firstLine="1440"/>
      </w:pPr>
      <w:r w:rsidRPr="00D033EB">
        <w:t>IS</w:t>
      </w:r>
    </w:p>
    <w:p w:rsidR="0042596D" w:rsidRPr="00D033EB" w:rsidRDefault="0042596D" w:rsidP="0042596D">
      <w:pPr>
        <w:tabs>
          <w:tab w:val="left" w:pos="4590"/>
          <w:tab w:val="left" w:pos="6660"/>
          <w:tab w:val="left" w:pos="6840"/>
        </w:tabs>
        <w:ind w:right="-360" w:firstLine="1440"/>
      </w:pPr>
    </w:p>
    <w:p w:rsidR="0042596D" w:rsidRPr="00D033EB" w:rsidRDefault="0042596D" w:rsidP="0042596D">
      <w:pPr>
        <w:tabs>
          <w:tab w:val="left" w:pos="2880"/>
          <w:tab w:val="left" w:pos="4590"/>
          <w:tab w:val="left" w:pos="6840"/>
        </w:tabs>
        <w:ind w:right="-360" w:firstLine="1440"/>
      </w:pPr>
      <w:r w:rsidRPr="00D033EB">
        <w:tab/>
        <w:t>Secondary</w:t>
      </w:r>
      <w:r w:rsidRPr="00D033EB">
        <w:tab/>
      </w:r>
      <w:r w:rsidRPr="00D033EB">
        <w:tab/>
      </w:r>
      <w:r w:rsidRPr="00D033EB">
        <w:tab/>
        <w:t>0.337</w:t>
      </w:r>
    </w:p>
    <w:p w:rsidR="0042596D" w:rsidRPr="00D033EB" w:rsidRDefault="0042596D" w:rsidP="0042596D">
      <w:pPr>
        <w:tabs>
          <w:tab w:val="left" w:pos="2880"/>
          <w:tab w:val="left" w:pos="4590"/>
          <w:tab w:val="left" w:pos="6840"/>
        </w:tabs>
        <w:ind w:right="-360" w:firstLine="1440"/>
      </w:pPr>
      <w:r w:rsidRPr="00D033EB">
        <w:tab/>
        <w:t>Primary</w:t>
      </w:r>
      <w:r w:rsidRPr="00D033EB">
        <w:tab/>
      </w:r>
      <w:r w:rsidRPr="00D033EB">
        <w:tab/>
      </w:r>
      <w:r w:rsidRPr="00D033EB">
        <w:tab/>
        <w:t>0.333</w:t>
      </w:r>
    </w:p>
    <w:p w:rsidR="0042596D" w:rsidRPr="00D033EB" w:rsidRDefault="0042596D" w:rsidP="0042596D">
      <w:pPr>
        <w:tabs>
          <w:tab w:val="left" w:pos="2880"/>
          <w:tab w:val="left" w:pos="4590"/>
          <w:tab w:val="left" w:pos="6840"/>
        </w:tabs>
        <w:ind w:right="-360" w:firstLine="1440"/>
      </w:pPr>
      <w:r w:rsidRPr="00D033EB">
        <w:tab/>
        <w:t>Transmission</w:t>
      </w:r>
      <w:r w:rsidRPr="00D033EB">
        <w:tab/>
      </w:r>
      <w:r w:rsidRPr="00D033EB">
        <w:tab/>
      </w:r>
      <w:r w:rsidRPr="00D033EB">
        <w:tab/>
        <w:t>0.330</w:t>
      </w:r>
    </w:p>
    <w:p w:rsidR="0042596D" w:rsidRPr="00D033EB" w:rsidRDefault="0042596D" w:rsidP="0042596D">
      <w:pPr>
        <w:tabs>
          <w:tab w:val="left" w:pos="2880"/>
          <w:tab w:val="left" w:pos="4590"/>
          <w:tab w:val="left" w:pos="6660"/>
          <w:tab w:val="left" w:pos="6840"/>
        </w:tabs>
        <w:ind w:right="-360" w:firstLine="1440"/>
      </w:pPr>
    </w:p>
    <w:p w:rsidR="0042596D" w:rsidRPr="00D033EB" w:rsidRDefault="0042596D" w:rsidP="0042596D">
      <w:pPr>
        <w:tabs>
          <w:tab w:val="left" w:pos="-1440"/>
          <w:tab w:val="left" w:pos="-720"/>
          <w:tab w:val="left" w:pos="720"/>
          <w:tab w:val="left" w:pos="1440"/>
          <w:tab w:val="left" w:pos="7200"/>
        </w:tabs>
        <w:ind w:right="-360" w:firstLine="1440"/>
      </w:pPr>
      <w:r w:rsidRPr="00D033EB">
        <w:t>LS1</w:t>
      </w:r>
      <w:r w:rsidRPr="00D033EB">
        <w:tab/>
        <w:t>0.339</w:t>
      </w:r>
    </w:p>
    <w:p w:rsidR="0042596D" w:rsidRPr="00D033EB" w:rsidRDefault="0042596D" w:rsidP="0042596D">
      <w:pPr>
        <w:tabs>
          <w:tab w:val="left" w:pos="-1440"/>
          <w:tab w:val="left" w:pos="-720"/>
          <w:tab w:val="left" w:pos="720"/>
          <w:tab w:val="left" w:pos="1440"/>
          <w:tab w:val="left" w:pos="7200"/>
        </w:tabs>
        <w:ind w:right="-360" w:firstLine="1440"/>
      </w:pPr>
    </w:p>
    <w:p w:rsidR="0042596D" w:rsidRPr="00D033EB" w:rsidRDefault="0042596D" w:rsidP="0042596D">
      <w:pPr>
        <w:pStyle w:val="Header"/>
        <w:tabs>
          <w:tab w:val="clear" w:pos="4320"/>
          <w:tab w:val="clear" w:pos="8640"/>
          <w:tab w:val="left" w:pos="-1440"/>
          <w:tab w:val="left" w:pos="-720"/>
          <w:tab w:val="left" w:pos="720"/>
          <w:tab w:val="left" w:pos="1440"/>
          <w:tab w:val="left" w:pos="7200"/>
        </w:tabs>
        <w:ind w:right="-360" w:firstLine="1440"/>
      </w:pPr>
      <w:r w:rsidRPr="00D033EB">
        <w:t>Average Factor</w:t>
      </w:r>
      <w:r w:rsidRPr="00D033EB">
        <w:tab/>
        <w:t>0.342</w:t>
      </w:r>
    </w:p>
    <w:p w:rsidR="0042596D" w:rsidRPr="00D033EB" w:rsidRDefault="0042596D" w:rsidP="0042596D">
      <w:pPr>
        <w:pStyle w:val="IssueBody"/>
        <w:ind w:left="0"/>
      </w:pPr>
    </w:p>
    <w:p w:rsidR="0042596D" w:rsidRPr="00D033EB" w:rsidRDefault="0042596D" w:rsidP="0042596D">
      <w:pPr>
        <w:pStyle w:val="IssueBody"/>
        <w:pBdr>
          <w:top w:val="single" w:sz="4" w:space="1" w:color="auto"/>
        </w:pBdr>
        <w:ind w:left="0"/>
      </w:pPr>
    </w:p>
    <w:p w:rsidR="0042596D" w:rsidRPr="00574968" w:rsidRDefault="0042596D" w:rsidP="0042596D">
      <w:pPr>
        <w:pStyle w:val="IssueBody"/>
        <w:pBdr>
          <w:top w:val="single" w:sz="4" w:space="1" w:color="auto"/>
        </w:pBdr>
        <w:ind w:left="0"/>
        <w:rPr>
          <w:b/>
        </w:rPr>
      </w:pPr>
      <w:r w:rsidRPr="00574968">
        <w:rPr>
          <w:b/>
        </w:rPr>
        <w:t>GULF</w:t>
      </w:r>
    </w:p>
    <w:tbl>
      <w:tblPr>
        <w:tblW w:w="0" w:type="auto"/>
        <w:tblLayout w:type="fixed"/>
        <w:tblCellMar>
          <w:left w:w="100" w:type="dxa"/>
          <w:right w:w="100" w:type="dxa"/>
        </w:tblCellMar>
        <w:tblLook w:val="0000" w:firstRow="0" w:lastRow="0" w:firstColumn="0" w:lastColumn="0" w:noHBand="0" w:noVBand="0"/>
      </w:tblPr>
      <w:tblGrid>
        <w:gridCol w:w="2754"/>
        <w:gridCol w:w="3366"/>
      </w:tblGrid>
      <w:tr w:rsidR="0042596D" w:rsidRPr="00D033EB" w:rsidTr="006C05E0">
        <w:trPr>
          <w:cantSplit/>
          <w:trHeight w:val="876"/>
        </w:trPr>
        <w:tc>
          <w:tcPr>
            <w:tcW w:w="2754" w:type="dxa"/>
            <w:tcBorders>
              <w:top w:val="single" w:sz="6" w:space="0" w:color="auto"/>
              <w:left w:val="single" w:sz="6" w:space="0" w:color="auto"/>
              <w:bottom w:val="single" w:sz="6" w:space="0" w:color="auto"/>
              <w:right w:val="single" w:sz="6" w:space="0" w:color="auto"/>
            </w:tcBorders>
          </w:tcPr>
          <w:p w:rsidR="0042596D" w:rsidRPr="00D033EB" w:rsidRDefault="0042596D" w:rsidP="006C05E0">
            <w:pPr>
              <w:jc w:val="center"/>
              <w:rPr>
                <w:b/>
                <w:bCs/>
              </w:rPr>
            </w:pPr>
          </w:p>
          <w:p w:rsidR="0042596D" w:rsidRPr="00D033EB" w:rsidRDefault="0042596D" w:rsidP="006C05E0">
            <w:pPr>
              <w:jc w:val="center"/>
              <w:rPr>
                <w:b/>
                <w:bCs/>
              </w:rPr>
            </w:pPr>
            <w:r w:rsidRPr="00D033EB">
              <w:rPr>
                <w:b/>
                <w:bCs/>
              </w:rPr>
              <w:t>RATE</w:t>
            </w:r>
          </w:p>
          <w:p w:rsidR="0042596D" w:rsidRPr="00D033EB" w:rsidRDefault="0042596D" w:rsidP="006C05E0">
            <w:pPr>
              <w:jc w:val="center"/>
            </w:pPr>
            <w:r w:rsidRPr="00D033EB">
              <w:rPr>
                <w:b/>
                <w:bCs/>
              </w:rPr>
              <w:t>CLASS</w:t>
            </w:r>
          </w:p>
        </w:tc>
        <w:tc>
          <w:tcPr>
            <w:tcW w:w="3366" w:type="dxa"/>
            <w:tcBorders>
              <w:top w:val="single" w:sz="6" w:space="0" w:color="auto"/>
              <w:left w:val="single" w:sz="6" w:space="0" w:color="auto"/>
              <w:bottom w:val="single" w:sz="6" w:space="0" w:color="auto"/>
              <w:right w:val="single" w:sz="6" w:space="0" w:color="auto"/>
            </w:tcBorders>
          </w:tcPr>
          <w:p w:rsidR="0042596D" w:rsidRPr="00D033EB" w:rsidRDefault="0042596D" w:rsidP="006C05E0">
            <w:pPr>
              <w:jc w:val="center"/>
            </w:pPr>
            <w:r w:rsidRPr="00D033EB">
              <w:rPr>
                <w:b/>
                <w:bCs/>
              </w:rPr>
              <w:t>ENVIRONMENTAL COST RECOVERY FACTORS</w:t>
            </w:r>
          </w:p>
          <w:p w:rsidR="0042596D" w:rsidRPr="00D033EB" w:rsidRDefault="0042596D" w:rsidP="006C05E0">
            <w:pPr>
              <w:jc w:val="center"/>
            </w:pPr>
            <w:r w:rsidRPr="00D033EB">
              <w:rPr>
                <w:b/>
                <w:bCs/>
              </w:rPr>
              <w:t>¢/kWh</w:t>
            </w:r>
          </w:p>
        </w:tc>
      </w:tr>
      <w:tr w:rsidR="0042596D" w:rsidRPr="00D033EB" w:rsidTr="006C05E0">
        <w:trPr>
          <w:cantSplit/>
          <w:trHeight w:val="291"/>
        </w:trPr>
        <w:tc>
          <w:tcPr>
            <w:tcW w:w="2754" w:type="dxa"/>
            <w:tcBorders>
              <w:top w:val="single" w:sz="6" w:space="0" w:color="auto"/>
              <w:left w:val="single" w:sz="6" w:space="0" w:color="auto"/>
              <w:bottom w:val="single" w:sz="6" w:space="0" w:color="auto"/>
              <w:right w:val="single" w:sz="6" w:space="0" w:color="auto"/>
            </w:tcBorders>
          </w:tcPr>
          <w:p w:rsidR="0042596D" w:rsidRPr="00D033EB" w:rsidRDefault="0042596D" w:rsidP="006C05E0">
            <w:r w:rsidRPr="00D033EB">
              <w:t>RS, RSVP, RSTOU</w:t>
            </w:r>
          </w:p>
        </w:tc>
        <w:tc>
          <w:tcPr>
            <w:tcW w:w="3366" w:type="dxa"/>
            <w:tcBorders>
              <w:top w:val="single" w:sz="6" w:space="0" w:color="auto"/>
              <w:left w:val="single" w:sz="6" w:space="0" w:color="auto"/>
              <w:bottom w:val="single" w:sz="6" w:space="0" w:color="auto"/>
              <w:right w:val="single" w:sz="6" w:space="0" w:color="auto"/>
            </w:tcBorders>
          </w:tcPr>
          <w:p w:rsidR="0042596D" w:rsidRPr="00D033EB" w:rsidRDefault="0042596D" w:rsidP="006C05E0">
            <w:pPr>
              <w:jc w:val="center"/>
            </w:pPr>
            <w:r w:rsidRPr="00D033EB">
              <w:t>2.124</w:t>
            </w:r>
          </w:p>
        </w:tc>
      </w:tr>
      <w:tr w:rsidR="0042596D" w:rsidRPr="00D033EB" w:rsidTr="006C05E0">
        <w:trPr>
          <w:cantSplit/>
          <w:trHeight w:val="291"/>
        </w:trPr>
        <w:tc>
          <w:tcPr>
            <w:tcW w:w="2754" w:type="dxa"/>
            <w:tcBorders>
              <w:top w:val="single" w:sz="6" w:space="0" w:color="auto"/>
              <w:left w:val="single" w:sz="6" w:space="0" w:color="auto"/>
              <w:bottom w:val="single" w:sz="6" w:space="0" w:color="auto"/>
              <w:right w:val="single" w:sz="6" w:space="0" w:color="auto"/>
            </w:tcBorders>
          </w:tcPr>
          <w:p w:rsidR="0042596D" w:rsidRPr="00D033EB" w:rsidRDefault="0042596D" w:rsidP="006C05E0">
            <w:r w:rsidRPr="00D033EB">
              <w:t>GS</w:t>
            </w:r>
          </w:p>
        </w:tc>
        <w:tc>
          <w:tcPr>
            <w:tcW w:w="3366" w:type="dxa"/>
            <w:tcBorders>
              <w:top w:val="single" w:sz="6" w:space="0" w:color="auto"/>
              <w:left w:val="single" w:sz="6" w:space="0" w:color="auto"/>
              <w:bottom w:val="single" w:sz="6" w:space="0" w:color="auto"/>
              <w:right w:val="single" w:sz="6" w:space="0" w:color="auto"/>
            </w:tcBorders>
          </w:tcPr>
          <w:p w:rsidR="0042596D" w:rsidRPr="00D033EB" w:rsidRDefault="0042596D" w:rsidP="006C05E0">
            <w:pPr>
              <w:jc w:val="center"/>
            </w:pPr>
            <w:r w:rsidRPr="00D033EB">
              <w:t>1.956</w:t>
            </w:r>
          </w:p>
        </w:tc>
      </w:tr>
      <w:tr w:rsidR="0042596D" w:rsidRPr="00D033EB" w:rsidTr="006C05E0">
        <w:trPr>
          <w:cantSplit/>
          <w:trHeight w:val="291"/>
        </w:trPr>
        <w:tc>
          <w:tcPr>
            <w:tcW w:w="2754" w:type="dxa"/>
            <w:tcBorders>
              <w:top w:val="single" w:sz="6" w:space="0" w:color="auto"/>
              <w:left w:val="single" w:sz="6" w:space="0" w:color="auto"/>
              <w:bottom w:val="single" w:sz="6" w:space="0" w:color="auto"/>
              <w:right w:val="single" w:sz="6" w:space="0" w:color="auto"/>
            </w:tcBorders>
          </w:tcPr>
          <w:p w:rsidR="0042596D" w:rsidRPr="00D033EB" w:rsidRDefault="0042596D" w:rsidP="006C05E0">
            <w:r w:rsidRPr="00D033EB">
              <w:t>GSD, GSDT, GSTOU</w:t>
            </w:r>
          </w:p>
        </w:tc>
        <w:tc>
          <w:tcPr>
            <w:tcW w:w="3366" w:type="dxa"/>
            <w:tcBorders>
              <w:top w:val="single" w:sz="6" w:space="0" w:color="auto"/>
              <w:left w:val="single" w:sz="6" w:space="0" w:color="auto"/>
              <w:bottom w:val="single" w:sz="6" w:space="0" w:color="auto"/>
              <w:right w:val="single" w:sz="6" w:space="0" w:color="auto"/>
            </w:tcBorders>
          </w:tcPr>
          <w:p w:rsidR="0042596D" w:rsidRPr="00D033EB" w:rsidRDefault="0042596D" w:rsidP="006C05E0">
            <w:pPr>
              <w:jc w:val="center"/>
            </w:pPr>
            <w:r w:rsidRPr="00D033EB">
              <w:t>1.733</w:t>
            </w:r>
          </w:p>
        </w:tc>
      </w:tr>
      <w:tr w:rsidR="0042596D" w:rsidRPr="00D033EB" w:rsidTr="006C05E0">
        <w:trPr>
          <w:cantSplit/>
          <w:trHeight w:val="291"/>
        </w:trPr>
        <w:tc>
          <w:tcPr>
            <w:tcW w:w="2754" w:type="dxa"/>
            <w:tcBorders>
              <w:top w:val="single" w:sz="6" w:space="0" w:color="auto"/>
              <w:left w:val="single" w:sz="6" w:space="0" w:color="auto"/>
              <w:bottom w:val="single" w:sz="6" w:space="0" w:color="auto"/>
              <w:right w:val="single" w:sz="6" w:space="0" w:color="auto"/>
            </w:tcBorders>
          </w:tcPr>
          <w:p w:rsidR="0042596D" w:rsidRPr="00D033EB" w:rsidRDefault="0042596D" w:rsidP="006C05E0">
            <w:r w:rsidRPr="00D033EB">
              <w:t>LP, LPT</w:t>
            </w:r>
          </w:p>
        </w:tc>
        <w:tc>
          <w:tcPr>
            <w:tcW w:w="3366" w:type="dxa"/>
            <w:tcBorders>
              <w:top w:val="single" w:sz="6" w:space="0" w:color="auto"/>
              <w:left w:val="single" w:sz="6" w:space="0" w:color="auto"/>
              <w:bottom w:val="single" w:sz="6" w:space="0" w:color="auto"/>
              <w:right w:val="single" w:sz="6" w:space="0" w:color="auto"/>
            </w:tcBorders>
          </w:tcPr>
          <w:p w:rsidR="0042596D" w:rsidRPr="00D033EB" w:rsidRDefault="0042596D" w:rsidP="006C05E0">
            <w:pPr>
              <w:jc w:val="center"/>
            </w:pPr>
            <w:r w:rsidRPr="00D033EB">
              <w:t>1.547</w:t>
            </w:r>
          </w:p>
        </w:tc>
      </w:tr>
      <w:tr w:rsidR="0042596D" w:rsidRPr="00D033EB" w:rsidTr="006C05E0">
        <w:trPr>
          <w:cantSplit/>
          <w:trHeight w:val="291"/>
        </w:trPr>
        <w:tc>
          <w:tcPr>
            <w:tcW w:w="2754" w:type="dxa"/>
            <w:tcBorders>
              <w:top w:val="single" w:sz="6" w:space="0" w:color="auto"/>
              <w:left w:val="single" w:sz="6" w:space="0" w:color="auto"/>
              <w:bottom w:val="single" w:sz="6" w:space="0" w:color="auto"/>
              <w:right w:val="single" w:sz="6" w:space="0" w:color="auto"/>
            </w:tcBorders>
          </w:tcPr>
          <w:p w:rsidR="0042596D" w:rsidRPr="00D033EB" w:rsidRDefault="0042596D" w:rsidP="006C05E0">
            <w:r w:rsidRPr="00D033EB">
              <w:t>PX, PXT, RTP, SBS</w:t>
            </w:r>
          </w:p>
        </w:tc>
        <w:tc>
          <w:tcPr>
            <w:tcW w:w="3366" w:type="dxa"/>
            <w:tcBorders>
              <w:top w:val="single" w:sz="6" w:space="0" w:color="auto"/>
              <w:left w:val="single" w:sz="6" w:space="0" w:color="auto"/>
              <w:bottom w:val="single" w:sz="6" w:space="0" w:color="auto"/>
              <w:right w:val="single" w:sz="6" w:space="0" w:color="auto"/>
            </w:tcBorders>
          </w:tcPr>
          <w:p w:rsidR="0042596D" w:rsidRPr="00D033EB" w:rsidRDefault="0042596D" w:rsidP="006C05E0">
            <w:pPr>
              <w:jc w:val="center"/>
            </w:pPr>
            <w:r w:rsidRPr="00D033EB">
              <w:t>1.482</w:t>
            </w:r>
          </w:p>
        </w:tc>
      </w:tr>
      <w:tr w:rsidR="0042596D" w:rsidRPr="00D033EB" w:rsidTr="006C05E0">
        <w:trPr>
          <w:cantSplit/>
          <w:trHeight w:val="291"/>
        </w:trPr>
        <w:tc>
          <w:tcPr>
            <w:tcW w:w="2754" w:type="dxa"/>
            <w:tcBorders>
              <w:top w:val="single" w:sz="6" w:space="0" w:color="auto"/>
              <w:left w:val="single" w:sz="6" w:space="0" w:color="auto"/>
              <w:bottom w:val="single" w:sz="6" w:space="0" w:color="auto"/>
              <w:right w:val="single" w:sz="6" w:space="0" w:color="auto"/>
            </w:tcBorders>
          </w:tcPr>
          <w:p w:rsidR="0042596D" w:rsidRPr="00D033EB" w:rsidRDefault="0042596D" w:rsidP="006C05E0">
            <w:r w:rsidRPr="00D033EB">
              <w:t>OS-I/II</w:t>
            </w:r>
          </w:p>
        </w:tc>
        <w:tc>
          <w:tcPr>
            <w:tcW w:w="3366" w:type="dxa"/>
            <w:tcBorders>
              <w:top w:val="single" w:sz="6" w:space="0" w:color="auto"/>
              <w:left w:val="single" w:sz="6" w:space="0" w:color="auto"/>
              <w:bottom w:val="single" w:sz="6" w:space="0" w:color="auto"/>
              <w:right w:val="single" w:sz="6" w:space="0" w:color="auto"/>
            </w:tcBorders>
          </w:tcPr>
          <w:p w:rsidR="0042596D" w:rsidRPr="00D033EB" w:rsidRDefault="0042596D" w:rsidP="006C05E0">
            <w:pPr>
              <w:jc w:val="center"/>
            </w:pPr>
            <w:r w:rsidRPr="00D033EB">
              <w:t>0.570</w:t>
            </w:r>
          </w:p>
        </w:tc>
      </w:tr>
      <w:tr w:rsidR="0042596D" w:rsidRPr="00D033EB" w:rsidTr="006C05E0">
        <w:trPr>
          <w:cantSplit/>
          <w:trHeight w:val="291"/>
        </w:trPr>
        <w:tc>
          <w:tcPr>
            <w:tcW w:w="2754" w:type="dxa"/>
            <w:tcBorders>
              <w:top w:val="single" w:sz="6" w:space="0" w:color="auto"/>
              <w:left w:val="single" w:sz="6" w:space="0" w:color="auto"/>
              <w:bottom w:val="single" w:sz="6" w:space="0" w:color="auto"/>
              <w:right w:val="single" w:sz="6" w:space="0" w:color="auto"/>
            </w:tcBorders>
          </w:tcPr>
          <w:p w:rsidR="0042596D" w:rsidRPr="00D033EB" w:rsidRDefault="0042596D" w:rsidP="006C05E0">
            <w:r w:rsidRPr="00D033EB">
              <w:t>OS-III</w:t>
            </w:r>
          </w:p>
        </w:tc>
        <w:tc>
          <w:tcPr>
            <w:tcW w:w="3366" w:type="dxa"/>
            <w:tcBorders>
              <w:top w:val="single" w:sz="6" w:space="0" w:color="auto"/>
              <w:left w:val="single" w:sz="6" w:space="0" w:color="auto"/>
              <w:bottom w:val="single" w:sz="6" w:space="0" w:color="auto"/>
              <w:right w:val="single" w:sz="6" w:space="0" w:color="auto"/>
            </w:tcBorders>
          </w:tcPr>
          <w:p w:rsidR="0042596D" w:rsidRPr="00D033EB" w:rsidRDefault="0042596D" w:rsidP="006C05E0">
            <w:pPr>
              <w:jc w:val="center"/>
            </w:pPr>
            <w:r w:rsidRPr="00D033EB">
              <w:t>1.361</w:t>
            </w:r>
          </w:p>
        </w:tc>
      </w:tr>
    </w:tbl>
    <w:p w:rsidR="0042596D" w:rsidRPr="00D033EB" w:rsidRDefault="0042596D" w:rsidP="0042596D">
      <w:pPr>
        <w:pStyle w:val="IssueHeading"/>
        <w:rPr>
          <w:u w:val="single"/>
        </w:rPr>
      </w:pPr>
    </w:p>
    <w:p w:rsidR="0042596D" w:rsidRPr="00D033EB" w:rsidRDefault="0042596D" w:rsidP="0042596D">
      <w:pPr>
        <w:pStyle w:val="IssueHeading"/>
        <w:rPr>
          <w:vanish/>
          <w:specVanish/>
        </w:rPr>
      </w:pPr>
      <w:r w:rsidRPr="00D033EB">
        <w:rPr>
          <w:u w:val="single"/>
        </w:rPr>
        <w:t>ISSUE 8</w:t>
      </w:r>
      <w:r w:rsidRPr="00D033EB">
        <w:t>:</w:t>
      </w:r>
    </w:p>
    <w:p w:rsidR="0042596D" w:rsidRPr="00D033EB" w:rsidRDefault="0042596D" w:rsidP="0042596D">
      <w:pPr>
        <w:pStyle w:val="IssueBody"/>
        <w:rPr>
          <w:b/>
        </w:rPr>
      </w:pPr>
      <w:r w:rsidRPr="00D033EB">
        <w:tab/>
      </w:r>
      <w:r w:rsidRPr="00D033EB">
        <w:rPr>
          <w:b/>
        </w:rPr>
        <w:t>What should be the effective date of the new environmental cost recovery factors for billing purposes?</w:t>
      </w:r>
    </w:p>
    <w:p w:rsidR="0042596D" w:rsidRPr="00D033EB" w:rsidRDefault="0042596D" w:rsidP="0042596D">
      <w:pPr>
        <w:pStyle w:val="IssueHeading"/>
      </w:pPr>
      <w:r w:rsidRPr="00D033EB">
        <w:t>Proposed Stipulation</w:t>
      </w:r>
    </w:p>
    <w:p w:rsidR="0042596D" w:rsidRPr="00D033EB" w:rsidRDefault="0042596D" w:rsidP="00DD52D1">
      <w:pPr>
        <w:spacing w:before="240" w:after="60"/>
        <w:jc w:val="both"/>
        <w:outlineLvl w:val="2"/>
        <w:rPr>
          <w:u w:val="single"/>
        </w:rPr>
      </w:pPr>
      <w:r w:rsidRPr="00D033EB">
        <w:rPr>
          <w:rFonts w:cs="Arial"/>
          <w:bCs/>
          <w:szCs w:val="26"/>
        </w:rPr>
        <w:t xml:space="preserve">The new environmental cost recovery factors shall be effective beginning with the first billing cycle for January 2018 and thereafter through the last billing cycle for December 2018.  The first </w:t>
      </w:r>
      <w:r w:rsidRPr="00D033EB">
        <w:rPr>
          <w:rFonts w:cs="Arial"/>
          <w:bCs/>
          <w:szCs w:val="26"/>
        </w:rPr>
        <w:lastRenderedPageBreak/>
        <w:t xml:space="preserve">billing cycle may be read before January 1, 2018, and the last cycle may be read after December 31, 2018, so that each customer is billed for twelve months regardless of when the adjustment factor became effective. </w:t>
      </w:r>
      <w:r w:rsidRPr="00D033EB">
        <w:t>These charges shall continue in effect until modified by this Commission.</w:t>
      </w:r>
    </w:p>
    <w:p w:rsidR="00020E67" w:rsidRDefault="00020E67">
      <w:pPr>
        <w:rPr>
          <w:rFonts w:cs="Arial"/>
          <w:b/>
          <w:bCs/>
          <w:szCs w:val="26"/>
          <w:u w:val="single"/>
        </w:rPr>
      </w:pPr>
    </w:p>
    <w:p w:rsidR="0042596D" w:rsidRPr="00D033EB" w:rsidRDefault="0042596D" w:rsidP="0042596D">
      <w:pPr>
        <w:pStyle w:val="IssueHeading"/>
        <w:rPr>
          <w:vanish/>
          <w:specVanish/>
        </w:rPr>
      </w:pPr>
      <w:r w:rsidRPr="00D033EB">
        <w:rPr>
          <w:u w:val="single"/>
        </w:rPr>
        <w:t>ISSUE 9</w:t>
      </w:r>
      <w:r w:rsidRPr="00D033EB">
        <w:t>:</w:t>
      </w:r>
    </w:p>
    <w:p w:rsidR="0042596D" w:rsidRPr="00D033EB" w:rsidRDefault="0042596D" w:rsidP="0042596D">
      <w:pPr>
        <w:pStyle w:val="IssueBody"/>
        <w:rPr>
          <w:b/>
        </w:rPr>
      </w:pPr>
      <w:r w:rsidRPr="00D033EB">
        <w:tab/>
      </w:r>
      <w:r w:rsidRPr="00D033EB">
        <w:rPr>
          <w:b/>
          <w:bCs/>
        </w:rPr>
        <w:t>Should the Commission approve revised tariffs reflecting the environmental cost recovery amounts and environmental cost recovery factors determined to be appropriate in this proceeding?</w:t>
      </w:r>
    </w:p>
    <w:p w:rsidR="004277F4" w:rsidRDefault="004277F4">
      <w:pPr>
        <w:rPr>
          <w:rFonts w:cs="Arial"/>
          <w:b/>
          <w:bCs/>
          <w:szCs w:val="26"/>
        </w:rPr>
      </w:pPr>
    </w:p>
    <w:p w:rsidR="0042596D" w:rsidRPr="00D033EB" w:rsidRDefault="0042596D" w:rsidP="0042596D">
      <w:pPr>
        <w:pStyle w:val="IssueHeading"/>
      </w:pPr>
      <w:r w:rsidRPr="00D033EB">
        <w:t>Proposed Stipulation</w:t>
      </w:r>
    </w:p>
    <w:p w:rsidR="0042596D" w:rsidRPr="00D033EB" w:rsidRDefault="0042596D" w:rsidP="0042596D">
      <w:pPr>
        <w:jc w:val="both"/>
        <w:rPr>
          <w:szCs w:val="20"/>
        </w:rPr>
      </w:pPr>
      <w:r w:rsidRPr="00D033EB">
        <w:rPr>
          <w:szCs w:val="20"/>
        </w:rPr>
        <w:t>The Commission hereby approves revised tariffs reflecting the environmental cost recovery amounts and factors determined to be appropriate in this proceeding. The Commi</w:t>
      </w:r>
      <w:r w:rsidR="008179EE">
        <w:rPr>
          <w:szCs w:val="20"/>
        </w:rPr>
        <w:t xml:space="preserve">ssion staff is directed to </w:t>
      </w:r>
      <w:r w:rsidRPr="00D033EB">
        <w:rPr>
          <w:szCs w:val="20"/>
        </w:rPr>
        <w:t>verify that the revised tariffs are consistent with the Commission’s decision.</w:t>
      </w:r>
    </w:p>
    <w:p w:rsidR="00A97161" w:rsidRPr="00D033EB" w:rsidRDefault="00A97161" w:rsidP="0042596D">
      <w:pPr>
        <w:jc w:val="both"/>
        <w:rPr>
          <w:szCs w:val="20"/>
        </w:rPr>
      </w:pPr>
    </w:p>
    <w:p w:rsidR="00A97161" w:rsidRPr="00D033EB" w:rsidRDefault="00A97161" w:rsidP="00A97161">
      <w:pPr>
        <w:ind w:left="1440" w:hanging="1440"/>
        <w:jc w:val="both"/>
        <w:rPr>
          <w:b/>
          <w:bCs/>
        </w:rPr>
      </w:pPr>
      <w:r w:rsidRPr="00D033EB">
        <w:rPr>
          <w:b/>
          <w:bCs/>
          <w:u w:val="single"/>
        </w:rPr>
        <w:t>ISSUE 13:</w:t>
      </w:r>
      <w:r w:rsidRPr="00D033EB">
        <w:rPr>
          <w:b/>
          <w:bCs/>
        </w:rPr>
        <w:t xml:space="preserve">         Should this docket be closed?</w:t>
      </w:r>
    </w:p>
    <w:p w:rsidR="00A97161" w:rsidRPr="00D033EB" w:rsidRDefault="00A97161" w:rsidP="00A97161">
      <w:pPr>
        <w:jc w:val="both"/>
        <w:rPr>
          <w:b/>
          <w:bCs/>
          <w:u w:val="single"/>
        </w:rPr>
      </w:pPr>
    </w:p>
    <w:p w:rsidR="00A97161" w:rsidRPr="00D033EB" w:rsidRDefault="00A97161" w:rsidP="00A97161">
      <w:pPr>
        <w:autoSpaceDE w:val="0"/>
        <w:autoSpaceDN w:val="0"/>
        <w:ind w:left="1440" w:hanging="1440"/>
        <w:jc w:val="both"/>
        <w:rPr>
          <w:b/>
          <w:bCs/>
        </w:rPr>
      </w:pPr>
      <w:r w:rsidRPr="00D033EB">
        <w:rPr>
          <w:b/>
          <w:bCs/>
        </w:rPr>
        <w:t>Proposed Stipulation</w:t>
      </w:r>
    </w:p>
    <w:p w:rsidR="00A97161" w:rsidRPr="00D033EB" w:rsidRDefault="00A97161" w:rsidP="00A97161">
      <w:r w:rsidRPr="00D033EB">
        <w:t>No. While a separate docket number is assigned each year for administrative convenience, this is a continuing docket and shall remain open.</w:t>
      </w:r>
    </w:p>
    <w:p w:rsidR="00A97161" w:rsidRPr="00D033EB" w:rsidRDefault="00A97161" w:rsidP="0042596D">
      <w:pPr>
        <w:jc w:val="both"/>
        <w:rPr>
          <w:szCs w:val="20"/>
        </w:rPr>
      </w:pPr>
    </w:p>
    <w:p w:rsidR="0042596D" w:rsidRPr="00D033EB" w:rsidRDefault="0042596D" w:rsidP="0042596D">
      <w:pPr>
        <w:jc w:val="both"/>
        <w:rPr>
          <w:szCs w:val="20"/>
        </w:rPr>
      </w:pPr>
    </w:p>
    <w:p w:rsidR="0042596D" w:rsidRPr="00D033EB" w:rsidRDefault="0042596D" w:rsidP="0042596D">
      <w:pPr>
        <w:jc w:val="both"/>
        <w:rPr>
          <w:b/>
          <w:szCs w:val="20"/>
        </w:rPr>
      </w:pPr>
      <w:r w:rsidRPr="00D033EB">
        <w:rPr>
          <w:b/>
          <w:szCs w:val="20"/>
        </w:rPr>
        <w:t>FLORIDA POWER &amp;  LIGHT  SPECIFIC ISSUES</w:t>
      </w:r>
    </w:p>
    <w:p w:rsidR="0042596D" w:rsidRPr="00D033EB" w:rsidRDefault="0042596D" w:rsidP="0042596D">
      <w:pPr>
        <w:jc w:val="both"/>
        <w:rPr>
          <w:b/>
          <w:szCs w:val="20"/>
        </w:rPr>
      </w:pPr>
    </w:p>
    <w:p w:rsidR="0042596D" w:rsidRPr="00D033EB" w:rsidRDefault="0042596D" w:rsidP="00DD52D1">
      <w:pPr>
        <w:ind w:left="1440" w:hanging="1440"/>
        <w:jc w:val="both"/>
        <w:rPr>
          <w:b/>
          <w:bCs/>
        </w:rPr>
      </w:pPr>
      <w:r w:rsidRPr="00D033EB">
        <w:rPr>
          <w:b/>
          <w:bCs/>
          <w:u w:val="single"/>
        </w:rPr>
        <w:t>ISSUE 10F:</w:t>
      </w:r>
      <w:r w:rsidRPr="00D033EB">
        <w:t>   </w:t>
      </w:r>
      <w:r w:rsidRPr="00D033EB">
        <w:rPr>
          <w:b/>
          <w:bCs/>
        </w:rPr>
        <w:t>Should FPL be allowed to recover, through the ECRC, prudently incurred costs associated with its modification to include a temporary manatee heating system for the Fort Lauderdale Plant (“PFL”) site as part of its existing Manatee Temporary Heating System (“MTHS”) project?</w:t>
      </w:r>
    </w:p>
    <w:p w:rsidR="008179EE" w:rsidRPr="00D033EB" w:rsidRDefault="008179EE" w:rsidP="008179EE">
      <w:pPr>
        <w:pStyle w:val="IssueHeading"/>
      </w:pPr>
      <w:r w:rsidRPr="00D033EB">
        <w:t>Proposed Stipulation</w:t>
      </w:r>
    </w:p>
    <w:p w:rsidR="0042596D" w:rsidRPr="00D033EB" w:rsidRDefault="0042596D" w:rsidP="008179EE">
      <w:pPr>
        <w:jc w:val="both"/>
        <w:rPr>
          <w:b/>
          <w:bCs/>
        </w:rPr>
      </w:pPr>
      <w:r w:rsidRPr="00D033EB">
        <w:t xml:space="preserve">Yes. The modification to include a manatee temporary heating system for the PFL is hereby approved.  Costs for the PFL manatee temporary heating system will be allocated to rate classes in the same manner as all existing costs for the MTHS project. </w:t>
      </w:r>
    </w:p>
    <w:p w:rsidR="0042596D" w:rsidRPr="00D033EB" w:rsidRDefault="0042596D" w:rsidP="0042596D">
      <w:pPr>
        <w:ind w:left="1440" w:hanging="1440"/>
        <w:jc w:val="both"/>
        <w:rPr>
          <w:b/>
          <w:bCs/>
        </w:rPr>
      </w:pPr>
    </w:p>
    <w:p w:rsidR="0042596D" w:rsidRPr="00D033EB" w:rsidRDefault="0042596D" w:rsidP="0042596D">
      <w:pPr>
        <w:ind w:left="1440" w:hanging="1440"/>
        <w:jc w:val="both"/>
      </w:pPr>
      <w:r w:rsidRPr="00D033EB">
        <w:rPr>
          <w:b/>
          <w:bCs/>
          <w:u w:val="single"/>
        </w:rPr>
        <w:t>ISSUE 10G:</w:t>
      </w:r>
      <w:r w:rsidRPr="00D033EB">
        <w:t xml:space="preserve">   </w:t>
      </w:r>
      <w:r w:rsidRPr="00D033EB">
        <w:rPr>
          <w:b/>
          <w:bCs/>
        </w:rPr>
        <w:t>How should the effects on the 2018 environmental cost recovery factors of the St. Johns River Power Park Transaction (SJRPP), approved by the Commission on September 25, 2017, be addressed?</w:t>
      </w:r>
    </w:p>
    <w:p w:rsidR="0042596D" w:rsidRPr="00D033EB" w:rsidRDefault="0042596D" w:rsidP="0042596D">
      <w:pPr>
        <w:ind w:left="1440" w:hanging="1440"/>
        <w:jc w:val="both"/>
      </w:pPr>
      <w:r w:rsidRPr="00D033EB">
        <w:t xml:space="preserve">                                                                       </w:t>
      </w:r>
    </w:p>
    <w:p w:rsidR="008179EE" w:rsidRPr="00D033EB" w:rsidRDefault="008179EE" w:rsidP="008179EE">
      <w:pPr>
        <w:pStyle w:val="IssueHeading"/>
      </w:pPr>
      <w:r w:rsidRPr="00D033EB">
        <w:t>Proposed Stipulation</w:t>
      </w:r>
    </w:p>
    <w:p w:rsidR="0042596D" w:rsidRPr="00D033EB" w:rsidRDefault="0042596D" w:rsidP="008179EE">
      <w:pPr>
        <w:jc w:val="both"/>
      </w:pPr>
      <w:r w:rsidRPr="00D033EB">
        <w:t xml:space="preserve">The net impact of the SJRPP Transaction will be a reduction in the environmental cost recovery factors for 2018.  At this point, FPL cannot prepare and file an updated filing reflecting the SJRPP Transaction in time for parties to have a reasonable opportunity to review it before the </w:t>
      </w:r>
      <w:r w:rsidRPr="00D033EB">
        <w:lastRenderedPageBreak/>
        <w:t xml:space="preserve">hearing scheduled in this docket on October 25-27, 2017.  Therefore, FPL will file a mid-course correction limited to the impacts of the SJRPP Transaction by no later than November 17, 2017, to allow ample time for Commission staff and parties to review and conduct discovery, if any, before the mid-course correction is brought to the Commission for decision at the February 6, 2018 agenda conference, with the intent that the revised environmental cost recovery factors go into effect on March 1, 2018. </w:t>
      </w:r>
    </w:p>
    <w:p w:rsidR="0042596D" w:rsidRDefault="0042596D" w:rsidP="0042596D">
      <w:pPr>
        <w:ind w:left="1440" w:hanging="1440"/>
        <w:rPr>
          <w:b/>
          <w:bCs/>
        </w:rPr>
      </w:pPr>
    </w:p>
    <w:p w:rsidR="004277F4" w:rsidRPr="00D033EB" w:rsidRDefault="004277F4" w:rsidP="0042596D">
      <w:pPr>
        <w:ind w:left="1440" w:hanging="1440"/>
        <w:rPr>
          <w:b/>
          <w:bCs/>
        </w:rPr>
      </w:pPr>
    </w:p>
    <w:p w:rsidR="0042596D" w:rsidRPr="00D033EB" w:rsidRDefault="0042596D" w:rsidP="004277F4">
      <w:pPr>
        <w:rPr>
          <w:rFonts w:eastAsia="Calibri"/>
          <w:b/>
        </w:rPr>
      </w:pPr>
      <w:r w:rsidRPr="00D033EB">
        <w:rPr>
          <w:rFonts w:eastAsia="Calibri"/>
          <w:b/>
        </w:rPr>
        <w:t xml:space="preserve">TAMPA ELECTRIC COMPANY SPECIFIC ISSUE </w:t>
      </w:r>
    </w:p>
    <w:p w:rsidR="0042596D" w:rsidRPr="00D033EB" w:rsidRDefault="0042596D" w:rsidP="004277F4">
      <w:pPr>
        <w:pStyle w:val="IssueBody"/>
        <w:spacing w:after="0"/>
        <w:ind w:left="0"/>
        <w:rPr>
          <w:b/>
        </w:rPr>
      </w:pPr>
    </w:p>
    <w:p w:rsidR="0042596D" w:rsidRPr="00D033EB" w:rsidRDefault="0042596D" w:rsidP="0042596D">
      <w:pPr>
        <w:pStyle w:val="IssueBody"/>
        <w:ind w:hanging="1440"/>
        <w:rPr>
          <w:b/>
        </w:rPr>
      </w:pPr>
      <w:r w:rsidRPr="00D033EB">
        <w:rPr>
          <w:b/>
          <w:u w:val="single"/>
        </w:rPr>
        <w:t>ISSUE 11:</w:t>
      </w:r>
      <w:r w:rsidRPr="00D033EB">
        <w:tab/>
      </w:r>
      <w:r w:rsidRPr="00D033EB">
        <w:rPr>
          <w:b/>
          <w:szCs w:val="24"/>
        </w:rPr>
        <w:t>How should revenues included in Tampa Electric’s projected ECRC cost recovery amount for 2018 associated with Phase II of the company’s coal combustion residuals compliance program (“CCR Program”), the approval of which is currently pending in Docket No. 20170168-EI, be treated for cost recovery purposes pending the final disposition of the company’s petition in that docket?</w:t>
      </w:r>
    </w:p>
    <w:p w:rsidR="0042596D" w:rsidRPr="00D033EB" w:rsidRDefault="0042596D" w:rsidP="0042596D">
      <w:pPr>
        <w:pStyle w:val="IssueHeading"/>
      </w:pPr>
      <w:r w:rsidRPr="00D033EB">
        <w:t>Proposed Stipulation</w:t>
      </w:r>
    </w:p>
    <w:p w:rsidR="0042596D" w:rsidRPr="00D033EB" w:rsidRDefault="0042596D" w:rsidP="008179EE">
      <w:pPr>
        <w:tabs>
          <w:tab w:val="left" w:pos="0"/>
        </w:tabs>
        <w:jc w:val="both"/>
      </w:pPr>
      <w:r w:rsidRPr="00D033EB">
        <w:t xml:space="preserve">Approval of the projected revenues for the costs associated with the Phase II of the CCR program is conditioned on this Commission’s approval of the CCR program in Docket No. 20170168-EI.  To the extent the scope of the CCR program costs differ from costs of the approved program in Docket No. 20170168-EI, the revenues collected for the CCR program in Docket No. 20170007-EI shall be subject to true-up. </w:t>
      </w:r>
    </w:p>
    <w:p w:rsidR="0042596D" w:rsidRDefault="0042596D" w:rsidP="0042596D">
      <w:pPr>
        <w:rPr>
          <w:rFonts w:cstheme="majorBidi"/>
          <w:b/>
          <w:szCs w:val="20"/>
        </w:rPr>
      </w:pPr>
    </w:p>
    <w:p w:rsidR="004277F4" w:rsidRPr="00D033EB" w:rsidRDefault="004277F4" w:rsidP="0042596D">
      <w:pPr>
        <w:rPr>
          <w:rFonts w:cstheme="majorBidi"/>
          <w:b/>
          <w:szCs w:val="20"/>
        </w:rPr>
      </w:pPr>
    </w:p>
    <w:p w:rsidR="0042596D" w:rsidRPr="00D033EB" w:rsidRDefault="0042596D" w:rsidP="0042596D">
      <w:pPr>
        <w:spacing w:line="480" w:lineRule="auto"/>
        <w:ind w:left="1440" w:hanging="1440"/>
        <w:rPr>
          <w:b/>
          <w:bCs/>
        </w:rPr>
      </w:pPr>
      <w:r w:rsidRPr="00D033EB">
        <w:rPr>
          <w:rFonts w:cstheme="majorBidi"/>
          <w:b/>
          <w:szCs w:val="20"/>
        </w:rPr>
        <w:t>DUKE ENERGY FLORIDA SPECIFIC ISSUES</w:t>
      </w:r>
    </w:p>
    <w:p w:rsidR="0042596D" w:rsidRPr="00D033EB" w:rsidRDefault="0042596D" w:rsidP="0042596D">
      <w:pPr>
        <w:ind w:left="1440" w:hanging="1440"/>
        <w:rPr>
          <w:b/>
        </w:rPr>
      </w:pPr>
      <w:r w:rsidRPr="00D033EB">
        <w:rPr>
          <w:b/>
          <w:bCs/>
          <w:u w:val="single"/>
        </w:rPr>
        <w:t>ISSUE 12A:</w:t>
      </w:r>
      <w:r w:rsidRPr="00D033EB">
        <w:t xml:space="preserve">   </w:t>
      </w:r>
      <w:r w:rsidRPr="00D033EB">
        <w:rPr>
          <w:b/>
        </w:rPr>
        <w:t>Should the Commission find DEF’s 316(b) Compliance Plan is reasonable and approve recovery of the related costs through the ECRC?  </w:t>
      </w:r>
    </w:p>
    <w:p w:rsidR="0042596D" w:rsidRPr="00D033EB" w:rsidRDefault="0042596D" w:rsidP="0042596D">
      <w:pPr>
        <w:pStyle w:val="IssueHeading"/>
      </w:pPr>
      <w:r w:rsidRPr="00D033EB">
        <w:t>Proposed Stipulation</w:t>
      </w:r>
    </w:p>
    <w:p w:rsidR="0042596D" w:rsidRPr="00D033EB" w:rsidRDefault="0042596D" w:rsidP="0042596D">
      <w:pPr>
        <w:jc w:val="both"/>
        <w:rPr>
          <w:b/>
          <w:bCs/>
        </w:rPr>
      </w:pPr>
      <w:r w:rsidRPr="00D033EB">
        <w:t xml:space="preserve">DEF’s 316(b) Compliance Plan is reasonable as it meets the criteria for recovery through the Environmental Cost Recovery Clause. Recovery of related costs through the ECRC is approved. </w:t>
      </w:r>
    </w:p>
    <w:p w:rsidR="0042596D" w:rsidRPr="00D033EB" w:rsidRDefault="0042596D" w:rsidP="0042596D">
      <w:pPr>
        <w:jc w:val="both"/>
      </w:pPr>
    </w:p>
    <w:p w:rsidR="0042596D" w:rsidRPr="00D033EB" w:rsidRDefault="0042596D" w:rsidP="0042596D">
      <w:pPr>
        <w:ind w:left="1440" w:hanging="1440"/>
        <w:jc w:val="both"/>
        <w:rPr>
          <w:b/>
        </w:rPr>
      </w:pPr>
      <w:r w:rsidRPr="00D033EB">
        <w:rPr>
          <w:b/>
          <w:u w:val="single"/>
        </w:rPr>
        <w:t>ISSUE 12B:</w:t>
      </w:r>
      <w:r w:rsidRPr="00D033EB">
        <w:t xml:space="preserve"> </w:t>
      </w:r>
      <w:r w:rsidRPr="00D033EB">
        <w:rPr>
          <w:b/>
        </w:rPr>
        <w:t>How should the costs associated with DEF’s 316(b) Compliance Plan be  allocated to the rate classes?</w:t>
      </w:r>
    </w:p>
    <w:p w:rsidR="0042596D" w:rsidRPr="00D033EB" w:rsidRDefault="0042596D" w:rsidP="0042596D">
      <w:pPr>
        <w:pStyle w:val="IssueHeading"/>
      </w:pPr>
      <w:r w:rsidRPr="00D033EB">
        <w:t>Proposed Stipulation</w:t>
      </w:r>
    </w:p>
    <w:p w:rsidR="0042596D" w:rsidRPr="00D033EB" w:rsidRDefault="0042596D" w:rsidP="0042596D">
      <w:pPr>
        <w:jc w:val="both"/>
        <w:rPr>
          <w:b/>
          <w:bCs/>
        </w:rPr>
      </w:pPr>
      <w:r w:rsidRPr="00D033EB">
        <w:t>Costs associated with DEF’s 316(b) Compliance Plan shall be allocated to the rate classes on a demand basis.</w:t>
      </w:r>
    </w:p>
    <w:p w:rsidR="0042596D" w:rsidRPr="00D033EB" w:rsidRDefault="0042596D" w:rsidP="0042596D">
      <w:pPr>
        <w:jc w:val="both"/>
        <w:rPr>
          <w:b/>
          <w:u w:val="single"/>
        </w:rPr>
      </w:pPr>
    </w:p>
    <w:p w:rsidR="0042596D" w:rsidRPr="00D033EB" w:rsidRDefault="0042596D" w:rsidP="0042596D">
      <w:pPr>
        <w:ind w:left="1440" w:hanging="1440"/>
        <w:jc w:val="both"/>
        <w:rPr>
          <w:b/>
          <w:u w:val="single"/>
        </w:rPr>
      </w:pPr>
    </w:p>
    <w:p w:rsidR="00D1603E" w:rsidRDefault="00D1603E">
      <w:pPr>
        <w:rPr>
          <w:b/>
          <w:u w:val="single"/>
        </w:rPr>
      </w:pPr>
      <w:r>
        <w:rPr>
          <w:b/>
          <w:u w:val="single"/>
        </w:rPr>
        <w:br w:type="page"/>
      </w:r>
    </w:p>
    <w:p w:rsidR="0042596D" w:rsidRPr="00D033EB" w:rsidRDefault="0042596D" w:rsidP="0042596D">
      <w:pPr>
        <w:ind w:left="1440" w:hanging="1440"/>
        <w:jc w:val="both"/>
        <w:rPr>
          <w:b/>
          <w:bCs/>
        </w:rPr>
      </w:pPr>
      <w:r w:rsidRPr="00D033EB">
        <w:rPr>
          <w:b/>
          <w:u w:val="single"/>
        </w:rPr>
        <w:lastRenderedPageBreak/>
        <w:t>ISSUE 12C:</w:t>
      </w:r>
      <w:r w:rsidRPr="00D033EB">
        <w:rPr>
          <w:bCs/>
        </w:rPr>
        <w:t xml:space="preserve"> </w:t>
      </w:r>
      <w:r w:rsidRPr="00D033EB">
        <w:rPr>
          <w:b/>
          <w:bCs/>
        </w:rPr>
        <w:t>Should the Regulatory Asset Treatment of the Alderman Road Fence be approved?</w:t>
      </w:r>
    </w:p>
    <w:p w:rsidR="0042596D" w:rsidRPr="00D033EB" w:rsidRDefault="0042596D" w:rsidP="0042596D">
      <w:pPr>
        <w:pStyle w:val="IssueHeading"/>
      </w:pPr>
      <w:r w:rsidRPr="00D033EB">
        <w:t>Proposed Stipulation</w:t>
      </w:r>
    </w:p>
    <w:p w:rsidR="0042596D" w:rsidRPr="00D033EB" w:rsidRDefault="0042596D" w:rsidP="0042596D">
      <w:pPr>
        <w:jc w:val="both"/>
      </w:pPr>
      <w:r w:rsidRPr="00D033EB">
        <w:t>The Commission approves DEF’s proposed treatment for the Alderman Road Fence - Project 3.1(a).</w:t>
      </w:r>
    </w:p>
    <w:p w:rsidR="0042596D" w:rsidRDefault="0042596D" w:rsidP="0042596D">
      <w:pPr>
        <w:jc w:val="both"/>
      </w:pPr>
    </w:p>
    <w:p w:rsidR="00D1603E" w:rsidRDefault="00D1603E" w:rsidP="00F34150">
      <w:pPr>
        <w:jc w:val="both"/>
      </w:pPr>
    </w:p>
    <w:p w:rsidR="00F34150" w:rsidRPr="00D033EB" w:rsidRDefault="00F34150" w:rsidP="00F34150">
      <w:pPr>
        <w:jc w:val="both"/>
      </w:pPr>
      <w:r w:rsidRPr="00D033EB">
        <w:t>XI.</w:t>
      </w:r>
      <w:r w:rsidRPr="00D033EB">
        <w:tab/>
      </w:r>
      <w:r w:rsidRPr="00D033EB">
        <w:rPr>
          <w:u w:val="single"/>
        </w:rPr>
        <w:t>PENDING MOTIONS</w:t>
      </w:r>
    </w:p>
    <w:p w:rsidR="00F34150" w:rsidRPr="00D033EB" w:rsidRDefault="00F34150" w:rsidP="00F34150">
      <w:pPr>
        <w:jc w:val="both"/>
      </w:pPr>
    </w:p>
    <w:p w:rsidR="00F34150" w:rsidRPr="00D033EB" w:rsidRDefault="00F34150" w:rsidP="00F34150">
      <w:pPr>
        <w:ind w:firstLine="720"/>
        <w:jc w:val="both"/>
      </w:pPr>
      <w:r w:rsidRPr="00D033EB">
        <w:t>There are no pending motions at this time.</w:t>
      </w:r>
    </w:p>
    <w:p w:rsidR="00F34150" w:rsidRPr="00D033EB" w:rsidRDefault="00F34150" w:rsidP="00F34150">
      <w:pPr>
        <w:jc w:val="both"/>
      </w:pPr>
    </w:p>
    <w:p w:rsidR="00F34150" w:rsidRPr="00D033EB" w:rsidRDefault="00F34150" w:rsidP="00F34150">
      <w:pPr>
        <w:jc w:val="both"/>
      </w:pPr>
      <w:r w:rsidRPr="00D033EB">
        <w:t>XII.</w:t>
      </w:r>
      <w:r w:rsidRPr="00D033EB">
        <w:tab/>
      </w:r>
      <w:r w:rsidRPr="00D033EB">
        <w:rPr>
          <w:u w:val="single"/>
        </w:rPr>
        <w:t>PENDING CONFIDENTIALITY MATTERS</w:t>
      </w:r>
    </w:p>
    <w:p w:rsidR="00F34150" w:rsidRPr="00D033EB" w:rsidRDefault="00F34150" w:rsidP="00F34150">
      <w:pPr>
        <w:jc w:val="both"/>
      </w:pPr>
    </w:p>
    <w:p w:rsidR="00F34150" w:rsidRPr="00D033EB" w:rsidRDefault="00F34150" w:rsidP="00F34150">
      <w:pPr>
        <w:ind w:firstLine="720"/>
        <w:jc w:val="both"/>
      </w:pPr>
      <w:r w:rsidRPr="00D033EB">
        <w:t>There are no pending confidentiality matters at this time.</w:t>
      </w:r>
    </w:p>
    <w:p w:rsidR="00020E67" w:rsidRDefault="00020E67" w:rsidP="003C22CC">
      <w:pPr>
        <w:jc w:val="both"/>
      </w:pPr>
    </w:p>
    <w:p w:rsidR="003C22CC" w:rsidRPr="00D033EB" w:rsidRDefault="003C22CC" w:rsidP="003C22CC">
      <w:pPr>
        <w:jc w:val="both"/>
      </w:pPr>
      <w:r w:rsidRPr="00D033EB">
        <w:t>XI</w:t>
      </w:r>
      <w:r w:rsidR="00F77915" w:rsidRPr="00D033EB">
        <w:t>II</w:t>
      </w:r>
      <w:r w:rsidRPr="00D033EB">
        <w:t>.</w:t>
      </w:r>
      <w:r w:rsidRPr="00D033EB">
        <w:tab/>
      </w:r>
      <w:r w:rsidRPr="00D033EB">
        <w:rPr>
          <w:u w:val="single"/>
        </w:rPr>
        <w:t>POST-HEARING PROCEDURES</w:t>
      </w:r>
    </w:p>
    <w:p w:rsidR="003C22CC" w:rsidRPr="00D033EB" w:rsidRDefault="003C22CC" w:rsidP="00F34150">
      <w:pPr>
        <w:jc w:val="both"/>
      </w:pPr>
    </w:p>
    <w:p w:rsidR="00F34150" w:rsidRPr="00D033EB" w:rsidRDefault="00F34150" w:rsidP="00F34150">
      <w:pPr>
        <w:jc w:val="both"/>
      </w:pPr>
      <w:r w:rsidRPr="00D033EB">
        <w:tab/>
        <w:t xml:space="preserve">If no bench decision is made, each party shall file a post-hearing statement of issues and positions.  A summary of each position of no more than </w:t>
      </w:r>
      <w:r w:rsidR="00E568D9" w:rsidRPr="00D033EB">
        <w:t>100</w:t>
      </w:r>
      <w:r w:rsidRPr="00D033EB">
        <w:t xml:space="preserve"> words, set off with asterisks, shall be included in that statement.  If a party's position has not changed since the issuance of this Prehearing Order, the post-hearing statement may simply restate the prehearing position; however, if the prehearing position is longer than </w:t>
      </w:r>
      <w:r w:rsidR="00E568D9" w:rsidRPr="00D033EB">
        <w:t>100</w:t>
      </w:r>
      <w:r w:rsidRPr="00D033EB">
        <w:t xml:space="preserve"> words, it must be reduced to no more than </w:t>
      </w:r>
      <w:r w:rsidR="00E568D9" w:rsidRPr="00D033EB">
        <w:t>100</w:t>
      </w:r>
      <w:r w:rsidRPr="00D033EB">
        <w:t xml:space="preserve"> words.  If a party fails to file a post-hearing statement, that party shall have waived all issues and may be dismissed from the proceeding.</w:t>
      </w:r>
    </w:p>
    <w:p w:rsidR="00F34150" w:rsidRPr="00D033EB" w:rsidRDefault="00F34150" w:rsidP="00F34150">
      <w:pPr>
        <w:jc w:val="both"/>
      </w:pPr>
    </w:p>
    <w:p w:rsidR="00F34150" w:rsidRPr="00D033EB" w:rsidRDefault="00F34150" w:rsidP="00F34150">
      <w:pPr>
        <w:jc w:val="both"/>
      </w:pPr>
      <w:r w:rsidRPr="00D033EB">
        <w:tab/>
        <w:t xml:space="preserve">Pursuant to Rule 28-106.215, F.A.C., a party's proposed findings of fact and conclusions of law, if any, statement of issues and positions, and brief, shall together total no more than 40 pages </w:t>
      </w:r>
      <w:r w:rsidRPr="00D033EB">
        <w:rPr>
          <w:color w:val="FF0000"/>
        </w:rPr>
        <w:t xml:space="preserve"> </w:t>
      </w:r>
      <w:r w:rsidRPr="00D033EB">
        <w:t>and shall be filed at the same time.</w:t>
      </w:r>
    </w:p>
    <w:p w:rsidR="00F34150" w:rsidRDefault="00F34150" w:rsidP="00F34150">
      <w:pPr>
        <w:jc w:val="both"/>
      </w:pPr>
    </w:p>
    <w:p w:rsidR="004277F4" w:rsidRPr="00D033EB" w:rsidRDefault="004277F4" w:rsidP="00F34150">
      <w:pPr>
        <w:jc w:val="both"/>
      </w:pPr>
    </w:p>
    <w:p w:rsidR="00F34150" w:rsidRPr="00D033EB" w:rsidRDefault="003C22CC" w:rsidP="00F34150">
      <w:pPr>
        <w:jc w:val="both"/>
      </w:pPr>
      <w:r w:rsidRPr="00D033EB">
        <w:t>X</w:t>
      </w:r>
      <w:r w:rsidR="00F77915" w:rsidRPr="00D033EB">
        <w:t>I</w:t>
      </w:r>
      <w:r w:rsidR="00F34150" w:rsidRPr="00D033EB">
        <w:t>V.</w:t>
      </w:r>
      <w:r w:rsidR="00F34150" w:rsidRPr="00D033EB">
        <w:tab/>
      </w:r>
      <w:r w:rsidR="00F34150" w:rsidRPr="00D033EB">
        <w:rPr>
          <w:u w:val="single"/>
        </w:rPr>
        <w:t>RULINGS</w:t>
      </w:r>
    </w:p>
    <w:p w:rsidR="00F34150" w:rsidRPr="00D033EB" w:rsidRDefault="00F34150" w:rsidP="00F34150">
      <w:pPr>
        <w:jc w:val="both"/>
      </w:pPr>
    </w:p>
    <w:p w:rsidR="00F34150" w:rsidRPr="00D033EB" w:rsidRDefault="00F34150" w:rsidP="00F34150">
      <w:pPr>
        <w:ind w:firstLine="720"/>
        <w:jc w:val="both"/>
      </w:pPr>
      <w:r w:rsidRPr="00D033EB">
        <w:t>Opening statements</w:t>
      </w:r>
      <w:r w:rsidR="00AF4D22" w:rsidRPr="00D033EB">
        <w:t xml:space="preserve"> for FPL shall be ten minutes. FIPUG, OPC and SACE shall </w:t>
      </w:r>
      <w:r w:rsidR="008179EE">
        <w:t>share</w:t>
      </w:r>
      <w:r w:rsidR="00AF4D22" w:rsidRPr="00D033EB">
        <w:t xml:space="preserve"> a total of 15 minutes for opening statements. </w:t>
      </w:r>
      <w:r w:rsidRPr="00D033EB">
        <w:t xml:space="preserve">  </w:t>
      </w:r>
    </w:p>
    <w:p w:rsidR="00AF4D22" w:rsidRPr="00D033EB" w:rsidRDefault="00AF4D22" w:rsidP="00F34150">
      <w:pPr>
        <w:ind w:firstLine="720"/>
        <w:jc w:val="both"/>
      </w:pPr>
    </w:p>
    <w:p w:rsidR="00AF4D22" w:rsidRPr="00D033EB" w:rsidRDefault="00020E67" w:rsidP="00AF4D22">
      <w:pPr>
        <w:ind w:firstLine="720"/>
        <w:jc w:val="both"/>
      </w:pPr>
      <w:r>
        <w:t xml:space="preserve">James A. Brew, Esquire </w:t>
      </w:r>
      <w:r w:rsidR="00AF4D22" w:rsidRPr="00D033EB">
        <w:t>and Laura A. Wynn, Esquire on behalf of PCS are excused from the hearing.</w:t>
      </w:r>
    </w:p>
    <w:p w:rsidR="00D033EB" w:rsidRPr="00D033EB" w:rsidRDefault="00D033EB" w:rsidP="00AF4D22">
      <w:pPr>
        <w:ind w:firstLine="720"/>
        <w:jc w:val="both"/>
      </w:pPr>
    </w:p>
    <w:p w:rsidR="00D033EB" w:rsidRPr="00D033EB" w:rsidRDefault="00D033EB" w:rsidP="00AF4D22">
      <w:pPr>
        <w:ind w:firstLine="720"/>
        <w:jc w:val="both"/>
      </w:pPr>
      <w:r w:rsidRPr="00D033EB">
        <w:t xml:space="preserve">OPC and FPL provided notice that each may use a demonstrative exhibit at the hearing. </w:t>
      </w:r>
    </w:p>
    <w:p w:rsidR="00AF4D22" w:rsidRPr="00D033EB" w:rsidRDefault="00AF4D22" w:rsidP="00F34150">
      <w:pPr>
        <w:ind w:firstLine="720"/>
        <w:jc w:val="both"/>
      </w:pPr>
    </w:p>
    <w:p w:rsidR="00F34150" w:rsidRPr="00D033EB" w:rsidRDefault="00F34150" w:rsidP="00F34150">
      <w:pPr>
        <w:jc w:val="both"/>
      </w:pPr>
      <w:r w:rsidRPr="00D033EB">
        <w:tab/>
        <w:t>It is therefore,</w:t>
      </w:r>
    </w:p>
    <w:p w:rsidR="00F34150" w:rsidRPr="00D033EB" w:rsidRDefault="00F34150" w:rsidP="00F34150">
      <w:pPr>
        <w:jc w:val="both"/>
      </w:pPr>
    </w:p>
    <w:p w:rsidR="00F34150" w:rsidRDefault="00F34150" w:rsidP="00F34150">
      <w:pPr>
        <w:jc w:val="both"/>
      </w:pPr>
      <w:r w:rsidRPr="00D033EB">
        <w:lastRenderedPageBreak/>
        <w:tab/>
        <w:t>ORDERED by Commissioner</w:t>
      </w:r>
      <w:r w:rsidR="00D44339" w:rsidRPr="00D033EB">
        <w:t xml:space="preserve"> Ronald A. Brisé,</w:t>
      </w:r>
      <w:r w:rsidRPr="00D033EB">
        <w:t xml:space="preserve"> as Prehearing Officer, that this Prehearing Order shall govern the conduct of these proceedings as set forth above unless modified by the Commission.</w:t>
      </w:r>
    </w:p>
    <w:p w:rsidR="00D1603E" w:rsidRPr="00D033EB" w:rsidRDefault="00D1603E" w:rsidP="00F34150">
      <w:pPr>
        <w:jc w:val="both"/>
      </w:pPr>
    </w:p>
    <w:p w:rsidR="00F34150" w:rsidRDefault="00F34150" w:rsidP="00F34150">
      <w:pPr>
        <w:keepNext/>
        <w:keepLines/>
      </w:pPr>
      <w:bookmarkStart w:id="5" w:name="OrderText"/>
      <w:bookmarkEnd w:id="5"/>
      <w:r w:rsidRPr="00D033EB">
        <w:tab/>
        <w:t xml:space="preserve">By ORDER of Commissioner Ronald A. Brisé, as Prehearing Officer, this </w:t>
      </w:r>
      <w:bookmarkStart w:id="6" w:name="replaceDate"/>
      <w:bookmarkEnd w:id="6"/>
      <w:r w:rsidR="000A28AF">
        <w:rPr>
          <w:u w:val="single"/>
        </w:rPr>
        <w:t>20th</w:t>
      </w:r>
      <w:r w:rsidR="000A28AF">
        <w:t xml:space="preserve"> day of </w:t>
      </w:r>
      <w:r w:rsidR="000A28AF">
        <w:rPr>
          <w:u w:val="single"/>
        </w:rPr>
        <w:t>October</w:t>
      </w:r>
      <w:r w:rsidR="000A28AF">
        <w:t xml:space="preserve">, </w:t>
      </w:r>
      <w:r w:rsidR="000A28AF">
        <w:rPr>
          <w:u w:val="single"/>
        </w:rPr>
        <w:t>2017</w:t>
      </w:r>
      <w:r w:rsidR="000A28AF">
        <w:t>.</w:t>
      </w:r>
    </w:p>
    <w:p w:rsidR="000A28AF" w:rsidRPr="000A28AF" w:rsidRDefault="000A28AF" w:rsidP="00F34150">
      <w:pPr>
        <w:keepNext/>
        <w:keepLines/>
      </w:pPr>
    </w:p>
    <w:tbl>
      <w:tblPr>
        <w:tblW w:w="4720" w:type="dxa"/>
        <w:tblInd w:w="3800" w:type="dxa"/>
        <w:tblLayout w:type="fixed"/>
        <w:tblLook w:val="0000" w:firstRow="0" w:lastRow="0" w:firstColumn="0" w:lastColumn="0" w:noHBand="0" w:noVBand="0"/>
      </w:tblPr>
      <w:tblGrid>
        <w:gridCol w:w="686"/>
        <w:gridCol w:w="4034"/>
      </w:tblGrid>
      <w:tr w:rsidR="00F34150" w:rsidRPr="00D033EB" w:rsidTr="00F34150">
        <w:tc>
          <w:tcPr>
            <w:tcW w:w="720" w:type="dxa"/>
            <w:shd w:val="clear" w:color="auto" w:fill="auto"/>
          </w:tcPr>
          <w:p w:rsidR="00F34150" w:rsidRPr="00D033EB" w:rsidRDefault="00F34150" w:rsidP="00F34150">
            <w:pPr>
              <w:keepNext/>
              <w:keepLines/>
            </w:pPr>
            <w:bookmarkStart w:id="7" w:name="bkmrkSignature" w:colFirst="0" w:colLast="0"/>
          </w:p>
        </w:tc>
        <w:tc>
          <w:tcPr>
            <w:tcW w:w="4320" w:type="dxa"/>
            <w:tcBorders>
              <w:bottom w:val="single" w:sz="4" w:space="0" w:color="auto"/>
            </w:tcBorders>
            <w:shd w:val="clear" w:color="auto" w:fill="auto"/>
          </w:tcPr>
          <w:p w:rsidR="00F34150" w:rsidRPr="00D033EB" w:rsidRDefault="000A28AF" w:rsidP="00F34150">
            <w:pPr>
              <w:keepNext/>
              <w:keepLines/>
            </w:pPr>
            <w:r>
              <w:t>/s/ Ronald A. Brisé</w:t>
            </w:r>
            <w:bookmarkStart w:id="8" w:name="_GoBack"/>
            <w:bookmarkEnd w:id="8"/>
          </w:p>
        </w:tc>
      </w:tr>
      <w:bookmarkEnd w:id="7"/>
      <w:tr w:rsidR="00F34150" w:rsidRPr="00D033EB" w:rsidTr="00F34150">
        <w:tc>
          <w:tcPr>
            <w:tcW w:w="720" w:type="dxa"/>
            <w:shd w:val="clear" w:color="auto" w:fill="auto"/>
          </w:tcPr>
          <w:p w:rsidR="00F34150" w:rsidRPr="00D033EB" w:rsidRDefault="00F34150" w:rsidP="00F34150">
            <w:pPr>
              <w:keepNext/>
              <w:keepLines/>
            </w:pPr>
          </w:p>
        </w:tc>
        <w:tc>
          <w:tcPr>
            <w:tcW w:w="4320" w:type="dxa"/>
            <w:tcBorders>
              <w:top w:val="single" w:sz="4" w:space="0" w:color="auto"/>
            </w:tcBorders>
            <w:shd w:val="clear" w:color="auto" w:fill="auto"/>
          </w:tcPr>
          <w:p w:rsidR="00F34150" w:rsidRPr="00D033EB" w:rsidRDefault="00F34150" w:rsidP="00F34150">
            <w:pPr>
              <w:keepNext/>
              <w:keepLines/>
            </w:pPr>
            <w:r w:rsidRPr="00D033EB">
              <w:t>RONALD A. BRISÉ</w:t>
            </w:r>
          </w:p>
          <w:p w:rsidR="00F34150" w:rsidRPr="00D033EB" w:rsidRDefault="00F34150" w:rsidP="00F34150">
            <w:pPr>
              <w:keepNext/>
              <w:keepLines/>
            </w:pPr>
            <w:r w:rsidRPr="00D033EB">
              <w:t>Commissioner and Prehearing Officer</w:t>
            </w:r>
          </w:p>
        </w:tc>
      </w:tr>
    </w:tbl>
    <w:p w:rsidR="00F34150" w:rsidRPr="00D033EB" w:rsidRDefault="00F34150" w:rsidP="00F34150">
      <w:pPr>
        <w:pStyle w:val="OrderSigInfo"/>
        <w:keepNext/>
        <w:keepLines/>
      </w:pPr>
      <w:r w:rsidRPr="00D033EB">
        <w:t>Florida Public Service Commission</w:t>
      </w:r>
    </w:p>
    <w:p w:rsidR="00F34150" w:rsidRPr="00D033EB" w:rsidRDefault="00F34150" w:rsidP="00F34150">
      <w:pPr>
        <w:pStyle w:val="OrderSigInfo"/>
        <w:keepNext/>
        <w:keepLines/>
      </w:pPr>
      <w:r w:rsidRPr="00D033EB">
        <w:t>2540 Shumard Oak Boulevard</w:t>
      </w:r>
    </w:p>
    <w:p w:rsidR="00F34150" w:rsidRPr="00D033EB" w:rsidRDefault="00F34150" w:rsidP="00F34150">
      <w:pPr>
        <w:pStyle w:val="OrderSigInfo"/>
        <w:keepNext/>
        <w:keepLines/>
      </w:pPr>
      <w:r w:rsidRPr="00D033EB">
        <w:t>Tallahassee, Florida  32399</w:t>
      </w:r>
    </w:p>
    <w:p w:rsidR="00F34150" w:rsidRPr="00D033EB" w:rsidRDefault="00F34150" w:rsidP="00F34150">
      <w:pPr>
        <w:pStyle w:val="OrderSigInfo"/>
        <w:keepNext/>
        <w:keepLines/>
      </w:pPr>
      <w:r w:rsidRPr="00D033EB">
        <w:t>(850) 413</w:t>
      </w:r>
      <w:r w:rsidRPr="00D033EB">
        <w:noBreakHyphen/>
        <w:t>6770</w:t>
      </w:r>
    </w:p>
    <w:p w:rsidR="00F34150" w:rsidRPr="00D033EB" w:rsidRDefault="00F34150" w:rsidP="00F34150">
      <w:pPr>
        <w:pStyle w:val="OrderSigInfo"/>
        <w:keepNext/>
        <w:keepLines/>
      </w:pPr>
      <w:r w:rsidRPr="00D033EB">
        <w:t>www.floridapsc.com</w:t>
      </w:r>
    </w:p>
    <w:p w:rsidR="00F34150" w:rsidRPr="00D033EB" w:rsidRDefault="00F34150" w:rsidP="00F34150">
      <w:pPr>
        <w:pStyle w:val="OrderSigInfo"/>
        <w:keepNext/>
        <w:keepLines/>
      </w:pPr>
    </w:p>
    <w:p w:rsidR="00F34150" w:rsidRPr="00D033EB" w:rsidRDefault="00F34150" w:rsidP="00F34150">
      <w:pPr>
        <w:pStyle w:val="OrderSigInfo"/>
        <w:keepNext/>
        <w:keepLines/>
      </w:pPr>
      <w:r w:rsidRPr="00D033EB">
        <w:t>Copies furnished:  A copy of this document is provided to the parties of record at the time of issuance and, if applicable, interested persons.</w:t>
      </w:r>
    </w:p>
    <w:p w:rsidR="00F34150" w:rsidRPr="00D033EB" w:rsidRDefault="00F34150" w:rsidP="00F34150">
      <w:pPr>
        <w:pStyle w:val="OrderBody"/>
        <w:keepNext/>
        <w:keepLines/>
      </w:pPr>
    </w:p>
    <w:p w:rsidR="00F34150" w:rsidRPr="00D033EB" w:rsidRDefault="00F34150" w:rsidP="00F34150">
      <w:pPr>
        <w:keepNext/>
        <w:keepLines/>
      </w:pPr>
      <w:r w:rsidRPr="00D033EB">
        <w:t>CWM</w:t>
      </w:r>
    </w:p>
    <w:p w:rsidR="00F34150" w:rsidRPr="00D033EB" w:rsidRDefault="00F34150" w:rsidP="00D57E57"/>
    <w:p w:rsidR="00F34150" w:rsidRPr="00D033EB" w:rsidRDefault="00F34150" w:rsidP="00F34150">
      <w:pPr>
        <w:pStyle w:val="CenterUnderline"/>
      </w:pPr>
      <w:r w:rsidRPr="00D033EB">
        <w:t>NOTICE OF FURTHER PROCEEDINGS OR JUDICIAL REVIEW</w:t>
      </w:r>
    </w:p>
    <w:p w:rsidR="00D57E57" w:rsidRPr="00D033EB" w:rsidRDefault="00D57E57" w:rsidP="00F34150">
      <w:pPr>
        <w:pStyle w:val="CenterUnderline"/>
        <w:rPr>
          <w:u w:val="none"/>
        </w:rPr>
      </w:pPr>
    </w:p>
    <w:p w:rsidR="00F34150" w:rsidRPr="00D033EB" w:rsidRDefault="00F34150" w:rsidP="00F34150">
      <w:pPr>
        <w:pStyle w:val="OrderBody"/>
      </w:pPr>
      <w:r w:rsidRPr="00D033E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4150" w:rsidRPr="00D033EB" w:rsidRDefault="00F34150" w:rsidP="00F34150">
      <w:pPr>
        <w:pStyle w:val="OrderBody"/>
      </w:pPr>
    </w:p>
    <w:p w:rsidR="00F34150" w:rsidRPr="00D033EB" w:rsidRDefault="00F34150" w:rsidP="00F34150">
      <w:pPr>
        <w:pStyle w:val="OrderBody"/>
      </w:pPr>
      <w:r w:rsidRPr="00D033EB">
        <w:tab/>
        <w:t>Mediation may be available on a case-by-case basis.  If mediation is conducted, it does not affect a substantially interested person's right to a hearing.</w:t>
      </w:r>
    </w:p>
    <w:p w:rsidR="00F34150" w:rsidRPr="00D033EB" w:rsidRDefault="00F34150" w:rsidP="00F34150">
      <w:pPr>
        <w:pStyle w:val="OrderBody"/>
      </w:pPr>
    </w:p>
    <w:p w:rsidR="00F34150" w:rsidRDefault="00F34150" w:rsidP="00F34150">
      <w:pPr>
        <w:pStyle w:val="OrderBody"/>
      </w:pPr>
      <w:r w:rsidRPr="00D033E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34150">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B17" w:rsidRDefault="00DD4B17">
      <w:r>
        <w:separator/>
      </w:r>
    </w:p>
  </w:endnote>
  <w:endnote w:type="continuationSeparator" w:id="0">
    <w:p w:rsidR="00DD4B17" w:rsidRDefault="00DD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B17" w:rsidRDefault="00DD4B17">
      <w:r>
        <w:separator/>
      </w:r>
    </w:p>
  </w:footnote>
  <w:footnote w:type="continuationSeparator" w:id="0">
    <w:p w:rsidR="00DD4B17" w:rsidRDefault="00DD4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17" w:rsidRDefault="00DD4B17" w:rsidP="00280E5C">
    <w:pPr>
      <w:pStyle w:val="OrderHeader"/>
    </w:pPr>
    <w:r>
      <w:t xml:space="preserve">ORDER NO. </w:t>
    </w:r>
    <w:fldSimple w:instr=" REF OrderNo0400 ">
      <w:r w:rsidR="000A28AF">
        <w:t>PSC-2017-0400-PHO-EI</w:t>
      </w:r>
    </w:fldSimple>
  </w:p>
  <w:p w:rsidR="00DD4B17" w:rsidRDefault="00DD4B17" w:rsidP="00280E5C">
    <w:pPr>
      <w:pStyle w:val="OrderHeader"/>
    </w:pPr>
    <w:bookmarkStart w:id="9" w:name="HeaderDocketNo"/>
    <w:bookmarkEnd w:id="9"/>
    <w:r>
      <w:t>DOCKET NO. 20170007-EI</w:t>
    </w:r>
  </w:p>
  <w:p w:rsidR="00DD4B17" w:rsidRDefault="00DD4B17" w:rsidP="00280E5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28AF">
      <w:rPr>
        <w:rStyle w:val="PageNumber"/>
        <w:noProof/>
      </w:rPr>
      <w:t>25</w:t>
    </w:r>
    <w:r>
      <w:rPr>
        <w:rStyle w:val="PageNumber"/>
      </w:rPr>
      <w:fldChar w:fldCharType="end"/>
    </w:r>
  </w:p>
  <w:p w:rsidR="00DD4B17" w:rsidRPr="00B16D21" w:rsidRDefault="00DD4B17" w:rsidP="00B16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7-EI"/>
  </w:docVars>
  <w:rsids>
    <w:rsidRoot w:val="00F34150"/>
    <w:rsid w:val="000022B8"/>
    <w:rsid w:val="00011940"/>
    <w:rsid w:val="00020E67"/>
    <w:rsid w:val="00035778"/>
    <w:rsid w:val="00042429"/>
    <w:rsid w:val="0004288D"/>
    <w:rsid w:val="00053AB9"/>
    <w:rsid w:val="00056229"/>
    <w:rsid w:val="000604CC"/>
    <w:rsid w:val="00065FC2"/>
    <w:rsid w:val="00067685"/>
    <w:rsid w:val="00076E6B"/>
    <w:rsid w:val="0008247D"/>
    <w:rsid w:val="00090AFC"/>
    <w:rsid w:val="00092288"/>
    <w:rsid w:val="000A28AF"/>
    <w:rsid w:val="000D02B8"/>
    <w:rsid w:val="000D06E8"/>
    <w:rsid w:val="000D53A4"/>
    <w:rsid w:val="000E20F0"/>
    <w:rsid w:val="000E344D"/>
    <w:rsid w:val="000E396D"/>
    <w:rsid w:val="000F3B2C"/>
    <w:rsid w:val="000F3E43"/>
    <w:rsid w:val="000F648A"/>
    <w:rsid w:val="000F7BE3"/>
    <w:rsid w:val="001052BA"/>
    <w:rsid w:val="001107B3"/>
    <w:rsid w:val="001114B1"/>
    <w:rsid w:val="00112700"/>
    <w:rsid w:val="001139D8"/>
    <w:rsid w:val="00116AD3"/>
    <w:rsid w:val="00121957"/>
    <w:rsid w:val="00126593"/>
    <w:rsid w:val="00142A96"/>
    <w:rsid w:val="001513DE"/>
    <w:rsid w:val="00187E32"/>
    <w:rsid w:val="00194E81"/>
    <w:rsid w:val="001A15E7"/>
    <w:rsid w:val="001A33C9"/>
    <w:rsid w:val="001A58F3"/>
    <w:rsid w:val="001A6FFE"/>
    <w:rsid w:val="001B2FD6"/>
    <w:rsid w:val="001D008A"/>
    <w:rsid w:val="001E0152"/>
    <w:rsid w:val="001E0FF5"/>
    <w:rsid w:val="001E76F6"/>
    <w:rsid w:val="002002ED"/>
    <w:rsid w:val="002121EE"/>
    <w:rsid w:val="002170E5"/>
    <w:rsid w:val="00220D57"/>
    <w:rsid w:val="0022721A"/>
    <w:rsid w:val="00230BB9"/>
    <w:rsid w:val="00241CEF"/>
    <w:rsid w:val="002516A8"/>
    <w:rsid w:val="00252B30"/>
    <w:rsid w:val="002601A5"/>
    <w:rsid w:val="0026544B"/>
    <w:rsid w:val="00277655"/>
    <w:rsid w:val="00280E5C"/>
    <w:rsid w:val="002824B7"/>
    <w:rsid w:val="00287BE8"/>
    <w:rsid w:val="002A11AC"/>
    <w:rsid w:val="002A6F30"/>
    <w:rsid w:val="002B3111"/>
    <w:rsid w:val="002B3172"/>
    <w:rsid w:val="002C7908"/>
    <w:rsid w:val="002D391B"/>
    <w:rsid w:val="002D4B1F"/>
    <w:rsid w:val="002D7D15"/>
    <w:rsid w:val="002E1B2E"/>
    <w:rsid w:val="002E27EB"/>
    <w:rsid w:val="002E55E4"/>
    <w:rsid w:val="002F0ECB"/>
    <w:rsid w:val="00303FDE"/>
    <w:rsid w:val="003140E8"/>
    <w:rsid w:val="00321A3C"/>
    <w:rsid w:val="003231C7"/>
    <w:rsid w:val="003270C4"/>
    <w:rsid w:val="00331ED0"/>
    <w:rsid w:val="00332B0A"/>
    <w:rsid w:val="00333A41"/>
    <w:rsid w:val="0035495B"/>
    <w:rsid w:val="00361522"/>
    <w:rsid w:val="003744F5"/>
    <w:rsid w:val="00390DD8"/>
    <w:rsid w:val="00394DC6"/>
    <w:rsid w:val="00397C3E"/>
    <w:rsid w:val="00397F07"/>
    <w:rsid w:val="003A212D"/>
    <w:rsid w:val="003C22CC"/>
    <w:rsid w:val="003D4CCA"/>
    <w:rsid w:val="003D52A6"/>
    <w:rsid w:val="003D6416"/>
    <w:rsid w:val="003E1D48"/>
    <w:rsid w:val="00411DF2"/>
    <w:rsid w:val="0042527B"/>
    <w:rsid w:val="0042596D"/>
    <w:rsid w:val="004277F4"/>
    <w:rsid w:val="00441201"/>
    <w:rsid w:val="004530F7"/>
    <w:rsid w:val="00457DC7"/>
    <w:rsid w:val="00472BCC"/>
    <w:rsid w:val="00494249"/>
    <w:rsid w:val="00497135"/>
    <w:rsid w:val="004A25CD"/>
    <w:rsid w:val="004A26CC"/>
    <w:rsid w:val="004A3E2C"/>
    <w:rsid w:val="004B2108"/>
    <w:rsid w:val="004B3A2B"/>
    <w:rsid w:val="004B70D3"/>
    <w:rsid w:val="004C312D"/>
    <w:rsid w:val="004C490C"/>
    <w:rsid w:val="004D2D1B"/>
    <w:rsid w:val="004D5067"/>
    <w:rsid w:val="004E469D"/>
    <w:rsid w:val="004E6CF6"/>
    <w:rsid w:val="004F1058"/>
    <w:rsid w:val="004F2DDE"/>
    <w:rsid w:val="004F7826"/>
    <w:rsid w:val="0050097F"/>
    <w:rsid w:val="0050155F"/>
    <w:rsid w:val="0050713D"/>
    <w:rsid w:val="005076A6"/>
    <w:rsid w:val="00514B1F"/>
    <w:rsid w:val="005202B1"/>
    <w:rsid w:val="00525E93"/>
    <w:rsid w:val="0052671D"/>
    <w:rsid w:val="005330D8"/>
    <w:rsid w:val="00535172"/>
    <w:rsid w:val="00551C9E"/>
    <w:rsid w:val="00556A10"/>
    <w:rsid w:val="0056204F"/>
    <w:rsid w:val="00574968"/>
    <w:rsid w:val="005862D1"/>
    <w:rsid w:val="00590845"/>
    <w:rsid w:val="005963C2"/>
    <w:rsid w:val="005B45F7"/>
    <w:rsid w:val="005B63EA"/>
    <w:rsid w:val="005C1A88"/>
    <w:rsid w:val="005C5033"/>
    <w:rsid w:val="005E751B"/>
    <w:rsid w:val="005F142A"/>
    <w:rsid w:val="005F6D9D"/>
    <w:rsid w:val="00610E73"/>
    <w:rsid w:val="0063168D"/>
    <w:rsid w:val="006335CA"/>
    <w:rsid w:val="0065505E"/>
    <w:rsid w:val="00655988"/>
    <w:rsid w:val="00660774"/>
    <w:rsid w:val="0066389A"/>
    <w:rsid w:val="0066495C"/>
    <w:rsid w:val="00665CC7"/>
    <w:rsid w:val="00672612"/>
    <w:rsid w:val="00677F18"/>
    <w:rsid w:val="00683ADE"/>
    <w:rsid w:val="00695ADD"/>
    <w:rsid w:val="006A0BF3"/>
    <w:rsid w:val="006B0DA6"/>
    <w:rsid w:val="006C05E0"/>
    <w:rsid w:val="006C547E"/>
    <w:rsid w:val="006E48AC"/>
    <w:rsid w:val="00703247"/>
    <w:rsid w:val="00703981"/>
    <w:rsid w:val="00704C5D"/>
    <w:rsid w:val="007072BC"/>
    <w:rsid w:val="00715275"/>
    <w:rsid w:val="00733B6B"/>
    <w:rsid w:val="007467C4"/>
    <w:rsid w:val="0076170F"/>
    <w:rsid w:val="0076669C"/>
    <w:rsid w:val="00777727"/>
    <w:rsid w:val="007865E9"/>
    <w:rsid w:val="00792383"/>
    <w:rsid w:val="007924B8"/>
    <w:rsid w:val="007952F2"/>
    <w:rsid w:val="007A060F"/>
    <w:rsid w:val="007C36E3"/>
    <w:rsid w:val="007C7134"/>
    <w:rsid w:val="007D3D20"/>
    <w:rsid w:val="007D4FB2"/>
    <w:rsid w:val="007E3AFD"/>
    <w:rsid w:val="007F693E"/>
    <w:rsid w:val="00801DAD"/>
    <w:rsid w:val="00803189"/>
    <w:rsid w:val="00804E7A"/>
    <w:rsid w:val="00805FBB"/>
    <w:rsid w:val="008169A4"/>
    <w:rsid w:val="008179EE"/>
    <w:rsid w:val="008278FE"/>
    <w:rsid w:val="00832598"/>
    <w:rsid w:val="0083397E"/>
    <w:rsid w:val="0083534B"/>
    <w:rsid w:val="008422CD"/>
    <w:rsid w:val="00842602"/>
    <w:rsid w:val="00847B45"/>
    <w:rsid w:val="00863A66"/>
    <w:rsid w:val="008703D7"/>
    <w:rsid w:val="00874429"/>
    <w:rsid w:val="00877785"/>
    <w:rsid w:val="00882749"/>
    <w:rsid w:val="00883D9A"/>
    <w:rsid w:val="008919EF"/>
    <w:rsid w:val="00892B20"/>
    <w:rsid w:val="008A12EC"/>
    <w:rsid w:val="008C21C8"/>
    <w:rsid w:val="008C2630"/>
    <w:rsid w:val="008C6375"/>
    <w:rsid w:val="008C6A5B"/>
    <w:rsid w:val="008D6B75"/>
    <w:rsid w:val="008E26A5"/>
    <w:rsid w:val="008E42D2"/>
    <w:rsid w:val="009040EE"/>
    <w:rsid w:val="009057FD"/>
    <w:rsid w:val="00906FBA"/>
    <w:rsid w:val="009070E0"/>
    <w:rsid w:val="00917B54"/>
    <w:rsid w:val="009228C7"/>
    <w:rsid w:val="00922A7F"/>
    <w:rsid w:val="00923A5E"/>
    <w:rsid w:val="00931C8C"/>
    <w:rsid w:val="009418C4"/>
    <w:rsid w:val="0094504B"/>
    <w:rsid w:val="00955DCD"/>
    <w:rsid w:val="00960E6F"/>
    <w:rsid w:val="00965251"/>
    <w:rsid w:val="0096775C"/>
    <w:rsid w:val="009924CF"/>
    <w:rsid w:val="00994100"/>
    <w:rsid w:val="009A6B17"/>
    <w:rsid w:val="009D4C29"/>
    <w:rsid w:val="009F035A"/>
    <w:rsid w:val="00A00C9F"/>
    <w:rsid w:val="00A00D8D"/>
    <w:rsid w:val="00A10952"/>
    <w:rsid w:val="00A126C5"/>
    <w:rsid w:val="00A35BA7"/>
    <w:rsid w:val="00A4303C"/>
    <w:rsid w:val="00A62DAB"/>
    <w:rsid w:val="00A726A6"/>
    <w:rsid w:val="00A77045"/>
    <w:rsid w:val="00A934C7"/>
    <w:rsid w:val="00A97161"/>
    <w:rsid w:val="00A97535"/>
    <w:rsid w:val="00AA73F1"/>
    <w:rsid w:val="00AB0609"/>
    <w:rsid w:val="00AB0E1A"/>
    <w:rsid w:val="00AB1A30"/>
    <w:rsid w:val="00AD0168"/>
    <w:rsid w:val="00AD10EB"/>
    <w:rsid w:val="00AD1ED3"/>
    <w:rsid w:val="00AF44C9"/>
    <w:rsid w:val="00AF4D22"/>
    <w:rsid w:val="00B0777D"/>
    <w:rsid w:val="00B1195F"/>
    <w:rsid w:val="00B16D21"/>
    <w:rsid w:val="00B209C7"/>
    <w:rsid w:val="00B3644F"/>
    <w:rsid w:val="00B4057A"/>
    <w:rsid w:val="00B40894"/>
    <w:rsid w:val="00B444AE"/>
    <w:rsid w:val="00B45E75"/>
    <w:rsid w:val="00B50876"/>
    <w:rsid w:val="00B55AB0"/>
    <w:rsid w:val="00B55EE5"/>
    <w:rsid w:val="00B57274"/>
    <w:rsid w:val="00B6089E"/>
    <w:rsid w:val="00B71D1F"/>
    <w:rsid w:val="00B73DE6"/>
    <w:rsid w:val="00B86EF0"/>
    <w:rsid w:val="00B96969"/>
    <w:rsid w:val="00B97900"/>
    <w:rsid w:val="00BA1229"/>
    <w:rsid w:val="00BA44A8"/>
    <w:rsid w:val="00BA6CB7"/>
    <w:rsid w:val="00BF4919"/>
    <w:rsid w:val="00BF6691"/>
    <w:rsid w:val="00C028FC"/>
    <w:rsid w:val="00C10ED5"/>
    <w:rsid w:val="00C151A6"/>
    <w:rsid w:val="00C24098"/>
    <w:rsid w:val="00C30A4E"/>
    <w:rsid w:val="00C31E10"/>
    <w:rsid w:val="00C37479"/>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033EB"/>
    <w:rsid w:val="00D07457"/>
    <w:rsid w:val="00D10476"/>
    <w:rsid w:val="00D13535"/>
    <w:rsid w:val="00D1603E"/>
    <w:rsid w:val="00D23FEA"/>
    <w:rsid w:val="00D269CA"/>
    <w:rsid w:val="00D30B48"/>
    <w:rsid w:val="00D44339"/>
    <w:rsid w:val="00D46FAA"/>
    <w:rsid w:val="00D47A40"/>
    <w:rsid w:val="00D51D33"/>
    <w:rsid w:val="00D57BB2"/>
    <w:rsid w:val="00D57E57"/>
    <w:rsid w:val="00D641C6"/>
    <w:rsid w:val="00D70752"/>
    <w:rsid w:val="00D8560E"/>
    <w:rsid w:val="00D8758F"/>
    <w:rsid w:val="00DA6B78"/>
    <w:rsid w:val="00DC1D94"/>
    <w:rsid w:val="00DC42CF"/>
    <w:rsid w:val="00DD3A96"/>
    <w:rsid w:val="00DD4B17"/>
    <w:rsid w:val="00DD52D1"/>
    <w:rsid w:val="00DE057F"/>
    <w:rsid w:val="00DE10EA"/>
    <w:rsid w:val="00DE2082"/>
    <w:rsid w:val="00DE2289"/>
    <w:rsid w:val="00E03A76"/>
    <w:rsid w:val="00E04410"/>
    <w:rsid w:val="00E103E4"/>
    <w:rsid w:val="00E11351"/>
    <w:rsid w:val="00E568D9"/>
    <w:rsid w:val="00E57791"/>
    <w:rsid w:val="00E67629"/>
    <w:rsid w:val="00E7146C"/>
    <w:rsid w:val="00E75AE0"/>
    <w:rsid w:val="00E81B6E"/>
    <w:rsid w:val="00E83C1F"/>
    <w:rsid w:val="00E977EC"/>
    <w:rsid w:val="00EA172C"/>
    <w:rsid w:val="00EA259B"/>
    <w:rsid w:val="00EA35A3"/>
    <w:rsid w:val="00EA3E6A"/>
    <w:rsid w:val="00EB18EF"/>
    <w:rsid w:val="00EB7951"/>
    <w:rsid w:val="00ED3A6A"/>
    <w:rsid w:val="00EE17DF"/>
    <w:rsid w:val="00EE742E"/>
    <w:rsid w:val="00EF4621"/>
    <w:rsid w:val="00EF4F52"/>
    <w:rsid w:val="00EF6312"/>
    <w:rsid w:val="00F234A7"/>
    <w:rsid w:val="00F23C35"/>
    <w:rsid w:val="00F277B6"/>
    <w:rsid w:val="00F34150"/>
    <w:rsid w:val="00F54380"/>
    <w:rsid w:val="00F54B47"/>
    <w:rsid w:val="00F6702E"/>
    <w:rsid w:val="00F70E84"/>
    <w:rsid w:val="00F77771"/>
    <w:rsid w:val="00F77915"/>
    <w:rsid w:val="00FA092B"/>
    <w:rsid w:val="00FA6EFD"/>
    <w:rsid w:val="00FB74EA"/>
    <w:rsid w:val="00FD2C9E"/>
    <w:rsid w:val="00FD4786"/>
    <w:rsid w:val="00FD616C"/>
    <w:rsid w:val="00FE4013"/>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34150"/>
    <w:pPr>
      <w:autoSpaceDE w:val="0"/>
      <w:autoSpaceDN w:val="0"/>
      <w:adjustRightInd w:val="0"/>
      <w:ind w:left="1440"/>
    </w:pPr>
    <w:rPr>
      <w:sz w:val="24"/>
      <w:szCs w:val="24"/>
    </w:rPr>
  </w:style>
  <w:style w:type="paragraph" w:styleId="NoSpacing">
    <w:name w:val="No Spacing"/>
    <w:uiPriority w:val="1"/>
    <w:qFormat/>
    <w:rsid w:val="0004288D"/>
    <w:rPr>
      <w:rFonts w:asciiTheme="minorHAnsi" w:eastAsiaTheme="minorHAnsi" w:hAnsiTheme="minorHAnsi" w:cstheme="minorBidi"/>
      <w:sz w:val="22"/>
      <w:szCs w:val="22"/>
    </w:rPr>
  </w:style>
  <w:style w:type="paragraph" w:customStyle="1" w:styleId="PrehearingSectionHeading">
    <w:name w:val="Prehearing Section Heading"/>
    <w:basedOn w:val="Heading2"/>
    <w:next w:val="Normal"/>
    <w:rsid w:val="0004288D"/>
    <w:pPr>
      <w:spacing w:before="240"/>
    </w:pPr>
    <w:rPr>
      <w:szCs w:val="24"/>
    </w:rPr>
  </w:style>
  <w:style w:type="paragraph" w:customStyle="1" w:styleId="IssueBody">
    <w:name w:val="Issue Body"/>
    <w:basedOn w:val="Normal"/>
    <w:rsid w:val="006E48AC"/>
    <w:pPr>
      <w:spacing w:after="240"/>
      <w:ind w:left="1440"/>
      <w:jc w:val="both"/>
    </w:pPr>
    <w:rPr>
      <w:szCs w:val="20"/>
    </w:rPr>
  </w:style>
  <w:style w:type="paragraph" w:customStyle="1" w:styleId="IssueHeading">
    <w:name w:val="Issue Heading"/>
    <w:basedOn w:val="Heading3"/>
    <w:next w:val="IssueBody"/>
    <w:rsid w:val="006E48AC"/>
    <w:pPr>
      <w:spacing w:before="240" w:after="60"/>
      <w:ind w:firstLine="0"/>
    </w:pPr>
    <w:rPr>
      <w:rFonts w:cs="Arial"/>
      <w:b/>
      <w:bCs/>
      <w:szCs w:val="26"/>
    </w:rPr>
  </w:style>
  <w:style w:type="paragraph" w:customStyle="1" w:styleId="Default">
    <w:name w:val="Default"/>
    <w:rsid w:val="00B57274"/>
    <w:pPr>
      <w:autoSpaceDE w:val="0"/>
      <w:autoSpaceDN w:val="0"/>
      <w:adjustRightInd w:val="0"/>
    </w:pPr>
    <w:rPr>
      <w:color w:val="000000"/>
      <w:sz w:val="24"/>
      <w:szCs w:val="24"/>
    </w:rPr>
  </w:style>
  <w:style w:type="paragraph" w:styleId="BodyTextIndent">
    <w:name w:val="Body Text Indent"/>
    <w:basedOn w:val="Normal"/>
    <w:link w:val="BodyTextIndentChar"/>
    <w:rsid w:val="00960E6F"/>
    <w:pPr>
      <w:ind w:left="720" w:hanging="720"/>
      <w:jc w:val="both"/>
    </w:pPr>
    <w:rPr>
      <w:rFonts w:ascii="Arial" w:hAnsi="Arial"/>
      <w:sz w:val="22"/>
      <w:szCs w:val="20"/>
    </w:rPr>
  </w:style>
  <w:style w:type="character" w:customStyle="1" w:styleId="BodyTextIndentChar">
    <w:name w:val="Body Text Indent Char"/>
    <w:basedOn w:val="DefaultParagraphFont"/>
    <w:link w:val="BodyTextIndent"/>
    <w:rsid w:val="00960E6F"/>
    <w:rPr>
      <w:rFonts w:ascii="Arial" w:hAnsi="Arial"/>
      <w:sz w:val="22"/>
    </w:rPr>
  </w:style>
  <w:style w:type="paragraph" w:styleId="ListParagraph">
    <w:name w:val="List Paragraph"/>
    <w:basedOn w:val="Normal"/>
    <w:uiPriority w:val="34"/>
    <w:qFormat/>
    <w:rsid w:val="00877785"/>
    <w:pPr>
      <w:ind w:left="720"/>
      <w:contextualSpacing/>
    </w:pPr>
  </w:style>
  <w:style w:type="paragraph" w:styleId="BalloonText">
    <w:name w:val="Balloon Text"/>
    <w:basedOn w:val="Normal"/>
    <w:link w:val="BalloonTextChar"/>
    <w:rsid w:val="00D44339"/>
    <w:rPr>
      <w:rFonts w:ascii="Tahoma" w:hAnsi="Tahoma" w:cs="Tahoma"/>
      <w:sz w:val="16"/>
      <w:szCs w:val="16"/>
    </w:rPr>
  </w:style>
  <w:style w:type="character" w:customStyle="1" w:styleId="BalloonTextChar">
    <w:name w:val="Balloon Text Char"/>
    <w:basedOn w:val="DefaultParagraphFont"/>
    <w:link w:val="BalloonText"/>
    <w:rsid w:val="00D44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34150"/>
    <w:pPr>
      <w:autoSpaceDE w:val="0"/>
      <w:autoSpaceDN w:val="0"/>
      <w:adjustRightInd w:val="0"/>
      <w:ind w:left="1440"/>
    </w:pPr>
    <w:rPr>
      <w:sz w:val="24"/>
      <w:szCs w:val="24"/>
    </w:rPr>
  </w:style>
  <w:style w:type="paragraph" w:styleId="NoSpacing">
    <w:name w:val="No Spacing"/>
    <w:uiPriority w:val="1"/>
    <w:qFormat/>
    <w:rsid w:val="0004288D"/>
    <w:rPr>
      <w:rFonts w:asciiTheme="minorHAnsi" w:eastAsiaTheme="minorHAnsi" w:hAnsiTheme="minorHAnsi" w:cstheme="minorBidi"/>
      <w:sz w:val="22"/>
      <w:szCs w:val="22"/>
    </w:rPr>
  </w:style>
  <w:style w:type="paragraph" w:customStyle="1" w:styleId="PrehearingSectionHeading">
    <w:name w:val="Prehearing Section Heading"/>
    <w:basedOn w:val="Heading2"/>
    <w:next w:val="Normal"/>
    <w:rsid w:val="0004288D"/>
    <w:pPr>
      <w:spacing w:before="240"/>
    </w:pPr>
    <w:rPr>
      <w:szCs w:val="24"/>
    </w:rPr>
  </w:style>
  <w:style w:type="paragraph" w:customStyle="1" w:styleId="IssueBody">
    <w:name w:val="Issue Body"/>
    <w:basedOn w:val="Normal"/>
    <w:rsid w:val="006E48AC"/>
    <w:pPr>
      <w:spacing w:after="240"/>
      <w:ind w:left="1440"/>
      <w:jc w:val="both"/>
    </w:pPr>
    <w:rPr>
      <w:szCs w:val="20"/>
    </w:rPr>
  </w:style>
  <w:style w:type="paragraph" w:customStyle="1" w:styleId="IssueHeading">
    <w:name w:val="Issue Heading"/>
    <w:basedOn w:val="Heading3"/>
    <w:next w:val="IssueBody"/>
    <w:rsid w:val="006E48AC"/>
    <w:pPr>
      <w:spacing w:before="240" w:after="60"/>
      <w:ind w:firstLine="0"/>
    </w:pPr>
    <w:rPr>
      <w:rFonts w:cs="Arial"/>
      <w:b/>
      <w:bCs/>
      <w:szCs w:val="26"/>
    </w:rPr>
  </w:style>
  <w:style w:type="paragraph" w:customStyle="1" w:styleId="Default">
    <w:name w:val="Default"/>
    <w:rsid w:val="00B57274"/>
    <w:pPr>
      <w:autoSpaceDE w:val="0"/>
      <w:autoSpaceDN w:val="0"/>
      <w:adjustRightInd w:val="0"/>
    </w:pPr>
    <w:rPr>
      <w:color w:val="000000"/>
      <w:sz w:val="24"/>
      <w:szCs w:val="24"/>
    </w:rPr>
  </w:style>
  <w:style w:type="paragraph" w:styleId="BodyTextIndent">
    <w:name w:val="Body Text Indent"/>
    <w:basedOn w:val="Normal"/>
    <w:link w:val="BodyTextIndentChar"/>
    <w:rsid w:val="00960E6F"/>
    <w:pPr>
      <w:ind w:left="720" w:hanging="720"/>
      <w:jc w:val="both"/>
    </w:pPr>
    <w:rPr>
      <w:rFonts w:ascii="Arial" w:hAnsi="Arial"/>
      <w:sz w:val="22"/>
      <w:szCs w:val="20"/>
    </w:rPr>
  </w:style>
  <w:style w:type="character" w:customStyle="1" w:styleId="BodyTextIndentChar">
    <w:name w:val="Body Text Indent Char"/>
    <w:basedOn w:val="DefaultParagraphFont"/>
    <w:link w:val="BodyTextIndent"/>
    <w:rsid w:val="00960E6F"/>
    <w:rPr>
      <w:rFonts w:ascii="Arial" w:hAnsi="Arial"/>
      <w:sz w:val="22"/>
    </w:rPr>
  </w:style>
  <w:style w:type="paragraph" w:styleId="ListParagraph">
    <w:name w:val="List Paragraph"/>
    <w:basedOn w:val="Normal"/>
    <w:uiPriority w:val="34"/>
    <w:qFormat/>
    <w:rsid w:val="00877785"/>
    <w:pPr>
      <w:ind w:left="720"/>
      <w:contextualSpacing/>
    </w:pPr>
  </w:style>
  <w:style w:type="paragraph" w:styleId="BalloonText">
    <w:name w:val="Balloon Text"/>
    <w:basedOn w:val="Normal"/>
    <w:link w:val="BalloonTextChar"/>
    <w:rsid w:val="00D44339"/>
    <w:rPr>
      <w:rFonts w:ascii="Tahoma" w:hAnsi="Tahoma" w:cs="Tahoma"/>
      <w:sz w:val="16"/>
      <w:szCs w:val="16"/>
    </w:rPr>
  </w:style>
  <w:style w:type="character" w:customStyle="1" w:styleId="BalloonTextChar">
    <w:name w:val="Balloon Text Char"/>
    <w:basedOn w:val="DefaultParagraphFont"/>
    <w:link w:val="BalloonText"/>
    <w:rsid w:val="00D44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341353377">
      <w:bodyDiv w:val="1"/>
      <w:marLeft w:val="0"/>
      <w:marRight w:val="0"/>
      <w:marTop w:val="0"/>
      <w:marBottom w:val="0"/>
      <w:divBdr>
        <w:top w:val="none" w:sz="0" w:space="0" w:color="auto"/>
        <w:left w:val="none" w:sz="0" w:space="0" w:color="auto"/>
        <w:bottom w:val="none" w:sz="0" w:space="0" w:color="auto"/>
        <w:right w:val="none" w:sz="0" w:space="0" w:color="auto"/>
      </w:divBdr>
    </w:div>
    <w:div w:id="1461605930">
      <w:bodyDiv w:val="1"/>
      <w:marLeft w:val="0"/>
      <w:marRight w:val="0"/>
      <w:marTop w:val="0"/>
      <w:marBottom w:val="0"/>
      <w:divBdr>
        <w:top w:val="none" w:sz="0" w:space="0" w:color="auto"/>
        <w:left w:val="none" w:sz="0" w:space="0" w:color="auto"/>
        <w:bottom w:val="none" w:sz="0" w:space="0" w:color="auto"/>
        <w:right w:val="none" w:sz="0" w:space="0" w:color="auto"/>
      </w:divBdr>
    </w:div>
    <w:div w:id="14716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A844B-490F-4A66-9275-586FBAF9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25</Pages>
  <Words>6280</Words>
  <Characters>35875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2017-10-20T15:12:00Z</dcterms:created>
  <dcterms:modified xsi:type="dcterms:W3CDTF">2017-10-20T15:28:00Z</dcterms:modified>
</cp:coreProperties>
</file>