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3EE6" w:rsidP="00CF3EE6">
      <w:pPr>
        <w:pStyle w:val="OrderHeading"/>
      </w:pPr>
      <w:r>
        <w:t>BEFORE THE FLORIDA PUBLIC SERVICE COMMISSION</w:t>
      </w:r>
    </w:p>
    <w:p w:rsidR="00CF3EE6" w:rsidRDefault="00CF3EE6" w:rsidP="00CF3EE6">
      <w:pPr>
        <w:pStyle w:val="OrderHeading"/>
      </w:pPr>
    </w:p>
    <w:p w:rsidR="00CF3EE6" w:rsidRDefault="00CF3EE6" w:rsidP="00CF3E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3EE6" w:rsidRPr="00C63FCF" w:rsidTr="00C63FCF">
        <w:trPr>
          <w:trHeight w:val="828"/>
        </w:trPr>
        <w:tc>
          <w:tcPr>
            <w:tcW w:w="4788" w:type="dxa"/>
            <w:tcBorders>
              <w:bottom w:val="single" w:sz="8" w:space="0" w:color="auto"/>
              <w:right w:val="double" w:sz="6" w:space="0" w:color="auto"/>
            </w:tcBorders>
            <w:shd w:val="clear" w:color="auto" w:fill="auto"/>
          </w:tcPr>
          <w:p w:rsidR="00CF3EE6" w:rsidRDefault="00CF3EE6" w:rsidP="00C63FCF">
            <w:pPr>
              <w:pStyle w:val="OrderBody"/>
              <w:tabs>
                <w:tab w:val="center" w:pos="4320"/>
                <w:tab w:val="right" w:pos="8640"/>
              </w:tabs>
              <w:jc w:val="left"/>
            </w:pPr>
            <w:r>
              <w:t xml:space="preserve">In re: </w:t>
            </w:r>
            <w:bookmarkStart w:id="0" w:name="SSInRe"/>
            <w:bookmarkEnd w:id="0"/>
            <w:r>
              <w:t>Petition for determination of need for Dania Beach Clean Energy Center Unit 7, by Florida Power &amp; Light Company.</w:t>
            </w:r>
          </w:p>
        </w:tc>
        <w:tc>
          <w:tcPr>
            <w:tcW w:w="4788" w:type="dxa"/>
            <w:tcBorders>
              <w:left w:val="double" w:sz="6" w:space="0" w:color="auto"/>
            </w:tcBorders>
            <w:shd w:val="clear" w:color="auto" w:fill="auto"/>
          </w:tcPr>
          <w:p w:rsidR="00CF3EE6" w:rsidRDefault="00CF3EE6" w:rsidP="00CF3EE6">
            <w:pPr>
              <w:pStyle w:val="OrderBody"/>
            </w:pPr>
            <w:r>
              <w:t xml:space="preserve">DOCKET NO. </w:t>
            </w:r>
            <w:bookmarkStart w:id="1" w:name="SSDocketNo"/>
            <w:bookmarkEnd w:id="1"/>
            <w:r>
              <w:t>20170225-EI</w:t>
            </w:r>
          </w:p>
          <w:p w:rsidR="00CF3EE6" w:rsidRDefault="00CF3EE6" w:rsidP="00C63FCF">
            <w:pPr>
              <w:pStyle w:val="OrderBody"/>
              <w:tabs>
                <w:tab w:val="center" w:pos="4320"/>
                <w:tab w:val="right" w:pos="8640"/>
              </w:tabs>
              <w:jc w:val="left"/>
            </w:pPr>
            <w:r>
              <w:t xml:space="preserve">ORDER NO. </w:t>
            </w:r>
            <w:bookmarkStart w:id="2" w:name="OrderNo0447"/>
            <w:r w:rsidR="00D8655B">
              <w:t>PSC-2017-0447-PCO-EI</w:t>
            </w:r>
            <w:bookmarkEnd w:id="2"/>
          </w:p>
          <w:p w:rsidR="00CF3EE6" w:rsidRDefault="00CF3EE6" w:rsidP="00C63FCF">
            <w:pPr>
              <w:pStyle w:val="OrderBody"/>
              <w:tabs>
                <w:tab w:val="center" w:pos="4320"/>
                <w:tab w:val="right" w:pos="8640"/>
              </w:tabs>
              <w:jc w:val="left"/>
            </w:pPr>
            <w:r>
              <w:t xml:space="preserve">ISSUED: </w:t>
            </w:r>
            <w:r w:rsidR="00D8655B">
              <w:t>November 17, 2017</w:t>
            </w:r>
          </w:p>
        </w:tc>
      </w:tr>
    </w:tbl>
    <w:p w:rsidR="00CF3EE6" w:rsidRDefault="00CF3EE6" w:rsidP="00CF3EE6"/>
    <w:p w:rsidR="00CF3EE6" w:rsidRDefault="00CF3EE6" w:rsidP="00CF3EE6"/>
    <w:p w:rsidR="00CB5276" w:rsidRDefault="00CF3EE6" w:rsidP="00CF3EE6">
      <w:pPr>
        <w:pStyle w:val="CenterUnderline"/>
      </w:pPr>
      <w:bookmarkStart w:id="3" w:name="Commissioners"/>
      <w:bookmarkEnd w:id="3"/>
      <w:r>
        <w:t>ORDER</w:t>
      </w:r>
      <w:bookmarkStart w:id="4" w:name="OrderTitle"/>
      <w:r>
        <w:t xml:space="preserve"> </w:t>
      </w:r>
      <w:bookmarkEnd w:id="4"/>
      <w:r w:rsidR="004814D0">
        <w:t>ESTABLISHING ISSUES FOR HEARING</w:t>
      </w:r>
    </w:p>
    <w:p w:rsidR="008D5D8F" w:rsidRDefault="008D5D8F" w:rsidP="00CF3EE6">
      <w:pPr>
        <w:pStyle w:val="CenterUnderline"/>
      </w:pPr>
    </w:p>
    <w:p w:rsidR="008D5D8F" w:rsidRDefault="00F05538" w:rsidP="00497DB0">
      <w:pPr>
        <w:pStyle w:val="CenterUnderline"/>
        <w:jc w:val="both"/>
        <w:rPr>
          <w:u w:val="none"/>
        </w:rPr>
      </w:pPr>
      <w:r>
        <w:rPr>
          <w:u w:val="none"/>
        </w:rPr>
        <w:tab/>
      </w:r>
      <w:r w:rsidR="00EF7D52">
        <w:rPr>
          <w:u w:val="none"/>
        </w:rPr>
        <w:t xml:space="preserve">The Procedural Order issued in this Docket anticipated that </w:t>
      </w:r>
      <w:r w:rsidR="009A3181">
        <w:rPr>
          <w:u w:val="none"/>
        </w:rPr>
        <w:t xml:space="preserve">the </w:t>
      </w:r>
      <w:r w:rsidR="00EF7D52">
        <w:rPr>
          <w:u w:val="none"/>
        </w:rPr>
        <w:t>issues would be memorialized in a subsequent order</w:t>
      </w:r>
      <w:r w:rsidR="00497DB0">
        <w:rPr>
          <w:u w:val="none"/>
        </w:rPr>
        <w:t>.</w:t>
      </w:r>
      <w:r w:rsidR="00160A0D">
        <w:rPr>
          <w:rStyle w:val="FootnoteReference"/>
          <w:u w:val="none"/>
        </w:rPr>
        <w:footnoteReference w:id="1"/>
      </w:r>
      <w:r w:rsidR="00497DB0">
        <w:rPr>
          <w:u w:val="none"/>
        </w:rPr>
        <w:t xml:space="preserve"> </w:t>
      </w:r>
      <w:r w:rsidR="004814D0">
        <w:rPr>
          <w:u w:val="none"/>
        </w:rPr>
        <w:t>The parties have agreed on the issues as set forth below</w:t>
      </w:r>
      <w:r>
        <w:rPr>
          <w:u w:val="none"/>
        </w:rPr>
        <w:t>:</w:t>
      </w:r>
    </w:p>
    <w:p w:rsidR="00F05538" w:rsidRDefault="00F05538" w:rsidP="00497DB0">
      <w:pPr>
        <w:pStyle w:val="CenterUnderline"/>
        <w:jc w:val="both"/>
        <w:rPr>
          <w:u w:val="none"/>
        </w:rPr>
      </w:pPr>
    </w:p>
    <w:p w:rsidR="00F05538" w:rsidRDefault="00F05538" w:rsidP="00497DB0">
      <w:pPr>
        <w:pStyle w:val="CenterUnderline"/>
        <w:jc w:val="both"/>
        <w:rPr>
          <w:u w:val="none"/>
        </w:rPr>
      </w:pPr>
    </w:p>
    <w:p w:rsidR="008D5D8F" w:rsidRPr="008D5D8F" w:rsidRDefault="008D5D8F" w:rsidP="00A229B7">
      <w:pPr>
        <w:jc w:val="both"/>
        <w:rPr>
          <w:rFonts w:eastAsiaTheme="minorHAnsi"/>
        </w:rPr>
      </w:pPr>
      <w:r w:rsidRPr="008D5D8F">
        <w:rPr>
          <w:rFonts w:eastAsiaTheme="minorHAnsi"/>
          <w:b/>
          <w:bCs/>
          <w:u w:val="single"/>
        </w:rPr>
        <w:t>Issue 1</w:t>
      </w:r>
      <w:r w:rsidRPr="008D5D8F">
        <w:rPr>
          <w:rFonts w:eastAsiaTheme="minorHAnsi"/>
        </w:rPr>
        <w:t>:  Is there a need for the proposed Dania Beach Clean Energy Center Unit 7, taking into account the need for electric system reliability and integrity, as this criterion is used in Section 403.519(3), Florida Statutes?</w:t>
      </w:r>
    </w:p>
    <w:p w:rsidR="008D5D8F" w:rsidRPr="008D5D8F" w:rsidRDefault="008D5D8F" w:rsidP="00A229B7">
      <w:pPr>
        <w:jc w:val="both"/>
        <w:rPr>
          <w:rFonts w:eastAsiaTheme="minorHAnsi"/>
          <w:b/>
          <w:bCs/>
          <w:u w:val="single"/>
        </w:rPr>
      </w:pPr>
    </w:p>
    <w:p w:rsidR="008D5D8F" w:rsidRPr="008D5D8F" w:rsidRDefault="008D5D8F" w:rsidP="00A229B7">
      <w:pPr>
        <w:jc w:val="both"/>
        <w:rPr>
          <w:rFonts w:eastAsiaTheme="minorHAnsi"/>
        </w:rPr>
      </w:pPr>
      <w:r w:rsidRPr="008D5D8F">
        <w:rPr>
          <w:rFonts w:eastAsiaTheme="minorHAnsi"/>
          <w:b/>
          <w:bCs/>
          <w:u w:val="single"/>
        </w:rPr>
        <w:t>Issue 2</w:t>
      </w:r>
      <w:r w:rsidRPr="008D5D8F">
        <w:rPr>
          <w:rFonts w:eastAsiaTheme="minorHAnsi"/>
        </w:rPr>
        <w:t>:  Are there any renewable energy sources and technologies or conservation measures taken by or reasonably available to Florida Power &amp; Light, which might mitigate the need for the proposed Dania Beach Clean Energy Center Unit 7?</w:t>
      </w:r>
    </w:p>
    <w:p w:rsidR="008D5D8F" w:rsidRPr="008D5D8F" w:rsidRDefault="008D5D8F" w:rsidP="00A229B7">
      <w:pPr>
        <w:jc w:val="both"/>
        <w:rPr>
          <w:rFonts w:eastAsiaTheme="minorHAnsi"/>
          <w:b/>
          <w:bCs/>
          <w:u w:val="single"/>
        </w:rPr>
      </w:pPr>
    </w:p>
    <w:p w:rsidR="008D5D8F" w:rsidRPr="008D5D8F" w:rsidRDefault="008D5D8F" w:rsidP="00A229B7">
      <w:pPr>
        <w:jc w:val="both"/>
        <w:rPr>
          <w:rFonts w:eastAsiaTheme="minorHAnsi"/>
        </w:rPr>
      </w:pPr>
      <w:r w:rsidRPr="008D5D8F">
        <w:rPr>
          <w:rFonts w:eastAsiaTheme="minorHAnsi"/>
          <w:b/>
          <w:bCs/>
          <w:u w:val="single"/>
        </w:rPr>
        <w:t>Issue 3</w:t>
      </w:r>
      <w:r w:rsidRPr="008D5D8F">
        <w:rPr>
          <w:rFonts w:eastAsiaTheme="minorHAnsi"/>
        </w:rPr>
        <w:t>:  Is there a need for the proposed Dania Beach Clean Energy Center Unit 7, taking into account the need for adequate electricity at a reasonable cost, as this criterion is used in Section 403.519(3), Florida Statutes?</w:t>
      </w:r>
    </w:p>
    <w:p w:rsidR="008D5D8F" w:rsidRPr="008D5D8F" w:rsidRDefault="008D5D8F" w:rsidP="00A229B7">
      <w:pPr>
        <w:jc w:val="both"/>
        <w:rPr>
          <w:rFonts w:eastAsiaTheme="minorHAnsi"/>
          <w:b/>
          <w:bCs/>
          <w:u w:val="single"/>
        </w:rPr>
      </w:pPr>
    </w:p>
    <w:p w:rsidR="008D5D8F" w:rsidRPr="008D5D8F" w:rsidRDefault="008D5D8F" w:rsidP="00A229B7">
      <w:pPr>
        <w:jc w:val="both"/>
        <w:rPr>
          <w:rFonts w:eastAsiaTheme="minorHAnsi"/>
        </w:rPr>
      </w:pPr>
      <w:r w:rsidRPr="008D5D8F">
        <w:rPr>
          <w:rFonts w:eastAsiaTheme="minorHAnsi"/>
          <w:b/>
          <w:bCs/>
          <w:u w:val="single"/>
        </w:rPr>
        <w:t>Issue 4</w:t>
      </w:r>
      <w:r w:rsidRPr="008D5D8F">
        <w:rPr>
          <w:rFonts w:eastAsiaTheme="minorHAnsi"/>
        </w:rPr>
        <w:t>:  Is there a need for the proposed Dania Beach Clean Energy Center Unit 7, taking into account the need for fuel diversity and supply reliability, as this criterion is used in Section 403.519(3), Florida Statutes?</w:t>
      </w:r>
    </w:p>
    <w:p w:rsidR="008D5D8F" w:rsidRPr="008D5D8F" w:rsidRDefault="008D5D8F" w:rsidP="00A229B7">
      <w:pPr>
        <w:jc w:val="both"/>
        <w:rPr>
          <w:rFonts w:eastAsiaTheme="minorHAnsi"/>
          <w:b/>
          <w:bCs/>
          <w:u w:val="single"/>
        </w:rPr>
      </w:pPr>
    </w:p>
    <w:p w:rsidR="008D5D8F" w:rsidRPr="008D5D8F" w:rsidRDefault="008D5D8F" w:rsidP="00A229B7">
      <w:pPr>
        <w:jc w:val="both"/>
        <w:rPr>
          <w:rFonts w:eastAsiaTheme="minorHAnsi"/>
        </w:rPr>
      </w:pPr>
      <w:r w:rsidRPr="008D5D8F">
        <w:rPr>
          <w:rFonts w:eastAsiaTheme="minorHAnsi"/>
          <w:b/>
          <w:bCs/>
          <w:u w:val="single"/>
        </w:rPr>
        <w:t>Issue 5</w:t>
      </w:r>
      <w:r w:rsidRPr="008D5D8F">
        <w:rPr>
          <w:rFonts w:eastAsiaTheme="minorHAnsi"/>
        </w:rPr>
        <w:t>:  Will the proposed Dania Beach Clean Energy Center Unit 7 provide the most cost-effective alternative available, as this criterion is used in Section 403.519(3), Florida Statutes?</w:t>
      </w:r>
    </w:p>
    <w:p w:rsidR="008D5D8F" w:rsidRPr="008D5D8F" w:rsidRDefault="008D5D8F" w:rsidP="00A229B7">
      <w:pPr>
        <w:jc w:val="both"/>
        <w:rPr>
          <w:rFonts w:eastAsiaTheme="minorHAnsi"/>
          <w:b/>
          <w:bCs/>
          <w:u w:val="single"/>
        </w:rPr>
      </w:pPr>
    </w:p>
    <w:p w:rsidR="008D5D8F" w:rsidRPr="008D5D8F" w:rsidRDefault="008D5D8F" w:rsidP="00A229B7">
      <w:pPr>
        <w:jc w:val="both"/>
        <w:rPr>
          <w:rFonts w:eastAsiaTheme="minorHAnsi"/>
        </w:rPr>
      </w:pPr>
      <w:r w:rsidRPr="004814D0">
        <w:rPr>
          <w:rFonts w:eastAsiaTheme="minorHAnsi"/>
          <w:b/>
          <w:bCs/>
          <w:u w:val="single"/>
        </w:rPr>
        <w:t>Issue 6</w:t>
      </w:r>
      <w:r w:rsidRPr="004814D0">
        <w:rPr>
          <w:rFonts w:eastAsiaTheme="minorHAnsi"/>
        </w:rPr>
        <w:t>:</w:t>
      </w:r>
      <w:r w:rsidRPr="008D5D8F">
        <w:rPr>
          <w:rFonts w:eastAsiaTheme="minorHAnsi"/>
        </w:rPr>
        <w:t>  Based on the resolution of the foregoing issues</w:t>
      </w:r>
      <w:r w:rsidR="004814D0">
        <w:rPr>
          <w:rFonts w:eastAsiaTheme="minorHAnsi"/>
        </w:rPr>
        <w:t xml:space="preserve"> and other matters within its jurisdiction which it deems relevant</w:t>
      </w:r>
      <w:r w:rsidRPr="008D5D8F">
        <w:rPr>
          <w:rFonts w:eastAsiaTheme="minorHAnsi"/>
        </w:rPr>
        <w:t>, should the Commission grant Florida Power &amp; Light’s petition to determine the need for the proposed Dania Beach Clean Energy Center Unit 7?</w:t>
      </w:r>
    </w:p>
    <w:p w:rsidR="008D5D8F" w:rsidRPr="008D5D8F" w:rsidRDefault="008D5D8F" w:rsidP="00A229B7">
      <w:pPr>
        <w:jc w:val="both"/>
        <w:rPr>
          <w:rFonts w:eastAsiaTheme="minorHAnsi"/>
          <w:b/>
          <w:bCs/>
          <w:u w:val="single"/>
        </w:rPr>
      </w:pPr>
    </w:p>
    <w:p w:rsidR="008D5D8F" w:rsidRDefault="008D5D8F" w:rsidP="00A229B7">
      <w:pPr>
        <w:jc w:val="both"/>
        <w:rPr>
          <w:rFonts w:eastAsiaTheme="minorHAnsi"/>
        </w:rPr>
      </w:pPr>
      <w:r w:rsidRPr="008D5D8F">
        <w:rPr>
          <w:rFonts w:eastAsiaTheme="minorHAnsi"/>
          <w:b/>
          <w:bCs/>
          <w:u w:val="single"/>
        </w:rPr>
        <w:t>Issue 7</w:t>
      </w:r>
      <w:r w:rsidRPr="008D5D8F">
        <w:rPr>
          <w:rFonts w:eastAsiaTheme="minorHAnsi"/>
        </w:rPr>
        <w:t>:  Should this docket be closed?</w:t>
      </w:r>
    </w:p>
    <w:p w:rsidR="00EF7D52" w:rsidRDefault="00EF7D52" w:rsidP="00A229B7">
      <w:pPr>
        <w:jc w:val="both"/>
        <w:rPr>
          <w:rFonts w:eastAsiaTheme="minorHAnsi"/>
        </w:rPr>
      </w:pPr>
    </w:p>
    <w:p w:rsidR="00EF7D52" w:rsidRPr="008D5D8F" w:rsidRDefault="00EF7D52" w:rsidP="00A229B7">
      <w:pPr>
        <w:jc w:val="both"/>
        <w:rPr>
          <w:rFonts w:eastAsiaTheme="minorHAnsi"/>
        </w:rPr>
      </w:pPr>
      <w:r>
        <w:rPr>
          <w:rFonts w:eastAsiaTheme="minorHAnsi"/>
        </w:rPr>
        <w:tab/>
        <w:t>The scope of the administrative hearing in this proceeding shall be based upon these issues and any other appropriate issues, raised by the parties up to and during the Prehearing Conference, unless modified by the Prehearing Officer.</w:t>
      </w:r>
    </w:p>
    <w:p w:rsidR="00CF3EE6" w:rsidRDefault="00CF3EE6" w:rsidP="00497DB0">
      <w:pPr>
        <w:pStyle w:val="OrderBody"/>
        <w:keepNext/>
        <w:keepLines/>
        <w:tabs>
          <w:tab w:val="left" w:pos="1350"/>
        </w:tabs>
      </w:pPr>
    </w:p>
    <w:p w:rsidR="00080A63" w:rsidRDefault="00080A63">
      <w:r>
        <w:br w:type="page"/>
      </w:r>
    </w:p>
    <w:p w:rsidR="00E85BB7" w:rsidRDefault="00E85BB7" w:rsidP="00497DB0">
      <w:pPr>
        <w:pStyle w:val="OrderBody"/>
        <w:keepNext/>
        <w:keepLines/>
        <w:tabs>
          <w:tab w:val="left" w:pos="1350"/>
        </w:tabs>
      </w:pPr>
    </w:p>
    <w:p w:rsidR="006B0F86" w:rsidRDefault="006B0F86" w:rsidP="006B0F86">
      <w:pPr>
        <w:pStyle w:val="OrderBody"/>
      </w:pPr>
      <w:r>
        <w:t>Based on the foregoing, it is</w:t>
      </w:r>
    </w:p>
    <w:p w:rsidR="006B0F86" w:rsidRDefault="006B0F86" w:rsidP="006B0F86">
      <w:pPr>
        <w:pStyle w:val="OrderBody"/>
      </w:pPr>
    </w:p>
    <w:p w:rsidR="006B0F86" w:rsidRPr="008A2FE8" w:rsidRDefault="006B0F86" w:rsidP="006B0F86">
      <w:pPr>
        <w:jc w:val="both"/>
      </w:pPr>
      <w:r w:rsidRPr="008A2FE8">
        <w:tab/>
        <w:t xml:space="preserve">ORDERED by Commissioner Gary </w:t>
      </w:r>
      <w:r>
        <w:t>F. Clark as Prehearing Officer,</w:t>
      </w:r>
      <w:r w:rsidRPr="008A2FE8">
        <w:t xml:space="preserve"> that the issues in the Docket are set forth in the body of this order. </w:t>
      </w:r>
    </w:p>
    <w:p w:rsidR="006B0F86" w:rsidRDefault="006B0F86" w:rsidP="006B0F86">
      <w:pPr>
        <w:pStyle w:val="OrderBody"/>
        <w:keepNext/>
        <w:keepLines/>
      </w:pPr>
    </w:p>
    <w:p w:rsidR="006B0F86" w:rsidRDefault="006B0F86" w:rsidP="006B0F86">
      <w:pPr>
        <w:pStyle w:val="OrderBody"/>
        <w:keepNext/>
        <w:keepLines/>
        <w:ind w:firstLine="720"/>
      </w:pPr>
      <w:r>
        <w:t xml:space="preserve">By ORDER of Commissioner Gary F. Clark, as Prehearing Officer, this </w:t>
      </w:r>
      <w:bookmarkStart w:id="5" w:name="replaceDate"/>
      <w:bookmarkEnd w:id="5"/>
      <w:r w:rsidR="00D8655B">
        <w:rPr>
          <w:u w:val="single"/>
        </w:rPr>
        <w:t>17th</w:t>
      </w:r>
      <w:r w:rsidR="00D8655B">
        <w:t xml:space="preserve"> day of </w:t>
      </w:r>
      <w:r w:rsidR="00D8655B">
        <w:rPr>
          <w:u w:val="single"/>
        </w:rPr>
        <w:t>November</w:t>
      </w:r>
      <w:r w:rsidR="00D8655B">
        <w:t xml:space="preserve">, </w:t>
      </w:r>
      <w:r w:rsidR="00D8655B">
        <w:rPr>
          <w:u w:val="single"/>
        </w:rPr>
        <w:t>2017</w:t>
      </w:r>
      <w:r w:rsidR="00D8655B">
        <w:t>.</w:t>
      </w:r>
    </w:p>
    <w:p w:rsidR="00D8655B" w:rsidRPr="00D8655B" w:rsidRDefault="00D8655B" w:rsidP="006B0F86">
      <w:pPr>
        <w:pStyle w:val="OrderBody"/>
        <w:keepNext/>
        <w:keepLines/>
        <w:ind w:firstLine="720"/>
      </w:pPr>
    </w:p>
    <w:p w:rsidR="006B0F86" w:rsidRDefault="006B0F86" w:rsidP="006B0F86">
      <w:pPr>
        <w:pStyle w:val="OrderBody"/>
        <w:keepNext/>
        <w:keepLines/>
      </w:pPr>
    </w:p>
    <w:p w:rsidR="006B0F86" w:rsidRDefault="006B0F86" w:rsidP="006B0F86">
      <w:pPr>
        <w:pStyle w:val="OrderBody"/>
        <w:keepNext/>
        <w:keepLines/>
      </w:pPr>
    </w:p>
    <w:p w:rsidR="006B0F86" w:rsidRDefault="006B0F86" w:rsidP="006B0F86">
      <w:pPr>
        <w:pStyle w:val="OrderBody"/>
        <w:keepNext/>
        <w:keepLines/>
      </w:pPr>
    </w:p>
    <w:p w:rsidR="006B0F86" w:rsidRDefault="006B0F86" w:rsidP="006B0F8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B0F86" w:rsidTr="002533FB">
        <w:tc>
          <w:tcPr>
            <w:tcW w:w="720" w:type="dxa"/>
            <w:shd w:val="clear" w:color="auto" w:fill="auto"/>
          </w:tcPr>
          <w:p w:rsidR="006B0F86" w:rsidRDefault="006B0F86" w:rsidP="002533FB">
            <w:pPr>
              <w:pStyle w:val="OrderBody"/>
              <w:keepNext/>
              <w:keepLines/>
            </w:pPr>
            <w:bookmarkStart w:id="6" w:name="bkmrkSignature" w:colFirst="0" w:colLast="0"/>
          </w:p>
        </w:tc>
        <w:tc>
          <w:tcPr>
            <w:tcW w:w="4320" w:type="dxa"/>
            <w:tcBorders>
              <w:bottom w:val="single" w:sz="4" w:space="0" w:color="auto"/>
            </w:tcBorders>
            <w:shd w:val="clear" w:color="auto" w:fill="auto"/>
          </w:tcPr>
          <w:p w:rsidR="006B0F86" w:rsidRDefault="00D8655B" w:rsidP="002533FB">
            <w:pPr>
              <w:pStyle w:val="OrderBody"/>
              <w:keepNext/>
              <w:keepLines/>
            </w:pPr>
            <w:r>
              <w:t>/s/ Gary F. Clark</w:t>
            </w:r>
          </w:p>
        </w:tc>
      </w:tr>
      <w:bookmarkEnd w:id="6"/>
      <w:tr w:rsidR="006B0F86" w:rsidTr="002533FB">
        <w:tc>
          <w:tcPr>
            <w:tcW w:w="720" w:type="dxa"/>
            <w:shd w:val="clear" w:color="auto" w:fill="auto"/>
          </w:tcPr>
          <w:p w:rsidR="006B0F86" w:rsidRDefault="006B0F86" w:rsidP="002533FB">
            <w:pPr>
              <w:pStyle w:val="OrderBody"/>
              <w:keepNext/>
              <w:keepLines/>
            </w:pPr>
          </w:p>
        </w:tc>
        <w:tc>
          <w:tcPr>
            <w:tcW w:w="4320" w:type="dxa"/>
            <w:tcBorders>
              <w:top w:val="single" w:sz="4" w:space="0" w:color="auto"/>
            </w:tcBorders>
            <w:shd w:val="clear" w:color="auto" w:fill="auto"/>
          </w:tcPr>
          <w:p w:rsidR="006B0F86" w:rsidRDefault="006B0F86" w:rsidP="002533FB">
            <w:pPr>
              <w:pStyle w:val="OrderBody"/>
              <w:keepNext/>
              <w:keepLines/>
            </w:pPr>
            <w:r>
              <w:t>GARY F. CLARK</w:t>
            </w:r>
          </w:p>
          <w:p w:rsidR="006B0F86" w:rsidRDefault="006B0F86" w:rsidP="002533FB">
            <w:pPr>
              <w:pStyle w:val="OrderBody"/>
              <w:keepNext/>
              <w:keepLines/>
            </w:pPr>
            <w:r>
              <w:t>Commissioner and Prehearing Officer</w:t>
            </w:r>
          </w:p>
        </w:tc>
      </w:tr>
    </w:tbl>
    <w:p w:rsidR="006B0F86" w:rsidRDefault="006B0F86" w:rsidP="006B0F86">
      <w:pPr>
        <w:pStyle w:val="OrderSigInfo"/>
        <w:keepNext/>
        <w:keepLines/>
      </w:pPr>
      <w:r>
        <w:t>Florida Public Service Commission</w:t>
      </w:r>
    </w:p>
    <w:p w:rsidR="006B0F86" w:rsidRDefault="006B0F86" w:rsidP="006B0F86">
      <w:pPr>
        <w:pStyle w:val="OrderSigInfo"/>
        <w:keepNext/>
        <w:keepLines/>
      </w:pPr>
      <w:r>
        <w:t>2540 Shumard Oak Boulevard</w:t>
      </w:r>
    </w:p>
    <w:p w:rsidR="006B0F86" w:rsidRDefault="006B0F86" w:rsidP="006B0F86">
      <w:pPr>
        <w:pStyle w:val="OrderSigInfo"/>
        <w:keepNext/>
        <w:keepLines/>
      </w:pPr>
      <w:r>
        <w:t>Tallahassee, Florida  32399</w:t>
      </w:r>
    </w:p>
    <w:p w:rsidR="006B0F86" w:rsidRDefault="006B0F86" w:rsidP="006B0F86">
      <w:pPr>
        <w:pStyle w:val="OrderSigInfo"/>
        <w:keepNext/>
        <w:keepLines/>
      </w:pPr>
      <w:r>
        <w:t>(850) 413</w:t>
      </w:r>
      <w:r>
        <w:noBreakHyphen/>
        <w:t>6770</w:t>
      </w:r>
    </w:p>
    <w:p w:rsidR="006B0F86" w:rsidRDefault="006B0F86" w:rsidP="006B0F86">
      <w:pPr>
        <w:pStyle w:val="OrderSigInfo"/>
        <w:keepNext/>
        <w:keepLines/>
      </w:pPr>
      <w:r>
        <w:t>www.floridapsc.com</w:t>
      </w:r>
    </w:p>
    <w:p w:rsidR="006B0F86" w:rsidRDefault="006B0F86" w:rsidP="006B0F86">
      <w:pPr>
        <w:pStyle w:val="OrderSigInfo"/>
        <w:keepNext/>
        <w:keepLines/>
      </w:pPr>
    </w:p>
    <w:p w:rsidR="006B0F86" w:rsidRDefault="006B0F86" w:rsidP="006B0F86">
      <w:pPr>
        <w:pStyle w:val="OrderSigInfo"/>
        <w:keepNext/>
        <w:keepLines/>
      </w:pPr>
      <w:r>
        <w:t>Copies furnished:  A copy of this document is provided to the parties of record at the time of issuance and, if applicable, interested persons.</w:t>
      </w:r>
    </w:p>
    <w:p w:rsidR="006B0F86" w:rsidRDefault="006B0F86" w:rsidP="006B0F86">
      <w:pPr>
        <w:pStyle w:val="OrderBody"/>
        <w:keepNext/>
        <w:keepLines/>
      </w:pPr>
    </w:p>
    <w:p w:rsidR="006B0F86" w:rsidRDefault="006B0F86" w:rsidP="006B0F86">
      <w:pPr>
        <w:pStyle w:val="OrderBody"/>
        <w:keepNext/>
        <w:keepLines/>
      </w:pPr>
    </w:p>
    <w:p w:rsidR="006B0F86" w:rsidRDefault="006B0F86" w:rsidP="006B0F86">
      <w:pPr>
        <w:pStyle w:val="OrderBody"/>
        <w:keepNext/>
        <w:keepLines/>
      </w:pPr>
      <w:r>
        <w:t>SAC</w:t>
      </w:r>
    </w:p>
    <w:p w:rsidR="006B0F86" w:rsidRDefault="006B0F86" w:rsidP="006B0F86">
      <w:pPr>
        <w:pStyle w:val="OrderBody"/>
        <w:keepNext/>
        <w:keepLines/>
      </w:pPr>
    </w:p>
    <w:p w:rsidR="006B0F86" w:rsidRDefault="006B0F86" w:rsidP="006B0F86">
      <w:pPr>
        <w:pStyle w:val="OrderBody"/>
      </w:pPr>
      <w:bookmarkStart w:id="7" w:name="_GoBack"/>
      <w:bookmarkEnd w:id="7"/>
    </w:p>
    <w:p w:rsidR="006B0F86" w:rsidRDefault="006B0F86" w:rsidP="006B0F86">
      <w:pPr>
        <w:pStyle w:val="CenterUnderline"/>
      </w:pPr>
      <w:r>
        <w:t>NOTICE OF FURTHER PROCEEDINGS OR JUDICIAL REVIEW</w:t>
      </w:r>
    </w:p>
    <w:p w:rsidR="006B0F86" w:rsidRDefault="006B0F86" w:rsidP="006B0F86">
      <w:pPr>
        <w:pStyle w:val="CenterUnderline"/>
        <w:jc w:val="both"/>
      </w:pPr>
    </w:p>
    <w:p w:rsidR="006B0F86" w:rsidRDefault="006B0F86" w:rsidP="006B0F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0F86" w:rsidRDefault="006B0F86" w:rsidP="006B0F86">
      <w:pPr>
        <w:pStyle w:val="OrderBody"/>
      </w:pPr>
    </w:p>
    <w:p w:rsidR="006B0F86" w:rsidRDefault="006B0F86" w:rsidP="006B0F86">
      <w:pPr>
        <w:pStyle w:val="OrderBody"/>
      </w:pPr>
      <w:r>
        <w:tab/>
        <w:t>Mediation may be available on a case-by-case basis.  If mediation is conducted, it does not affect a substantially interested person's right to a hearing.</w:t>
      </w:r>
    </w:p>
    <w:p w:rsidR="006B0F86" w:rsidRDefault="006B0F86" w:rsidP="006B0F86">
      <w:pPr>
        <w:pStyle w:val="OrderBody"/>
      </w:pPr>
    </w:p>
    <w:p w:rsidR="00CF3EE6" w:rsidRDefault="006B0F86" w:rsidP="006B0F86">
      <w:pPr>
        <w:jc w:val="both"/>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 xml:space="preserve">the case of an electric, gas or telephone utility, or the First District Court of Appeal, in the case </w:t>
      </w:r>
      <w:r w:rsidR="00CF3EE6">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F3EE6" w:rsidRDefault="00CF3EE6" w:rsidP="00497DB0">
      <w:pPr>
        <w:pStyle w:val="OrderBody"/>
      </w:pPr>
    </w:p>
    <w:p w:rsidR="00CF3EE6" w:rsidRDefault="00CF3EE6" w:rsidP="00497DB0">
      <w:pPr>
        <w:pStyle w:val="OrderBody"/>
      </w:pPr>
    </w:p>
    <w:p w:rsidR="00CF3EE6" w:rsidRPr="00CF3EE6" w:rsidRDefault="00CF3EE6" w:rsidP="00CF3EE6">
      <w:pPr>
        <w:pStyle w:val="OrderBody"/>
      </w:pPr>
    </w:p>
    <w:p w:rsidR="00CF3EE6" w:rsidRDefault="00CF3EE6" w:rsidP="00CF3EE6">
      <w:pPr>
        <w:pStyle w:val="OrderBody"/>
      </w:pPr>
    </w:p>
    <w:p w:rsidR="00CF3EE6" w:rsidRDefault="00CF3EE6" w:rsidP="00CF3EE6">
      <w:pPr>
        <w:pStyle w:val="OrderBody"/>
      </w:pPr>
    </w:p>
    <w:p w:rsidR="00CF3EE6" w:rsidRDefault="00CF3EE6" w:rsidP="00CF3EE6">
      <w:pPr>
        <w:pStyle w:val="OrderBody"/>
      </w:pPr>
    </w:p>
    <w:p w:rsidR="00CF3EE6" w:rsidRDefault="00CF3EE6" w:rsidP="00CF3EE6">
      <w:pPr>
        <w:pStyle w:val="OrderBody"/>
      </w:pPr>
    </w:p>
    <w:p w:rsidR="00CF3EE6" w:rsidRDefault="00CF3EE6" w:rsidP="00CF3EE6">
      <w:pPr>
        <w:pStyle w:val="OrderBody"/>
      </w:pPr>
    </w:p>
    <w:p w:rsidR="00CF3EE6" w:rsidRDefault="00CF3EE6" w:rsidP="00CF3EE6">
      <w:pPr>
        <w:pStyle w:val="OrderBody"/>
      </w:pPr>
    </w:p>
    <w:p w:rsidR="00CF3EE6" w:rsidRDefault="00CF3EE6" w:rsidP="00CF3EE6">
      <w:pPr>
        <w:pStyle w:val="OrderBody"/>
      </w:pPr>
    </w:p>
    <w:p w:rsidR="00CB5276" w:rsidRDefault="00CB5276">
      <w:pPr>
        <w:pStyle w:val="OrderBody"/>
      </w:pPr>
      <w:bookmarkStart w:id="8" w:name="OrderText"/>
      <w:bookmarkEnd w:id="8"/>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EE6" w:rsidRDefault="00CF3EE6">
      <w:r>
        <w:separator/>
      </w:r>
    </w:p>
  </w:endnote>
  <w:endnote w:type="continuationSeparator" w:id="0">
    <w:p w:rsidR="00CF3EE6" w:rsidRDefault="00CF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EE6" w:rsidRDefault="00CF3EE6">
      <w:r>
        <w:separator/>
      </w:r>
    </w:p>
  </w:footnote>
  <w:footnote w:type="continuationSeparator" w:id="0">
    <w:p w:rsidR="00CF3EE6" w:rsidRDefault="00CF3EE6">
      <w:r>
        <w:continuationSeparator/>
      </w:r>
    </w:p>
  </w:footnote>
  <w:footnote w:id="1">
    <w:p w:rsidR="00160A0D" w:rsidRDefault="00160A0D">
      <w:pPr>
        <w:pStyle w:val="FootnoteText"/>
      </w:pPr>
      <w:r>
        <w:rPr>
          <w:rStyle w:val="FootnoteReference"/>
        </w:rPr>
        <w:footnoteRef/>
      </w:r>
      <w:r>
        <w:t xml:space="preserve"> Order No. PSC-2017-0426-PCO-EI, issued in this Docket on November 6, 2017, at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67D3A">
      <w:fldChar w:fldCharType="begin"/>
    </w:r>
    <w:r w:rsidR="00167D3A">
      <w:instrText xml:space="preserve"> REF OrderNo0447 </w:instrText>
    </w:r>
    <w:r w:rsidR="00167D3A">
      <w:fldChar w:fldCharType="separate"/>
    </w:r>
    <w:r w:rsidR="00E17BBD">
      <w:t>PSC-2017-0447-PCO-EI</w:t>
    </w:r>
    <w:r w:rsidR="00167D3A">
      <w:fldChar w:fldCharType="end"/>
    </w:r>
  </w:p>
  <w:p w:rsidR="00FA6EFD" w:rsidRDefault="00CF3EE6">
    <w:pPr>
      <w:pStyle w:val="OrderHeader"/>
    </w:pPr>
    <w:bookmarkStart w:id="9" w:name="HeaderDocketNo"/>
    <w:bookmarkEnd w:id="9"/>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7D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CF3EE6"/>
    <w:rsid w:val="000022B8"/>
    <w:rsid w:val="00043C3E"/>
    <w:rsid w:val="00053AB9"/>
    <w:rsid w:val="00056229"/>
    <w:rsid w:val="00065FC2"/>
    <w:rsid w:val="00067685"/>
    <w:rsid w:val="00076E6B"/>
    <w:rsid w:val="00080A63"/>
    <w:rsid w:val="0008247D"/>
    <w:rsid w:val="00090AFC"/>
    <w:rsid w:val="000A6BF0"/>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60A0D"/>
    <w:rsid w:val="00167D3A"/>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06EB8"/>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578B"/>
    <w:rsid w:val="00457DC7"/>
    <w:rsid w:val="00472BCC"/>
    <w:rsid w:val="004814D0"/>
    <w:rsid w:val="00497DB0"/>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51F9"/>
    <w:rsid w:val="00556A10"/>
    <w:rsid w:val="00590845"/>
    <w:rsid w:val="005963C2"/>
    <w:rsid w:val="005A0D69"/>
    <w:rsid w:val="005B45F7"/>
    <w:rsid w:val="005B63EA"/>
    <w:rsid w:val="005C1A88"/>
    <w:rsid w:val="005C5033"/>
    <w:rsid w:val="005E751B"/>
    <w:rsid w:val="005F7910"/>
    <w:rsid w:val="00610E73"/>
    <w:rsid w:val="0063168D"/>
    <w:rsid w:val="00660774"/>
    <w:rsid w:val="0066389A"/>
    <w:rsid w:val="0066495C"/>
    <w:rsid w:val="00665CC7"/>
    <w:rsid w:val="006722AB"/>
    <w:rsid w:val="00672612"/>
    <w:rsid w:val="00677F18"/>
    <w:rsid w:val="006A0BF3"/>
    <w:rsid w:val="006B0DA6"/>
    <w:rsid w:val="006B0F86"/>
    <w:rsid w:val="006C547E"/>
    <w:rsid w:val="00704C5D"/>
    <w:rsid w:val="007072BC"/>
    <w:rsid w:val="00715275"/>
    <w:rsid w:val="00732B2C"/>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64CB"/>
    <w:rsid w:val="00847B45"/>
    <w:rsid w:val="00863A66"/>
    <w:rsid w:val="008703D7"/>
    <w:rsid w:val="00874429"/>
    <w:rsid w:val="00883D9A"/>
    <w:rsid w:val="008919EF"/>
    <w:rsid w:val="00892B20"/>
    <w:rsid w:val="008A12EC"/>
    <w:rsid w:val="008A2FE8"/>
    <w:rsid w:val="008C21C8"/>
    <w:rsid w:val="008C6375"/>
    <w:rsid w:val="008C6A5B"/>
    <w:rsid w:val="008D5D8F"/>
    <w:rsid w:val="008E26A5"/>
    <w:rsid w:val="008E42D2"/>
    <w:rsid w:val="009040EE"/>
    <w:rsid w:val="009057FD"/>
    <w:rsid w:val="00906FBA"/>
    <w:rsid w:val="009228C7"/>
    <w:rsid w:val="00922A7F"/>
    <w:rsid w:val="00923A5E"/>
    <w:rsid w:val="00931C8C"/>
    <w:rsid w:val="0094504B"/>
    <w:rsid w:val="0096742B"/>
    <w:rsid w:val="009924CF"/>
    <w:rsid w:val="00994100"/>
    <w:rsid w:val="009A3181"/>
    <w:rsid w:val="009A6B17"/>
    <w:rsid w:val="009D4C29"/>
    <w:rsid w:val="00A00D8D"/>
    <w:rsid w:val="00A126AE"/>
    <w:rsid w:val="00A229B7"/>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3A8C"/>
    <w:rsid w:val="00CE41E9"/>
    <w:rsid w:val="00CE56FC"/>
    <w:rsid w:val="00CF3EE6"/>
    <w:rsid w:val="00CF4CFE"/>
    <w:rsid w:val="00D02E0F"/>
    <w:rsid w:val="00D13535"/>
    <w:rsid w:val="00D23FEA"/>
    <w:rsid w:val="00D269CA"/>
    <w:rsid w:val="00D30B48"/>
    <w:rsid w:val="00D46FAA"/>
    <w:rsid w:val="00D47A40"/>
    <w:rsid w:val="00D51D33"/>
    <w:rsid w:val="00D57BB2"/>
    <w:rsid w:val="00D57E57"/>
    <w:rsid w:val="00D70752"/>
    <w:rsid w:val="00D8560E"/>
    <w:rsid w:val="00D8655B"/>
    <w:rsid w:val="00D8758F"/>
    <w:rsid w:val="00DA6B78"/>
    <w:rsid w:val="00DC1D94"/>
    <w:rsid w:val="00DC42CF"/>
    <w:rsid w:val="00DE057F"/>
    <w:rsid w:val="00DE2082"/>
    <w:rsid w:val="00DE2289"/>
    <w:rsid w:val="00E03A76"/>
    <w:rsid w:val="00E04410"/>
    <w:rsid w:val="00E11351"/>
    <w:rsid w:val="00E17BBD"/>
    <w:rsid w:val="00E75AE0"/>
    <w:rsid w:val="00E83C1F"/>
    <w:rsid w:val="00E85BB7"/>
    <w:rsid w:val="00EA172C"/>
    <w:rsid w:val="00EA259B"/>
    <w:rsid w:val="00EA35A3"/>
    <w:rsid w:val="00EA3E6A"/>
    <w:rsid w:val="00EB18EF"/>
    <w:rsid w:val="00EB7951"/>
    <w:rsid w:val="00EE17DF"/>
    <w:rsid w:val="00EF4621"/>
    <w:rsid w:val="00EF6312"/>
    <w:rsid w:val="00EF7D52"/>
    <w:rsid w:val="00F05538"/>
    <w:rsid w:val="00F234A7"/>
    <w:rsid w:val="00F277B6"/>
    <w:rsid w:val="00F54380"/>
    <w:rsid w:val="00F54B47"/>
    <w:rsid w:val="00F6702E"/>
    <w:rsid w:val="00F70E84"/>
    <w:rsid w:val="00F80815"/>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EndnoteText">
    <w:name w:val="endnote text"/>
    <w:basedOn w:val="Normal"/>
    <w:link w:val="EndnoteTextChar"/>
    <w:rsid w:val="00EF7D52"/>
    <w:rPr>
      <w:sz w:val="20"/>
      <w:szCs w:val="20"/>
    </w:rPr>
  </w:style>
  <w:style w:type="character" w:customStyle="1" w:styleId="EndnoteTextChar">
    <w:name w:val="Endnote Text Char"/>
    <w:basedOn w:val="DefaultParagraphFont"/>
    <w:link w:val="EndnoteText"/>
    <w:rsid w:val="00EF7D52"/>
  </w:style>
  <w:style w:type="character" w:styleId="EndnoteReference">
    <w:name w:val="endnote reference"/>
    <w:basedOn w:val="DefaultParagraphFont"/>
    <w:rsid w:val="00EF7D52"/>
    <w:rPr>
      <w:vertAlign w:val="superscript"/>
    </w:rPr>
  </w:style>
  <w:style w:type="paragraph" w:styleId="BalloonText">
    <w:name w:val="Balloon Text"/>
    <w:basedOn w:val="Normal"/>
    <w:link w:val="BalloonTextChar"/>
    <w:rsid w:val="00080A63"/>
    <w:rPr>
      <w:rFonts w:ascii="Tahoma" w:hAnsi="Tahoma" w:cs="Tahoma"/>
      <w:sz w:val="16"/>
      <w:szCs w:val="16"/>
    </w:rPr>
  </w:style>
  <w:style w:type="character" w:customStyle="1" w:styleId="BalloonTextChar">
    <w:name w:val="Balloon Text Char"/>
    <w:basedOn w:val="DefaultParagraphFont"/>
    <w:link w:val="BalloonText"/>
    <w:rsid w:val="00080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EndnoteText">
    <w:name w:val="endnote text"/>
    <w:basedOn w:val="Normal"/>
    <w:link w:val="EndnoteTextChar"/>
    <w:rsid w:val="00EF7D52"/>
    <w:rPr>
      <w:sz w:val="20"/>
      <w:szCs w:val="20"/>
    </w:rPr>
  </w:style>
  <w:style w:type="character" w:customStyle="1" w:styleId="EndnoteTextChar">
    <w:name w:val="Endnote Text Char"/>
    <w:basedOn w:val="DefaultParagraphFont"/>
    <w:link w:val="EndnoteText"/>
    <w:rsid w:val="00EF7D52"/>
  </w:style>
  <w:style w:type="character" w:styleId="EndnoteReference">
    <w:name w:val="endnote reference"/>
    <w:basedOn w:val="DefaultParagraphFont"/>
    <w:rsid w:val="00EF7D52"/>
    <w:rPr>
      <w:vertAlign w:val="superscript"/>
    </w:rPr>
  </w:style>
  <w:style w:type="paragraph" w:styleId="BalloonText">
    <w:name w:val="Balloon Text"/>
    <w:basedOn w:val="Normal"/>
    <w:link w:val="BalloonTextChar"/>
    <w:rsid w:val="00080A63"/>
    <w:rPr>
      <w:rFonts w:ascii="Tahoma" w:hAnsi="Tahoma" w:cs="Tahoma"/>
      <w:sz w:val="16"/>
      <w:szCs w:val="16"/>
    </w:rPr>
  </w:style>
  <w:style w:type="character" w:customStyle="1" w:styleId="BalloonTextChar">
    <w:name w:val="Balloon Text Char"/>
    <w:basedOn w:val="DefaultParagraphFont"/>
    <w:link w:val="BalloonText"/>
    <w:rsid w:val="00080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F3DC-FB9C-46EF-9849-C2119C80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667</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2017-11-17T18:53:00Z</dcterms:created>
  <dcterms:modified xsi:type="dcterms:W3CDTF">2017-11-17T22:28:00Z</dcterms:modified>
</cp:coreProperties>
</file>