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0366A" w:rsidP="00F0366A">
      <w:pPr>
        <w:pStyle w:val="OrderHeading"/>
      </w:pPr>
      <w:r>
        <w:t>BEFORE THE FLORIDA PUBLIC SERVICE COMMISSION</w:t>
      </w:r>
    </w:p>
    <w:p w:rsidR="00F0366A" w:rsidRDefault="00F0366A" w:rsidP="00F0366A">
      <w:pPr>
        <w:pStyle w:val="OrderHeading"/>
      </w:pPr>
    </w:p>
    <w:p w:rsidR="00F0366A" w:rsidRDefault="00F0366A" w:rsidP="00F036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66A" w:rsidRPr="00C63FCF" w:rsidTr="00C63FCF">
        <w:trPr>
          <w:trHeight w:val="828"/>
        </w:trPr>
        <w:tc>
          <w:tcPr>
            <w:tcW w:w="4788" w:type="dxa"/>
            <w:tcBorders>
              <w:bottom w:val="single" w:sz="8" w:space="0" w:color="auto"/>
              <w:right w:val="double" w:sz="6" w:space="0" w:color="auto"/>
            </w:tcBorders>
            <w:shd w:val="clear" w:color="auto" w:fill="auto"/>
          </w:tcPr>
          <w:p w:rsidR="00F0366A" w:rsidRDefault="00F0366A" w:rsidP="00C63FCF">
            <w:pPr>
              <w:pStyle w:val="OrderBody"/>
              <w:tabs>
                <w:tab w:val="center" w:pos="4320"/>
                <w:tab w:val="right" w:pos="8640"/>
              </w:tabs>
              <w:jc w:val="left"/>
            </w:pPr>
            <w:r>
              <w:t xml:space="preserve">In re: </w:t>
            </w:r>
            <w:bookmarkStart w:id="0" w:name="SSInRe"/>
            <w:bookmarkEnd w:id="0"/>
            <w:r>
              <w:t>Petition of Gulf Power Company for approval of negotiated renewable energy power purchase agreement with Bay County, Florida.</w:t>
            </w:r>
          </w:p>
        </w:tc>
        <w:tc>
          <w:tcPr>
            <w:tcW w:w="4788" w:type="dxa"/>
            <w:tcBorders>
              <w:left w:val="double" w:sz="6" w:space="0" w:color="auto"/>
            </w:tcBorders>
            <w:shd w:val="clear" w:color="auto" w:fill="auto"/>
          </w:tcPr>
          <w:p w:rsidR="00F0366A" w:rsidRDefault="00F0366A" w:rsidP="00F0366A">
            <w:pPr>
              <w:pStyle w:val="OrderBody"/>
            </w:pPr>
            <w:r>
              <w:t xml:space="preserve">DOCKET NO. </w:t>
            </w:r>
            <w:bookmarkStart w:id="1" w:name="SSDocketNo"/>
            <w:bookmarkEnd w:id="1"/>
            <w:r>
              <w:t>20170169-EI</w:t>
            </w:r>
          </w:p>
          <w:p w:rsidR="00F0366A" w:rsidRDefault="00F0366A" w:rsidP="00C63FCF">
            <w:pPr>
              <w:pStyle w:val="OrderBody"/>
              <w:tabs>
                <w:tab w:val="center" w:pos="4320"/>
                <w:tab w:val="right" w:pos="8640"/>
              </w:tabs>
              <w:jc w:val="left"/>
            </w:pPr>
            <w:r>
              <w:t xml:space="preserve">ORDER NO. </w:t>
            </w:r>
            <w:r w:rsidR="00DB7F81">
              <w:t>PSC-2017-0449-PAA-EI</w:t>
            </w:r>
          </w:p>
          <w:p w:rsidR="00F0366A" w:rsidRDefault="00F0366A" w:rsidP="00A633B5">
            <w:pPr>
              <w:pStyle w:val="OrderBody"/>
              <w:tabs>
                <w:tab w:val="center" w:pos="4320"/>
                <w:tab w:val="right" w:pos="8640"/>
              </w:tabs>
              <w:jc w:val="left"/>
            </w:pPr>
            <w:r>
              <w:t xml:space="preserve">ISSUED: </w:t>
            </w:r>
            <w:r w:rsidR="00DB7F81">
              <w:t>November 20, 2017</w:t>
            </w:r>
          </w:p>
        </w:tc>
      </w:tr>
    </w:tbl>
    <w:p w:rsidR="00F0366A" w:rsidRDefault="00F0366A" w:rsidP="00F0366A"/>
    <w:p w:rsidR="00F0366A" w:rsidRDefault="00F0366A" w:rsidP="00F0366A"/>
    <w:p w:rsidR="00F0366A" w:rsidRDefault="00F0366A">
      <w:pPr>
        <w:ind w:firstLine="720"/>
        <w:jc w:val="both"/>
      </w:pPr>
      <w:bookmarkStart w:id="2" w:name="Commissioners"/>
      <w:bookmarkEnd w:id="2"/>
      <w:r>
        <w:t>The following Commissioners participated in the disposition of this matter:</w:t>
      </w:r>
    </w:p>
    <w:p w:rsidR="00F0366A" w:rsidRDefault="00F0366A"/>
    <w:p w:rsidR="00F0366A" w:rsidRDefault="00F0366A">
      <w:pPr>
        <w:jc w:val="center"/>
      </w:pPr>
      <w:r>
        <w:t>JULIE I. BROWN, Chairman</w:t>
      </w:r>
    </w:p>
    <w:p w:rsidR="00F0366A" w:rsidRDefault="00F0366A">
      <w:pPr>
        <w:jc w:val="center"/>
      </w:pPr>
      <w:r>
        <w:t>ART GRAHAM</w:t>
      </w:r>
    </w:p>
    <w:p w:rsidR="00F0366A" w:rsidRDefault="00F0366A">
      <w:pPr>
        <w:jc w:val="center"/>
      </w:pPr>
      <w:r>
        <w:t>RONALD A. BRISÉ</w:t>
      </w:r>
    </w:p>
    <w:p w:rsidR="00F0366A" w:rsidRDefault="00F0366A">
      <w:pPr>
        <w:jc w:val="center"/>
      </w:pPr>
      <w:r>
        <w:t>DONALD J. POLMANN</w:t>
      </w:r>
    </w:p>
    <w:p w:rsidR="00F0366A" w:rsidRDefault="00F0366A">
      <w:pPr>
        <w:jc w:val="center"/>
      </w:pPr>
      <w:r>
        <w:t>GARY F. CLARK</w:t>
      </w:r>
    </w:p>
    <w:p w:rsidR="00F0366A" w:rsidRDefault="00F0366A"/>
    <w:p w:rsidR="00F0366A" w:rsidRPr="003E4B2D" w:rsidRDefault="00F0366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0366A" w:rsidRDefault="00F0366A">
      <w:pPr>
        <w:pStyle w:val="OrderBody"/>
        <w:jc w:val="center"/>
      </w:pPr>
      <w:r w:rsidRPr="003E4B2D">
        <w:rPr>
          <w:u w:val="single"/>
        </w:rPr>
        <w:t>ORDER</w:t>
      </w:r>
      <w:bookmarkStart w:id="3" w:name="OrderTitle"/>
      <w:r w:rsidR="00B9014F">
        <w:rPr>
          <w:u w:val="single"/>
        </w:rPr>
        <w:t xml:space="preserve"> APPROVING CONTRACT</w:t>
      </w:r>
      <w:r>
        <w:rPr>
          <w:u w:val="single"/>
        </w:rPr>
        <w:t xml:space="preserve"> </w:t>
      </w:r>
      <w:bookmarkEnd w:id="3"/>
    </w:p>
    <w:p w:rsidR="00C174EE" w:rsidRDefault="00C174EE">
      <w:pPr>
        <w:pStyle w:val="OrderBody"/>
        <w:jc w:val="center"/>
      </w:pPr>
    </w:p>
    <w:p w:rsidR="00C174EE" w:rsidRPr="003E4B2D" w:rsidRDefault="00C174EE" w:rsidP="00C174EE">
      <w:pPr>
        <w:pStyle w:val="OrderBody"/>
      </w:pPr>
      <w:r w:rsidRPr="003E4B2D">
        <w:t>BY THE COMMISSION:</w:t>
      </w:r>
    </w:p>
    <w:p w:rsidR="00C174EE" w:rsidRPr="003E4B2D" w:rsidRDefault="00C174EE" w:rsidP="00C174EE">
      <w:pPr>
        <w:pStyle w:val="OrderBody"/>
      </w:pPr>
    </w:p>
    <w:p w:rsidR="00C174EE" w:rsidRPr="003E4B2D" w:rsidRDefault="00C174EE" w:rsidP="00C174EE">
      <w:pPr>
        <w:pStyle w:val="OrderBody"/>
        <w:rPr>
          <w:u w:val="single"/>
        </w:rPr>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00B9014F">
        <w:t>.</w:t>
      </w:r>
    </w:p>
    <w:p w:rsidR="00F0366A" w:rsidRPr="003E4B2D" w:rsidRDefault="00F0366A">
      <w:pPr>
        <w:pStyle w:val="OrderBody"/>
      </w:pPr>
    </w:p>
    <w:p w:rsidR="00E2404A" w:rsidRPr="00E2404A" w:rsidRDefault="00E2404A" w:rsidP="00B9014F">
      <w:pPr>
        <w:spacing w:after="240"/>
        <w:jc w:val="center"/>
        <w:rPr>
          <w:b/>
        </w:rPr>
      </w:pPr>
      <w:r w:rsidRPr="00E2404A">
        <w:rPr>
          <w:b/>
        </w:rPr>
        <w:t>Case Background</w:t>
      </w:r>
    </w:p>
    <w:p w:rsidR="003F5BA6" w:rsidRPr="00996FF5" w:rsidRDefault="003F5BA6" w:rsidP="00B9014F">
      <w:pPr>
        <w:spacing w:after="240"/>
        <w:ind w:firstLine="720"/>
        <w:jc w:val="both"/>
      </w:pPr>
      <w:r w:rsidRPr="00996FF5">
        <w:t xml:space="preserve">On </w:t>
      </w:r>
      <w:r>
        <w:t>August 1</w:t>
      </w:r>
      <w:r w:rsidRPr="00996FF5">
        <w:t xml:space="preserve">, </w:t>
      </w:r>
      <w:r>
        <w:t>2017</w:t>
      </w:r>
      <w:r w:rsidRPr="00996FF5">
        <w:t xml:space="preserve">, Gulf Power Company (Gulf) filed a petition requesting approval of a </w:t>
      </w:r>
      <w:r>
        <w:t>n</w:t>
      </w:r>
      <w:r w:rsidRPr="00996FF5">
        <w:t xml:space="preserve">egotiated </w:t>
      </w:r>
      <w:r>
        <w:t>r</w:t>
      </w:r>
      <w:r w:rsidRPr="00996FF5">
        <w:t xml:space="preserve">enewable </w:t>
      </w:r>
      <w:r>
        <w:t>e</w:t>
      </w:r>
      <w:r w:rsidRPr="00996FF5">
        <w:t xml:space="preserve">nergy </w:t>
      </w:r>
      <w:r>
        <w:t>c</w:t>
      </w:r>
      <w:r w:rsidRPr="00996FF5">
        <w:t>ontract</w:t>
      </w:r>
      <w:r>
        <w:t xml:space="preserve"> (Contract)</w:t>
      </w:r>
      <w:r w:rsidRPr="00996FF5">
        <w:t xml:space="preserve"> </w:t>
      </w:r>
      <w:r>
        <w:t>with</w:t>
      </w:r>
      <w:r w:rsidRPr="00996FF5">
        <w:t xml:space="preserve"> Bay County, Florida,</w:t>
      </w:r>
      <w:r>
        <w:t xml:space="preserve"> </w:t>
      </w:r>
      <w:r w:rsidRPr="00996FF5">
        <w:t>f</w:t>
      </w:r>
      <w:r>
        <w:t>or the purchase of energy. The C</w:t>
      </w:r>
      <w:r w:rsidRPr="00996FF5">
        <w:t>ontract</w:t>
      </w:r>
      <w:r>
        <w:t xml:space="preserve"> was</w:t>
      </w:r>
      <w:r w:rsidRPr="00996FF5">
        <w:t xml:space="preserve"> executed on </w:t>
      </w:r>
      <w:r>
        <w:t>July</w:t>
      </w:r>
      <w:r w:rsidRPr="00996FF5">
        <w:t xml:space="preserve"> </w:t>
      </w:r>
      <w:r>
        <w:t>21</w:t>
      </w:r>
      <w:r w:rsidRPr="00996FF5">
        <w:t xml:space="preserve">, </w:t>
      </w:r>
      <w:r>
        <w:t>2017</w:t>
      </w:r>
      <w:r w:rsidRPr="00996FF5">
        <w:t xml:space="preserve">, </w:t>
      </w:r>
      <w:r>
        <w:t>and</w:t>
      </w:r>
      <w:r w:rsidRPr="00996FF5">
        <w:t xml:space="preserve"> </w:t>
      </w:r>
      <w:r>
        <w:t>provides for</w:t>
      </w:r>
      <w:r w:rsidRPr="00996FF5">
        <w:t xml:space="preserve"> </w:t>
      </w:r>
      <w:r>
        <w:t xml:space="preserve">Gulf to purchase the entire net electrical output, 13.65 megawatts (MW), from the </w:t>
      </w:r>
      <w:r w:rsidRPr="00996FF5">
        <w:t xml:space="preserve">Bay County </w:t>
      </w:r>
      <w:r>
        <w:t>Resource Recovery Facility</w:t>
      </w:r>
      <w:r w:rsidRPr="00996FF5">
        <w:t xml:space="preserve"> </w:t>
      </w:r>
      <w:r>
        <w:t>at a fixed price for six years beginning on July 23, 2017. This Contract is a continuation of two previous contracts executed between Gulf and Bay County, in 2008</w:t>
      </w:r>
      <w:r>
        <w:rPr>
          <w:rStyle w:val="FootnoteReference"/>
        </w:rPr>
        <w:footnoteReference w:id="1"/>
      </w:r>
      <w:r>
        <w:t xml:space="preserve"> and 2014</w:t>
      </w:r>
      <w:r>
        <w:rPr>
          <w:rStyle w:val="FootnoteReference"/>
        </w:rPr>
        <w:footnoteReference w:id="2"/>
      </w:r>
      <w:r>
        <w:t xml:space="preserve"> respecti</w:t>
      </w:r>
      <w:r w:rsidR="00B9014F">
        <w:t>vely, which were approved by this</w:t>
      </w:r>
      <w:r>
        <w:t xml:space="preserve"> Commission. </w:t>
      </w:r>
      <w:r w:rsidRPr="00996FF5">
        <w:t xml:space="preserve">In addition </w:t>
      </w:r>
      <w:r>
        <w:t>to the purchase of energy, the C</w:t>
      </w:r>
      <w:r w:rsidRPr="00996FF5">
        <w:t xml:space="preserve">ontract specifies that Gulf will receive all “Renewable Attributes,” such as Renewable Energy Credits (RECs), </w:t>
      </w:r>
      <w:r>
        <w:t>g</w:t>
      </w:r>
      <w:r w:rsidRPr="00996FF5">
        <w:t xml:space="preserve">reen </w:t>
      </w:r>
      <w:r>
        <w:t>t</w:t>
      </w:r>
      <w:r w:rsidRPr="00996FF5">
        <w:t>ags, carbon credits or allowances, or other tradable environmental interests associated with the generation of electricity from the facility.</w:t>
      </w:r>
    </w:p>
    <w:p w:rsidR="003F5BA6" w:rsidRDefault="003F5BA6" w:rsidP="00242A0B">
      <w:pPr>
        <w:spacing w:after="240"/>
        <w:ind w:firstLine="720"/>
        <w:jc w:val="both"/>
      </w:pPr>
      <w:r w:rsidRPr="00996FF5">
        <w:lastRenderedPageBreak/>
        <w:t xml:space="preserve">This </w:t>
      </w:r>
      <w:r w:rsidR="00E34A9C">
        <w:t>O</w:t>
      </w:r>
      <w:r w:rsidR="00B9014F">
        <w:t>rder</w:t>
      </w:r>
      <w:r w:rsidRPr="00996FF5">
        <w:t xml:space="preserve"> addresses Gulf'</w:t>
      </w:r>
      <w:r>
        <w:t>s petition for approval of the C</w:t>
      </w:r>
      <w:r w:rsidR="00B9014F">
        <w:t>ontract with Bay County. We have</w:t>
      </w:r>
      <w:r w:rsidRPr="00996FF5">
        <w:t xml:space="preserve"> jurisdiction over this matter pursuant to Sections 366.051 and 366.81, Florida Statutes</w:t>
      </w:r>
      <w:r>
        <w:t xml:space="preserve"> (F.S.)</w:t>
      </w:r>
      <w:r w:rsidRPr="00996FF5">
        <w:t>.</w:t>
      </w:r>
    </w:p>
    <w:p w:rsidR="00B9014F" w:rsidRPr="00B9014F" w:rsidRDefault="00B9014F" w:rsidP="00B9014F">
      <w:pPr>
        <w:spacing w:after="240"/>
        <w:jc w:val="center"/>
        <w:outlineLvl w:val="0"/>
        <w:rPr>
          <w:bCs/>
          <w:kern w:val="32"/>
          <w:szCs w:val="32"/>
        </w:rPr>
      </w:pPr>
      <w:r>
        <w:rPr>
          <w:b/>
        </w:rPr>
        <w:t>Decision</w:t>
      </w:r>
    </w:p>
    <w:p w:rsidR="00B00A1E" w:rsidRPr="00B00A1E" w:rsidRDefault="00B00A1E" w:rsidP="00E2404A">
      <w:pPr>
        <w:spacing w:after="240"/>
        <w:ind w:firstLine="720"/>
        <w:jc w:val="both"/>
      </w:pPr>
      <w:r w:rsidRPr="00B00A1E">
        <w:t xml:space="preserve">The Bay County Resource Recovery Facility uses municipal solid waste (MSW) as its primary fuel. MSW is considered a renewable fuel and the facility is a renewable generating facility as defined by Rule </w:t>
      </w:r>
      <w:hyperlink r:id="rId7" w:tgtFrame="ruleNo" w:history="1">
        <w:r w:rsidRPr="00B00A1E">
          <w:t>25-17.210</w:t>
        </w:r>
      </w:hyperlink>
      <w:r w:rsidRPr="00B00A1E">
        <w:t>, F.A.C. Gulf has contracted to buy all of the energy from the facility at fixed prices for six years beginning on July 23, 2017. An interconnection agreement between Gulf and Bay County has been in place since 1987. Gulf maintains the interconnection between Gulf’s system and the facility. Bay County pays Gulf for the cost of maintenance of the interconnection site. These costs, therefore, do not impact this analysis.</w:t>
      </w:r>
    </w:p>
    <w:p w:rsidR="00B00A1E" w:rsidRPr="00B00A1E" w:rsidRDefault="00B00A1E" w:rsidP="00E2404A">
      <w:pPr>
        <w:spacing w:after="240"/>
        <w:ind w:firstLine="720"/>
        <w:jc w:val="both"/>
      </w:pPr>
      <w:r w:rsidRPr="00B00A1E">
        <w:t>The Contract is substantially similar to two prior contracts between Gulf and Bay County, which</w:t>
      </w:r>
      <w:r w:rsidR="00B9014F">
        <w:t xml:space="preserve"> were previously approved by this</w:t>
      </w:r>
      <w:r w:rsidRPr="00B00A1E">
        <w:t xml:space="preserve"> Commission. Changes since the last approved contract include a revision of the commencement date of the Contract, adding clarifying terminology, and deleting redundant language. For example, section two of the Contract clarifies the meaning of the terms “Approve” and “Approval” to reflect a Final Order from this Commission and deletes redundant language with the same meaning.</w:t>
      </w:r>
    </w:p>
    <w:p w:rsidR="00B00A1E" w:rsidRPr="00B00A1E" w:rsidRDefault="00B00A1E" w:rsidP="00E2404A">
      <w:pPr>
        <w:spacing w:after="240"/>
        <w:ind w:firstLine="720"/>
        <w:jc w:val="both"/>
      </w:pPr>
      <w:r w:rsidRPr="00B00A1E">
        <w:t xml:space="preserve">As required by Rule 25-17.0832(3), F.A.C., review of a negotiated contract requires </w:t>
      </w:r>
      <w:r w:rsidR="00B9014F">
        <w:t>us</w:t>
      </w:r>
      <w:r w:rsidRPr="00B00A1E">
        <w:t xml:space="preserve"> to consider the following: the need for power, the cost-effectiveness of the contract, security provisions for payments, and performance guarantees. Each of these factors is evaluated below.</w:t>
      </w:r>
    </w:p>
    <w:p w:rsidR="00B00A1E" w:rsidRPr="00B9014F" w:rsidRDefault="00B00A1E" w:rsidP="00B00A1E">
      <w:pPr>
        <w:jc w:val="both"/>
        <w:outlineLvl w:val="2"/>
        <w:rPr>
          <w:bCs/>
          <w:iCs/>
          <w:szCs w:val="28"/>
          <w:u w:val="single"/>
        </w:rPr>
      </w:pPr>
      <w:r w:rsidRPr="00B9014F">
        <w:rPr>
          <w:bCs/>
          <w:iCs/>
          <w:szCs w:val="28"/>
          <w:u w:val="single"/>
        </w:rPr>
        <w:t>Need for Power</w:t>
      </w:r>
    </w:p>
    <w:p w:rsidR="00B9014F" w:rsidRPr="00B9014F" w:rsidRDefault="00B9014F" w:rsidP="00B00A1E">
      <w:pPr>
        <w:jc w:val="both"/>
        <w:outlineLvl w:val="2"/>
        <w:rPr>
          <w:bCs/>
          <w:iCs/>
          <w:szCs w:val="28"/>
        </w:rPr>
      </w:pPr>
    </w:p>
    <w:p w:rsidR="00B00A1E" w:rsidRPr="00B00A1E" w:rsidRDefault="00B00A1E" w:rsidP="00E2404A">
      <w:pPr>
        <w:spacing w:after="240"/>
        <w:ind w:firstLine="720"/>
        <w:jc w:val="both"/>
      </w:pPr>
      <w:r w:rsidRPr="00B00A1E">
        <w:t xml:space="preserve">After serving internal loads, the facility will provide net generation of approximately 13.65 MW to Gulf. </w:t>
      </w:r>
      <w:r w:rsidR="00286769">
        <w:t xml:space="preserve">We </w:t>
      </w:r>
      <w:r w:rsidRPr="00B00A1E">
        <w:t>note that this capacity will not contribute to Gulf’s reserve margin as it is a non-firm contract. However, Section 366.91, F.S., states that it is in the public interest to promote the development of renewable energy resources. Doing so helps diversify fuel types in order to reduce Florida’s growing dependency on natural gas for electric production. Rule 25-17.001(5)(d), F.A.C., encourages electric utilities to:</w:t>
      </w:r>
    </w:p>
    <w:p w:rsidR="00B00A1E" w:rsidRPr="00B00A1E" w:rsidRDefault="00B00A1E" w:rsidP="00B00A1E">
      <w:pPr>
        <w:spacing w:after="240"/>
        <w:ind w:left="720" w:right="720"/>
        <w:jc w:val="both"/>
        <w:rPr>
          <w:highlight w:val="yellow"/>
        </w:rPr>
      </w:pPr>
      <w:r w:rsidRPr="00B00A1E">
        <w:t>. . . [a]ggressively integrate nontraditional sources of power generation including cogenerators with high thermal efficiency and small power producers using renewable fuels into the various utility service areas near utility load centers to the extent cost effective and reliable.</w:t>
      </w:r>
    </w:p>
    <w:p w:rsidR="00B00A1E" w:rsidRPr="00B00A1E" w:rsidRDefault="00B9014F" w:rsidP="000A2AAF">
      <w:pPr>
        <w:spacing w:after="240"/>
        <w:ind w:firstLine="720"/>
        <w:jc w:val="both"/>
      </w:pPr>
      <w:r>
        <w:t>We find that</w:t>
      </w:r>
      <w:r w:rsidR="00B00A1E" w:rsidRPr="00B00A1E">
        <w:t xml:space="preserve"> the characteristics of the energy associated with this Contract are desirable and encourage the use of renewable fuels in Florida.</w:t>
      </w:r>
    </w:p>
    <w:p w:rsidR="00E2404A" w:rsidRDefault="00B00A1E" w:rsidP="00B00A1E">
      <w:pPr>
        <w:jc w:val="both"/>
        <w:outlineLvl w:val="2"/>
        <w:rPr>
          <w:bCs/>
          <w:iCs/>
          <w:szCs w:val="28"/>
          <w:u w:val="single"/>
        </w:rPr>
      </w:pPr>
      <w:r w:rsidRPr="00B9014F">
        <w:rPr>
          <w:bCs/>
          <w:iCs/>
          <w:szCs w:val="28"/>
          <w:u w:val="single"/>
        </w:rPr>
        <w:t>Cost-Effectiveness</w:t>
      </w:r>
    </w:p>
    <w:p w:rsidR="00B9014F" w:rsidRPr="00B9014F" w:rsidRDefault="00B9014F" w:rsidP="00B00A1E">
      <w:pPr>
        <w:jc w:val="both"/>
        <w:outlineLvl w:val="2"/>
        <w:rPr>
          <w:bCs/>
          <w:iCs/>
          <w:szCs w:val="28"/>
          <w:u w:val="single"/>
        </w:rPr>
      </w:pPr>
    </w:p>
    <w:p w:rsidR="00B00A1E" w:rsidRDefault="00B00A1E" w:rsidP="00E2404A">
      <w:pPr>
        <w:spacing w:after="240"/>
        <w:ind w:firstLine="720"/>
        <w:jc w:val="both"/>
      </w:pPr>
      <w:r w:rsidRPr="00B00A1E">
        <w:t xml:space="preserve">Gulf and Bay County have agreed upon an energy rate fixed at $30.59 per megawatt hour (MWh) for the entire six year term of the Contract. No capacity payments are involved with the </w:t>
      </w:r>
      <w:r w:rsidRPr="00B00A1E">
        <w:lastRenderedPageBreak/>
        <w:t xml:space="preserve">Contract, so the price paid is only for the actual energy provided by the facility. </w:t>
      </w:r>
      <w:r w:rsidR="00B9014F">
        <w:t>We</w:t>
      </w:r>
      <w:r w:rsidRPr="00B00A1E">
        <w:t xml:space="preserve"> compared the Contract’s rate with the cost of generating or purchasing the same amount of energy from an existing source, known as the as-available energy cost, provided by Gulf. As </w:t>
      </w:r>
      <w:r w:rsidR="00AD2C5B">
        <w:t xml:space="preserve">the table </w:t>
      </w:r>
      <w:r w:rsidRPr="00B00A1E">
        <w:t xml:space="preserve">below shows, the Contract rate makes purchasing energy from the facility more cost-effective overall than Gulf generating the same amount from existing resources. Although Gulf estimates a negative difference in 2017 and 2018, the total savings over the six year period of the Contract are predicted to result in a </w:t>
      </w:r>
      <w:r w:rsidR="00B9014F">
        <w:t>net present value (</w:t>
      </w:r>
      <w:r w:rsidRPr="00B00A1E">
        <w:t>NPV</w:t>
      </w:r>
      <w:r w:rsidR="00B9014F">
        <w:t>)</w:t>
      </w:r>
      <w:r w:rsidRPr="00B00A1E">
        <w:t xml:space="preserve"> sum of $246,234.</w:t>
      </w:r>
    </w:p>
    <w:p w:rsidR="004C525B" w:rsidRPr="00B00A1E" w:rsidRDefault="004C525B" w:rsidP="00E2404A">
      <w:pPr>
        <w:spacing w:after="240"/>
        <w:ind w:firstLine="720"/>
        <w:jc w:val="both"/>
      </w:pPr>
    </w:p>
    <w:p w:rsidR="00B00A1E" w:rsidRPr="00B9014F" w:rsidRDefault="00B00A1E" w:rsidP="00B00A1E">
      <w:pPr>
        <w:keepNext/>
        <w:jc w:val="center"/>
        <w:rPr>
          <w:b/>
        </w:rPr>
      </w:pPr>
      <w:r w:rsidRPr="00B9014F">
        <w:rPr>
          <w:b/>
        </w:rPr>
        <w:t xml:space="preserve">Avoided Cost vs </w:t>
      </w:r>
      <w:r w:rsidR="00B9014F">
        <w:rPr>
          <w:b/>
        </w:rPr>
        <w:t>Power Purchase Agreement (</w:t>
      </w:r>
      <w:r w:rsidRPr="00B9014F">
        <w:rPr>
          <w:b/>
        </w:rPr>
        <w:t>PPA</w:t>
      </w:r>
      <w:r w:rsidR="00B9014F">
        <w:rPr>
          <w:b/>
        </w:rPr>
        <w:t>)</w:t>
      </w:r>
      <w:r w:rsidRPr="00B9014F">
        <w:rPr>
          <w:b/>
        </w:rPr>
        <w:t xml:space="preserve"> Cost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B00A1E" w:rsidRPr="00B00A1E" w:rsidTr="00FF5316">
        <w:tc>
          <w:tcPr>
            <w:tcW w:w="1596" w:type="dxa"/>
          </w:tcPr>
          <w:p w:rsidR="00B00A1E" w:rsidRPr="00B00A1E" w:rsidRDefault="00B00A1E" w:rsidP="00B00A1E">
            <w:pPr>
              <w:jc w:val="center"/>
              <w:rPr>
                <w:b/>
              </w:rPr>
            </w:pPr>
            <w:r w:rsidRPr="00B00A1E">
              <w:rPr>
                <w:b/>
              </w:rPr>
              <w:t>(A)</w:t>
            </w:r>
          </w:p>
        </w:tc>
        <w:tc>
          <w:tcPr>
            <w:tcW w:w="1596" w:type="dxa"/>
          </w:tcPr>
          <w:p w:rsidR="00B00A1E" w:rsidRPr="00B00A1E" w:rsidRDefault="00B00A1E" w:rsidP="00B00A1E">
            <w:pPr>
              <w:jc w:val="center"/>
              <w:rPr>
                <w:b/>
              </w:rPr>
            </w:pPr>
            <w:r w:rsidRPr="00B00A1E">
              <w:rPr>
                <w:b/>
              </w:rPr>
              <w:t>(B)</w:t>
            </w:r>
          </w:p>
          <w:p w:rsidR="00B00A1E" w:rsidRPr="00B00A1E" w:rsidRDefault="00B00A1E" w:rsidP="00B00A1E">
            <w:pPr>
              <w:jc w:val="center"/>
              <w:rPr>
                <w:b/>
              </w:rPr>
            </w:pPr>
            <w:r w:rsidRPr="00B00A1E">
              <w:rPr>
                <w:b/>
              </w:rPr>
              <w:t>Avoided Cost</w:t>
            </w:r>
          </w:p>
          <w:p w:rsidR="00B00A1E" w:rsidRPr="00B00A1E" w:rsidRDefault="00B00A1E" w:rsidP="00B00A1E">
            <w:pPr>
              <w:jc w:val="center"/>
              <w:rPr>
                <w:b/>
              </w:rPr>
            </w:pPr>
            <w:r w:rsidRPr="00B00A1E">
              <w:rPr>
                <w:b/>
              </w:rPr>
              <w:t>($/MWh)</w:t>
            </w:r>
          </w:p>
        </w:tc>
        <w:tc>
          <w:tcPr>
            <w:tcW w:w="1596" w:type="dxa"/>
          </w:tcPr>
          <w:p w:rsidR="00B00A1E" w:rsidRPr="00B00A1E" w:rsidRDefault="00B00A1E" w:rsidP="00B00A1E">
            <w:pPr>
              <w:jc w:val="center"/>
              <w:rPr>
                <w:b/>
              </w:rPr>
            </w:pPr>
            <w:r w:rsidRPr="00B00A1E">
              <w:rPr>
                <w:b/>
              </w:rPr>
              <w:t>(C)</w:t>
            </w:r>
          </w:p>
          <w:p w:rsidR="00B00A1E" w:rsidRPr="00B00A1E" w:rsidRDefault="00B00A1E" w:rsidP="00B00A1E">
            <w:pPr>
              <w:jc w:val="center"/>
              <w:rPr>
                <w:b/>
              </w:rPr>
            </w:pPr>
            <w:r w:rsidRPr="00B00A1E">
              <w:rPr>
                <w:b/>
              </w:rPr>
              <w:t>MWh</w:t>
            </w:r>
          </w:p>
        </w:tc>
        <w:tc>
          <w:tcPr>
            <w:tcW w:w="1596" w:type="dxa"/>
          </w:tcPr>
          <w:p w:rsidR="00B00A1E" w:rsidRPr="00B00A1E" w:rsidRDefault="00B00A1E" w:rsidP="00B00A1E">
            <w:pPr>
              <w:jc w:val="center"/>
              <w:rPr>
                <w:b/>
              </w:rPr>
            </w:pPr>
            <w:r w:rsidRPr="00B00A1E">
              <w:rPr>
                <w:b/>
              </w:rPr>
              <w:t>(D)</w:t>
            </w:r>
          </w:p>
          <w:p w:rsidR="00B00A1E" w:rsidRPr="00B00A1E" w:rsidRDefault="00B00A1E" w:rsidP="00B00A1E">
            <w:pPr>
              <w:jc w:val="center"/>
              <w:rPr>
                <w:b/>
              </w:rPr>
            </w:pPr>
            <w:r w:rsidRPr="00B00A1E">
              <w:rPr>
                <w:b/>
              </w:rPr>
              <w:t>Total Avoided Cost</w:t>
            </w:r>
          </w:p>
          <w:p w:rsidR="00B00A1E" w:rsidRPr="00B00A1E" w:rsidRDefault="00B00A1E" w:rsidP="00B00A1E">
            <w:pPr>
              <w:jc w:val="center"/>
              <w:rPr>
                <w:b/>
              </w:rPr>
            </w:pPr>
            <w:r w:rsidRPr="00B00A1E">
              <w:rPr>
                <w:b/>
              </w:rPr>
              <w:t>(B x C)</w:t>
            </w:r>
          </w:p>
        </w:tc>
        <w:tc>
          <w:tcPr>
            <w:tcW w:w="1596" w:type="dxa"/>
          </w:tcPr>
          <w:p w:rsidR="00B00A1E" w:rsidRPr="00B00A1E" w:rsidRDefault="00B00A1E" w:rsidP="00B00A1E">
            <w:pPr>
              <w:jc w:val="center"/>
              <w:rPr>
                <w:b/>
              </w:rPr>
            </w:pPr>
            <w:r w:rsidRPr="00B00A1E">
              <w:rPr>
                <w:b/>
              </w:rPr>
              <w:t>(E)</w:t>
            </w:r>
          </w:p>
          <w:p w:rsidR="00B00A1E" w:rsidRPr="00B00A1E" w:rsidRDefault="00B00A1E" w:rsidP="00B00A1E">
            <w:pPr>
              <w:jc w:val="center"/>
              <w:rPr>
                <w:b/>
              </w:rPr>
            </w:pPr>
            <w:r w:rsidRPr="00B00A1E">
              <w:rPr>
                <w:b/>
              </w:rPr>
              <w:t>PPA Revenue</w:t>
            </w:r>
          </w:p>
          <w:p w:rsidR="00B00A1E" w:rsidRPr="00B00A1E" w:rsidRDefault="00B00A1E" w:rsidP="00B00A1E">
            <w:pPr>
              <w:jc w:val="center"/>
              <w:rPr>
                <w:b/>
              </w:rPr>
            </w:pPr>
            <w:r w:rsidRPr="00B00A1E">
              <w:rPr>
                <w:b/>
              </w:rPr>
              <w:t>(C x $30.59)</w:t>
            </w:r>
          </w:p>
        </w:tc>
        <w:tc>
          <w:tcPr>
            <w:tcW w:w="1596" w:type="dxa"/>
          </w:tcPr>
          <w:p w:rsidR="00B00A1E" w:rsidRPr="00B00A1E" w:rsidRDefault="00B00A1E" w:rsidP="00B00A1E">
            <w:pPr>
              <w:jc w:val="center"/>
              <w:rPr>
                <w:b/>
              </w:rPr>
            </w:pPr>
            <w:r w:rsidRPr="00B00A1E">
              <w:rPr>
                <w:b/>
              </w:rPr>
              <w:t>(F)</w:t>
            </w:r>
          </w:p>
          <w:p w:rsidR="00B00A1E" w:rsidRPr="00B00A1E" w:rsidRDefault="00B00A1E" w:rsidP="00B00A1E">
            <w:pPr>
              <w:jc w:val="center"/>
              <w:rPr>
                <w:b/>
              </w:rPr>
            </w:pPr>
            <w:r w:rsidRPr="00B00A1E">
              <w:rPr>
                <w:b/>
              </w:rPr>
              <w:t>Margin</w:t>
            </w:r>
          </w:p>
          <w:p w:rsidR="00B00A1E" w:rsidRPr="00B00A1E" w:rsidRDefault="00B00A1E" w:rsidP="00B00A1E">
            <w:pPr>
              <w:jc w:val="center"/>
              <w:rPr>
                <w:b/>
              </w:rPr>
            </w:pPr>
            <w:r w:rsidRPr="00B00A1E">
              <w:rPr>
                <w:b/>
              </w:rPr>
              <w:t>(D - E)</w:t>
            </w:r>
          </w:p>
        </w:tc>
      </w:tr>
      <w:tr w:rsidR="00B00A1E" w:rsidRPr="00B00A1E" w:rsidTr="00FF5316">
        <w:tc>
          <w:tcPr>
            <w:tcW w:w="1596" w:type="dxa"/>
          </w:tcPr>
          <w:p w:rsidR="00B00A1E" w:rsidRPr="00B00A1E" w:rsidRDefault="00B00A1E" w:rsidP="00B00A1E">
            <w:pPr>
              <w:jc w:val="center"/>
              <w:rPr>
                <w:b/>
              </w:rPr>
            </w:pPr>
            <w:r w:rsidRPr="00B00A1E">
              <w:rPr>
                <w:b/>
              </w:rPr>
              <w:t>2017</w:t>
            </w:r>
          </w:p>
        </w:tc>
        <w:tc>
          <w:tcPr>
            <w:tcW w:w="1596" w:type="dxa"/>
          </w:tcPr>
          <w:p w:rsidR="00B00A1E" w:rsidRPr="00B00A1E" w:rsidRDefault="00B00A1E" w:rsidP="00B00A1E">
            <w:pPr>
              <w:jc w:val="center"/>
            </w:pPr>
            <w:r w:rsidRPr="00B00A1E">
              <w:t>$28.73</w:t>
            </w:r>
          </w:p>
        </w:tc>
        <w:tc>
          <w:tcPr>
            <w:tcW w:w="1596" w:type="dxa"/>
          </w:tcPr>
          <w:p w:rsidR="00B00A1E" w:rsidRPr="00B00A1E" w:rsidRDefault="00B00A1E" w:rsidP="00B00A1E">
            <w:pPr>
              <w:jc w:val="center"/>
            </w:pPr>
            <w:r w:rsidRPr="00B00A1E">
              <w:t>35,000</w:t>
            </w:r>
          </w:p>
        </w:tc>
        <w:tc>
          <w:tcPr>
            <w:tcW w:w="1596" w:type="dxa"/>
          </w:tcPr>
          <w:p w:rsidR="00B00A1E" w:rsidRPr="00B00A1E" w:rsidRDefault="00B00A1E" w:rsidP="00B00A1E">
            <w:pPr>
              <w:jc w:val="center"/>
            </w:pPr>
            <w:r w:rsidRPr="00B00A1E">
              <w:t>$1,005,518</w:t>
            </w:r>
          </w:p>
        </w:tc>
        <w:tc>
          <w:tcPr>
            <w:tcW w:w="1596" w:type="dxa"/>
          </w:tcPr>
          <w:p w:rsidR="00B00A1E" w:rsidRPr="00B00A1E" w:rsidRDefault="00B00A1E" w:rsidP="00B00A1E">
            <w:pPr>
              <w:jc w:val="center"/>
            </w:pPr>
            <w:r w:rsidRPr="00B00A1E">
              <w:t>$1,070,650</w:t>
            </w:r>
          </w:p>
        </w:tc>
        <w:tc>
          <w:tcPr>
            <w:tcW w:w="1596" w:type="dxa"/>
          </w:tcPr>
          <w:p w:rsidR="00B00A1E" w:rsidRPr="00B00A1E" w:rsidRDefault="00B00A1E" w:rsidP="00B00A1E">
            <w:pPr>
              <w:jc w:val="center"/>
            </w:pPr>
            <w:r w:rsidRPr="00B00A1E">
              <w:t>($65,132)</w:t>
            </w:r>
          </w:p>
        </w:tc>
      </w:tr>
      <w:tr w:rsidR="00B00A1E" w:rsidRPr="00B00A1E" w:rsidTr="00FF5316">
        <w:tc>
          <w:tcPr>
            <w:tcW w:w="1596" w:type="dxa"/>
          </w:tcPr>
          <w:p w:rsidR="00B00A1E" w:rsidRPr="00B00A1E" w:rsidRDefault="00B00A1E" w:rsidP="00B00A1E">
            <w:pPr>
              <w:jc w:val="center"/>
              <w:rPr>
                <w:b/>
              </w:rPr>
            </w:pPr>
            <w:r w:rsidRPr="00B00A1E">
              <w:rPr>
                <w:b/>
              </w:rPr>
              <w:t>2018</w:t>
            </w:r>
          </w:p>
        </w:tc>
        <w:tc>
          <w:tcPr>
            <w:tcW w:w="1596" w:type="dxa"/>
          </w:tcPr>
          <w:p w:rsidR="00B00A1E" w:rsidRPr="00B00A1E" w:rsidRDefault="00B00A1E" w:rsidP="00B00A1E">
            <w:pPr>
              <w:jc w:val="center"/>
            </w:pPr>
            <w:r w:rsidRPr="00B00A1E">
              <w:t>$28.27</w:t>
            </w:r>
          </w:p>
        </w:tc>
        <w:tc>
          <w:tcPr>
            <w:tcW w:w="1596" w:type="dxa"/>
          </w:tcPr>
          <w:p w:rsidR="00B00A1E" w:rsidRPr="00B00A1E" w:rsidRDefault="00B00A1E" w:rsidP="00B00A1E">
            <w:pPr>
              <w:jc w:val="center"/>
            </w:pPr>
            <w:r w:rsidRPr="00B00A1E">
              <w:t>60,000</w:t>
            </w:r>
          </w:p>
        </w:tc>
        <w:tc>
          <w:tcPr>
            <w:tcW w:w="1596" w:type="dxa"/>
          </w:tcPr>
          <w:p w:rsidR="00B00A1E" w:rsidRPr="00B00A1E" w:rsidRDefault="00B00A1E" w:rsidP="00B00A1E">
            <w:pPr>
              <w:jc w:val="center"/>
            </w:pPr>
            <w:r w:rsidRPr="00B00A1E">
              <w:t>$1,696,373</w:t>
            </w:r>
          </w:p>
        </w:tc>
        <w:tc>
          <w:tcPr>
            <w:tcW w:w="1596" w:type="dxa"/>
          </w:tcPr>
          <w:p w:rsidR="00B00A1E" w:rsidRPr="00B00A1E" w:rsidRDefault="00B00A1E" w:rsidP="00B00A1E">
            <w:pPr>
              <w:jc w:val="center"/>
            </w:pPr>
            <w:r w:rsidRPr="00B00A1E">
              <w:t>$1,835,400</w:t>
            </w:r>
          </w:p>
        </w:tc>
        <w:tc>
          <w:tcPr>
            <w:tcW w:w="1596" w:type="dxa"/>
          </w:tcPr>
          <w:p w:rsidR="00B00A1E" w:rsidRPr="00B00A1E" w:rsidRDefault="00B00A1E" w:rsidP="00B00A1E">
            <w:pPr>
              <w:jc w:val="center"/>
            </w:pPr>
            <w:r w:rsidRPr="00B00A1E">
              <w:t>($139,027)</w:t>
            </w:r>
          </w:p>
        </w:tc>
      </w:tr>
      <w:tr w:rsidR="00B00A1E" w:rsidRPr="00B00A1E" w:rsidTr="00FF5316">
        <w:tc>
          <w:tcPr>
            <w:tcW w:w="1596" w:type="dxa"/>
          </w:tcPr>
          <w:p w:rsidR="00B00A1E" w:rsidRPr="00B00A1E" w:rsidRDefault="00B00A1E" w:rsidP="00B00A1E">
            <w:pPr>
              <w:jc w:val="center"/>
              <w:rPr>
                <w:b/>
              </w:rPr>
            </w:pPr>
            <w:r w:rsidRPr="00B00A1E">
              <w:rPr>
                <w:b/>
              </w:rPr>
              <w:t>2019</w:t>
            </w:r>
          </w:p>
        </w:tc>
        <w:tc>
          <w:tcPr>
            <w:tcW w:w="1596" w:type="dxa"/>
          </w:tcPr>
          <w:p w:rsidR="00B00A1E" w:rsidRPr="00B00A1E" w:rsidRDefault="00B00A1E" w:rsidP="00B00A1E">
            <w:pPr>
              <w:jc w:val="center"/>
            </w:pPr>
            <w:r w:rsidRPr="00B00A1E">
              <w:t>$30.75</w:t>
            </w:r>
          </w:p>
        </w:tc>
        <w:tc>
          <w:tcPr>
            <w:tcW w:w="1596" w:type="dxa"/>
          </w:tcPr>
          <w:p w:rsidR="00B00A1E" w:rsidRPr="00B00A1E" w:rsidRDefault="00B00A1E" w:rsidP="00B00A1E">
            <w:pPr>
              <w:jc w:val="center"/>
            </w:pPr>
            <w:r w:rsidRPr="00B00A1E">
              <w:t>60,000</w:t>
            </w:r>
          </w:p>
        </w:tc>
        <w:tc>
          <w:tcPr>
            <w:tcW w:w="1596" w:type="dxa"/>
          </w:tcPr>
          <w:p w:rsidR="00B00A1E" w:rsidRPr="00B00A1E" w:rsidRDefault="00B00A1E" w:rsidP="00B00A1E">
            <w:pPr>
              <w:jc w:val="center"/>
            </w:pPr>
            <w:r w:rsidRPr="00B00A1E">
              <w:t>$1,844,899</w:t>
            </w:r>
          </w:p>
        </w:tc>
        <w:tc>
          <w:tcPr>
            <w:tcW w:w="1596" w:type="dxa"/>
          </w:tcPr>
          <w:p w:rsidR="00B00A1E" w:rsidRPr="00B00A1E" w:rsidRDefault="00B00A1E" w:rsidP="00B00A1E">
            <w:pPr>
              <w:jc w:val="center"/>
            </w:pPr>
            <w:r w:rsidRPr="00B00A1E">
              <w:t>$1,835,400</w:t>
            </w:r>
          </w:p>
        </w:tc>
        <w:tc>
          <w:tcPr>
            <w:tcW w:w="1596" w:type="dxa"/>
          </w:tcPr>
          <w:p w:rsidR="00B00A1E" w:rsidRPr="00B00A1E" w:rsidRDefault="00B00A1E" w:rsidP="00B00A1E">
            <w:pPr>
              <w:jc w:val="center"/>
            </w:pPr>
            <w:r w:rsidRPr="00B00A1E">
              <w:t>$9,499</w:t>
            </w:r>
          </w:p>
        </w:tc>
      </w:tr>
      <w:tr w:rsidR="00B00A1E" w:rsidRPr="00B00A1E" w:rsidTr="00FF5316">
        <w:tc>
          <w:tcPr>
            <w:tcW w:w="1596" w:type="dxa"/>
          </w:tcPr>
          <w:p w:rsidR="00B00A1E" w:rsidRPr="00B00A1E" w:rsidRDefault="00B00A1E" w:rsidP="00B00A1E">
            <w:pPr>
              <w:jc w:val="center"/>
              <w:rPr>
                <w:b/>
              </w:rPr>
            </w:pPr>
            <w:r w:rsidRPr="00B00A1E">
              <w:rPr>
                <w:b/>
              </w:rPr>
              <w:t>2020</w:t>
            </w:r>
          </w:p>
        </w:tc>
        <w:tc>
          <w:tcPr>
            <w:tcW w:w="1596" w:type="dxa"/>
          </w:tcPr>
          <w:p w:rsidR="00B00A1E" w:rsidRPr="00B00A1E" w:rsidRDefault="00B00A1E" w:rsidP="00B00A1E">
            <w:pPr>
              <w:jc w:val="center"/>
            </w:pPr>
            <w:r w:rsidRPr="00B00A1E">
              <w:t>$32.03</w:t>
            </w:r>
          </w:p>
        </w:tc>
        <w:tc>
          <w:tcPr>
            <w:tcW w:w="1596" w:type="dxa"/>
          </w:tcPr>
          <w:p w:rsidR="00B00A1E" w:rsidRPr="00B00A1E" w:rsidRDefault="00B00A1E" w:rsidP="00B00A1E">
            <w:pPr>
              <w:jc w:val="center"/>
            </w:pPr>
            <w:r w:rsidRPr="00B00A1E">
              <w:t>60,000</w:t>
            </w:r>
          </w:p>
        </w:tc>
        <w:tc>
          <w:tcPr>
            <w:tcW w:w="1596" w:type="dxa"/>
          </w:tcPr>
          <w:p w:rsidR="00B00A1E" w:rsidRPr="00B00A1E" w:rsidRDefault="00B00A1E" w:rsidP="00B00A1E">
            <w:pPr>
              <w:jc w:val="center"/>
            </w:pPr>
            <w:r w:rsidRPr="00B00A1E">
              <w:t>$1,921,820</w:t>
            </w:r>
          </w:p>
        </w:tc>
        <w:tc>
          <w:tcPr>
            <w:tcW w:w="1596" w:type="dxa"/>
          </w:tcPr>
          <w:p w:rsidR="00B00A1E" w:rsidRPr="00B00A1E" w:rsidRDefault="00B00A1E" w:rsidP="00B00A1E">
            <w:pPr>
              <w:jc w:val="center"/>
            </w:pPr>
            <w:r w:rsidRPr="00B00A1E">
              <w:t>$1,835,400</w:t>
            </w:r>
          </w:p>
        </w:tc>
        <w:tc>
          <w:tcPr>
            <w:tcW w:w="1596" w:type="dxa"/>
          </w:tcPr>
          <w:p w:rsidR="00B00A1E" w:rsidRPr="00B00A1E" w:rsidRDefault="00B00A1E" w:rsidP="00B00A1E">
            <w:pPr>
              <w:jc w:val="center"/>
            </w:pPr>
            <w:r w:rsidRPr="00B00A1E">
              <w:t>$86,420</w:t>
            </w:r>
          </w:p>
        </w:tc>
      </w:tr>
      <w:tr w:rsidR="00B00A1E" w:rsidRPr="00B00A1E" w:rsidTr="00FF5316">
        <w:tc>
          <w:tcPr>
            <w:tcW w:w="1596" w:type="dxa"/>
          </w:tcPr>
          <w:p w:rsidR="00B00A1E" w:rsidRPr="00B00A1E" w:rsidRDefault="00B00A1E" w:rsidP="00B00A1E">
            <w:pPr>
              <w:jc w:val="center"/>
              <w:rPr>
                <w:b/>
              </w:rPr>
            </w:pPr>
            <w:r w:rsidRPr="00B00A1E">
              <w:rPr>
                <w:b/>
              </w:rPr>
              <w:t>2021</w:t>
            </w:r>
          </w:p>
        </w:tc>
        <w:tc>
          <w:tcPr>
            <w:tcW w:w="1596" w:type="dxa"/>
          </w:tcPr>
          <w:p w:rsidR="00B00A1E" w:rsidRPr="00B00A1E" w:rsidRDefault="00B00A1E" w:rsidP="00B00A1E">
            <w:pPr>
              <w:jc w:val="center"/>
            </w:pPr>
            <w:r w:rsidRPr="00B00A1E">
              <w:t>$33.35</w:t>
            </w:r>
          </w:p>
        </w:tc>
        <w:tc>
          <w:tcPr>
            <w:tcW w:w="1596" w:type="dxa"/>
          </w:tcPr>
          <w:p w:rsidR="00B00A1E" w:rsidRPr="00B00A1E" w:rsidRDefault="00B00A1E" w:rsidP="00B00A1E">
            <w:pPr>
              <w:jc w:val="center"/>
            </w:pPr>
            <w:r w:rsidRPr="00B00A1E">
              <w:t>60,000</w:t>
            </w:r>
          </w:p>
        </w:tc>
        <w:tc>
          <w:tcPr>
            <w:tcW w:w="1596" w:type="dxa"/>
          </w:tcPr>
          <w:p w:rsidR="00B00A1E" w:rsidRPr="00B00A1E" w:rsidRDefault="00B00A1E" w:rsidP="00B00A1E">
            <w:pPr>
              <w:jc w:val="center"/>
            </w:pPr>
            <w:r w:rsidRPr="00B00A1E">
              <w:t>$2,000,892</w:t>
            </w:r>
          </w:p>
        </w:tc>
        <w:tc>
          <w:tcPr>
            <w:tcW w:w="1596" w:type="dxa"/>
          </w:tcPr>
          <w:p w:rsidR="00B00A1E" w:rsidRPr="00B00A1E" w:rsidRDefault="00B00A1E" w:rsidP="00B00A1E">
            <w:pPr>
              <w:jc w:val="center"/>
            </w:pPr>
            <w:r w:rsidRPr="00B00A1E">
              <w:t>$1,835,400</w:t>
            </w:r>
          </w:p>
        </w:tc>
        <w:tc>
          <w:tcPr>
            <w:tcW w:w="1596" w:type="dxa"/>
          </w:tcPr>
          <w:p w:rsidR="00B00A1E" w:rsidRPr="00B00A1E" w:rsidRDefault="00B00A1E" w:rsidP="00B00A1E">
            <w:pPr>
              <w:jc w:val="center"/>
            </w:pPr>
            <w:r w:rsidRPr="00B00A1E">
              <w:t>$165,492</w:t>
            </w:r>
          </w:p>
        </w:tc>
      </w:tr>
      <w:tr w:rsidR="00B00A1E" w:rsidRPr="00B00A1E" w:rsidTr="00FF5316">
        <w:tc>
          <w:tcPr>
            <w:tcW w:w="1596" w:type="dxa"/>
          </w:tcPr>
          <w:p w:rsidR="00B00A1E" w:rsidRPr="00B00A1E" w:rsidRDefault="00B00A1E" w:rsidP="00B00A1E">
            <w:pPr>
              <w:jc w:val="center"/>
              <w:rPr>
                <w:b/>
              </w:rPr>
            </w:pPr>
            <w:r w:rsidRPr="00B00A1E">
              <w:rPr>
                <w:b/>
              </w:rPr>
              <w:t>2022</w:t>
            </w:r>
          </w:p>
        </w:tc>
        <w:tc>
          <w:tcPr>
            <w:tcW w:w="1596" w:type="dxa"/>
          </w:tcPr>
          <w:p w:rsidR="00B00A1E" w:rsidRPr="00B00A1E" w:rsidRDefault="00B00A1E" w:rsidP="00B00A1E">
            <w:pPr>
              <w:jc w:val="center"/>
            </w:pPr>
            <w:r w:rsidRPr="00B00A1E">
              <w:t>$34.24</w:t>
            </w:r>
          </w:p>
        </w:tc>
        <w:tc>
          <w:tcPr>
            <w:tcW w:w="1596" w:type="dxa"/>
          </w:tcPr>
          <w:p w:rsidR="00B00A1E" w:rsidRPr="00B00A1E" w:rsidRDefault="00B00A1E" w:rsidP="00B00A1E">
            <w:pPr>
              <w:jc w:val="center"/>
            </w:pPr>
            <w:r w:rsidRPr="00B00A1E">
              <w:t>60,000</w:t>
            </w:r>
          </w:p>
        </w:tc>
        <w:tc>
          <w:tcPr>
            <w:tcW w:w="1596" w:type="dxa"/>
          </w:tcPr>
          <w:p w:rsidR="00B00A1E" w:rsidRPr="00B00A1E" w:rsidRDefault="00B00A1E" w:rsidP="00B00A1E">
            <w:pPr>
              <w:jc w:val="center"/>
            </w:pPr>
            <w:r w:rsidRPr="00B00A1E">
              <w:t>$2,054,527</w:t>
            </w:r>
          </w:p>
        </w:tc>
        <w:tc>
          <w:tcPr>
            <w:tcW w:w="1596" w:type="dxa"/>
          </w:tcPr>
          <w:p w:rsidR="00B00A1E" w:rsidRPr="00B00A1E" w:rsidRDefault="00B00A1E" w:rsidP="00B00A1E">
            <w:pPr>
              <w:jc w:val="center"/>
            </w:pPr>
            <w:r w:rsidRPr="00B00A1E">
              <w:t>$1,835,400</w:t>
            </w:r>
          </w:p>
        </w:tc>
        <w:tc>
          <w:tcPr>
            <w:tcW w:w="1596" w:type="dxa"/>
          </w:tcPr>
          <w:p w:rsidR="00B00A1E" w:rsidRPr="00B00A1E" w:rsidRDefault="00B00A1E" w:rsidP="00B00A1E">
            <w:pPr>
              <w:jc w:val="center"/>
            </w:pPr>
            <w:r w:rsidRPr="00B00A1E">
              <w:t>$219,127</w:t>
            </w:r>
          </w:p>
        </w:tc>
      </w:tr>
      <w:tr w:rsidR="00B00A1E" w:rsidRPr="00B00A1E" w:rsidTr="00FF5316">
        <w:tc>
          <w:tcPr>
            <w:tcW w:w="1596" w:type="dxa"/>
          </w:tcPr>
          <w:p w:rsidR="00B00A1E" w:rsidRPr="00B00A1E" w:rsidRDefault="00B00A1E" w:rsidP="00B00A1E">
            <w:pPr>
              <w:jc w:val="center"/>
              <w:rPr>
                <w:b/>
              </w:rPr>
            </w:pPr>
            <w:r w:rsidRPr="00B00A1E">
              <w:rPr>
                <w:b/>
              </w:rPr>
              <w:t>2023</w:t>
            </w:r>
          </w:p>
        </w:tc>
        <w:tc>
          <w:tcPr>
            <w:tcW w:w="1596" w:type="dxa"/>
          </w:tcPr>
          <w:p w:rsidR="00B00A1E" w:rsidRPr="00B00A1E" w:rsidRDefault="00B00A1E" w:rsidP="00B00A1E">
            <w:pPr>
              <w:jc w:val="center"/>
            </w:pPr>
            <w:r w:rsidRPr="00B00A1E">
              <w:t>$36.26</w:t>
            </w:r>
          </w:p>
        </w:tc>
        <w:tc>
          <w:tcPr>
            <w:tcW w:w="1596" w:type="dxa"/>
          </w:tcPr>
          <w:p w:rsidR="00B00A1E" w:rsidRPr="00B00A1E" w:rsidRDefault="00B00A1E" w:rsidP="00B00A1E">
            <w:pPr>
              <w:jc w:val="center"/>
            </w:pPr>
            <w:r w:rsidRPr="00B00A1E">
              <w:t>25,000</w:t>
            </w:r>
          </w:p>
        </w:tc>
        <w:tc>
          <w:tcPr>
            <w:tcW w:w="1596" w:type="dxa"/>
          </w:tcPr>
          <w:p w:rsidR="00B00A1E" w:rsidRPr="00B00A1E" w:rsidRDefault="00B00A1E" w:rsidP="00B00A1E">
            <w:pPr>
              <w:jc w:val="center"/>
            </w:pPr>
            <w:r w:rsidRPr="00B00A1E">
              <w:t>$906,578</w:t>
            </w:r>
          </w:p>
        </w:tc>
        <w:tc>
          <w:tcPr>
            <w:tcW w:w="1596" w:type="dxa"/>
          </w:tcPr>
          <w:p w:rsidR="00B00A1E" w:rsidRPr="00B00A1E" w:rsidRDefault="00B00A1E" w:rsidP="00B00A1E">
            <w:pPr>
              <w:jc w:val="center"/>
            </w:pPr>
            <w:r w:rsidRPr="00B00A1E">
              <w:t>$764,750</w:t>
            </w:r>
          </w:p>
        </w:tc>
        <w:tc>
          <w:tcPr>
            <w:tcW w:w="1596" w:type="dxa"/>
          </w:tcPr>
          <w:p w:rsidR="00B00A1E" w:rsidRPr="00B00A1E" w:rsidRDefault="00B00A1E" w:rsidP="00B00A1E">
            <w:pPr>
              <w:jc w:val="center"/>
            </w:pPr>
            <w:r w:rsidRPr="00B00A1E">
              <w:t>$141,828</w:t>
            </w:r>
          </w:p>
        </w:tc>
      </w:tr>
      <w:tr w:rsidR="00B00A1E" w:rsidRPr="00B00A1E" w:rsidTr="00FF5316">
        <w:tc>
          <w:tcPr>
            <w:tcW w:w="1596" w:type="dxa"/>
          </w:tcPr>
          <w:p w:rsidR="00B00A1E" w:rsidRPr="00B00A1E" w:rsidRDefault="00B00A1E" w:rsidP="00B00A1E"/>
        </w:tc>
        <w:tc>
          <w:tcPr>
            <w:tcW w:w="1596" w:type="dxa"/>
          </w:tcPr>
          <w:p w:rsidR="00B00A1E" w:rsidRPr="00B00A1E" w:rsidRDefault="00B00A1E" w:rsidP="00B00A1E">
            <w:pPr>
              <w:jc w:val="right"/>
              <w:rPr>
                <w:b/>
              </w:rPr>
            </w:pPr>
            <w:r w:rsidRPr="00B00A1E">
              <w:rPr>
                <w:b/>
              </w:rPr>
              <w:t>Total</w:t>
            </w:r>
          </w:p>
        </w:tc>
        <w:tc>
          <w:tcPr>
            <w:tcW w:w="1596" w:type="dxa"/>
          </w:tcPr>
          <w:p w:rsidR="00B00A1E" w:rsidRPr="00B00A1E" w:rsidRDefault="00B00A1E" w:rsidP="00B00A1E">
            <w:pPr>
              <w:jc w:val="center"/>
            </w:pPr>
            <w:r w:rsidRPr="00B00A1E">
              <w:t>360,000</w:t>
            </w:r>
          </w:p>
        </w:tc>
        <w:tc>
          <w:tcPr>
            <w:tcW w:w="1596" w:type="dxa"/>
          </w:tcPr>
          <w:p w:rsidR="00B00A1E" w:rsidRPr="00B00A1E" w:rsidRDefault="00B00A1E" w:rsidP="00B00A1E">
            <w:pPr>
              <w:jc w:val="center"/>
            </w:pPr>
            <w:r w:rsidRPr="00B00A1E">
              <w:t>$11,430,606</w:t>
            </w:r>
          </w:p>
        </w:tc>
        <w:tc>
          <w:tcPr>
            <w:tcW w:w="1596" w:type="dxa"/>
          </w:tcPr>
          <w:p w:rsidR="00B00A1E" w:rsidRPr="00B00A1E" w:rsidRDefault="00B00A1E" w:rsidP="00B00A1E">
            <w:pPr>
              <w:jc w:val="center"/>
            </w:pPr>
            <w:r w:rsidRPr="00B00A1E">
              <w:t>$11,012,400</w:t>
            </w:r>
          </w:p>
        </w:tc>
        <w:tc>
          <w:tcPr>
            <w:tcW w:w="1596" w:type="dxa"/>
          </w:tcPr>
          <w:p w:rsidR="00B00A1E" w:rsidRPr="00B00A1E" w:rsidRDefault="00B00A1E" w:rsidP="00B00A1E">
            <w:pPr>
              <w:jc w:val="center"/>
            </w:pPr>
            <w:r w:rsidRPr="00B00A1E">
              <w:t>$418,206</w:t>
            </w:r>
          </w:p>
        </w:tc>
      </w:tr>
      <w:tr w:rsidR="00B00A1E" w:rsidRPr="00B00A1E" w:rsidTr="00FF5316">
        <w:tc>
          <w:tcPr>
            <w:tcW w:w="1596" w:type="dxa"/>
          </w:tcPr>
          <w:p w:rsidR="00B00A1E" w:rsidRPr="00B00A1E" w:rsidRDefault="00B00A1E" w:rsidP="00B00A1E"/>
        </w:tc>
        <w:tc>
          <w:tcPr>
            <w:tcW w:w="1596" w:type="dxa"/>
          </w:tcPr>
          <w:p w:rsidR="00B00A1E" w:rsidRPr="00B00A1E" w:rsidRDefault="00B00A1E" w:rsidP="00B00A1E">
            <w:pPr>
              <w:jc w:val="right"/>
              <w:rPr>
                <w:b/>
              </w:rPr>
            </w:pPr>
            <w:r w:rsidRPr="00B00A1E">
              <w:rPr>
                <w:b/>
              </w:rPr>
              <w:t>NPV</w:t>
            </w:r>
          </w:p>
        </w:tc>
        <w:tc>
          <w:tcPr>
            <w:tcW w:w="1596" w:type="dxa"/>
          </w:tcPr>
          <w:p w:rsidR="00B00A1E" w:rsidRPr="00B00A1E" w:rsidRDefault="00B00A1E" w:rsidP="00B00A1E">
            <w:pPr>
              <w:jc w:val="center"/>
            </w:pPr>
            <w:r w:rsidRPr="00B00A1E">
              <w:t>279,453</w:t>
            </w:r>
          </w:p>
        </w:tc>
        <w:tc>
          <w:tcPr>
            <w:tcW w:w="1596" w:type="dxa"/>
          </w:tcPr>
          <w:p w:rsidR="00B00A1E" w:rsidRPr="00B00A1E" w:rsidRDefault="00B00A1E" w:rsidP="00B00A1E">
            <w:pPr>
              <w:jc w:val="center"/>
            </w:pPr>
            <w:r w:rsidRPr="00B00A1E">
              <w:t>$8,794,691</w:t>
            </w:r>
          </w:p>
        </w:tc>
        <w:tc>
          <w:tcPr>
            <w:tcW w:w="1596" w:type="dxa"/>
          </w:tcPr>
          <w:p w:rsidR="00B00A1E" w:rsidRPr="00B00A1E" w:rsidRDefault="00B00A1E" w:rsidP="00B00A1E">
            <w:pPr>
              <w:jc w:val="center"/>
            </w:pPr>
            <w:r w:rsidRPr="00B00A1E">
              <w:t>$8,548,457</w:t>
            </w:r>
          </w:p>
        </w:tc>
        <w:tc>
          <w:tcPr>
            <w:tcW w:w="1596" w:type="dxa"/>
          </w:tcPr>
          <w:p w:rsidR="00B00A1E" w:rsidRPr="00B00A1E" w:rsidRDefault="00B00A1E" w:rsidP="00B00A1E">
            <w:pPr>
              <w:jc w:val="center"/>
            </w:pPr>
            <w:r w:rsidRPr="00B00A1E">
              <w:t>$246,234</w:t>
            </w:r>
          </w:p>
        </w:tc>
      </w:tr>
    </w:tbl>
    <w:p w:rsidR="00B00A1E" w:rsidRPr="00B00A1E" w:rsidRDefault="00B00A1E" w:rsidP="00B00A1E">
      <w:pPr>
        <w:spacing w:after="480"/>
        <w:jc w:val="both"/>
      </w:pPr>
      <w:r w:rsidRPr="00B00A1E">
        <w:t xml:space="preserve">Source: Gulf’s Response to </w:t>
      </w:r>
      <w:r w:rsidR="00B9014F">
        <w:t xml:space="preserve">Commission </w:t>
      </w:r>
      <w:r w:rsidRPr="00B00A1E">
        <w:t>Staff’s First Data Request</w:t>
      </w:r>
      <w:r w:rsidRPr="00B00A1E">
        <w:rPr>
          <w:vertAlign w:val="superscript"/>
        </w:rPr>
        <w:footnoteReference w:id="3"/>
      </w:r>
    </w:p>
    <w:p w:rsidR="00B00A1E" w:rsidRPr="00B00A1E" w:rsidRDefault="00B00A1E" w:rsidP="00B9014F">
      <w:pPr>
        <w:spacing w:after="240"/>
        <w:ind w:firstLine="720"/>
        <w:jc w:val="both"/>
      </w:pPr>
      <w:r w:rsidRPr="00B00A1E">
        <w:t xml:space="preserve">The Contract requires that Bay County maximize its generation and that Gulf is the exclusive purchaser for all of the facility’s net generation. In addition to the energy provided by the facility, the Contract states that RECs associated with the electric energy produced from the facility will belong to Gulf, consistent with the prior contract. In response to </w:t>
      </w:r>
      <w:r w:rsidR="00B9014F">
        <w:t xml:space="preserve">Commission </w:t>
      </w:r>
      <w:r w:rsidRPr="00B00A1E">
        <w:t>Staff’s First Data Request, number 2, Gulf stated that it did not assign any monetary value to the RECs in its economic evaluation of the PPA.</w:t>
      </w:r>
      <w:r w:rsidRPr="00B00A1E">
        <w:rPr>
          <w:vertAlign w:val="superscript"/>
        </w:rPr>
        <w:footnoteReference w:id="4"/>
      </w:r>
      <w:r w:rsidRPr="00B00A1E">
        <w:t xml:space="preserve"> </w:t>
      </w:r>
      <w:r w:rsidR="00B9014F">
        <w:t>We</w:t>
      </w:r>
      <w:r w:rsidRPr="00B00A1E">
        <w:t xml:space="preserve"> note that, as part of the Contract, Gulf will receive any renewable attributes or RECs resulting from electrical energy generated at the Bay County facility during the Contract term and </w:t>
      </w:r>
      <w:r w:rsidR="000C024F">
        <w:t xml:space="preserve">we </w:t>
      </w:r>
      <w:r w:rsidR="00B9014F">
        <w:t>find</w:t>
      </w:r>
      <w:r w:rsidRPr="00B00A1E">
        <w:t xml:space="preserve"> that any proceeds received as a result of selling RECs s</w:t>
      </w:r>
      <w:r w:rsidR="00B9014F">
        <w:t>hall</w:t>
      </w:r>
      <w:r w:rsidRPr="00B00A1E">
        <w:t xml:space="preserve"> go to the benefit of the ratepayers.</w:t>
      </w:r>
    </w:p>
    <w:p w:rsidR="00B00A1E" w:rsidRDefault="00B00A1E" w:rsidP="00B00A1E">
      <w:pPr>
        <w:jc w:val="both"/>
        <w:outlineLvl w:val="2"/>
        <w:rPr>
          <w:bCs/>
          <w:iCs/>
          <w:szCs w:val="28"/>
          <w:u w:val="single"/>
        </w:rPr>
      </w:pPr>
      <w:r w:rsidRPr="00B9014F">
        <w:rPr>
          <w:bCs/>
          <w:iCs/>
          <w:szCs w:val="28"/>
          <w:u w:val="single"/>
        </w:rPr>
        <w:t>Security for Payments</w:t>
      </w:r>
    </w:p>
    <w:p w:rsidR="00B9014F" w:rsidRPr="00B9014F" w:rsidRDefault="00B9014F" w:rsidP="00B00A1E">
      <w:pPr>
        <w:jc w:val="both"/>
        <w:outlineLvl w:val="2"/>
        <w:rPr>
          <w:bCs/>
          <w:iCs/>
          <w:szCs w:val="28"/>
          <w:u w:val="single"/>
        </w:rPr>
      </w:pPr>
    </w:p>
    <w:p w:rsidR="00B00A1E" w:rsidRPr="00B00A1E" w:rsidRDefault="00B00A1E" w:rsidP="00B9014F">
      <w:pPr>
        <w:spacing w:after="240"/>
        <w:ind w:firstLine="720"/>
        <w:jc w:val="both"/>
      </w:pPr>
      <w:r w:rsidRPr="00B00A1E">
        <w:t xml:space="preserve">No capacity payments are associated with this Contract; provisions are only for Bay County’s delivery of energy to Gulf. The security of this energy-only Contract is that payments </w:t>
      </w:r>
      <w:r w:rsidRPr="00B00A1E">
        <w:lastRenderedPageBreak/>
        <w:t>from Gulf are directly proportional to the amount of energy provided. If no energy is provided, no payment is due.</w:t>
      </w:r>
    </w:p>
    <w:p w:rsidR="00B00A1E" w:rsidRDefault="00B00A1E" w:rsidP="00B00A1E">
      <w:pPr>
        <w:jc w:val="both"/>
        <w:outlineLvl w:val="2"/>
        <w:rPr>
          <w:bCs/>
          <w:iCs/>
          <w:szCs w:val="28"/>
          <w:u w:val="single"/>
        </w:rPr>
      </w:pPr>
      <w:r w:rsidRPr="00B9014F">
        <w:rPr>
          <w:bCs/>
          <w:iCs/>
          <w:szCs w:val="28"/>
          <w:u w:val="single"/>
        </w:rPr>
        <w:t>Performance Guarantees</w:t>
      </w:r>
    </w:p>
    <w:p w:rsidR="00B9014F" w:rsidRPr="00B9014F" w:rsidRDefault="00B9014F" w:rsidP="00B00A1E">
      <w:pPr>
        <w:jc w:val="both"/>
        <w:outlineLvl w:val="2"/>
        <w:rPr>
          <w:bCs/>
          <w:iCs/>
          <w:szCs w:val="28"/>
          <w:u w:val="single"/>
        </w:rPr>
      </w:pPr>
    </w:p>
    <w:p w:rsidR="00B00A1E" w:rsidRPr="00B00A1E" w:rsidRDefault="00B00A1E" w:rsidP="00B9014F">
      <w:pPr>
        <w:spacing w:after="240"/>
        <w:ind w:firstLine="720"/>
        <w:jc w:val="both"/>
      </w:pPr>
      <w:r w:rsidRPr="00B00A1E">
        <w:t xml:space="preserve">As noted above, the Contract states that Bay County must maximize its generation. Consistent with the prior contract, the Contract lists conditions which must be met to avoid default or termination, such as using good engineering and utility practices. Bay County is also obligated to maintain a specified reactive power flow, annually provide Gulf with a schedule of planned generation outages or reductions, and promptly notify Gulf of any forced or unplanned outages for longer than three days. If these obligations are not met, Gulf would notify Bay County of the default condition, which Bay County would be allowed 60 days to remedy. If not remedied after 60 days, Gulf may terminate the Contract without further liability to either party. </w:t>
      </w:r>
      <w:r w:rsidR="00B9014F">
        <w:t>We find that</w:t>
      </w:r>
      <w:r w:rsidRPr="00B00A1E">
        <w:t xml:space="preserve"> the terms of the Contract are sufficient to protect Gulf’s ratepayers if Bay County fails to deliver the net generation of energy from its facility.</w:t>
      </w:r>
    </w:p>
    <w:p w:rsidR="00B00A1E" w:rsidRDefault="00B00A1E" w:rsidP="00B00A1E">
      <w:pPr>
        <w:jc w:val="both"/>
        <w:outlineLvl w:val="2"/>
        <w:rPr>
          <w:bCs/>
          <w:iCs/>
          <w:szCs w:val="28"/>
          <w:u w:val="single"/>
        </w:rPr>
      </w:pPr>
      <w:r w:rsidRPr="00B9014F">
        <w:rPr>
          <w:bCs/>
          <w:iCs/>
          <w:szCs w:val="28"/>
          <w:u w:val="single"/>
        </w:rPr>
        <w:t>Conclusion</w:t>
      </w:r>
    </w:p>
    <w:p w:rsidR="00B9014F" w:rsidRPr="00B9014F" w:rsidRDefault="00B9014F" w:rsidP="00B00A1E">
      <w:pPr>
        <w:jc w:val="both"/>
        <w:outlineLvl w:val="2"/>
        <w:rPr>
          <w:bCs/>
          <w:iCs/>
          <w:szCs w:val="28"/>
          <w:u w:val="single"/>
        </w:rPr>
      </w:pPr>
    </w:p>
    <w:p w:rsidR="00E2404A" w:rsidRDefault="00B00A1E" w:rsidP="00B9014F">
      <w:pPr>
        <w:spacing w:after="240"/>
        <w:ind w:firstLine="720"/>
        <w:jc w:val="both"/>
      </w:pPr>
      <w:r w:rsidRPr="00B00A1E">
        <w:t>Payments for energy are expected to produce NPV savings of approximately $250,000 over the term of the Contract. Also, the Contract is substantially similar to the contracts between Gulf and Bay C</w:t>
      </w:r>
      <w:r w:rsidR="00B9014F">
        <w:t>ounty previously approved by this</w:t>
      </w:r>
      <w:r w:rsidRPr="00B00A1E">
        <w:t xml:space="preserve"> Commission. Therefore, </w:t>
      </w:r>
      <w:r w:rsidR="00B9014F">
        <w:t xml:space="preserve">we hereby </w:t>
      </w:r>
      <w:r w:rsidRPr="00B00A1E">
        <w:t xml:space="preserve">approve Gulf’s petition for approval of a negotiated renewable energy PPA with Bay County, Florida. </w:t>
      </w:r>
      <w:r w:rsidR="00B9014F">
        <w:t>We find</w:t>
      </w:r>
      <w:r w:rsidRPr="00B00A1E">
        <w:t xml:space="preserve"> that Gulf sh</w:t>
      </w:r>
      <w:r w:rsidR="00B9014F">
        <w:t>all</w:t>
      </w:r>
      <w:r w:rsidRPr="00B00A1E">
        <w:t xml:space="preserve"> be permitted to petition for recovery of costs associated with the Contract through the Fuel and Purchased Power Recovery Clause. As part of the Contract, Gulf will receive any renewable attributes or RECs resulting from electrical energy generated at the Bay County facility during the Contract term, but any proceeds rece</w:t>
      </w:r>
      <w:r w:rsidR="00B9014F">
        <w:t>ived from these items shall</w:t>
      </w:r>
      <w:r w:rsidRPr="00B00A1E">
        <w:t xml:space="preserve"> be returned to the ratepayers.</w:t>
      </w:r>
    </w:p>
    <w:p w:rsidR="00E2404A" w:rsidRDefault="00E2404A" w:rsidP="00E2404A">
      <w:pPr>
        <w:pStyle w:val="OrderBody"/>
      </w:pPr>
      <w:r>
        <w:tab/>
        <w:t>Based on the foregoing, it is</w:t>
      </w:r>
    </w:p>
    <w:p w:rsidR="00E2404A" w:rsidRDefault="00E2404A" w:rsidP="00E2404A">
      <w:pPr>
        <w:pStyle w:val="OrderBody"/>
      </w:pPr>
    </w:p>
    <w:p w:rsidR="00E2404A" w:rsidRDefault="00E2404A" w:rsidP="00E2404A">
      <w:pPr>
        <w:pStyle w:val="OrderBody"/>
      </w:pPr>
      <w:r>
        <w:tab/>
        <w:t>ORDERED by the Florida Public Service Commission that</w:t>
      </w:r>
      <w:r w:rsidR="00B9014F">
        <w:t xml:space="preserve"> </w:t>
      </w:r>
      <w:r w:rsidR="002A2906">
        <w:t>the negotiated renewable energy contract between Gulf Power Company and Bay County, Florida for the purchase of energy is hereby approved.  It is further</w:t>
      </w:r>
    </w:p>
    <w:p w:rsidR="002A2906" w:rsidRDefault="002A2906" w:rsidP="00E2404A">
      <w:pPr>
        <w:pStyle w:val="OrderBody"/>
      </w:pPr>
    </w:p>
    <w:p w:rsidR="002A2906" w:rsidRDefault="002A2906" w:rsidP="00E2404A">
      <w:pPr>
        <w:pStyle w:val="OrderBody"/>
      </w:pPr>
      <w:r>
        <w:tab/>
        <w:t xml:space="preserve">ORDERED that </w:t>
      </w:r>
      <w:r w:rsidRPr="00B00A1E">
        <w:t>Gulf</w:t>
      </w:r>
      <w:r>
        <w:t xml:space="preserve"> Power Company</w:t>
      </w:r>
      <w:r w:rsidRPr="00B00A1E">
        <w:t xml:space="preserve"> sh</w:t>
      </w:r>
      <w:r>
        <w:t>all</w:t>
      </w:r>
      <w:r w:rsidRPr="00B00A1E">
        <w:t xml:space="preserve"> be permitted to petition for recovery of costs associated with the </w:t>
      </w:r>
      <w:r w:rsidR="00E34A9C">
        <w:t>negotiated renewable energy contract</w:t>
      </w:r>
      <w:r w:rsidRPr="00B00A1E">
        <w:t xml:space="preserve"> through the Fuel and Purchased Power Recovery Clause.</w:t>
      </w:r>
      <w:r>
        <w:t xml:space="preserve">  It is further</w:t>
      </w:r>
    </w:p>
    <w:p w:rsidR="002A2906" w:rsidRDefault="002A2906" w:rsidP="00E2404A">
      <w:pPr>
        <w:pStyle w:val="OrderBody"/>
      </w:pPr>
    </w:p>
    <w:p w:rsidR="002A2906" w:rsidRDefault="002A2906" w:rsidP="00E2404A">
      <w:pPr>
        <w:pStyle w:val="OrderBody"/>
      </w:pPr>
      <w:r>
        <w:tab/>
        <w:t xml:space="preserve">ORDERED that </w:t>
      </w:r>
      <w:r w:rsidRPr="00B00A1E">
        <w:t xml:space="preserve">any proceeds received as a result of selling </w:t>
      </w:r>
      <w:r w:rsidRPr="00996FF5">
        <w:t>Renewable Energy Credits</w:t>
      </w:r>
      <w:r>
        <w:t xml:space="preserve"> </w:t>
      </w:r>
      <w:r w:rsidRPr="00B00A1E">
        <w:t>s</w:t>
      </w:r>
      <w:r>
        <w:t>hall</w:t>
      </w:r>
      <w:r w:rsidRPr="00B00A1E">
        <w:t xml:space="preserve"> go to the benefit of the ratepayers.</w:t>
      </w:r>
      <w:r>
        <w:t xml:space="preserve">  It is further</w:t>
      </w:r>
    </w:p>
    <w:p w:rsidR="00E2404A" w:rsidRDefault="00E2404A" w:rsidP="00E2404A">
      <w:pPr>
        <w:pStyle w:val="OrderBody"/>
      </w:pPr>
    </w:p>
    <w:p w:rsidR="00E2404A" w:rsidRDefault="00E2404A" w:rsidP="00E2404A">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lastRenderedPageBreak/>
        <w:t>close of business on the date set forth in the “Notice of Further Proceedings” attached hereto.  It is further</w:t>
      </w:r>
    </w:p>
    <w:p w:rsidR="00E2404A" w:rsidRDefault="00E2404A" w:rsidP="00E2404A">
      <w:pPr>
        <w:pStyle w:val="OrderBody"/>
      </w:pPr>
    </w:p>
    <w:p w:rsidR="00E2404A" w:rsidRDefault="00E2404A" w:rsidP="00E2404A">
      <w:pPr>
        <w:pStyle w:val="OrderBody"/>
      </w:pPr>
      <w:r>
        <w:tab/>
        <w:t>ORDERED that in the event this Order becomes final, this docket shall be closed.</w:t>
      </w:r>
    </w:p>
    <w:p w:rsidR="000A2AAF" w:rsidRDefault="000A2AAF" w:rsidP="00E2404A">
      <w:pPr>
        <w:pStyle w:val="OrderBody"/>
      </w:pPr>
    </w:p>
    <w:p w:rsidR="000A2AAF" w:rsidRDefault="000A2AAF" w:rsidP="000A2AAF">
      <w:pPr>
        <w:pStyle w:val="OrderBody"/>
        <w:keepNext/>
        <w:keepLines/>
      </w:pPr>
      <w:r>
        <w:tab/>
        <w:t xml:space="preserve">By ORDER of the Florida Public Service Commission this </w:t>
      </w:r>
      <w:bookmarkStart w:id="4" w:name="replaceDate"/>
      <w:bookmarkEnd w:id="4"/>
      <w:r w:rsidR="00DB7F81">
        <w:rPr>
          <w:u w:val="single"/>
        </w:rPr>
        <w:t>20</w:t>
      </w:r>
      <w:r w:rsidR="00A633B5">
        <w:rPr>
          <w:u w:val="single"/>
        </w:rPr>
        <w:t>th</w:t>
      </w:r>
      <w:r w:rsidR="00A633B5">
        <w:t xml:space="preserve"> day of </w:t>
      </w:r>
      <w:r w:rsidR="00A633B5">
        <w:rPr>
          <w:u w:val="single"/>
        </w:rPr>
        <w:t>November</w:t>
      </w:r>
      <w:r w:rsidR="00A633B5">
        <w:t xml:space="preserve">, </w:t>
      </w:r>
      <w:r w:rsidR="00A633B5">
        <w:rPr>
          <w:u w:val="single"/>
        </w:rPr>
        <w:t>2017</w:t>
      </w:r>
      <w:r w:rsidR="00A633B5">
        <w:t>.</w:t>
      </w:r>
    </w:p>
    <w:p w:rsidR="00A633B5" w:rsidRPr="00A633B5" w:rsidRDefault="00A633B5" w:rsidP="000A2AAF">
      <w:pPr>
        <w:pStyle w:val="OrderBody"/>
        <w:keepNext/>
        <w:keepLines/>
      </w:pPr>
    </w:p>
    <w:p w:rsidR="000A2AAF" w:rsidRDefault="000A2AAF" w:rsidP="000A2AA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A2AAF" w:rsidTr="000A2AAF">
        <w:tc>
          <w:tcPr>
            <w:tcW w:w="720" w:type="dxa"/>
            <w:shd w:val="clear" w:color="auto" w:fill="auto"/>
          </w:tcPr>
          <w:p w:rsidR="000A2AAF" w:rsidRDefault="000A2AAF" w:rsidP="000A2AAF">
            <w:pPr>
              <w:pStyle w:val="OrderBody"/>
              <w:keepNext/>
              <w:keepLines/>
            </w:pPr>
            <w:bookmarkStart w:id="5" w:name="bkmrkSignature" w:colFirst="0" w:colLast="0"/>
          </w:p>
        </w:tc>
        <w:tc>
          <w:tcPr>
            <w:tcW w:w="4320" w:type="dxa"/>
            <w:tcBorders>
              <w:bottom w:val="single" w:sz="4" w:space="0" w:color="auto"/>
            </w:tcBorders>
            <w:shd w:val="clear" w:color="auto" w:fill="auto"/>
          </w:tcPr>
          <w:p w:rsidR="000A2AAF" w:rsidRDefault="00B171ED" w:rsidP="00A633B5">
            <w:pPr>
              <w:pStyle w:val="OrderBody"/>
              <w:keepNext/>
              <w:keepLines/>
            </w:pPr>
            <w:r>
              <w:t>/s/ Carlotta S. Stauffer</w:t>
            </w:r>
          </w:p>
        </w:tc>
      </w:tr>
      <w:bookmarkEnd w:id="5"/>
      <w:tr w:rsidR="000A2AAF" w:rsidTr="000A2AAF">
        <w:tc>
          <w:tcPr>
            <w:tcW w:w="720" w:type="dxa"/>
            <w:shd w:val="clear" w:color="auto" w:fill="auto"/>
          </w:tcPr>
          <w:p w:rsidR="000A2AAF" w:rsidRDefault="000A2AAF" w:rsidP="000A2AAF">
            <w:pPr>
              <w:pStyle w:val="OrderBody"/>
              <w:keepNext/>
              <w:keepLines/>
            </w:pPr>
          </w:p>
        </w:tc>
        <w:tc>
          <w:tcPr>
            <w:tcW w:w="4320" w:type="dxa"/>
            <w:tcBorders>
              <w:top w:val="single" w:sz="4" w:space="0" w:color="auto"/>
            </w:tcBorders>
            <w:shd w:val="clear" w:color="auto" w:fill="auto"/>
          </w:tcPr>
          <w:p w:rsidR="005762BA" w:rsidRDefault="008E488C" w:rsidP="000A2AAF">
            <w:pPr>
              <w:pStyle w:val="OrderBody"/>
              <w:keepNext/>
              <w:keepLines/>
            </w:pPr>
            <w:r>
              <w:t>CARLOTTA S. STAUFFER</w:t>
            </w:r>
            <w:bookmarkStart w:id="6" w:name="_GoBack"/>
            <w:bookmarkEnd w:id="6"/>
          </w:p>
          <w:p w:rsidR="000A2AAF" w:rsidRDefault="005762BA" w:rsidP="000A2AAF">
            <w:pPr>
              <w:pStyle w:val="OrderBody"/>
              <w:keepNext/>
              <w:keepLines/>
            </w:pPr>
            <w:r>
              <w:t>Commission Clerk</w:t>
            </w:r>
          </w:p>
        </w:tc>
      </w:tr>
    </w:tbl>
    <w:p w:rsidR="000A2AAF" w:rsidRDefault="000A2AAF" w:rsidP="000A2AAF">
      <w:pPr>
        <w:pStyle w:val="OrderSigInfo"/>
        <w:keepNext/>
        <w:keepLines/>
      </w:pPr>
      <w:r>
        <w:t>Florida Public Service Commission</w:t>
      </w:r>
    </w:p>
    <w:p w:rsidR="000A2AAF" w:rsidRDefault="000A2AAF" w:rsidP="000A2AAF">
      <w:pPr>
        <w:pStyle w:val="OrderSigInfo"/>
        <w:keepNext/>
        <w:keepLines/>
      </w:pPr>
      <w:r>
        <w:t>2540 Shumard Oak Boulevard</w:t>
      </w:r>
    </w:p>
    <w:p w:rsidR="000A2AAF" w:rsidRDefault="000A2AAF" w:rsidP="000A2AAF">
      <w:pPr>
        <w:pStyle w:val="OrderSigInfo"/>
        <w:keepNext/>
        <w:keepLines/>
      </w:pPr>
      <w:r>
        <w:t>Tallahassee, Florida  32399</w:t>
      </w:r>
    </w:p>
    <w:p w:rsidR="000A2AAF" w:rsidRDefault="000A2AAF" w:rsidP="000A2AAF">
      <w:pPr>
        <w:pStyle w:val="OrderSigInfo"/>
        <w:keepNext/>
        <w:keepLines/>
      </w:pPr>
      <w:r>
        <w:t>(850) 413</w:t>
      </w:r>
      <w:r>
        <w:noBreakHyphen/>
        <w:t>6770</w:t>
      </w:r>
    </w:p>
    <w:p w:rsidR="000A2AAF" w:rsidRDefault="000A2AAF" w:rsidP="000A2AAF">
      <w:pPr>
        <w:pStyle w:val="OrderSigInfo"/>
        <w:keepNext/>
        <w:keepLines/>
      </w:pPr>
      <w:r>
        <w:t>www.floridapsc.com</w:t>
      </w:r>
    </w:p>
    <w:p w:rsidR="000A2AAF" w:rsidRDefault="000A2AAF" w:rsidP="000A2AAF">
      <w:pPr>
        <w:pStyle w:val="OrderSigInfo"/>
        <w:keepNext/>
        <w:keepLines/>
      </w:pPr>
    </w:p>
    <w:p w:rsidR="000A2AAF" w:rsidRDefault="000A2AAF" w:rsidP="000A2AAF">
      <w:pPr>
        <w:pStyle w:val="OrderSigInfo"/>
        <w:keepNext/>
        <w:keepLines/>
      </w:pPr>
      <w:r>
        <w:t>Copies furnished:  A copy of this document is provided to the parties of record at the time of issuance and, if applicable, interested persons.</w:t>
      </w:r>
    </w:p>
    <w:p w:rsidR="000A2AAF" w:rsidRDefault="000A2AAF" w:rsidP="000A2AAF">
      <w:pPr>
        <w:pStyle w:val="OrderBody"/>
        <w:keepNext/>
        <w:keepLines/>
      </w:pPr>
    </w:p>
    <w:p w:rsidR="000A2AAF" w:rsidRDefault="000A2AAF" w:rsidP="000A2AAF">
      <w:pPr>
        <w:pStyle w:val="OrderBody"/>
        <w:keepNext/>
        <w:keepLines/>
      </w:pPr>
    </w:p>
    <w:p w:rsidR="000A2AAF" w:rsidRDefault="000A2AAF" w:rsidP="000A2AAF">
      <w:pPr>
        <w:pStyle w:val="OrderBody"/>
        <w:keepNext/>
        <w:keepLines/>
      </w:pPr>
      <w:r>
        <w:t>MAD</w:t>
      </w:r>
    </w:p>
    <w:p w:rsidR="000A2AAF" w:rsidRDefault="000A2AAF"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2A2906" w:rsidRDefault="002A2906" w:rsidP="00E2404A">
      <w:pPr>
        <w:pStyle w:val="OrderBody"/>
      </w:pPr>
    </w:p>
    <w:p w:rsidR="00496F39" w:rsidRDefault="00496F39" w:rsidP="000A2AAF">
      <w:pPr>
        <w:pStyle w:val="OrderBody"/>
        <w:jc w:val="center"/>
        <w:rPr>
          <w:u w:val="single"/>
        </w:rPr>
      </w:pPr>
    </w:p>
    <w:p w:rsidR="00A633B5" w:rsidRDefault="00A633B5" w:rsidP="000A2AAF">
      <w:pPr>
        <w:pStyle w:val="OrderBody"/>
        <w:jc w:val="center"/>
        <w:rPr>
          <w:u w:val="single"/>
        </w:rPr>
      </w:pPr>
    </w:p>
    <w:p w:rsidR="00A633B5" w:rsidRDefault="00A633B5" w:rsidP="000A2AAF">
      <w:pPr>
        <w:pStyle w:val="OrderBody"/>
        <w:jc w:val="center"/>
        <w:rPr>
          <w:u w:val="single"/>
        </w:rPr>
      </w:pPr>
    </w:p>
    <w:p w:rsidR="003F5BA6" w:rsidRDefault="003F5BA6" w:rsidP="000A2AAF">
      <w:pPr>
        <w:pStyle w:val="OrderBody"/>
        <w:jc w:val="center"/>
        <w:rPr>
          <w:u w:val="single"/>
        </w:rPr>
      </w:pPr>
      <w:r>
        <w:rPr>
          <w:u w:val="single"/>
        </w:rPr>
        <w:lastRenderedPageBreak/>
        <w:t>NOTICE OF FURTHER PROCEEDINGS OR JUDICIAL REVIEW</w:t>
      </w:r>
    </w:p>
    <w:p w:rsidR="00F0366A" w:rsidRDefault="00F0366A">
      <w:pPr>
        <w:pStyle w:val="OrderBody"/>
      </w:pPr>
    </w:p>
    <w:p w:rsidR="003F5BA6" w:rsidRDefault="003F5BA6" w:rsidP="003F5BA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F5BA6" w:rsidRDefault="003F5BA6" w:rsidP="003F5BA6">
      <w:pPr>
        <w:pStyle w:val="OrderBody"/>
      </w:pPr>
    </w:p>
    <w:p w:rsidR="003F5BA6" w:rsidRDefault="003F5BA6" w:rsidP="003F5BA6">
      <w:pPr>
        <w:pStyle w:val="OrderBody"/>
      </w:pPr>
      <w:r>
        <w:tab/>
        <w:t>Mediation may be available on a case-by-case basis.  If mediation is conducted, it does not affect a substantially interested person's right to a hearing.</w:t>
      </w:r>
    </w:p>
    <w:p w:rsidR="003F5BA6" w:rsidRDefault="003F5BA6" w:rsidP="003F5BA6">
      <w:pPr>
        <w:pStyle w:val="OrderBody"/>
      </w:pPr>
    </w:p>
    <w:p w:rsidR="003F5BA6" w:rsidRDefault="003F5BA6" w:rsidP="003F5BA6">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w:t>
      </w:r>
      <w:r w:rsidR="00A633B5">
        <w:t xml:space="preserve"> </w:t>
      </w:r>
      <w:r w:rsidR="00DB7F81" w:rsidRPr="00B171ED">
        <w:rPr>
          <w:u w:val="single"/>
        </w:rPr>
        <w:t>December 11, 2017</w:t>
      </w:r>
      <w:r>
        <w:t>.</w:t>
      </w:r>
    </w:p>
    <w:p w:rsidR="003F5BA6" w:rsidRDefault="003F5BA6" w:rsidP="003F5BA6">
      <w:pPr>
        <w:pStyle w:val="OrderBody"/>
      </w:pPr>
    </w:p>
    <w:p w:rsidR="003F5BA6" w:rsidRDefault="003F5BA6" w:rsidP="003F5BA6">
      <w:pPr>
        <w:pStyle w:val="OrderBody"/>
      </w:pPr>
      <w:r>
        <w:tab/>
        <w:t>In the absence of such a petition, this order shall become final and effective upon the issuance of a Consummating Order.</w:t>
      </w:r>
    </w:p>
    <w:p w:rsidR="003F5BA6" w:rsidRDefault="003F5BA6" w:rsidP="003F5BA6">
      <w:pPr>
        <w:pStyle w:val="OrderBody"/>
      </w:pPr>
    </w:p>
    <w:p w:rsidR="003F5BA6" w:rsidRDefault="003F5BA6" w:rsidP="003F5BA6">
      <w:pPr>
        <w:pStyle w:val="OrderBody"/>
      </w:pPr>
      <w:r>
        <w:tab/>
        <w:t>Any objection or protest filed in this/these docket(s) before the issuance date of this order is considered abandoned unless it satisfies the foregoing conditions and is renewed within the specified protest period.</w:t>
      </w:r>
    </w:p>
    <w:p w:rsidR="003F5BA6" w:rsidRDefault="003F5BA6" w:rsidP="003F5BA6">
      <w:pPr>
        <w:pStyle w:val="OrderBody"/>
      </w:pPr>
    </w:p>
    <w:p w:rsidR="003F5BA6" w:rsidRDefault="003F5BA6" w:rsidP="003F5BA6">
      <w:pPr>
        <w:pStyle w:val="OrderBody"/>
      </w:pPr>
    </w:p>
    <w:p w:rsidR="003F5BA6" w:rsidRPr="003F5BA6" w:rsidRDefault="003F5BA6" w:rsidP="003F5BA6">
      <w:pPr>
        <w:pStyle w:val="OrderBody"/>
      </w:pPr>
    </w:p>
    <w:p w:rsidR="00F0366A" w:rsidRDefault="00F0366A">
      <w:pPr>
        <w:pStyle w:val="OrderBody"/>
      </w:pPr>
    </w:p>
    <w:p w:rsidR="00CB5276" w:rsidRDefault="00CB5276" w:rsidP="00F0366A"/>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6A" w:rsidRDefault="00F0366A">
      <w:r>
        <w:separator/>
      </w:r>
    </w:p>
  </w:endnote>
  <w:endnote w:type="continuationSeparator" w:id="0">
    <w:p w:rsidR="00F0366A" w:rsidRDefault="00F0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6A" w:rsidRDefault="00F0366A">
      <w:r>
        <w:separator/>
      </w:r>
    </w:p>
  </w:footnote>
  <w:footnote w:type="continuationSeparator" w:id="0">
    <w:p w:rsidR="00F0366A" w:rsidRDefault="00F0366A">
      <w:r>
        <w:continuationSeparator/>
      </w:r>
    </w:p>
  </w:footnote>
  <w:footnote w:id="1">
    <w:p w:rsidR="003F5BA6" w:rsidRDefault="003F5BA6" w:rsidP="003F5BA6">
      <w:pPr>
        <w:pStyle w:val="FootnoteText"/>
      </w:pPr>
      <w:r>
        <w:rPr>
          <w:rStyle w:val="FootnoteReference"/>
        </w:rPr>
        <w:footnoteRef/>
      </w:r>
      <w:r>
        <w:t xml:space="preserve">Order No. PSC-09-0012-PAA-EI, issued January 5, 2009, in Docket No. 080612-EI, </w:t>
      </w:r>
      <w:r w:rsidRPr="00B9014F">
        <w:rPr>
          <w:u w:val="single"/>
        </w:rPr>
        <w:t xml:space="preserve">In re: Petition of Gulf Power Company for approval of negotiated renewable energy power purchase agreement with Bay County, Florida. </w:t>
      </w:r>
    </w:p>
  </w:footnote>
  <w:footnote w:id="2">
    <w:p w:rsidR="003F5BA6" w:rsidRPr="005028B6" w:rsidRDefault="003F5BA6" w:rsidP="003F5BA6">
      <w:pPr>
        <w:pStyle w:val="FootnoteText"/>
        <w:rPr>
          <w:i/>
        </w:rPr>
      </w:pPr>
      <w:r>
        <w:rPr>
          <w:rStyle w:val="FootnoteReference"/>
        </w:rPr>
        <w:footnoteRef/>
      </w:r>
      <w:r>
        <w:t xml:space="preserve">Order No. PSC-14-0701-FOF-EI, issued December 19, 2014, in Docket No. 140001-EI, </w:t>
      </w:r>
      <w:r w:rsidRPr="00B9014F">
        <w:rPr>
          <w:u w:val="single"/>
        </w:rPr>
        <w:t>In re: Fuel and purchased power cost recovery clause with generating performance incentive factor.</w:t>
      </w:r>
    </w:p>
  </w:footnote>
  <w:footnote w:id="3">
    <w:p w:rsidR="00B00A1E" w:rsidRDefault="00B00A1E" w:rsidP="00B00A1E">
      <w:pPr>
        <w:pStyle w:val="FootnoteText"/>
      </w:pPr>
      <w:r>
        <w:rPr>
          <w:rStyle w:val="FootnoteReference"/>
        </w:rPr>
        <w:footnoteRef/>
      </w:r>
      <w:r>
        <w:t>Document No. 07948-2017, filed September 28, 2017, in Docket No. 20170169-EI, p. 27.</w:t>
      </w:r>
    </w:p>
  </w:footnote>
  <w:footnote w:id="4">
    <w:p w:rsidR="00B00A1E" w:rsidRDefault="00B00A1E" w:rsidP="00B00A1E">
      <w:pPr>
        <w:pStyle w:val="FootnoteText"/>
      </w:pPr>
      <w:r>
        <w:rPr>
          <w:rStyle w:val="FootnoteReference"/>
        </w:rPr>
        <w:footnoteRef/>
      </w:r>
      <w:r>
        <w:t>Document No. 07948-2017, filed September 28, 2017, in Docket No. 20170169-EI,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F81" w:rsidRDefault="00FA6EFD" w:rsidP="00DB7F81">
    <w:pPr>
      <w:pStyle w:val="OrderBody"/>
      <w:tabs>
        <w:tab w:val="center" w:pos="4320"/>
        <w:tab w:val="right" w:pos="8640"/>
      </w:tabs>
      <w:jc w:val="left"/>
    </w:pPr>
    <w:r>
      <w:t xml:space="preserve">ORDER NO. </w:t>
    </w:r>
    <w:bookmarkStart w:id="7" w:name="OrderText"/>
    <w:bookmarkEnd w:id="7"/>
    <w:r w:rsidR="00DB7F81">
      <w:t>PSC-2017-0449-PAA-EI</w:t>
    </w:r>
  </w:p>
  <w:p w:rsidR="00FA6EFD" w:rsidRDefault="00F0366A">
    <w:pPr>
      <w:pStyle w:val="OrderHeader"/>
    </w:pPr>
    <w:bookmarkStart w:id="8" w:name="HeaderDocketNo"/>
    <w:bookmarkEnd w:id="8"/>
    <w:r>
      <w:t>DOCKET NO. 20170169-EI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488C">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9-EI"/>
  </w:docVars>
  <w:rsids>
    <w:rsidRoot w:val="00F0366A"/>
    <w:rsid w:val="000022B8"/>
    <w:rsid w:val="00053AB9"/>
    <w:rsid w:val="00056229"/>
    <w:rsid w:val="00065FC2"/>
    <w:rsid w:val="00067685"/>
    <w:rsid w:val="00076E6B"/>
    <w:rsid w:val="0008247D"/>
    <w:rsid w:val="00090AFC"/>
    <w:rsid w:val="000A2AAF"/>
    <w:rsid w:val="000C024F"/>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2A0B"/>
    <w:rsid w:val="00252B30"/>
    <w:rsid w:val="0026544B"/>
    <w:rsid w:val="00277655"/>
    <w:rsid w:val="002824B7"/>
    <w:rsid w:val="00286769"/>
    <w:rsid w:val="002A11AC"/>
    <w:rsid w:val="002A2906"/>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F5BA6"/>
    <w:rsid w:val="00411DF2"/>
    <w:rsid w:val="0042527B"/>
    <w:rsid w:val="00457DC7"/>
    <w:rsid w:val="00461CBC"/>
    <w:rsid w:val="00472BCC"/>
    <w:rsid w:val="00496F39"/>
    <w:rsid w:val="004A25CD"/>
    <w:rsid w:val="004A26CC"/>
    <w:rsid w:val="004B2108"/>
    <w:rsid w:val="004B3A2B"/>
    <w:rsid w:val="004B70D3"/>
    <w:rsid w:val="004C312D"/>
    <w:rsid w:val="004C525B"/>
    <w:rsid w:val="004D2D1B"/>
    <w:rsid w:val="004D5067"/>
    <w:rsid w:val="004E469D"/>
    <w:rsid w:val="004F2DDE"/>
    <w:rsid w:val="004F7826"/>
    <w:rsid w:val="0050097F"/>
    <w:rsid w:val="00514B1F"/>
    <w:rsid w:val="00525E93"/>
    <w:rsid w:val="0052671D"/>
    <w:rsid w:val="00556A10"/>
    <w:rsid w:val="005762BA"/>
    <w:rsid w:val="00590845"/>
    <w:rsid w:val="005963C2"/>
    <w:rsid w:val="005A0D69"/>
    <w:rsid w:val="005B45F7"/>
    <w:rsid w:val="005B63EA"/>
    <w:rsid w:val="005C1A88"/>
    <w:rsid w:val="005C5033"/>
    <w:rsid w:val="005E751B"/>
    <w:rsid w:val="00610E73"/>
    <w:rsid w:val="0062331E"/>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7F56AE"/>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488C"/>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633B5"/>
    <w:rsid w:val="00A726A6"/>
    <w:rsid w:val="00A916CD"/>
    <w:rsid w:val="00A97535"/>
    <w:rsid w:val="00AA73F1"/>
    <w:rsid w:val="00AB0E1A"/>
    <w:rsid w:val="00AB1A30"/>
    <w:rsid w:val="00AD10EB"/>
    <w:rsid w:val="00AD1ED3"/>
    <w:rsid w:val="00AD2C5B"/>
    <w:rsid w:val="00B00A1E"/>
    <w:rsid w:val="00B0777D"/>
    <w:rsid w:val="00B1195F"/>
    <w:rsid w:val="00B171ED"/>
    <w:rsid w:val="00B209C7"/>
    <w:rsid w:val="00B3644F"/>
    <w:rsid w:val="00B4057A"/>
    <w:rsid w:val="00B40894"/>
    <w:rsid w:val="00B444AE"/>
    <w:rsid w:val="00B45E75"/>
    <w:rsid w:val="00B47686"/>
    <w:rsid w:val="00B50876"/>
    <w:rsid w:val="00B55AB0"/>
    <w:rsid w:val="00B55EE5"/>
    <w:rsid w:val="00B71D1F"/>
    <w:rsid w:val="00B73DE6"/>
    <w:rsid w:val="00B86EF0"/>
    <w:rsid w:val="00B9014F"/>
    <w:rsid w:val="00B96969"/>
    <w:rsid w:val="00B97900"/>
    <w:rsid w:val="00BA1229"/>
    <w:rsid w:val="00BA44A8"/>
    <w:rsid w:val="00BF6691"/>
    <w:rsid w:val="00C028FC"/>
    <w:rsid w:val="00C10ED5"/>
    <w:rsid w:val="00C151A6"/>
    <w:rsid w:val="00C174EE"/>
    <w:rsid w:val="00C24098"/>
    <w:rsid w:val="00C30A4E"/>
    <w:rsid w:val="00C411F3"/>
    <w:rsid w:val="00C44105"/>
    <w:rsid w:val="00C47654"/>
    <w:rsid w:val="00C55A33"/>
    <w:rsid w:val="00C61910"/>
    <w:rsid w:val="00C65595"/>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B7F81"/>
    <w:rsid w:val="00DC1D94"/>
    <w:rsid w:val="00DC42CF"/>
    <w:rsid w:val="00DE057F"/>
    <w:rsid w:val="00DE2082"/>
    <w:rsid w:val="00DE2289"/>
    <w:rsid w:val="00E03A76"/>
    <w:rsid w:val="00E04410"/>
    <w:rsid w:val="00E11351"/>
    <w:rsid w:val="00E2404A"/>
    <w:rsid w:val="00E34A9C"/>
    <w:rsid w:val="00E75AE0"/>
    <w:rsid w:val="00E83C1F"/>
    <w:rsid w:val="00EA172C"/>
    <w:rsid w:val="00EA259B"/>
    <w:rsid w:val="00EA35A3"/>
    <w:rsid w:val="00EA3E6A"/>
    <w:rsid w:val="00EB18EF"/>
    <w:rsid w:val="00EB7951"/>
    <w:rsid w:val="00EE17DF"/>
    <w:rsid w:val="00EF4621"/>
    <w:rsid w:val="00EF6312"/>
    <w:rsid w:val="00F0366A"/>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F5BA6"/>
  </w:style>
  <w:style w:type="paragraph" w:customStyle="1" w:styleId="RecommendationMajorSectionHeading">
    <w:name w:val="Recommendation Major Section Heading"/>
    <w:basedOn w:val="Heading1"/>
    <w:next w:val="BodyText"/>
    <w:rsid w:val="00E2404A"/>
    <w:pPr>
      <w:jc w:val="center"/>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3F5BA6"/>
  </w:style>
  <w:style w:type="paragraph" w:customStyle="1" w:styleId="RecommendationMajorSectionHeading">
    <w:name w:val="Recommendation Major Section Heading"/>
    <w:basedOn w:val="Heading1"/>
    <w:next w:val="BodyText"/>
    <w:rsid w:val="00E2404A"/>
    <w:pPr>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ruleNo.asp?id=25-17.2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2017-11-17T19:24:00Z</dcterms:created>
  <dcterms:modified xsi:type="dcterms:W3CDTF">2017-11-20T15:15:00Z</dcterms:modified>
</cp:coreProperties>
</file>