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70082" w:rsidP="00E70082">
      <w:pPr>
        <w:pStyle w:val="OrderHeading"/>
      </w:pPr>
      <w:bookmarkStart w:id="0" w:name="_GoBack"/>
      <w:bookmarkEnd w:id="0"/>
      <w:r>
        <w:t>BEFORE THE FLORIDA PUBLIC SERVICE COMMISSION</w:t>
      </w:r>
    </w:p>
    <w:p w:rsidR="00E70082" w:rsidRDefault="00E70082" w:rsidP="00E70082">
      <w:pPr>
        <w:pStyle w:val="OrderHeading"/>
      </w:pPr>
    </w:p>
    <w:p w:rsidR="00E70082" w:rsidRDefault="00E70082" w:rsidP="00E700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0082" w:rsidRPr="00C63FCF" w:rsidTr="00C63FCF">
        <w:trPr>
          <w:trHeight w:val="828"/>
        </w:trPr>
        <w:tc>
          <w:tcPr>
            <w:tcW w:w="4788" w:type="dxa"/>
            <w:tcBorders>
              <w:bottom w:val="single" w:sz="8" w:space="0" w:color="auto"/>
              <w:right w:val="double" w:sz="6" w:space="0" w:color="auto"/>
            </w:tcBorders>
            <w:shd w:val="clear" w:color="auto" w:fill="auto"/>
          </w:tcPr>
          <w:p w:rsidR="00E70082" w:rsidRDefault="00E70082" w:rsidP="00C63FCF">
            <w:pPr>
              <w:pStyle w:val="OrderBody"/>
              <w:tabs>
                <w:tab w:val="center" w:pos="4320"/>
                <w:tab w:val="right" w:pos="8640"/>
              </w:tabs>
              <w:jc w:val="left"/>
            </w:pPr>
            <w:r>
              <w:t xml:space="preserve">In re: </w:t>
            </w:r>
            <w:bookmarkStart w:id="1" w:name="SSInRe"/>
            <w:bookmarkEnd w:id="1"/>
            <w:r>
              <w:t>Petition for approval of the waiver and scheduling agreement between Gulf Power Company and Morgan Stanley Capital Group Inc.</w:t>
            </w:r>
          </w:p>
        </w:tc>
        <w:tc>
          <w:tcPr>
            <w:tcW w:w="4788" w:type="dxa"/>
            <w:tcBorders>
              <w:left w:val="double" w:sz="6" w:space="0" w:color="auto"/>
            </w:tcBorders>
            <w:shd w:val="clear" w:color="auto" w:fill="auto"/>
          </w:tcPr>
          <w:p w:rsidR="00E70082" w:rsidRDefault="00E70082" w:rsidP="00E70082">
            <w:pPr>
              <w:pStyle w:val="OrderBody"/>
            </w:pPr>
            <w:r>
              <w:t xml:space="preserve">DOCKET NO. </w:t>
            </w:r>
            <w:bookmarkStart w:id="2" w:name="SSDocketNo"/>
            <w:bookmarkEnd w:id="2"/>
            <w:r>
              <w:t>20170227-EI</w:t>
            </w:r>
          </w:p>
          <w:p w:rsidR="00E70082" w:rsidRDefault="00E70082" w:rsidP="00C63FCF">
            <w:pPr>
              <w:pStyle w:val="OrderBody"/>
              <w:tabs>
                <w:tab w:val="center" w:pos="4320"/>
                <w:tab w:val="right" w:pos="8640"/>
              </w:tabs>
              <w:jc w:val="left"/>
            </w:pPr>
            <w:r>
              <w:t xml:space="preserve">ORDER NO. </w:t>
            </w:r>
            <w:bookmarkStart w:id="3" w:name="OrderNo0482"/>
            <w:r w:rsidR="009D3AE5">
              <w:t>PSC-2017-0482-PAA-EI</w:t>
            </w:r>
            <w:bookmarkEnd w:id="3"/>
          </w:p>
          <w:p w:rsidR="00E70082" w:rsidRDefault="00E70082" w:rsidP="00C63FCF">
            <w:pPr>
              <w:pStyle w:val="OrderBody"/>
              <w:tabs>
                <w:tab w:val="center" w:pos="4320"/>
                <w:tab w:val="right" w:pos="8640"/>
              </w:tabs>
              <w:jc w:val="left"/>
            </w:pPr>
            <w:r>
              <w:t xml:space="preserve">ISSUED: </w:t>
            </w:r>
            <w:r w:rsidR="009D3AE5">
              <w:t>December 22, 2017</w:t>
            </w:r>
          </w:p>
        </w:tc>
      </w:tr>
    </w:tbl>
    <w:p w:rsidR="00E70082" w:rsidRDefault="00E70082" w:rsidP="00E70082"/>
    <w:p w:rsidR="00E70082" w:rsidRDefault="00E70082" w:rsidP="00E70082"/>
    <w:p w:rsidR="00E70082" w:rsidRDefault="00E70082">
      <w:pPr>
        <w:ind w:firstLine="720"/>
        <w:jc w:val="both"/>
      </w:pPr>
      <w:bookmarkStart w:id="4" w:name="Commissioners"/>
      <w:bookmarkEnd w:id="4"/>
      <w:r>
        <w:t>The following Commissioners participated in the disposition of this matter:</w:t>
      </w:r>
    </w:p>
    <w:p w:rsidR="00E70082" w:rsidRDefault="00E70082"/>
    <w:p w:rsidR="00E70082" w:rsidRDefault="00E70082">
      <w:pPr>
        <w:jc w:val="center"/>
      </w:pPr>
      <w:r>
        <w:t>JULIE I. BROWN, Chairman</w:t>
      </w:r>
    </w:p>
    <w:p w:rsidR="00E70082" w:rsidRDefault="00E70082">
      <w:pPr>
        <w:jc w:val="center"/>
      </w:pPr>
      <w:r>
        <w:t>ART GRAHAM</w:t>
      </w:r>
    </w:p>
    <w:p w:rsidR="00E70082" w:rsidRDefault="00E70082">
      <w:pPr>
        <w:jc w:val="center"/>
      </w:pPr>
      <w:r>
        <w:t>RONALD A. BRISÉ</w:t>
      </w:r>
    </w:p>
    <w:p w:rsidR="00E70082" w:rsidRDefault="00E70082">
      <w:pPr>
        <w:jc w:val="center"/>
      </w:pPr>
      <w:r>
        <w:t>DONALD J. POLMANN</w:t>
      </w:r>
    </w:p>
    <w:p w:rsidR="00E70082" w:rsidRDefault="00E70082">
      <w:pPr>
        <w:jc w:val="center"/>
      </w:pPr>
      <w:r>
        <w:t>GARY F. CLARK</w:t>
      </w:r>
    </w:p>
    <w:p w:rsidR="00E70082" w:rsidRDefault="00E70082"/>
    <w:p w:rsidR="00E70082" w:rsidRDefault="00E70082" w:rsidP="00E70082">
      <w:pPr>
        <w:pStyle w:val="OrderBody"/>
      </w:pPr>
    </w:p>
    <w:p w:rsidR="00891D94" w:rsidRDefault="00E7008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E12ECB">
        <w:rPr>
          <w:u w:val="single"/>
        </w:rPr>
        <w:t xml:space="preserve"> </w:t>
      </w:r>
      <w:r w:rsidRPr="003E4B2D">
        <w:rPr>
          <w:u w:val="single"/>
        </w:rPr>
        <w:t>ORDER</w:t>
      </w:r>
      <w:bookmarkStart w:id="5" w:name="OrderTitle"/>
      <w:r w:rsidR="00891D94">
        <w:rPr>
          <w:u w:val="single"/>
        </w:rPr>
        <w:t xml:space="preserve"> APPROVING </w:t>
      </w:r>
    </w:p>
    <w:p w:rsidR="00891D94" w:rsidRDefault="00891D94">
      <w:pPr>
        <w:pStyle w:val="OrderBody"/>
        <w:jc w:val="center"/>
        <w:rPr>
          <w:u w:val="single"/>
        </w:rPr>
      </w:pPr>
      <w:r>
        <w:rPr>
          <w:u w:val="single"/>
        </w:rPr>
        <w:t>THE WAIVER AND SCHEDULING AGREEMENT BETWEEN</w:t>
      </w:r>
    </w:p>
    <w:p w:rsidR="00E12ECB" w:rsidRDefault="00891D94">
      <w:pPr>
        <w:pStyle w:val="OrderBody"/>
        <w:jc w:val="center"/>
        <w:rPr>
          <w:u w:val="single"/>
        </w:rPr>
      </w:pPr>
      <w:r>
        <w:rPr>
          <w:u w:val="single"/>
        </w:rPr>
        <w:t xml:space="preserve"> GULF POWER COMPANY AND MORGAN STANLEY CAPITAL GROUP INC.</w:t>
      </w:r>
    </w:p>
    <w:bookmarkEnd w:id="5"/>
    <w:p w:rsidR="00E70082" w:rsidRPr="003E4B2D" w:rsidRDefault="00E70082">
      <w:pPr>
        <w:pStyle w:val="OrderBody"/>
      </w:pPr>
    </w:p>
    <w:p w:rsidR="00E70082" w:rsidRPr="003E4B2D" w:rsidRDefault="00E70082">
      <w:pPr>
        <w:pStyle w:val="OrderBody"/>
      </w:pPr>
    </w:p>
    <w:p w:rsidR="00E70082" w:rsidRDefault="00E70082">
      <w:pPr>
        <w:pStyle w:val="OrderBody"/>
      </w:pPr>
      <w:r w:rsidRPr="003E4B2D">
        <w:t>BY THE COMMISSION:</w:t>
      </w:r>
    </w:p>
    <w:p w:rsidR="00961BFD" w:rsidRDefault="00961BFD">
      <w:pPr>
        <w:pStyle w:val="OrderBody"/>
      </w:pPr>
    </w:p>
    <w:p w:rsidR="00961BFD" w:rsidRPr="003E4B2D" w:rsidRDefault="00961BFD" w:rsidP="00961BFD">
      <w:pPr>
        <w:pStyle w:val="OrderBody"/>
        <w:ind w:firstLine="720"/>
      </w:pPr>
      <w:r w:rsidRPr="00961BF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E70082" w:rsidRDefault="00E70082">
      <w:pPr>
        <w:pStyle w:val="OrderBody"/>
      </w:pPr>
    </w:p>
    <w:p w:rsidR="00E12ECB" w:rsidRPr="00891D94" w:rsidRDefault="00E12ECB" w:rsidP="00E12ECB">
      <w:pPr>
        <w:keepNext/>
        <w:spacing w:after="240"/>
        <w:jc w:val="center"/>
        <w:outlineLvl w:val="0"/>
        <w:rPr>
          <w:b/>
          <w:bCs/>
          <w:kern w:val="32"/>
          <w:szCs w:val="32"/>
        </w:rPr>
      </w:pPr>
      <w:bookmarkStart w:id="6" w:name="CaseBackground"/>
      <w:r w:rsidRPr="00891D94">
        <w:rPr>
          <w:b/>
          <w:bCs/>
          <w:kern w:val="32"/>
          <w:szCs w:val="32"/>
        </w:rPr>
        <w:t>Case Background</w:t>
      </w:r>
    </w:p>
    <w:p w:rsidR="00E12ECB" w:rsidRPr="00E12ECB" w:rsidRDefault="00891D94" w:rsidP="00E12ECB">
      <w:pPr>
        <w:spacing w:after="240"/>
        <w:jc w:val="both"/>
      </w:pPr>
      <w:r>
        <w:tab/>
      </w:r>
      <w:r w:rsidR="00E12ECB" w:rsidRPr="00E12ECB">
        <w:t>On May 13, 2015, the Florida Public Service Commission (Commission) approved Gulf Power Company’s (Gulf or Utility) petition requesting approval for cost recovery of a negotiated Energy Purchase Agreement (Kingfisher I EPA) with Morgan Stanley Capital Group, Inc. (Morgan Stanley).</w:t>
      </w:r>
      <w:r w:rsidR="00E12ECB" w:rsidRPr="00E12ECB">
        <w:rPr>
          <w:vertAlign w:val="superscript"/>
        </w:rPr>
        <w:footnoteReference w:id="1"/>
      </w:r>
      <w:r w:rsidR="00E12ECB" w:rsidRPr="00E12ECB">
        <w:t xml:space="preserve"> The Kingfisher I EPA obligates Morgan Stanley to deliver a fixed number of megawatt hours (MWh) to Gulf in each hour of each month of each year throughout the 20 year term of the agreement. Morgan Stanley’s energy delivery commitment is shaped to match the projected hourly and monthly output of a 178 megawatt (MW) portion of the Kingfisher Wind Farm that was constructed in Oklahoma. Annually, Morgan Stanley’s energy delivery commitment totals 674,437 MWh.</w:t>
      </w:r>
    </w:p>
    <w:p w:rsidR="00E12ECB" w:rsidRPr="00E12ECB" w:rsidRDefault="00891D94" w:rsidP="00E12ECB">
      <w:pPr>
        <w:spacing w:after="240"/>
        <w:jc w:val="both"/>
      </w:pPr>
      <w:r>
        <w:tab/>
      </w:r>
      <w:r w:rsidR="00E12ECB" w:rsidRPr="00E12ECB">
        <w:t xml:space="preserve">Morgan Stanley’s energy delivery commitment under the Kingfisher I EPA is separated into two tiers: Tier 1 Hourly Energy and Tier 2 Hourly Energy. Tier 1 Hourly Energy is </w:t>
      </w:r>
      <w:r w:rsidR="00E12ECB" w:rsidRPr="00E12ECB">
        <w:lastRenderedPageBreak/>
        <w:t>delivered using a dedicated transmission pathway which originates in the Midcontinent Independent System Operator balancing authority area and terminates at the Southern Company/Entergy Interface. Tier 2 Hourly Energy may be delivered from any resource available to Morgan Stanley and to any delivery point on the Southern Company Transmission System, provided that such resource and/or delivery point meets the defined contractual availability and delivery criteria.</w:t>
      </w:r>
    </w:p>
    <w:p w:rsidR="00E12ECB" w:rsidRPr="00E12ECB" w:rsidRDefault="00891D94" w:rsidP="00E12ECB">
      <w:pPr>
        <w:spacing w:after="240"/>
        <w:jc w:val="both"/>
      </w:pPr>
      <w:r>
        <w:tab/>
      </w:r>
      <w:r w:rsidR="00E12ECB" w:rsidRPr="00E12ECB">
        <w:t>Under the Kingfisher I EPA, Gulf is only required to pay for energy which is received from Morgan Stanley on the Southern Companies Transmission System. Energy delivered under the Kingfisher I EPA to the Southern Companies Transmission System is assigned to Gulf at the prices designated in the agreement.</w:t>
      </w:r>
    </w:p>
    <w:p w:rsidR="00E12ECB" w:rsidRPr="00E12ECB" w:rsidRDefault="00891D94" w:rsidP="00E12ECB">
      <w:pPr>
        <w:spacing w:after="240"/>
        <w:jc w:val="both"/>
      </w:pPr>
      <w:r>
        <w:tab/>
      </w:r>
      <w:r w:rsidR="00E12ECB" w:rsidRPr="00E12ECB">
        <w:t>Following execution of the Kingfisher I EPA, Gulf executed a second Energy Purchase Agreement (Kingfisher II EPA) with Morgan Stanley which was approved by the Commission on November 3, 2016.</w:t>
      </w:r>
      <w:r w:rsidR="00E12ECB" w:rsidRPr="00E12ECB">
        <w:rPr>
          <w:vertAlign w:val="superscript"/>
        </w:rPr>
        <w:footnoteReference w:id="2"/>
      </w:r>
      <w:r w:rsidR="00E12ECB" w:rsidRPr="00E12ECB">
        <w:t xml:space="preserve"> The Kingfisher II EPA is similar to the Kingfisher I EPA, with the primary exception that all energy delivered under the Kingfisher II EPA follows the Tier 2 Hourly Energy model. Therefore, there was no obligation to deliver energy using the Tier 1 Hourly Energy model as there was in the Kingfisher I EPA.</w:t>
      </w:r>
    </w:p>
    <w:p w:rsidR="00E12ECB" w:rsidRPr="00E12ECB" w:rsidRDefault="00891D94" w:rsidP="00E12ECB">
      <w:pPr>
        <w:spacing w:after="240"/>
        <w:jc w:val="both"/>
      </w:pPr>
      <w:r>
        <w:tab/>
      </w:r>
      <w:r w:rsidR="00E12ECB" w:rsidRPr="00E12ECB">
        <w:t>Upon further discussion among the parties, a Waiver and Scheduling Agreement (Waiver Agreement) was executed on October 13, 2017. On October 20, 2017, Gulf filed a petition for approval of the Waiver Agreement with Morgan Stanley. Beginning January 1, 2019, the Waiver Agreement will allow Morgan Stanley to relinquish the Tier 1 Hourly Energy commitment included in the Kingfisher I EPA, making it more comparable to the Kingfisher II EPA by exclusively utilizing Tier 2 Hourly Energy.</w:t>
      </w:r>
    </w:p>
    <w:p w:rsidR="00DE14BB" w:rsidRDefault="00891D94" w:rsidP="00DE14BB">
      <w:pPr>
        <w:spacing w:after="120"/>
      </w:pPr>
      <w:r>
        <w:tab/>
        <w:t>This</w:t>
      </w:r>
      <w:r w:rsidR="00E12ECB" w:rsidRPr="00E12ECB">
        <w:t xml:space="preserve"> Commission has jurisdiction over this matter pursuant to Sections 366.051, 366.91, and 366.92, Florida Statutes (F.</w:t>
      </w:r>
      <w:bookmarkEnd w:id="6"/>
      <w:r w:rsidR="00C06B44">
        <w:t>S.)</w:t>
      </w:r>
    </w:p>
    <w:p w:rsidR="00DE14BB" w:rsidRDefault="00DE14BB" w:rsidP="00DE14BB">
      <w:pPr>
        <w:spacing w:after="120"/>
      </w:pPr>
    </w:p>
    <w:p w:rsidR="00E12ECB" w:rsidRPr="00891D94" w:rsidRDefault="00891D94" w:rsidP="00DE14BB">
      <w:pPr>
        <w:spacing w:after="240"/>
        <w:jc w:val="center"/>
        <w:rPr>
          <w:b/>
        </w:rPr>
      </w:pPr>
      <w:r w:rsidRPr="00891D94">
        <w:rPr>
          <w:b/>
          <w:bCs/>
          <w:kern w:val="32"/>
          <w:szCs w:val="32"/>
        </w:rPr>
        <w:t>Decision</w:t>
      </w:r>
    </w:p>
    <w:p w:rsidR="00E12ECB" w:rsidRPr="00E12ECB" w:rsidRDefault="00891D94" w:rsidP="00E12ECB">
      <w:pPr>
        <w:spacing w:after="240"/>
        <w:jc w:val="both"/>
      </w:pPr>
      <w:r>
        <w:rPr>
          <w:rFonts w:ascii="Arial" w:hAnsi="Arial" w:cs="Arial"/>
          <w:b/>
          <w:bCs/>
          <w:i/>
          <w:iCs/>
          <w:szCs w:val="28"/>
        </w:rPr>
        <w:tab/>
      </w:r>
      <w:r w:rsidR="00E12ECB" w:rsidRPr="00E12ECB">
        <w:t xml:space="preserve">Gulf’s petition requests approval of modifications to an existing contract. The Utility has provided the information required to be submitted along with a request for a contract modification in accordance with Rule 25-17.0836(1), Florida Administrative Code (F.A.C.). As required by Rule 25-17.0836(6), F.A.C., </w:t>
      </w:r>
      <w:r>
        <w:t>we</w:t>
      </w:r>
      <w:r w:rsidR="00E12ECB" w:rsidRPr="00E12ECB">
        <w:t xml:space="preserve"> evaluate</w:t>
      </w:r>
      <w:r>
        <w:t>d</w:t>
      </w:r>
      <w:r w:rsidR="00E12ECB" w:rsidRPr="00E12ECB">
        <w:t xml:space="preserve"> modifications and concessions of the Utility and developer against both the existing contract and the current value of the purchasing utility’s avoided cost.</w:t>
      </w:r>
    </w:p>
    <w:p w:rsidR="00DE14BB" w:rsidRDefault="00DE14BB" w:rsidP="00E12ECB">
      <w:pPr>
        <w:spacing w:after="240"/>
        <w:jc w:val="both"/>
      </w:pPr>
    </w:p>
    <w:p w:rsidR="00E12ECB" w:rsidRPr="00E12ECB" w:rsidRDefault="00891D94" w:rsidP="00E12ECB">
      <w:pPr>
        <w:spacing w:after="240"/>
        <w:jc w:val="both"/>
      </w:pPr>
      <w:r>
        <w:tab/>
      </w:r>
      <w:r w:rsidR="00E12ECB" w:rsidRPr="00E12ECB">
        <w:t xml:space="preserve">Morgan Stanley has informed Gulf that it must make a decision on or before January 1, 2018, to either reserve firm transmission service for Tier I Hourly Energy deliveries for an </w:t>
      </w:r>
      <w:r w:rsidR="00E12ECB" w:rsidRPr="00E12ECB">
        <w:lastRenderedPageBreak/>
        <w:t>additional five-year period or to allow the reservation to lapse. Regarding the latter, Morgan Stanley is unsure that the pathway will be available in the future. The modification included in the Waiver Agreement is to waive Morgan Stanley’s obligation to deliver Tier 1 Hourly Energy from January 1, 2019, through December 31, 2035, under the Kingfisher I EPA. Morgan Stanley will continue to supply Tier 1 Hourly Energy through December 31, 2018, after which it will begin to exclusively supply Tier 2 Hourly Energy for the duration of the Kingfisher I EPA term.</w:t>
      </w:r>
    </w:p>
    <w:p w:rsidR="00E12ECB" w:rsidRPr="00E12ECB" w:rsidRDefault="00891D94" w:rsidP="00E12ECB">
      <w:pPr>
        <w:spacing w:after="240"/>
        <w:jc w:val="both"/>
      </w:pPr>
      <w:r>
        <w:tab/>
      </w:r>
      <w:r w:rsidR="00E12ECB" w:rsidRPr="00E12ECB">
        <w:t xml:space="preserve">Morgan Stanley currently exclusively supplies Tier 2 Hourly Energy under the Kingfisher II EPA. Gulf has not experienced any difficulties scheduling or facilitating energy under the Kingfisher II EPA or the Kingfisher I EPA, which currently utilizes Tier 1 Hourly Energy and Tier 2 Hourly Energy, demonstrating that the dedicated transmission pathway utilized to deliver Tier 1 Hourly Energy is not necessary for reliability purposes. Therefore, </w:t>
      </w:r>
      <w:r>
        <w:t>we find</w:t>
      </w:r>
      <w:r w:rsidR="00E12ECB" w:rsidRPr="00E12ECB">
        <w:t xml:space="preserve"> that the transition to exclusively utilizing Tier 2 Hourly Energy under the Kingfisher I EPA will not negatively affect the efficiency of the Kingfisher I EPA.</w:t>
      </w:r>
    </w:p>
    <w:p w:rsidR="00891D94" w:rsidRDefault="00891D94" w:rsidP="00333084">
      <w:pPr>
        <w:spacing w:after="240"/>
        <w:jc w:val="both"/>
      </w:pPr>
      <w:r>
        <w:tab/>
      </w:r>
      <w:r w:rsidR="00E12ECB" w:rsidRPr="00E12ECB">
        <w:t xml:space="preserve">The pricing of the Kingfisher I EPA remains unchanged under the Waiver Agreement. Relinquishing Morgan Stanley’s obligation to deliver Tier 1 Hourly Energy from 2019 through 2035 will result in $2 million in savings annually to Gulf’s ratepayers in the form of a monthly credit to Gulf. The estimated total NPV savings to customers under the Waiver Agreement during this timeframe is approximately $17.2 million. This will ultimately place downward pressure on amounts collected from ratepayers through the Fuel and Purchased Power Cost Recovery Clause. Seeing as the ratepayers will benefit from approval of the Waiver Agreement, </w:t>
      </w:r>
      <w:r>
        <w:t>we find</w:t>
      </w:r>
      <w:r w:rsidR="00E12ECB" w:rsidRPr="00E12ECB">
        <w:t xml:space="preserve"> that it is cost-effective.</w:t>
      </w:r>
      <w:r>
        <w:tab/>
      </w:r>
    </w:p>
    <w:p w:rsidR="00E12ECB" w:rsidRPr="00E12ECB" w:rsidRDefault="00891D94" w:rsidP="00E12ECB">
      <w:pPr>
        <w:spacing w:after="240"/>
        <w:jc w:val="both"/>
      </w:pPr>
      <w:r>
        <w:tab/>
      </w:r>
      <w:r w:rsidR="00E12ECB" w:rsidRPr="00E12ECB">
        <w:t xml:space="preserve">The Waiver Agreement will result in monthly credits to Gulf from Morgan Stanley, which results in an estimated total NPV savings to ratepayers of approximately $17.2 million from 2019 through 2035. Through the Waiver Agreement, energy deliveries under the Kingfisher I EPA will operate in the same manner as the Kingfisher II EPA, previously approved by </w:t>
      </w:r>
      <w:r w:rsidR="00C06B44">
        <w:t>this</w:t>
      </w:r>
      <w:r w:rsidR="00E12ECB" w:rsidRPr="00E12ECB">
        <w:t xml:space="preserve"> Commission. In addition, the core provisions of the Kingfisher I EPA, including total energy delivery amounts, pricing, reliability, security, and risk allocation remain unchanged. Therefore, </w:t>
      </w:r>
      <w:r>
        <w:t>we find</w:t>
      </w:r>
      <w:r w:rsidR="00E12ECB" w:rsidRPr="00E12ECB">
        <w:t xml:space="preserve"> that Gulf’s petition for approval of the Waiver Agreement with Morgan Stanley</w:t>
      </w:r>
      <w:r>
        <w:t xml:space="preserve"> </w:t>
      </w:r>
      <w:r w:rsidR="00333084">
        <w:t>is</w:t>
      </w:r>
      <w:r>
        <w:t xml:space="preserve"> approved</w:t>
      </w:r>
      <w:r w:rsidR="00E12ECB" w:rsidRPr="00E12ECB">
        <w:t>.</w:t>
      </w:r>
    </w:p>
    <w:p w:rsidR="005F60EE" w:rsidRDefault="009F7329" w:rsidP="005F60EE">
      <w:pPr>
        <w:spacing w:after="240"/>
        <w:jc w:val="both"/>
        <w:outlineLvl w:val="0"/>
      </w:pPr>
      <w:r>
        <w:tab/>
      </w:r>
      <w:r w:rsidR="005F60EE">
        <w:t xml:space="preserve">Based on the foregoing, it is </w:t>
      </w:r>
    </w:p>
    <w:p w:rsidR="00891D94" w:rsidRDefault="005F60EE" w:rsidP="00B57B1D">
      <w:pPr>
        <w:spacing w:after="240"/>
        <w:jc w:val="both"/>
      </w:pPr>
      <w:r>
        <w:tab/>
        <w:t xml:space="preserve">ORDERED </w:t>
      </w:r>
      <w:r w:rsidR="00B57B1D" w:rsidRPr="00B57B1D">
        <w:t xml:space="preserve">by the Florida Public Service Commission that </w:t>
      </w:r>
      <w:r w:rsidR="00B57B1D" w:rsidRPr="00B57B1D">
        <w:rPr>
          <w:bCs/>
        </w:rPr>
        <w:t>the</w:t>
      </w:r>
      <w:r w:rsidR="00B57B1D" w:rsidRPr="00B57B1D">
        <w:t xml:space="preserve"> </w:t>
      </w:r>
      <w:r w:rsidR="00B57B1D" w:rsidRPr="00B57B1D">
        <w:rPr>
          <w:bCs/>
        </w:rPr>
        <w:t>p</w:t>
      </w:r>
      <w:r w:rsidR="00B57B1D" w:rsidRPr="00B57B1D">
        <w:t xml:space="preserve">etition for </w:t>
      </w:r>
      <w:r w:rsidR="00B57B1D" w:rsidRPr="00B57B1D">
        <w:rPr>
          <w:bCs/>
        </w:rPr>
        <w:t>approval of</w:t>
      </w:r>
      <w:r w:rsidR="00B57B1D" w:rsidRPr="00B57B1D">
        <w:t xml:space="preserve"> the Waiver and Scheduling Agreement between Gulf Power Company and Morgan Stanley Capital Group Inc. is hereby approved. It is further</w:t>
      </w:r>
    </w:p>
    <w:p w:rsidR="00333084" w:rsidRPr="0054658B" w:rsidRDefault="005F60EE" w:rsidP="00333084">
      <w:pPr>
        <w:jc w:val="both"/>
      </w:pPr>
      <w:r>
        <w:tab/>
      </w:r>
      <w:r w:rsidR="00333084" w:rsidRPr="0054658B">
        <w:t>ORDERED that the provisions of this Order, issued as proposed agency action, shall become final and effective upon the issuance of a Consummating Order unless an appropriate petition, in the form provided by Rule 28-106.201, Florida Administrative Code, is received by the</w:t>
      </w:r>
      <w:r w:rsidR="00333084">
        <w:t xml:space="preserve"> </w:t>
      </w:r>
      <w:r w:rsidR="00333084" w:rsidRPr="0054658B">
        <w:t>Commission Clerk, 2540 Shumard Oak Boulevard, Tallahassee, Florida 32399-0850, by the close of business on the date set forth in the “Notice of Further Proceedings” attached hereto.  It is further</w:t>
      </w:r>
    </w:p>
    <w:p w:rsidR="00333084" w:rsidRPr="0054658B" w:rsidRDefault="00333084" w:rsidP="00112707"/>
    <w:p w:rsidR="00891D94" w:rsidRDefault="00333084" w:rsidP="00112707">
      <w:r w:rsidRPr="0054658B">
        <w:lastRenderedPageBreak/>
        <w:tab/>
        <w:t>ORDERED that in the event this Order becomes final, this docket shall be closed.</w:t>
      </w:r>
    </w:p>
    <w:p w:rsidR="00CB5276" w:rsidRDefault="00CB5276" w:rsidP="00112707"/>
    <w:p w:rsidR="00E70082" w:rsidRDefault="00E70082" w:rsidP="00112707">
      <w:pPr>
        <w:keepNext/>
        <w:keepLines/>
        <w:jc w:val="both"/>
      </w:pPr>
      <w:r>
        <w:tab/>
        <w:t xml:space="preserve">By ORDER of the Florida Public Service Commission this </w:t>
      </w:r>
      <w:bookmarkStart w:id="7" w:name="replaceDate"/>
      <w:bookmarkEnd w:id="7"/>
      <w:r w:rsidR="009D3AE5">
        <w:rPr>
          <w:u w:val="single"/>
        </w:rPr>
        <w:t>22nd</w:t>
      </w:r>
      <w:r w:rsidR="009D3AE5">
        <w:t xml:space="preserve"> day of </w:t>
      </w:r>
      <w:r w:rsidR="009D3AE5">
        <w:rPr>
          <w:u w:val="single"/>
        </w:rPr>
        <w:t>December</w:t>
      </w:r>
      <w:r w:rsidR="009D3AE5">
        <w:t xml:space="preserve">, </w:t>
      </w:r>
      <w:r w:rsidR="009D3AE5">
        <w:rPr>
          <w:u w:val="single"/>
        </w:rPr>
        <w:t>2017</w:t>
      </w:r>
      <w:r w:rsidR="009D3AE5">
        <w:t>.</w:t>
      </w:r>
    </w:p>
    <w:p w:rsidR="009D3AE5" w:rsidRPr="009D3AE5" w:rsidRDefault="009D3AE5" w:rsidP="00112707">
      <w:pPr>
        <w:keepNext/>
        <w:keepLines/>
        <w:jc w:val="both"/>
      </w:pPr>
    </w:p>
    <w:p w:rsidR="00E70082" w:rsidRDefault="00E70082" w:rsidP="00112707">
      <w:pPr>
        <w:keepNext/>
        <w:keepLines/>
        <w:jc w:val="both"/>
      </w:pPr>
    </w:p>
    <w:p w:rsidR="00E70082" w:rsidRDefault="00E70082" w:rsidP="00112707">
      <w:pPr>
        <w:keepNext/>
        <w:keepLines/>
        <w:jc w:val="both"/>
      </w:pPr>
    </w:p>
    <w:p w:rsidR="00E70082" w:rsidRDefault="00E70082" w:rsidP="0011270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70082" w:rsidTr="00E70082">
        <w:tc>
          <w:tcPr>
            <w:tcW w:w="720" w:type="dxa"/>
            <w:shd w:val="clear" w:color="auto" w:fill="auto"/>
          </w:tcPr>
          <w:p w:rsidR="00E70082" w:rsidRDefault="00E70082" w:rsidP="00E70082">
            <w:pPr>
              <w:keepNext/>
              <w:keepLines/>
            </w:pPr>
            <w:bookmarkStart w:id="8" w:name="bkmrkSignature" w:colFirst="0" w:colLast="0"/>
          </w:p>
        </w:tc>
        <w:tc>
          <w:tcPr>
            <w:tcW w:w="4320" w:type="dxa"/>
            <w:tcBorders>
              <w:bottom w:val="single" w:sz="4" w:space="0" w:color="auto"/>
            </w:tcBorders>
            <w:shd w:val="clear" w:color="auto" w:fill="auto"/>
          </w:tcPr>
          <w:p w:rsidR="00E70082" w:rsidRDefault="00C12534" w:rsidP="00E70082">
            <w:pPr>
              <w:keepNext/>
              <w:keepLines/>
            </w:pPr>
            <w:r>
              <w:t>/s/ Hong Wang</w:t>
            </w:r>
          </w:p>
        </w:tc>
      </w:tr>
      <w:bookmarkEnd w:id="8"/>
      <w:tr w:rsidR="00E70082" w:rsidTr="00E70082">
        <w:tc>
          <w:tcPr>
            <w:tcW w:w="720" w:type="dxa"/>
            <w:shd w:val="clear" w:color="auto" w:fill="auto"/>
          </w:tcPr>
          <w:p w:rsidR="00E70082" w:rsidRDefault="00E70082" w:rsidP="00E70082">
            <w:pPr>
              <w:keepNext/>
              <w:keepLines/>
            </w:pPr>
          </w:p>
        </w:tc>
        <w:tc>
          <w:tcPr>
            <w:tcW w:w="4320" w:type="dxa"/>
            <w:tcBorders>
              <w:top w:val="single" w:sz="4" w:space="0" w:color="auto"/>
            </w:tcBorders>
            <w:shd w:val="clear" w:color="auto" w:fill="auto"/>
          </w:tcPr>
          <w:p w:rsidR="00C12534" w:rsidRDefault="00C12534" w:rsidP="00E70082">
            <w:pPr>
              <w:keepNext/>
              <w:keepLines/>
            </w:pPr>
            <w:r>
              <w:t>HONG WANG</w:t>
            </w:r>
          </w:p>
          <w:p w:rsidR="00E70082" w:rsidRDefault="00C12534" w:rsidP="00E70082">
            <w:pPr>
              <w:keepNext/>
              <w:keepLines/>
            </w:pPr>
            <w:r>
              <w:t>Chief Deputy Commission Clerk</w:t>
            </w:r>
          </w:p>
        </w:tc>
      </w:tr>
    </w:tbl>
    <w:p w:rsidR="00E70082" w:rsidRDefault="00E70082" w:rsidP="00E70082">
      <w:pPr>
        <w:pStyle w:val="OrderSigInfo"/>
        <w:keepNext/>
        <w:keepLines/>
      </w:pPr>
      <w:r>
        <w:t>Florida Public Service Commission</w:t>
      </w:r>
    </w:p>
    <w:p w:rsidR="00E70082" w:rsidRDefault="00E70082" w:rsidP="00E70082">
      <w:pPr>
        <w:pStyle w:val="OrderSigInfo"/>
        <w:keepNext/>
        <w:keepLines/>
      </w:pPr>
      <w:r>
        <w:t>2540 Shumard Oak Boulevard</w:t>
      </w:r>
    </w:p>
    <w:p w:rsidR="00E70082" w:rsidRDefault="00E70082" w:rsidP="00E70082">
      <w:pPr>
        <w:pStyle w:val="OrderSigInfo"/>
        <w:keepNext/>
        <w:keepLines/>
      </w:pPr>
      <w:r>
        <w:t>Tallahassee, Florida  32399</w:t>
      </w:r>
    </w:p>
    <w:p w:rsidR="00E70082" w:rsidRDefault="00E70082" w:rsidP="00E70082">
      <w:pPr>
        <w:pStyle w:val="OrderSigInfo"/>
        <w:keepNext/>
        <w:keepLines/>
      </w:pPr>
      <w:r>
        <w:t>(850) 413</w:t>
      </w:r>
      <w:r>
        <w:noBreakHyphen/>
        <w:t>6770</w:t>
      </w:r>
    </w:p>
    <w:p w:rsidR="00E70082" w:rsidRDefault="00E70082" w:rsidP="00E70082">
      <w:pPr>
        <w:pStyle w:val="OrderSigInfo"/>
        <w:keepNext/>
        <w:keepLines/>
      </w:pPr>
      <w:r>
        <w:t>www.floridapsc.com</w:t>
      </w:r>
    </w:p>
    <w:p w:rsidR="00E70082" w:rsidRDefault="00E70082" w:rsidP="00E70082">
      <w:pPr>
        <w:pStyle w:val="OrderSigInfo"/>
        <w:keepNext/>
        <w:keepLines/>
      </w:pPr>
    </w:p>
    <w:p w:rsidR="00E70082" w:rsidRDefault="00E70082" w:rsidP="00E70082">
      <w:pPr>
        <w:pStyle w:val="OrderSigInfo"/>
        <w:keepNext/>
        <w:keepLines/>
      </w:pPr>
      <w:r>
        <w:t>Copies furnished:  A copy of this document is provided to the parties of record at the time of issuance and, if applicable, interested persons.</w:t>
      </w:r>
    </w:p>
    <w:p w:rsidR="00E70082" w:rsidRDefault="00E70082" w:rsidP="00E70082">
      <w:pPr>
        <w:keepNext/>
        <w:keepLines/>
      </w:pPr>
    </w:p>
    <w:p w:rsidR="00E12ECB" w:rsidRDefault="00E12ECB" w:rsidP="00E70082">
      <w:pPr>
        <w:keepNext/>
        <w:keepLines/>
      </w:pPr>
    </w:p>
    <w:p w:rsidR="00E12ECB" w:rsidRDefault="00E12ECB" w:rsidP="00E70082">
      <w:pPr>
        <w:keepNext/>
        <w:keepLines/>
      </w:pPr>
    </w:p>
    <w:p w:rsidR="00E70082" w:rsidRDefault="00E70082" w:rsidP="00E70082">
      <w:pPr>
        <w:keepNext/>
        <w:keepLines/>
      </w:pPr>
      <w:r>
        <w:t>SAC</w:t>
      </w:r>
    </w:p>
    <w:p w:rsidR="00E70082" w:rsidRDefault="00E70082" w:rsidP="00D57E57"/>
    <w:p w:rsidR="00E12ECB" w:rsidRDefault="00E12ECB" w:rsidP="00D57E57"/>
    <w:p w:rsidR="00E12ECB" w:rsidRDefault="00E12ECB" w:rsidP="00D57E57"/>
    <w:p w:rsidR="00E70082" w:rsidRDefault="00E70082" w:rsidP="00E70082">
      <w:pPr>
        <w:pStyle w:val="CenterUnderline"/>
      </w:pPr>
      <w:r>
        <w:t>NOTICE OF FURTHER PROCEEDINGS OR JUDICIAL REVIEW</w:t>
      </w:r>
    </w:p>
    <w:p w:rsidR="00E70082" w:rsidRDefault="00E70082" w:rsidP="00E70082">
      <w:pPr>
        <w:pStyle w:val="CenterUnderline"/>
      </w:pPr>
    </w:p>
    <w:p w:rsidR="00E70082" w:rsidRDefault="00E70082" w:rsidP="00E7008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70082" w:rsidRDefault="00E70082" w:rsidP="00E70082">
      <w:pPr>
        <w:pStyle w:val="OrderBody"/>
      </w:pPr>
    </w:p>
    <w:p w:rsidR="00E70082" w:rsidRDefault="00E70082" w:rsidP="00E70082">
      <w:pPr>
        <w:pStyle w:val="OrderBody"/>
      </w:pPr>
      <w:r>
        <w:tab/>
        <w:t>Mediation may be available on a case-by-case basis.  If mediation is conducted, it does not affect a substantially interested person's right to a hearing.</w:t>
      </w:r>
    </w:p>
    <w:p w:rsidR="00E70082" w:rsidRDefault="00E70082" w:rsidP="00E70082">
      <w:pPr>
        <w:pStyle w:val="OrderBody"/>
      </w:pPr>
    </w:p>
    <w:p w:rsidR="00E70082" w:rsidRDefault="00E70082" w:rsidP="00E70082">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D3AE5">
        <w:rPr>
          <w:u w:val="single"/>
        </w:rPr>
        <w:t>January 12, 2018</w:t>
      </w:r>
      <w:r>
        <w:t>.</w:t>
      </w:r>
    </w:p>
    <w:p w:rsidR="00E70082" w:rsidRDefault="00E70082" w:rsidP="00E70082">
      <w:pPr>
        <w:pStyle w:val="OrderBody"/>
      </w:pPr>
    </w:p>
    <w:p w:rsidR="00E70082" w:rsidRDefault="00E70082" w:rsidP="00E70082">
      <w:pPr>
        <w:pStyle w:val="OrderBody"/>
      </w:pPr>
      <w:r>
        <w:tab/>
        <w:t>In the absence of such a petition, this order shall become final and effective upon the issuance of a Consummating Order.</w:t>
      </w:r>
    </w:p>
    <w:p w:rsidR="00E70082" w:rsidRDefault="00E70082" w:rsidP="00E70082">
      <w:pPr>
        <w:pStyle w:val="OrderBody"/>
      </w:pPr>
    </w:p>
    <w:p w:rsidR="00E70082" w:rsidRDefault="00E70082" w:rsidP="00E70082">
      <w:pPr>
        <w:pStyle w:val="OrderBody"/>
      </w:pPr>
      <w:r>
        <w:tab/>
        <w:t>Any objection or protest filed in this/these docket(s) before the issuance date of this order is considered abandoned unless it satisfies the foregoing conditions and is renewed within the specified protest period.</w:t>
      </w:r>
    </w:p>
    <w:sectPr w:rsidR="00E7008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082" w:rsidRDefault="00E70082">
      <w:r>
        <w:separator/>
      </w:r>
    </w:p>
  </w:endnote>
  <w:endnote w:type="continuationSeparator" w:id="0">
    <w:p w:rsidR="00E70082" w:rsidRDefault="00E7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082" w:rsidRDefault="00E70082">
      <w:r>
        <w:separator/>
      </w:r>
    </w:p>
  </w:footnote>
  <w:footnote w:type="continuationSeparator" w:id="0">
    <w:p w:rsidR="00E70082" w:rsidRDefault="00E70082">
      <w:r>
        <w:continuationSeparator/>
      </w:r>
    </w:p>
  </w:footnote>
  <w:footnote w:id="1">
    <w:p w:rsidR="00E12ECB" w:rsidRPr="00C56C5E" w:rsidRDefault="00E12ECB" w:rsidP="00E12ECB">
      <w:pPr>
        <w:pStyle w:val="FootnoteText"/>
        <w:rPr>
          <w:i/>
        </w:rPr>
      </w:pPr>
      <w:r>
        <w:rPr>
          <w:rStyle w:val="FootnoteReference"/>
        </w:rPr>
        <w:footnoteRef/>
      </w:r>
      <w:r>
        <w:t xml:space="preserve">Order No. PSC-15-0197-PAA-EI, issued May 13, 2015, in Docket No. 150049-EI, </w:t>
      </w:r>
      <w:r w:rsidRPr="00C56C5E">
        <w:rPr>
          <w:i/>
        </w:rPr>
        <w:t>In re: Petition for approval of energy purchase agreement between Gulf Power Company and Morgan Sta</w:t>
      </w:r>
      <w:r>
        <w:rPr>
          <w:i/>
        </w:rPr>
        <w:t>nley Capital Group Incorporated.</w:t>
      </w:r>
    </w:p>
  </w:footnote>
  <w:footnote w:id="2">
    <w:p w:rsidR="00E12ECB" w:rsidRDefault="00E12ECB" w:rsidP="00E12ECB">
      <w:pPr>
        <w:pStyle w:val="FootnoteText"/>
      </w:pPr>
      <w:r>
        <w:rPr>
          <w:rStyle w:val="FootnoteReference"/>
        </w:rPr>
        <w:footnoteRef/>
      </w:r>
      <w:r>
        <w:t xml:space="preserve">Order No. PSC-16-0507-PAA-EI, issued November 3, 2016, in Docket No. 160158-EI, </w:t>
      </w:r>
      <w:r w:rsidRPr="00C56C5E">
        <w:rPr>
          <w:i/>
        </w:rPr>
        <w:t>In re: Petition for approval of energy purchase agreement between Gulf Power Company and Morgan Sta</w:t>
      </w:r>
      <w:r>
        <w:rPr>
          <w:i/>
        </w:rPr>
        <w:t>nley Capital Group Incorporated.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2 ">
      <w:r w:rsidR="004754CE">
        <w:t>PSC-2017-0482-PAA-EI</w:t>
      </w:r>
    </w:fldSimple>
    <w:bookmarkStart w:id="9" w:name="OrderText"/>
    <w:bookmarkEnd w:id="9"/>
  </w:p>
  <w:p w:rsidR="00FA6EFD" w:rsidRDefault="00E70082">
    <w:pPr>
      <w:pStyle w:val="OrderHeader"/>
    </w:pPr>
    <w:bookmarkStart w:id="10" w:name="HeaderDocketNo"/>
    <w:bookmarkEnd w:id="10"/>
    <w:r>
      <w:t>DOCKET NO. 20170227-EI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54CE">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7-EI"/>
  </w:docVars>
  <w:rsids>
    <w:rsidRoot w:val="00E70082"/>
    <w:rsid w:val="000022B8"/>
    <w:rsid w:val="00045CC0"/>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2707"/>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863D0"/>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084"/>
    <w:rsid w:val="00333A41"/>
    <w:rsid w:val="0035495B"/>
    <w:rsid w:val="00361522"/>
    <w:rsid w:val="0037196E"/>
    <w:rsid w:val="003744F5"/>
    <w:rsid w:val="00390DD8"/>
    <w:rsid w:val="00394DC6"/>
    <w:rsid w:val="00397C3E"/>
    <w:rsid w:val="003C34B3"/>
    <w:rsid w:val="003D4CCA"/>
    <w:rsid w:val="003D52A6"/>
    <w:rsid w:val="003D6416"/>
    <w:rsid w:val="003E1D48"/>
    <w:rsid w:val="00411DF2"/>
    <w:rsid w:val="0042527B"/>
    <w:rsid w:val="00457DC7"/>
    <w:rsid w:val="00472BCC"/>
    <w:rsid w:val="004754CE"/>
    <w:rsid w:val="004A25CD"/>
    <w:rsid w:val="004A26CC"/>
    <w:rsid w:val="004B2108"/>
    <w:rsid w:val="004B3A2B"/>
    <w:rsid w:val="004B680C"/>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5F60EE"/>
    <w:rsid w:val="00610E73"/>
    <w:rsid w:val="0063168D"/>
    <w:rsid w:val="00660774"/>
    <w:rsid w:val="0066389A"/>
    <w:rsid w:val="0066495C"/>
    <w:rsid w:val="00665CC7"/>
    <w:rsid w:val="00672612"/>
    <w:rsid w:val="00677F18"/>
    <w:rsid w:val="006A0BF3"/>
    <w:rsid w:val="006B0DA6"/>
    <w:rsid w:val="006C547E"/>
    <w:rsid w:val="006E059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1D94"/>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1BFD"/>
    <w:rsid w:val="0096742B"/>
    <w:rsid w:val="009924CF"/>
    <w:rsid w:val="00994100"/>
    <w:rsid w:val="009A6B17"/>
    <w:rsid w:val="009D3AE5"/>
    <w:rsid w:val="009D4C29"/>
    <w:rsid w:val="009F7329"/>
    <w:rsid w:val="00A00D8D"/>
    <w:rsid w:val="00A4303C"/>
    <w:rsid w:val="00A62DAB"/>
    <w:rsid w:val="00A726A6"/>
    <w:rsid w:val="00A87E47"/>
    <w:rsid w:val="00A97535"/>
    <w:rsid w:val="00AA2BAA"/>
    <w:rsid w:val="00AA73F1"/>
    <w:rsid w:val="00AB0E1A"/>
    <w:rsid w:val="00AB1A30"/>
    <w:rsid w:val="00AD10EB"/>
    <w:rsid w:val="00AD1ED3"/>
    <w:rsid w:val="00B0777D"/>
    <w:rsid w:val="00B1195F"/>
    <w:rsid w:val="00B209C7"/>
    <w:rsid w:val="00B35B12"/>
    <w:rsid w:val="00B3644F"/>
    <w:rsid w:val="00B4057A"/>
    <w:rsid w:val="00B40894"/>
    <w:rsid w:val="00B444AE"/>
    <w:rsid w:val="00B45E75"/>
    <w:rsid w:val="00B50876"/>
    <w:rsid w:val="00B55AB0"/>
    <w:rsid w:val="00B55EE5"/>
    <w:rsid w:val="00B57B1D"/>
    <w:rsid w:val="00B71D1F"/>
    <w:rsid w:val="00B73DE6"/>
    <w:rsid w:val="00B86EF0"/>
    <w:rsid w:val="00B96969"/>
    <w:rsid w:val="00B97900"/>
    <w:rsid w:val="00BA1229"/>
    <w:rsid w:val="00BA44A8"/>
    <w:rsid w:val="00BF6691"/>
    <w:rsid w:val="00C00662"/>
    <w:rsid w:val="00C028FC"/>
    <w:rsid w:val="00C06B44"/>
    <w:rsid w:val="00C10ED5"/>
    <w:rsid w:val="00C12534"/>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14BB"/>
    <w:rsid w:val="00DE2082"/>
    <w:rsid w:val="00DE2289"/>
    <w:rsid w:val="00E03A76"/>
    <w:rsid w:val="00E04410"/>
    <w:rsid w:val="00E04D62"/>
    <w:rsid w:val="00E11351"/>
    <w:rsid w:val="00E12ECB"/>
    <w:rsid w:val="00E54CA0"/>
    <w:rsid w:val="00E70082"/>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E12ECB"/>
  </w:style>
  <w:style w:type="paragraph" w:styleId="BalloonText">
    <w:name w:val="Balloon Text"/>
    <w:basedOn w:val="Normal"/>
    <w:link w:val="BalloonTextChar"/>
    <w:rsid w:val="003C34B3"/>
    <w:rPr>
      <w:rFonts w:ascii="Tahoma" w:hAnsi="Tahoma" w:cs="Tahoma"/>
      <w:sz w:val="16"/>
      <w:szCs w:val="16"/>
    </w:rPr>
  </w:style>
  <w:style w:type="character" w:customStyle="1" w:styleId="BalloonTextChar">
    <w:name w:val="Balloon Text Char"/>
    <w:basedOn w:val="DefaultParagraphFont"/>
    <w:link w:val="BalloonText"/>
    <w:rsid w:val="003C34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E12ECB"/>
  </w:style>
  <w:style w:type="paragraph" w:styleId="BalloonText">
    <w:name w:val="Balloon Text"/>
    <w:basedOn w:val="Normal"/>
    <w:link w:val="BalloonTextChar"/>
    <w:rsid w:val="003C34B3"/>
    <w:rPr>
      <w:rFonts w:ascii="Tahoma" w:hAnsi="Tahoma" w:cs="Tahoma"/>
      <w:sz w:val="16"/>
      <w:szCs w:val="16"/>
    </w:rPr>
  </w:style>
  <w:style w:type="character" w:customStyle="1" w:styleId="BalloonTextChar">
    <w:name w:val="Balloon Text Char"/>
    <w:basedOn w:val="DefaultParagraphFont"/>
    <w:link w:val="BalloonText"/>
    <w:rsid w:val="003C34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8325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5</Pages>
  <Words>1457</Words>
  <Characters>8070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2017-12-22T13:05:00Z</dcterms:created>
  <dcterms:modified xsi:type="dcterms:W3CDTF">2017-12-22T14:02:00Z</dcterms:modified>
</cp:coreProperties>
</file>