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6E3E" w:rsidP="00066E3E">
      <w:pPr>
        <w:pStyle w:val="OrderHeading"/>
      </w:pPr>
      <w:r>
        <w:t>BEFORE THE FLORIDA PUBLIC SERVICE COMMISSION</w:t>
      </w:r>
    </w:p>
    <w:p w:rsidR="00066E3E" w:rsidRDefault="00066E3E" w:rsidP="00066E3E">
      <w:pPr>
        <w:pStyle w:val="OrderHeading"/>
      </w:pPr>
    </w:p>
    <w:p w:rsidR="00066E3E" w:rsidRDefault="00066E3E" w:rsidP="00066E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6E3E" w:rsidRPr="00C63FCF" w:rsidTr="00F03892">
        <w:trPr>
          <w:trHeight w:val="828"/>
        </w:trPr>
        <w:tc>
          <w:tcPr>
            <w:tcW w:w="4788" w:type="dxa"/>
            <w:tcBorders>
              <w:bottom w:val="single" w:sz="8" w:space="0" w:color="auto"/>
              <w:right w:val="double" w:sz="6" w:space="0" w:color="auto"/>
            </w:tcBorders>
            <w:shd w:val="clear" w:color="auto" w:fill="auto"/>
          </w:tcPr>
          <w:p w:rsidR="00066E3E" w:rsidRDefault="00066E3E" w:rsidP="00F03892">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066E3E" w:rsidRDefault="00066E3E" w:rsidP="00066E3E">
            <w:pPr>
              <w:pStyle w:val="OrderBody"/>
            </w:pPr>
            <w:r>
              <w:t xml:space="preserve">DOCKET NO. </w:t>
            </w:r>
            <w:bookmarkStart w:id="1" w:name="SSDocketNo"/>
            <w:bookmarkEnd w:id="1"/>
            <w:r>
              <w:t>20170179-GU</w:t>
            </w:r>
          </w:p>
          <w:p w:rsidR="00066E3E" w:rsidRDefault="00066E3E" w:rsidP="00F03892">
            <w:pPr>
              <w:pStyle w:val="OrderBody"/>
              <w:tabs>
                <w:tab w:val="center" w:pos="4320"/>
                <w:tab w:val="right" w:pos="8640"/>
              </w:tabs>
              <w:jc w:val="left"/>
            </w:pPr>
            <w:r>
              <w:t xml:space="preserve">ORDER NO. </w:t>
            </w:r>
            <w:bookmarkStart w:id="2" w:name="OrderNo0011"/>
            <w:r w:rsidR="00AC47BD">
              <w:t>PSC-2018-0011-PCO-GU</w:t>
            </w:r>
            <w:bookmarkEnd w:id="2"/>
          </w:p>
          <w:p w:rsidR="00066E3E" w:rsidRDefault="00066E3E" w:rsidP="00F03892">
            <w:pPr>
              <w:pStyle w:val="OrderBody"/>
              <w:tabs>
                <w:tab w:val="center" w:pos="4320"/>
                <w:tab w:val="right" w:pos="8640"/>
              </w:tabs>
              <w:jc w:val="left"/>
            </w:pPr>
            <w:r>
              <w:t xml:space="preserve">ISSUED: </w:t>
            </w:r>
            <w:r w:rsidR="00AC47BD">
              <w:t>January 4, 2018</w:t>
            </w:r>
          </w:p>
        </w:tc>
      </w:tr>
    </w:tbl>
    <w:p w:rsidR="00066E3E" w:rsidRDefault="00066E3E" w:rsidP="00066E3E"/>
    <w:p w:rsidR="00066E3E" w:rsidRDefault="00066E3E" w:rsidP="00066E3E"/>
    <w:p w:rsidR="00066E3E" w:rsidRDefault="00066E3E">
      <w:pPr>
        <w:ind w:firstLine="720"/>
        <w:jc w:val="both"/>
      </w:pPr>
      <w:bookmarkStart w:id="3" w:name="Commissioners"/>
      <w:bookmarkEnd w:id="3"/>
      <w:r>
        <w:t>The following Commissioners participated in the disposition of this matter:</w:t>
      </w:r>
    </w:p>
    <w:p w:rsidR="00066E3E" w:rsidRDefault="00066E3E"/>
    <w:p w:rsidR="00066E3E" w:rsidRDefault="00066E3E">
      <w:pPr>
        <w:jc w:val="center"/>
      </w:pPr>
      <w:r>
        <w:t>JULIE I. BROWN, Chairman</w:t>
      </w:r>
    </w:p>
    <w:p w:rsidR="00066E3E" w:rsidRDefault="00066E3E">
      <w:pPr>
        <w:jc w:val="center"/>
      </w:pPr>
      <w:r>
        <w:t>ART GRAHAM</w:t>
      </w:r>
    </w:p>
    <w:p w:rsidR="00066E3E" w:rsidRDefault="00066E3E">
      <w:pPr>
        <w:jc w:val="center"/>
      </w:pPr>
      <w:r>
        <w:t>RONALD A. BRISÉ</w:t>
      </w:r>
    </w:p>
    <w:p w:rsidR="00066E3E" w:rsidRDefault="00066E3E">
      <w:pPr>
        <w:jc w:val="center"/>
      </w:pPr>
      <w:r>
        <w:t>DONALD J. POLMANN</w:t>
      </w:r>
    </w:p>
    <w:p w:rsidR="00066E3E" w:rsidRDefault="00066E3E">
      <w:pPr>
        <w:jc w:val="center"/>
      </w:pPr>
      <w:r>
        <w:t>GARY F. CLARK</w:t>
      </w:r>
      <w:bookmarkStart w:id="4" w:name="_GoBack"/>
      <w:bookmarkEnd w:id="4"/>
    </w:p>
    <w:p w:rsidR="00066E3E" w:rsidRDefault="00066E3E"/>
    <w:p w:rsidR="00066E3E" w:rsidRDefault="00066E3E"/>
    <w:p w:rsidR="0059694B" w:rsidRDefault="0059694B" w:rsidP="0059694B">
      <w:pPr>
        <w:pStyle w:val="CenterUnderline"/>
      </w:pPr>
      <w:r>
        <w:t>ORDER</w:t>
      </w:r>
      <w:bookmarkStart w:id="5" w:name="OrderTitle"/>
      <w:r>
        <w:t xml:space="preserve"> </w:t>
      </w:r>
      <w:r w:rsidRPr="00A56E8F">
        <w:t xml:space="preserve">APPROVING INTERIM RATES </w:t>
      </w:r>
      <w:r w:rsidRPr="00E42996">
        <w:t>AND SUSPENDING PROPOSED FINAL RATES</w:t>
      </w:r>
      <w:r>
        <w:t xml:space="preserve"> </w:t>
      </w:r>
      <w:bookmarkEnd w:id="5"/>
    </w:p>
    <w:p w:rsidR="0059694B" w:rsidRDefault="0059694B" w:rsidP="0059694B">
      <w:pPr>
        <w:pStyle w:val="CenterUnderline"/>
        <w:jc w:val="left"/>
      </w:pPr>
    </w:p>
    <w:p w:rsidR="00CB5276" w:rsidRDefault="00CB5276">
      <w:pPr>
        <w:pStyle w:val="OrderBody"/>
      </w:pPr>
    </w:p>
    <w:p w:rsidR="00066E3E" w:rsidRDefault="00066E3E" w:rsidP="00066E3E">
      <w:pPr>
        <w:pStyle w:val="OrderBody"/>
      </w:pPr>
      <w:r>
        <w:t>BY THE COMMISSION:</w:t>
      </w:r>
    </w:p>
    <w:p w:rsidR="00066E3E" w:rsidRDefault="00066E3E" w:rsidP="00066E3E">
      <w:pPr>
        <w:pStyle w:val="OrderBody"/>
      </w:pPr>
    </w:p>
    <w:p w:rsidR="00CB5276" w:rsidRPr="00066E3E" w:rsidRDefault="00066E3E" w:rsidP="00066E3E">
      <w:pPr>
        <w:pStyle w:val="OrderBody"/>
        <w:jc w:val="center"/>
        <w:rPr>
          <w:b/>
        </w:rPr>
      </w:pPr>
      <w:bookmarkStart w:id="6" w:name="OrderText"/>
      <w:bookmarkEnd w:id="6"/>
      <w:r w:rsidRPr="00066E3E">
        <w:rPr>
          <w:b/>
        </w:rPr>
        <w:t>Background</w:t>
      </w:r>
    </w:p>
    <w:p w:rsidR="00066E3E" w:rsidRDefault="00066E3E">
      <w:pPr>
        <w:pStyle w:val="OrderBody"/>
      </w:pPr>
    </w:p>
    <w:p w:rsidR="00066E3E" w:rsidRPr="00066E3E" w:rsidRDefault="00066E3E" w:rsidP="00066E3E">
      <w:pPr>
        <w:pStyle w:val="OrderBody"/>
        <w:spacing w:after="240"/>
        <w:ind w:firstLine="720"/>
      </w:pPr>
      <w:r w:rsidRPr="00066E3E">
        <w:t>On October 23, 2017, Florida City Gas (FCG or Company) filed a petition seeking Commission approval of a rate increase, depreciation study, and a request for interim rate relief. FCG is a natural gas local distribution company providing sales and transportation of natural gas, and is a public utility subject to th</w:t>
      </w:r>
      <w:r w:rsidR="0041157F">
        <w:t>is</w:t>
      </w:r>
      <w:r w:rsidRPr="00066E3E">
        <w:t xml:space="preserve"> Commission’s regulatory jurisdiction under </w:t>
      </w:r>
      <w:r w:rsidR="006E543F">
        <w:t>Section</w:t>
      </w:r>
      <w:r w:rsidRPr="00066E3E">
        <w:t xml:space="preserve"> 366.02, Florida Statutes (F.S.). As a subsidiary of Southern Company, FCG currently serves approximately 108,000 residential, commercial, and industrial natural gas customers in Miami-Dade, Brevard, St. Lucie, Palm Beach, Hendry, Broward, and Indian River counties. FCG requested an increase of $19.3 million in additional annual revenues. Of that amount, $3.5 million is associated with moving the Company’s current investment in a Commission-approved backyard mains and service relocation program, which is being recovered through a separate surcharge on customers’ bills, into rate base. The remaining $15.8 million, according to FCG, is necessary for the utility to earn a fair return on their investment and a requested return on equity of 11.25 percent. The Company based its request on a 13-month average rate base of $299.3 million for the projected test year ending December 31, 2018. The requested overall rate of return is 6.32 percent based on an 11.25 percent return on equity.  </w:t>
      </w:r>
    </w:p>
    <w:p w:rsidR="00066E3E" w:rsidRDefault="00066E3E" w:rsidP="00066E3E">
      <w:pPr>
        <w:pStyle w:val="OrderBody"/>
        <w:ind w:firstLine="720"/>
      </w:pPr>
      <w:r w:rsidRPr="00066E3E">
        <w:t xml:space="preserve">The Company requested in its original MFRs an interim increase of $4,871,932. FCG calculated the interim increase based on a 13-month average rate base of $209,312,678 at 5.84 percent cost of capital using a 10.25 percent return on equity. The interim test year is the period ended December 31, 2016. </w:t>
      </w:r>
    </w:p>
    <w:p w:rsidR="00066E3E" w:rsidRPr="00066E3E" w:rsidRDefault="00066E3E" w:rsidP="00066E3E">
      <w:pPr>
        <w:pStyle w:val="OrderBody"/>
        <w:ind w:firstLine="720"/>
      </w:pPr>
    </w:p>
    <w:p w:rsidR="00066E3E" w:rsidRDefault="00066E3E" w:rsidP="00066E3E">
      <w:pPr>
        <w:pStyle w:val="OrderBody"/>
        <w:ind w:firstLine="720"/>
      </w:pPr>
      <w:r w:rsidRPr="00066E3E">
        <w:t xml:space="preserve">On November 17, 2017, FCG filed a revised MFR Schedule F-10 to correct certain errors. On November 27, 2017, FCG filed an amended MFR Schedule F to reflect a corrected </w:t>
      </w:r>
      <w:r w:rsidRPr="00066E3E">
        <w:lastRenderedPageBreak/>
        <w:t xml:space="preserve">interim increase request of $4,893,061 based on a cost of capital of 5.85 percent. </w:t>
      </w:r>
      <w:r w:rsidR="0033050A">
        <w:t xml:space="preserve">This order provides our findings concerning FCG’s request to </w:t>
      </w:r>
      <w:r w:rsidRPr="00066E3E">
        <w:t>suspend the proposed final rates and charges and to address the requested interim rate relief as revised on November 17, 2017 and on November 27, 2017.</w:t>
      </w:r>
    </w:p>
    <w:p w:rsidR="00066E3E" w:rsidRPr="00066E3E" w:rsidRDefault="00066E3E" w:rsidP="00066E3E">
      <w:pPr>
        <w:pStyle w:val="OrderBody"/>
        <w:ind w:firstLine="720"/>
      </w:pPr>
    </w:p>
    <w:p w:rsidR="00066E3E" w:rsidRPr="00066E3E" w:rsidRDefault="00066E3E" w:rsidP="00066E3E">
      <w:pPr>
        <w:pStyle w:val="OrderBody"/>
        <w:spacing w:after="240"/>
        <w:ind w:firstLine="720"/>
      </w:pPr>
      <w:r w:rsidRPr="00066E3E">
        <w:t>FCG’s last rate case was in 2003.</w:t>
      </w:r>
      <w:r w:rsidRPr="00066E3E">
        <w:rPr>
          <w:vertAlign w:val="superscript"/>
        </w:rPr>
        <w:footnoteReference w:id="1"/>
      </w:r>
      <w:r w:rsidRPr="00066E3E">
        <w:t xml:space="preserve"> Pursuant to Section 366.06(4), F.S., FCG requested to proceed in 2003 under the rules governing Proposed Agency Action (PAA). </w:t>
      </w:r>
      <w:r w:rsidR="00F03892">
        <w:t>We</w:t>
      </w:r>
      <w:r w:rsidRPr="00066E3E">
        <w:t xml:space="preserve"> approved a jurisdictional rate base of $119,897,447 and an annual operating revenue increase of $6,699,655 for the projected test year ended September 30, 2004. The allowed rate of return was found to be 7.36 percent for the test year using an 11.25 percent return on equity. </w:t>
      </w:r>
    </w:p>
    <w:p w:rsidR="00066E3E" w:rsidRDefault="00066E3E" w:rsidP="00066E3E">
      <w:pPr>
        <w:pStyle w:val="OrderBody"/>
        <w:spacing w:after="240"/>
        <w:ind w:firstLine="720"/>
      </w:pPr>
      <w:r w:rsidRPr="00066E3E">
        <w:t>Pursuant to Sections 366.06(2) and (3), F.S., FCG requested to proceed this rate case using th</w:t>
      </w:r>
      <w:r w:rsidR="00F03892">
        <w:t>is</w:t>
      </w:r>
      <w:r w:rsidRPr="00066E3E">
        <w:t xml:space="preserve"> Commission’s hearing process. Accordingly, in compliance with Section 366.06(2), F.S., an administrative hearing has been scheduled for this matter from March 26 - 30, 2018. </w:t>
      </w:r>
      <w:r w:rsidR="00F03892">
        <w:t>We have</w:t>
      </w:r>
      <w:r w:rsidRPr="00066E3E">
        <w:t xml:space="preserve"> jurisdiction over this request under Sections 366.06 and 366.071, F.S.</w:t>
      </w:r>
    </w:p>
    <w:p w:rsidR="00D57E57" w:rsidRPr="00066E3E" w:rsidRDefault="00066E3E" w:rsidP="00066E3E">
      <w:pPr>
        <w:jc w:val="center"/>
        <w:rPr>
          <w:b/>
        </w:rPr>
      </w:pPr>
      <w:r w:rsidRPr="00066E3E">
        <w:rPr>
          <w:b/>
        </w:rPr>
        <w:t>Decision</w:t>
      </w:r>
    </w:p>
    <w:p w:rsidR="00066E3E" w:rsidRDefault="00066E3E" w:rsidP="00D57E57"/>
    <w:p w:rsidR="00F03892" w:rsidRPr="00850371" w:rsidRDefault="00F03892" w:rsidP="00F03892">
      <w:pPr>
        <w:spacing w:after="240"/>
        <w:jc w:val="both"/>
        <w:rPr>
          <w:bCs/>
          <w:u w:val="single"/>
        </w:rPr>
      </w:pPr>
      <w:r w:rsidRPr="00850371">
        <w:rPr>
          <w:bCs/>
          <w:u w:val="single"/>
        </w:rPr>
        <w:t>Suspension of Rates</w:t>
      </w:r>
    </w:p>
    <w:p w:rsidR="00F03892" w:rsidRDefault="00F03892" w:rsidP="00F03892">
      <w:pPr>
        <w:spacing w:after="240"/>
        <w:ind w:firstLine="720"/>
        <w:jc w:val="both"/>
      </w:pPr>
      <w:r w:rsidRPr="00066E3E">
        <w:t>Pursuant to Section 366.06(3), F.S., th</w:t>
      </w:r>
      <w:r>
        <w:t>is</w:t>
      </w:r>
      <w:r w:rsidRPr="00066E3E">
        <w:t xml:space="preserve"> Commission may withhold consent to the operation of all or any portion of a new rate schedule, delivering to the utility requesting such a change, a reason, or written statement of a good cause for doing so with 60 days. </w:t>
      </w:r>
      <w:r>
        <w:t>T</w:t>
      </w:r>
      <w:r w:rsidRPr="00066E3E">
        <w:t xml:space="preserve">he requested permanent increase in rates and charges </w:t>
      </w:r>
      <w:r>
        <w:t xml:space="preserve">shall </w:t>
      </w:r>
      <w:r w:rsidRPr="00066E3E">
        <w:t xml:space="preserve">be suspended for FCG to allow </w:t>
      </w:r>
      <w:r>
        <w:t>us sufficient</w:t>
      </w:r>
      <w:r w:rsidRPr="00066E3E">
        <w:t xml:space="preserve"> time to complete </w:t>
      </w:r>
      <w:r>
        <w:t>our</w:t>
      </w:r>
      <w:r w:rsidRPr="00066E3E">
        <w:t xml:space="preserve"> review of the Company’s MFRs. </w:t>
      </w:r>
      <w:r>
        <w:t xml:space="preserve">This purpose meets the </w:t>
      </w:r>
      <w:r w:rsidRPr="00066E3E">
        <w:t xml:space="preserve">good cause </w:t>
      </w:r>
      <w:r>
        <w:t xml:space="preserve">requirements </w:t>
      </w:r>
      <w:r w:rsidRPr="00066E3E">
        <w:t xml:space="preserve"> of Section 366.06(3), F.S.</w:t>
      </w:r>
    </w:p>
    <w:p w:rsidR="00F03892" w:rsidRPr="00B53297" w:rsidRDefault="00F03892" w:rsidP="00F03892">
      <w:pPr>
        <w:spacing w:after="240"/>
        <w:jc w:val="both"/>
        <w:rPr>
          <w:bCs/>
          <w:u w:val="single"/>
        </w:rPr>
      </w:pPr>
      <w:r>
        <w:rPr>
          <w:bCs/>
          <w:u w:val="single"/>
        </w:rPr>
        <w:t>Appropriate Interim Rate</w:t>
      </w:r>
      <w:r w:rsidR="003C3DD4">
        <w:rPr>
          <w:bCs/>
          <w:u w:val="single"/>
        </w:rPr>
        <w:t xml:space="preserve"> Base</w:t>
      </w:r>
    </w:p>
    <w:p w:rsidR="00066E3E" w:rsidRDefault="00066E3E" w:rsidP="00F03892">
      <w:pPr>
        <w:spacing w:after="240"/>
        <w:ind w:firstLine="720"/>
        <w:jc w:val="both"/>
      </w:pPr>
      <w:r w:rsidRPr="00066E3E">
        <w:t xml:space="preserve">In its filing, the Company proposed an interim test year 13-month average rate base of $209,312,678 for the period ended December 31, 2016. </w:t>
      </w:r>
      <w:r w:rsidR="00F03892">
        <w:t>We have</w:t>
      </w:r>
      <w:r w:rsidRPr="00066E3E">
        <w:t xml:space="preserve"> reviewed the rate base adjustments made in the current interim filing for consistency with the Commission-approved adjustments in the Company’s last rate case proceeding as well as other applicable dockets.</w:t>
      </w:r>
      <w:r w:rsidRPr="00066E3E">
        <w:rPr>
          <w:vertAlign w:val="superscript"/>
        </w:rPr>
        <w:footnoteReference w:id="2"/>
      </w:r>
      <w:r w:rsidRPr="00066E3E">
        <w:t xml:space="preserve">  Based on </w:t>
      </w:r>
      <w:r w:rsidR="00F03892">
        <w:t>our</w:t>
      </w:r>
      <w:r w:rsidRPr="00066E3E">
        <w:t xml:space="preserve"> review, it appears that FCG has made the applicable and appropriate adjustments that are consistent with </w:t>
      </w:r>
      <w:r w:rsidR="00F03892">
        <w:t>this</w:t>
      </w:r>
      <w:r w:rsidRPr="00066E3E">
        <w:t xml:space="preserve"> Commission</w:t>
      </w:r>
      <w:r w:rsidR="00F03892">
        <w:t>’s</w:t>
      </w:r>
      <w:r w:rsidRPr="00066E3E">
        <w:t xml:space="preserve"> </w:t>
      </w:r>
      <w:r w:rsidR="00F03892">
        <w:t xml:space="preserve">prior </w:t>
      </w:r>
      <w:r w:rsidRPr="00066E3E">
        <w:t xml:space="preserve">Orders. </w:t>
      </w:r>
      <w:r w:rsidR="0041157F">
        <w:t xml:space="preserve">Consistent with our determination </w:t>
      </w:r>
      <w:r w:rsidRPr="00066E3E">
        <w:t>that interim relief sh</w:t>
      </w:r>
      <w:r w:rsidR="0041157F">
        <w:t>all</w:t>
      </w:r>
      <w:r w:rsidRPr="00066E3E">
        <w:t xml:space="preserve"> be granted to FCG in this case, $209,312,678 is the appropriate amount of  rate base for the for the historical base year ended December 31, 2016. The calculation is shown </w:t>
      </w:r>
      <w:r w:rsidR="005A2688">
        <w:t>at</w:t>
      </w:r>
      <w:r w:rsidRPr="00066E3E">
        <w:t xml:space="preserve"> Attachment A.</w:t>
      </w:r>
    </w:p>
    <w:p w:rsidR="004D6167" w:rsidRDefault="004D6167" w:rsidP="00F03892">
      <w:pPr>
        <w:spacing w:after="240"/>
        <w:ind w:firstLine="720"/>
        <w:jc w:val="both"/>
      </w:pPr>
    </w:p>
    <w:p w:rsidR="005A2688" w:rsidRPr="005A2688" w:rsidRDefault="003C3DD4" w:rsidP="005A2688">
      <w:pPr>
        <w:spacing w:after="240"/>
        <w:jc w:val="both"/>
        <w:rPr>
          <w:u w:val="single"/>
        </w:rPr>
      </w:pPr>
      <w:r>
        <w:rPr>
          <w:u w:val="single"/>
        </w:rPr>
        <w:t xml:space="preserve">Appropriate Interim </w:t>
      </w:r>
      <w:r w:rsidR="005A2688" w:rsidRPr="005A2688">
        <w:rPr>
          <w:u w:val="single"/>
        </w:rPr>
        <w:t>Return on Equity</w:t>
      </w:r>
      <w:r>
        <w:rPr>
          <w:u w:val="single"/>
        </w:rPr>
        <w:t xml:space="preserve"> and Overall Cost of Capital</w:t>
      </w:r>
    </w:p>
    <w:p w:rsidR="00066E3E" w:rsidRPr="00066E3E" w:rsidRDefault="00066E3E" w:rsidP="00066E3E">
      <w:pPr>
        <w:spacing w:after="240"/>
        <w:ind w:firstLine="720"/>
        <w:jc w:val="both"/>
      </w:pPr>
      <w:r w:rsidRPr="00066E3E">
        <w:t xml:space="preserve">For purposes of its corrected interim rate request, FCG used an overall cost of capital of 5.85 percent based on a return on equity (ROE) of 10.25 percent and the capital structure for the historical base year ended December 31, 2016. Pursuant to Section 366.071(2)(a), F.S., the appropriate ROE for purposes of determining an interim rate increase is the minimum of the Company’s currently authorized ROE range. </w:t>
      </w:r>
      <w:r w:rsidR="00D80E29">
        <w:t xml:space="preserve">We find </w:t>
      </w:r>
      <w:r w:rsidRPr="00066E3E">
        <w:t>that both the ROE and the adjustments recognized in the capital structure are consistent with Company’s last rate case proceeding as well as other applicable dockets.</w:t>
      </w:r>
      <w:r w:rsidRPr="00066E3E">
        <w:rPr>
          <w:vertAlign w:val="superscript"/>
        </w:rPr>
        <w:footnoteReference w:id="3"/>
      </w:r>
    </w:p>
    <w:p w:rsidR="005A2688" w:rsidRPr="00066E3E" w:rsidRDefault="00D80E29" w:rsidP="005A2688">
      <w:pPr>
        <w:spacing w:after="240"/>
        <w:ind w:firstLine="720"/>
        <w:jc w:val="both"/>
      </w:pPr>
      <w:r>
        <w:t>Therefore, we approve the</w:t>
      </w:r>
      <w:r w:rsidR="00066E3E" w:rsidRPr="00066E3E">
        <w:t xml:space="preserve"> capital structure for the historical base year ended December 31, 2016, and an ROE of 10.25 percent results in an overall cost of capital of 5.85 percent. Attachment B details the calculation of the Company’s overall cost of capital</w:t>
      </w:r>
      <w:r>
        <w:t>. We find that t</w:t>
      </w:r>
      <w:r w:rsidR="005A2688" w:rsidRPr="00066E3E">
        <w:t xml:space="preserve">he appropriate interim rate base for FCG is $209,312,678. </w:t>
      </w:r>
    </w:p>
    <w:p w:rsidR="00066E3E" w:rsidRPr="00D80E29" w:rsidRDefault="003C3DD4" w:rsidP="00D80E29">
      <w:pPr>
        <w:spacing w:after="240"/>
        <w:jc w:val="both"/>
        <w:rPr>
          <w:u w:val="single"/>
        </w:rPr>
      </w:pPr>
      <w:r>
        <w:rPr>
          <w:u w:val="single"/>
        </w:rPr>
        <w:t>Appropriate</w:t>
      </w:r>
      <w:r w:rsidR="00D80E29" w:rsidRPr="00D80E29">
        <w:rPr>
          <w:u w:val="single"/>
        </w:rPr>
        <w:t xml:space="preserve"> Interim Test Year Net Operating Income</w:t>
      </w:r>
    </w:p>
    <w:p w:rsidR="00066E3E" w:rsidRDefault="00066E3E" w:rsidP="00066E3E">
      <w:pPr>
        <w:spacing w:after="240"/>
        <w:ind w:firstLine="720"/>
        <w:jc w:val="both"/>
      </w:pPr>
      <w:r w:rsidRPr="00066E3E">
        <w:t>The proposed historical base year net operating income of $9,221,584</w:t>
      </w:r>
      <w:r w:rsidR="00A07BD3">
        <w:t>,</w:t>
      </w:r>
      <w:r w:rsidRPr="00066E3E">
        <w:t xml:space="preserve"> is the twelve</w:t>
      </w:r>
      <w:r w:rsidR="000F62DB">
        <w:t>-</w:t>
      </w:r>
      <w:r w:rsidRPr="00066E3E">
        <w:t xml:space="preserve"> month amount for the historical base year ended December 31, 2016. </w:t>
      </w:r>
      <w:r w:rsidR="00A07BD3">
        <w:t>We have</w:t>
      </w:r>
      <w:r w:rsidRPr="00066E3E">
        <w:t xml:space="preserve"> reviewed the net operating income adjustments made in the current interim filing for consistency with the Commission</w:t>
      </w:r>
      <w:r w:rsidR="0041157F">
        <w:t>-</w:t>
      </w:r>
      <w:r w:rsidRPr="00066E3E">
        <w:t xml:space="preserve">approved adjustments in the Company’s last rate case proceeding as well as other </w:t>
      </w:r>
      <w:r w:rsidR="0041157F">
        <w:t>a</w:t>
      </w:r>
      <w:r w:rsidRPr="00066E3E">
        <w:t>pplicable dockets.</w:t>
      </w:r>
      <w:r w:rsidRPr="00066E3E">
        <w:rPr>
          <w:vertAlign w:val="superscript"/>
        </w:rPr>
        <w:footnoteReference w:id="4"/>
      </w:r>
      <w:r w:rsidRPr="00066E3E">
        <w:t xml:space="preserve"> </w:t>
      </w:r>
      <w:r w:rsidR="00A07BD3">
        <w:t>I</w:t>
      </w:r>
      <w:r w:rsidRPr="00066E3E">
        <w:t xml:space="preserve">t appears that FCG has made the applicable and appropriate adjustments that are consistent with the prior Commission Orders. </w:t>
      </w:r>
      <w:r w:rsidR="0041157F">
        <w:t>Consistent with our</w:t>
      </w:r>
      <w:r w:rsidRPr="00066E3E">
        <w:t xml:space="preserve"> determin</w:t>
      </w:r>
      <w:r w:rsidR="0041157F">
        <w:t>ation</w:t>
      </w:r>
      <w:r w:rsidRPr="00066E3E">
        <w:t xml:space="preserve"> that interim relief sh</w:t>
      </w:r>
      <w:r w:rsidR="0041157F">
        <w:t>all</w:t>
      </w:r>
      <w:r w:rsidRPr="00066E3E">
        <w:t xml:space="preserve"> be granted to FCG in this case, $9,221,584 is the appropriate amount of net operating income for the historical base year ended December 31, 2016. The calculation is shown on Attachment A.</w:t>
      </w:r>
      <w:r w:rsidR="00D80E29" w:rsidRPr="00D80E29">
        <w:t xml:space="preserve"> </w:t>
      </w:r>
    </w:p>
    <w:p w:rsidR="00066E3E" w:rsidRPr="00A07BD3" w:rsidRDefault="003C3DD4" w:rsidP="00A07BD3">
      <w:pPr>
        <w:spacing w:after="240"/>
        <w:jc w:val="both"/>
        <w:rPr>
          <w:u w:val="single"/>
        </w:rPr>
      </w:pPr>
      <w:r>
        <w:rPr>
          <w:u w:val="single"/>
        </w:rPr>
        <w:t>Appropriate</w:t>
      </w:r>
      <w:r w:rsidR="00066E3E" w:rsidRPr="00A07BD3">
        <w:rPr>
          <w:u w:val="single"/>
        </w:rPr>
        <w:t xml:space="preserve"> </w:t>
      </w:r>
      <w:r w:rsidR="00A07BD3" w:rsidRPr="00A07BD3">
        <w:rPr>
          <w:u w:val="single"/>
        </w:rPr>
        <w:t>I</w:t>
      </w:r>
      <w:r w:rsidR="00066E3E" w:rsidRPr="00A07BD3">
        <w:rPr>
          <w:u w:val="single"/>
        </w:rPr>
        <w:t xml:space="preserve">nterim </w:t>
      </w:r>
      <w:r w:rsidR="00A07BD3" w:rsidRPr="00A07BD3">
        <w:rPr>
          <w:u w:val="single"/>
        </w:rPr>
        <w:t>N</w:t>
      </w:r>
      <w:r w:rsidR="00066E3E" w:rsidRPr="00A07BD3">
        <w:rPr>
          <w:u w:val="single"/>
        </w:rPr>
        <w:t xml:space="preserve">et </w:t>
      </w:r>
      <w:r w:rsidR="00A07BD3" w:rsidRPr="00A07BD3">
        <w:rPr>
          <w:u w:val="single"/>
        </w:rPr>
        <w:t>O</w:t>
      </w:r>
      <w:r w:rsidR="00066E3E" w:rsidRPr="00A07BD3">
        <w:rPr>
          <w:u w:val="single"/>
        </w:rPr>
        <w:t xml:space="preserve">perating </w:t>
      </w:r>
      <w:r w:rsidR="00A07BD3" w:rsidRPr="00A07BD3">
        <w:rPr>
          <w:u w:val="single"/>
        </w:rPr>
        <w:t>I</w:t>
      </w:r>
      <w:r w:rsidR="00066E3E" w:rsidRPr="00A07BD3">
        <w:rPr>
          <w:u w:val="single"/>
        </w:rPr>
        <w:t xml:space="preserve">ncome </w:t>
      </w:r>
      <w:r w:rsidR="00A07BD3" w:rsidRPr="00A07BD3">
        <w:rPr>
          <w:u w:val="single"/>
        </w:rPr>
        <w:t>M</w:t>
      </w:r>
      <w:r w:rsidR="00066E3E" w:rsidRPr="00A07BD3">
        <w:rPr>
          <w:u w:val="single"/>
        </w:rPr>
        <w:t>ultiplier</w:t>
      </w:r>
    </w:p>
    <w:p w:rsidR="00066E3E" w:rsidRDefault="00066E3E" w:rsidP="00066E3E">
      <w:pPr>
        <w:spacing w:after="240"/>
        <w:ind w:firstLine="720"/>
        <w:jc w:val="both"/>
      </w:pPr>
      <w:r w:rsidRPr="00066E3E">
        <w:t xml:space="preserve"> On </w:t>
      </w:r>
      <w:r w:rsidR="00A07BD3">
        <w:t xml:space="preserve">FCG’s </w:t>
      </w:r>
      <w:r w:rsidRPr="00066E3E">
        <w:t xml:space="preserve">revised MFR Schedule F-6, the Company calculated an interim net operating income multiplier of 1.6185 using a 34 percent federal income tax rate and a 5.5 percent state income tax rate. Additionally, the Company applied a 0.500 percent factor for regulatory assessment fees and a 0.4382 percent factor for bad debt expense. </w:t>
      </w:r>
      <w:r w:rsidR="00A07BD3">
        <w:t>After</w:t>
      </w:r>
      <w:r w:rsidRPr="00066E3E">
        <w:t xml:space="preserve"> review</w:t>
      </w:r>
      <w:r w:rsidR="00A07BD3">
        <w:t>ing</w:t>
      </w:r>
      <w:r w:rsidRPr="00066E3E">
        <w:t xml:space="preserve"> the Company’s calculation of the interim net operating income multiplier</w:t>
      </w:r>
      <w:r w:rsidR="00A07BD3">
        <w:t xml:space="preserve">, we accept them without </w:t>
      </w:r>
      <w:r w:rsidRPr="00066E3E">
        <w:t xml:space="preserve"> adjustments. Therefore, </w:t>
      </w:r>
      <w:r w:rsidR="00A07BD3">
        <w:t>we find that</w:t>
      </w:r>
      <w:r w:rsidRPr="00066E3E">
        <w:t xml:space="preserve"> 1.6185 is the appropriate interim net operating income multiplier. The calculation is shown below.</w:t>
      </w:r>
    </w:p>
    <w:p w:rsidR="00A07BD3" w:rsidRDefault="00A07BD3" w:rsidP="00066E3E">
      <w:pPr>
        <w:spacing w:after="240"/>
        <w:ind w:firstLine="720"/>
        <w:jc w:val="both"/>
      </w:pPr>
    </w:p>
    <w:p w:rsidR="00A07BD3" w:rsidRDefault="00A07BD3" w:rsidP="00066E3E">
      <w:pPr>
        <w:spacing w:after="240"/>
        <w:ind w:firstLine="720"/>
        <w:jc w:val="both"/>
      </w:pPr>
    </w:p>
    <w:p w:rsidR="00A07BD3" w:rsidRDefault="00A07BD3" w:rsidP="00066E3E">
      <w:pPr>
        <w:spacing w:after="240"/>
        <w:ind w:firstLine="720"/>
        <w:jc w:val="both"/>
      </w:pPr>
    </w:p>
    <w:p w:rsidR="00066E3E" w:rsidRPr="00066E3E" w:rsidRDefault="00066E3E" w:rsidP="00066E3E">
      <w:pPr>
        <w:pStyle w:val="TableNumber"/>
        <w:keepNext/>
        <w:rPr>
          <w:rFonts w:ascii="Times New Roman" w:hAnsi="Times New Roman"/>
        </w:rPr>
      </w:pPr>
      <w:r w:rsidRPr="00066E3E">
        <w:rPr>
          <w:rFonts w:ascii="Times New Roman" w:hAnsi="Times New Roman"/>
        </w:rPr>
        <w:lastRenderedPageBreak/>
        <w:t>Table 1</w:t>
      </w:r>
    </w:p>
    <w:p w:rsidR="00066E3E" w:rsidRPr="00066E3E" w:rsidRDefault="00066E3E" w:rsidP="00066E3E">
      <w:pPr>
        <w:pStyle w:val="TableTitle"/>
        <w:keepNext/>
        <w:rPr>
          <w:rFonts w:ascii="Times New Roman" w:hAnsi="Times New Roman"/>
        </w:rPr>
      </w:pPr>
      <w:r w:rsidRPr="00066E3E">
        <w:rPr>
          <w:rFonts w:ascii="Times New Roman" w:hAnsi="Times New Roman"/>
          <w:color w:val="000000"/>
        </w:rPr>
        <w:t>Florida City Gas - Interim Net Operating Income Multiplier</w:t>
      </w:r>
    </w:p>
    <w:tbl>
      <w:tblPr>
        <w:tblW w:w="6684" w:type="dxa"/>
        <w:jc w:val="center"/>
        <w:tblInd w:w="93" w:type="dxa"/>
        <w:tblLook w:val="04A0" w:firstRow="1" w:lastRow="0" w:firstColumn="1" w:lastColumn="0" w:noHBand="0" w:noVBand="1"/>
      </w:tblPr>
      <w:tblGrid>
        <w:gridCol w:w="340"/>
        <w:gridCol w:w="4094"/>
        <w:gridCol w:w="276"/>
        <w:gridCol w:w="1694"/>
        <w:gridCol w:w="280"/>
      </w:tblGrid>
      <w:tr w:rsidR="00066E3E" w:rsidTr="00F03892">
        <w:trPr>
          <w:trHeight w:val="68"/>
          <w:jc w:val="center"/>
        </w:trPr>
        <w:tc>
          <w:tcPr>
            <w:tcW w:w="340" w:type="dxa"/>
            <w:tcBorders>
              <w:top w:val="nil"/>
              <w:bottom w:val="single" w:sz="4" w:space="0" w:color="auto"/>
              <w:right w:val="nil"/>
            </w:tcBorders>
            <w:shd w:val="clear" w:color="auto" w:fill="auto"/>
            <w:noWrap/>
            <w:vAlign w:val="bottom"/>
          </w:tcPr>
          <w:p w:rsidR="00066E3E" w:rsidRDefault="00066E3E" w:rsidP="00F03892">
            <w:pPr>
              <w:rPr>
                <w:rFonts w:ascii="Calibri" w:hAnsi="Calibri"/>
                <w:color w:val="000000"/>
                <w:sz w:val="22"/>
                <w:szCs w:val="22"/>
              </w:rPr>
            </w:pPr>
          </w:p>
        </w:tc>
        <w:tc>
          <w:tcPr>
            <w:tcW w:w="6064" w:type="dxa"/>
            <w:gridSpan w:val="3"/>
            <w:tcBorders>
              <w:top w:val="nil"/>
              <w:left w:val="nil"/>
              <w:bottom w:val="single" w:sz="4" w:space="0" w:color="auto"/>
              <w:right w:val="nil"/>
            </w:tcBorders>
            <w:shd w:val="clear" w:color="auto" w:fill="auto"/>
            <w:noWrap/>
            <w:vAlign w:val="bottom"/>
          </w:tcPr>
          <w:p w:rsidR="00066E3E" w:rsidRPr="00E74F35" w:rsidRDefault="00066E3E" w:rsidP="00F03892">
            <w:pPr>
              <w:jc w:val="center"/>
              <w:rPr>
                <w:color w:val="000000"/>
              </w:rPr>
            </w:pPr>
          </w:p>
        </w:tc>
        <w:tc>
          <w:tcPr>
            <w:tcW w:w="280" w:type="dxa"/>
            <w:tcBorders>
              <w:top w:val="nil"/>
              <w:left w:val="nil"/>
              <w:bottom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single" w:sz="4" w:space="0" w:color="auto"/>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single" w:sz="4" w:space="0" w:color="auto"/>
              <w:left w:val="nil"/>
              <w:bottom w:val="nil"/>
              <w:right w:val="nil"/>
            </w:tcBorders>
            <w:shd w:val="clear" w:color="auto" w:fill="auto"/>
            <w:noWrap/>
            <w:vAlign w:val="bottom"/>
            <w:hideMark/>
          </w:tcPr>
          <w:p w:rsidR="00066E3E" w:rsidRPr="00E74F35" w:rsidRDefault="00066E3E" w:rsidP="00F03892">
            <w:pPr>
              <w:rPr>
                <w:color w:val="000000"/>
                <w:u w:val="single"/>
              </w:rPr>
            </w:pPr>
            <w:r w:rsidRPr="00E74F35">
              <w:rPr>
                <w:color w:val="000000"/>
                <w:u w:val="single"/>
              </w:rPr>
              <w:t>Description</w:t>
            </w:r>
          </w:p>
        </w:tc>
        <w:tc>
          <w:tcPr>
            <w:tcW w:w="276" w:type="dxa"/>
            <w:tcBorders>
              <w:top w:val="single" w:sz="4" w:space="0" w:color="auto"/>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 </w:t>
            </w:r>
          </w:p>
        </w:tc>
        <w:tc>
          <w:tcPr>
            <w:tcW w:w="1694" w:type="dxa"/>
            <w:tcBorders>
              <w:top w:val="single" w:sz="4" w:space="0" w:color="auto"/>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 </w:t>
            </w:r>
          </w:p>
        </w:tc>
        <w:tc>
          <w:tcPr>
            <w:tcW w:w="280" w:type="dxa"/>
            <w:tcBorders>
              <w:top w:val="single" w:sz="4" w:space="0" w:color="auto"/>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Revenue Requirement</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100.0000%</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Regulatory Assessment Fee</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-0.5000%</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Bad Debt Rate</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single" w:sz="4" w:space="0" w:color="auto"/>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-0.4382%</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Net Before Income Tax</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99.0618%</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State Income Tax @ 5.5%</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-5.4484%</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Federal Income Tax @ 34%</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single" w:sz="4" w:space="0" w:color="auto"/>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-31.8286%</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15"/>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Revenue Expansion Factor</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p>
        </w:tc>
        <w:tc>
          <w:tcPr>
            <w:tcW w:w="1694" w:type="dxa"/>
            <w:tcBorders>
              <w:top w:val="nil"/>
              <w:left w:val="nil"/>
              <w:bottom w:val="double" w:sz="6" w:space="0" w:color="auto"/>
              <w:right w:val="nil"/>
            </w:tcBorders>
            <w:shd w:val="clear" w:color="auto" w:fill="auto"/>
            <w:noWrap/>
            <w:vAlign w:val="bottom"/>
            <w:hideMark/>
          </w:tcPr>
          <w:p w:rsidR="00066E3E" w:rsidRPr="00E74F35" w:rsidRDefault="00066E3E" w:rsidP="00F03892">
            <w:pPr>
              <w:jc w:val="right"/>
              <w:rPr>
                <w:color w:val="000000"/>
              </w:rPr>
            </w:pPr>
            <w:r w:rsidRPr="00E74F35">
              <w:rPr>
                <w:color w:val="000000"/>
              </w:rPr>
              <w:t>61.7848%</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15"/>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 </w:t>
            </w:r>
          </w:p>
        </w:tc>
        <w:tc>
          <w:tcPr>
            <w:tcW w:w="276" w:type="dxa"/>
            <w:tcBorders>
              <w:top w:val="nil"/>
              <w:left w:val="nil"/>
              <w:bottom w:val="nil"/>
              <w:right w:val="nil"/>
            </w:tcBorders>
            <w:shd w:val="clear" w:color="auto" w:fill="auto"/>
            <w:noWrap/>
            <w:vAlign w:val="bottom"/>
            <w:hideMark/>
          </w:tcPr>
          <w:p w:rsidR="00066E3E" w:rsidRPr="00E74F35" w:rsidRDefault="00066E3E" w:rsidP="00F03892">
            <w:pPr>
              <w:rPr>
                <w:color w:val="000000"/>
              </w:rPr>
            </w:pPr>
            <w:r w:rsidRPr="00E74F35">
              <w:rPr>
                <w:color w:val="000000"/>
              </w:rPr>
              <w:t> </w:t>
            </w:r>
          </w:p>
        </w:tc>
        <w:tc>
          <w:tcPr>
            <w:tcW w:w="1694" w:type="dxa"/>
            <w:tcBorders>
              <w:top w:val="nil"/>
              <w:left w:val="nil"/>
              <w:right w:val="nil"/>
            </w:tcBorders>
            <w:shd w:val="clear" w:color="auto" w:fill="auto"/>
            <w:noWrap/>
            <w:vAlign w:val="bottom"/>
            <w:hideMark/>
          </w:tcPr>
          <w:p w:rsidR="00066E3E" w:rsidRPr="00E74F35" w:rsidRDefault="00066E3E" w:rsidP="00F03892">
            <w:pPr>
              <w:rPr>
                <w:color w:val="000000"/>
              </w:rPr>
            </w:pPr>
            <w:r w:rsidRPr="00E74F35">
              <w:rPr>
                <w:color w:val="000000"/>
              </w:rPr>
              <w:t> </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15"/>
          <w:jc w:val="center"/>
        </w:trPr>
        <w:tc>
          <w:tcPr>
            <w:tcW w:w="340" w:type="dxa"/>
            <w:tcBorders>
              <w:top w:val="nil"/>
              <w:left w:val="single" w:sz="4" w:space="0" w:color="auto"/>
              <w:bottom w:val="nil"/>
              <w:right w:val="nil"/>
            </w:tcBorders>
            <w:shd w:val="clear" w:color="auto" w:fill="auto"/>
            <w:noWrap/>
            <w:vAlign w:val="bottom"/>
          </w:tcPr>
          <w:p w:rsidR="00066E3E" w:rsidRDefault="00066E3E" w:rsidP="00F03892">
            <w:pPr>
              <w:rPr>
                <w:rFonts w:ascii="Calibri" w:hAnsi="Calibri"/>
                <w:color w:val="000000"/>
                <w:sz w:val="22"/>
                <w:szCs w:val="22"/>
              </w:rPr>
            </w:pPr>
          </w:p>
        </w:tc>
        <w:tc>
          <w:tcPr>
            <w:tcW w:w="4094" w:type="dxa"/>
            <w:tcBorders>
              <w:top w:val="nil"/>
              <w:left w:val="nil"/>
              <w:bottom w:val="nil"/>
              <w:right w:val="nil"/>
            </w:tcBorders>
            <w:shd w:val="clear" w:color="auto" w:fill="auto"/>
            <w:noWrap/>
            <w:vAlign w:val="bottom"/>
          </w:tcPr>
          <w:p w:rsidR="00066E3E" w:rsidRPr="00E74F35" w:rsidRDefault="00066E3E" w:rsidP="00F03892">
            <w:pPr>
              <w:rPr>
                <w:color w:val="000000"/>
              </w:rPr>
            </w:pPr>
            <w:r>
              <w:rPr>
                <w:color w:val="000000"/>
              </w:rPr>
              <w:t>NOI Multiplier (100/61.7848)</w:t>
            </w:r>
          </w:p>
        </w:tc>
        <w:tc>
          <w:tcPr>
            <w:tcW w:w="276" w:type="dxa"/>
            <w:tcBorders>
              <w:top w:val="nil"/>
              <w:left w:val="nil"/>
              <w:bottom w:val="nil"/>
              <w:right w:val="nil"/>
            </w:tcBorders>
            <w:shd w:val="clear" w:color="auto" w:fill="auto"/>
            <w:noWrap/>
            <w:vAlign w:val="bottom"/>
          </w:tcPr>
          <w:p w:rsidR="00066E3E" w:rsidRPr="00E74F35" w:rsidRDefault="00066E3E" w:rsidP="00F03892">
            <w:pPr>
              <w:rPr>
                <w:color w:val="000000"/>
              </w:rPr>
            </w:pPr>
          </w:p>
        </w:tc>
        <w:tc>
          <w:tcPr>
            <w:tcW w:w="1694" w:type="dxa"/>
            <w:tcBorders>
              <w:top w:val="nil"/>
              <w:left w:val="nil"/>
              <w:bottom w:val="single" w:sz="4" w:space="0" w:color="auto"/>
              <w:right w:val="nil"/>
            </w:tcBorders>
            <w:shd w:val="clear" w:color="auto" w:fill="auto"/>
            <w:noWrap/>
            <w:vAlign w:val="bottom"/>
          </w:tcPr>
          <w:p w:rsidR="00066E3E" w:rsidRPr="00E74F35" w:rsidRDefault="00066E3E" w:rsidP="00F03892">
            <w:pPr>
              <w:jc w:val="right"/>
              <w:rPr>
                <w:color w:val="000000"/>
              </w:rPr>
            </w:pPr>
            <w:r>
              <w:rPr>
                <w:color w:val="000000"/>
              </w:rPr>
              <w:t>1.6185</w:t>
            </w:r>
          </w:p>
        </w:tc>
        <w:tc>
          <w:tcPr>
            <w:tcW w:w="280" w:type="dxa"/>
            <w:tcBorders>
              <w:top w:val="nil"/>
              <w:left w:val="nil"/>
              <w:bottom w:val="nil"/>
              <w:right w:val="single" w:sz="4" w:space="0" w:color="auto"/>
            </w:tcBorders>
            <w:shd w:val="clear" w:color="auto" w:fill="auto"/>
            <w:noWrap/>
            <w:vAlign w:val="bottom"/>
          </w:tcPr>
          <w:p w:rsidR="00066E3E" w:rsidRDefault="00066E3E" w:rsidP="00F03892">
            <w:pPr>
              <w:rPr>
                <w:rFonts w:ascii="Calibri" w:hAnsi="Calibri"/>
                <w:color w:val="000000"/>
                <w:sz w:val="22"/>
                <w:szCs w:val="22"/>
              </w:rPr>
            </w:pPr>
          </w:p>
        </w:tc>
      </w:tr>
      <w:tr w:rsidR="00066E3E" w:rsidTr="00F03892">
        <w:trPr>
          <w:trHeight w:val="315"/>
          <w:jc w:val="center"/>
        </w:trPr>
        <w:tc>
          <w:tcPr>
            <w:tcW w:w="340" w:type="dxa"/>
            <w:tcBorders>
              <w:top w:val="nil"/>
              <w:left w:val="single" w:sz="4" w:space="0" w:color="auto"/>
              <w:bottom w:val="single" w:sz="4" w:space="0" w:color="auto"/>
              <w:right w:val="nil"/>
            </w:tcBorders>
            <w:shd w:val="clear" w:color="auto" w:fill="auto"/>
            <w:noWrap/>
            <w:vAlign w:val="bottom"/>
          </w:tcPr>
          <w:p w:rsidR="00066E3E" w:rsidRDefault="00066E3E" w:rsidP="00F03892">
            <w:pPr>
              <w:rPr>
                <w:rFonts w:ascii="Calibri" w:hAnsi="Calibri"/>
                <w:color w:val="000000"/>
                <w:sz w:val="22"/>
                <w:szCs w:val="22"/>
              </w:rPr>
            </w:pPr>
          </w:p>
        </w:tc>
        <w:tc>
          <w:tcPr>
            <w:tcW w:w="4094" w:type="dxa"/>
            <w:tcBorders>
              <w:top w:val="nil"/>
              <w:left w:val="nil"/>
              <w:bottom w:val="single" w:sz="4" w:space="0" w:color="auto"/>
              <w:right w:val="nil"/>
            </w:tcBorders>
            <w:shd w:val="clear" w:color="auto" w:fill="auto"/>
            <w:noWrap/>
            <w:vAlign w:val="bottom"/>
          </w:tcPr>
          <w:p w:rsidR="00066E3E" w:rsidRPr="00E74F35" w:rsidRDefault="00066E3E" w:rsidP="00F03892">
            <w:pPr>
              <w:rPr>
                <w:color w:val="000000"/>
              </w:rPr>
            </w:pPr>
          </w:p>
        </w:tc>
        <w:tc>
          <w:tcPr>
            <w:tcW w:w="276" w:type="dxa"/>
            <w:tcBorders>
              <w:top w:val="nil"/>
              <w:left w:val="nil"/>
              <w:bottom w:val="single" w:sz="4" w:space="0" w:color="auto"/>
              <w:right w:val="nil"/>
            </w:tcBorders>
            <w:shd w:val="clear" w:color="auto" w:fill="auto"/>
            <w:noWrap/>
            <w:vAlign w:val="bottom"/>
          </w:tcPr>
          <w:p w:rsidR="00066E3E" w:rsidRPr="00E74F35" w:rsidRDefault="00066E3E" w:rsidP="00F03892">
            <w:pPr>
              <w:rPr>
                <w:color w:val="000000"/>
              </w:rPr>
            </w:pPr>
          </w:p>
        </w:tc>
        <w:tc>
          <w:tcPr>
            <w:tcW w:w="1694" w:type="dxa"/>
            <w:tcBorders>
              <w:top w:val="single" w:sz="4" w:space="0" w:color="auto"/>
              <w:left w:val="nil"/>
              <w:bottom w:val="single" w:sz="4" w:space="0" w:color="auto"/>
              <w:right w:val="nil"/>
            </w:tcBorders>
            <w:shd w:val="clear" w:color="auto" w:fill="auto"/>
            <w:noWrap/>
            <w:vAlign w:val="bottom"/>
          </w:tcPr>
          <w:p w:rsidR="00066E3E" w:rsidRPr="00E74F35" w:rsidRDefault="00066E3E" w:rsidP="00F03892">
            <w:pPr>
              <w:rPr>
                <w:color w:val="000000"/>
              </w:rPr>
            </w:pPr>
          </w:p>
        </w:tc>
        <w:tc>
          <w:tcPr>
            <w:tcW w:w="280" w:type="dxa"/>
            <w:tcBorders>
              <w:top w:val="nil"/>
              <w:left w:val="nil"/>
              <w:bottom w:val="single" w:sz="4" w:space="0" w:color="auto"/>
              <w:right w:val="single" w:sz="4" w:space="0" w:color="auto"/>
            </w:tcBorders>
            <w:shd w:val="clear" w:color="auto" w:fill="auto"/>
            <w:noWrap/>
            <w:vAlign w:val="bottom"/>
          </w:tcPr>
          <w:p w:rsidR="00066E3E" w:rsidRDefault="00066E3E" w:rsidP="00F03892">
            <w:pPr>
              <w:rPr>
                <w:rFonts w:ascii="Calibri" w:hAnsi="Calibri"/>
                <w:color w:val="000000"/>
                <w:sz w:val="22"/>
                <w:szCs w:val="22"/>
              </w:rPr>
            </w:pPr>
          </w:p>
        </w:tc>
      </w:tr>
    </w:tbl>
    <w:p w:rsidR="00066E3E" w:rsidRDefault="00066E3E" w:rsidP="00066E3E">
      <w:pPr>
        <w:pStyle w:val="BodyText"/>
        <w:spacing w:after="240"/>
      </w:pPr>
      <w:r>
        <w:tab/>
      </w:r>
      <w:r>
        <w:tab/>
        <w:t>Source: Revised MFR Schedule F-6</w:t>
      </w:r>
    </w:p>
    <w:p w:rsidR="00A07BD3" w:rsidRDefault="00A07BD3" w:rsidP="00A07BD3">
      <w:pPr>
        <w:spacing w:after="240"/>
        <w:jc w:val="both"/>
      </w:pPr>
    </w:p>
    <w:p w:rsidR="00066E3E" w:rsidRPr="00A07BD3" w:rsidRDefault="003C3DD4" w:rsidP="00A07BD3">
      <w:pPr>
        <w:spacing w:after="240"/>
        <w:jc w:val="both"/>
        <w:rPr>
          <w:u w:val="single"/>
        </w:rPr>
      </w:pPr>
      <w:r>
        <w:rPr>
          <w:u w:val="single"/>
        </w:rPr>
        <w:t>Appropriate</w:t>
      </w:r>
      <w:r w:rsidR="00066E3E" w:rsidRPr="00A07BD3">
        <w:rPr>
          <w:u w:val="single"/>
        </w:rPr>
        <w:t xml:space="preserve"> </w:t>
      </w:r>
      <w:r w:rsidR="00A07BD3" w:rsidRPr="00A07BD3">
        <w:rPr>
          <w:u w:val="single"/>
        </w:rPr>
        <w:t>I</w:t>
      </w:r>
      <w:r w:rsidR="00066E3E" w:rsidRPr="00A07BD3">
        <w:rPr>
          <w:u w:val="single"/>
        </w:rPr>
        <w:t xml:space="preserve">nterim </w:t>
      </w:r>
      <w:r w:rsidR="00A07BD3" w:rsidRPr="00A07BD3">
        <w:rPr>
          <w:u w:val="single"/>
        </w:rPr>
        <w:t>R</w:t>
      </w:r>
      <w:r w:rsidR="00066E3E" w:rsidRPr="00A07BD3">
        <w:rPr>
          <w:u w:val="single"/>
        </w:rPr>
        <w:t xml:space="preserve">evenue </w:t>
      </w:r>
      <w:r w:rsidR="00A07BD3" w:rsidRPr="00A07BD3">
        <w:rPr>
          <w:u w:val="single"/>
        </w:rPr>
        <w:t>I</w:t>
      </w:r>
      <w:r w:rsidR="00066E3E" w:rsidRPr="00A07BD3">
        <w:rPr>
          <w:u w:val="single"/>
        </w:rPr>
        <w:t xml:space="preserve">ncrease </w:t>
      </w:r>
    </w:p>
    <w:p w:rsidR="00066E3E" w:rsidRPr="00066E3E" w:rsidRDefault="00066E3E" w:rsidP="00066E3E">
      <w:pPr>
        <w:spacing w:after="240"/>
        <w:ind w:firstLine="720"/>
        <w:jc w:val="both"/>
      </w:pPr>
      <w:r w:rsidRPr="00066E3E">
        <w:t> FCG requested a revised interim rate relief of $4,893,061 for the historical base period ended December 31, 2016. This would allow the Company an opportunity to earn an overall rate of return of 5.85 percent and the minimum of the range of return on equity of 10.25 percent.  After a determination of the permanent rate increase has been made, the interim rate increase will be reviewed to determine if any portion should be refunded to the ratepayers.</w:t>
      </w:r>
    </w:p>
    <w:p w:rsidR="00066E3E" w:rsidRPr="00066E3E" w:rsidRDefault="00066E3E" w:rsidP="00066E3E">
      <w:pPr>
        <w:spacing w:after="240"/>
        <w:ind w:firstLine="720"/>
        <w:jc w:val="both"/>
      </w:pPr>
      <w:r w:rsidRPr="00066E3E">
        <w:t>The calculation of the $4,893,061 of interim rate relief is shown below.</w:t>
      </w:r>
    </w:p>
    <w:p w:rsidR="00A07BD3" w:rsidRDefault="00A07BD3" w:rsidP="00066E3E">
      <w:pPr>
        <w:pStyle w:val="TableNumber"/>
        <w:keepNext/>
        <w:rPr>
          <w:rFonts w:ascii="Times New Roman" w:hAnsi="Times New Roman"/>
        </w:rPr>
      </w:pPr>
    </w:p>
    <w:p w:rsidR="00A07BD3" w:rsidRPr="00A07BD3" w:rsidRDefault="00A07BD3" w:rsidP="00A07BD3">
      <w:pPr>
        <w:pStyle w:val="BodyText"/>
      </w:pPr>
    </w:p>
    <w:p w:rsidR="00860965" w:rsidRDefault="00860965" w:rsidP="00066E3E">
      <w:pPr>
        <w:pStyle w:val="TableNumber"/>
        <w:keepNext/>
        <w:rPr>
          <w:rFonts w:ascii="Times New Roman" w:hAnsi="Times New Roman"/>
        </w:rPr>
      </w:pPr>
    </w:p>
    <w:p w:rsidR="00066E3E" w:rsidRPr="00066E3E" w:rsidRDefault="00066E3E" w:rsidP="00066E3E">
      <w:pPr>
        <w:pStyle w:val="TableNumber"/>
        <w:keepNext/>
        <w:rPr>
          <w:rFonts w:ascii="Times New Roman" w:hAnsi="Times New Roman"/>
        </w:rPr>
      </w:pPr>
      <w:r w:rsidRPr="00066E3E">
        <w:rPr>
          <w:rFonts w:ascii="Times New Roman" w:hAnsi="Times New Roman"/>
        </w:rPr>
        <w:t>Table 2</w:t>
      </w:r>
    </w:p>
    <w:p w:rsidR="00066E3E" w:rsidRPr="00066E3E" w:rsidRDefault="00066E3E" w:rsidP="00066E3E">
      <w:pPr>
        <w:pStyle w:val="TableTitle"/>
        <w:keepNext/>
        <w:rPr>
          <w:rFonts w:ascii="Times New Roman" w:hAnsi="Times New Roman"/>
        </w:rPr>
      </w:pPr>
      <w:r w:rsidRPr="00066E3E">
        <w:rPr>
          <w:rFonts w:ascii="Times New Roman" w:hAnsi="Times New Roman"/>
          <w:color w:val="000000"/>
        </w:rPr>
        <w:t>Florida City Gas - Interim Revenue Increase</w:t>
      </w:r>
    </w:p>
    <w:tbl>
      <w:tblPr>
        <w:tblW w:w="7794" w:type="dxa"/>
        <w:jc w:val="center"/>
        <w:tblInd w:w="93" w:type="dxa"/>
        <w:tblLook w:val="04A0" w:firstRow="1" w:lastRow="0" w:firstColumn="1" w:lastColumn="0" w:noHBand="0" w:noVBand="1"/>
      </w:tblPr>
      <w:tblGrid>
        <w:gridCol w:w="340"/>
        <w:gridCol w:w="4895"/>
        <w:gridCol w:w="276"/>
        <w:gridCol w:w="2007"/>
        <w:gridCol w:w="276"/>
      </w:tblGrid>
      <w:tr w:rsidR="00066E3E" w:rsidTr="00A07BD3">
        <w:trPr>
          <w:trHeight w:val="300"/>
          <w:jc w:val="center"/>
        </w:trPr>
        <w:tc>
          <w:tcPr>
            <w:tcW w:w="340" w:type="dxa"/>
            <w:tcBorders>
              <w:right w:val="nil"/>
            </w:tcBorders>
            <w:shd w:val="clear" w:color="auto" w:fill="auto"/>
            <w:noWrap/>
            <w:vAlign w:val="bottom"/>
          </w:tcPr>
          <w:p w:rsidR="00066E3E" w:rsidRDefault="00066E3E" w:rsidP="00F03892">
            <w:pPr>
              <w:rPr>
                <w:rFonts w:ascii="Calibri" w:hAnsi="Calibri"/>
                <w:color w:val="000000"/>
                <w:sz w:val="22"/>
                <w:szCs w:val="22"/>
              </w:rPr>
            </w:pPr>
          </w:p>
        </w:tc>
        <w:tc>
          <w:tcPr>
            <w:tcW w:w="7178" w:type="dxa"/>
            <w:gridSpan w:val="3"/>
            <w:tcBorders>
              <w:left w:val="nil"/>
              <w:right w:val="nil"/>
            </w:tcBorders>
            <w:shd w:val="clear" w:color="auto" w:fill="auto"/>
            <w:noWrap/>
            <w:vAlign w:val="bottom"/>
          </w:tcPr>
          <w:p w:rsidR="00066E3E" w:rsidRPr="00477E37" w:rsidRDefault="00066E3E" w:rsidP="00F03892">
            <w:pPr>
              <w:jc w:val="center"/>
              <w:rPr>
                <w:color w:val="000000"/>
              </w:rPr>
            </w:pPr>
          </w:p>
        </w:tc>
        <w:tc>
          <w:tcPr>
            <w:tcW w:w="276" w:type="dxa"/>
            <w:tcBorders>
              <w:left w:val="nil"/>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7178" w:type="dxa"/>
            <w:gridSpan w:val="3"/>
            <w:tcBorders>
              <w:top w:val="nil"/>
              <w:left w:val="nil"/>
              <w:bottom w:val="single" w:sz="4" w:space="0" w:color="auto"/>
              <w:right w:val="nil"/>
            </w:tcBorders>
            <w:shd w:val="clear" w:color="auto" w:fill="auto"/>
            <w:noWrap/>
            <w:vAlign w:val="bottom"/>
          </w:tcPr>
          <w:p w:rsidR="00066E3E" w:rsidRPr="00477E37" w:rsidRDefault="00066E3E" w:rsidP="00F03892">
            <w:pPr>
              <w:jc w:val="center"/>
              <w:rPr>
                <w:color w:val="000000"/>
              </w:rPr>
            </w:pPr>
          </w:p>
        </w:tc>
        <w:tc>
          <w:tcPr>
            <w:tcW w:w="276" w:type="dxa"/>
            <w:tcBorders>
              <w:top w:val="nil"/>
              <w:left w:val="nil"/>
              <w:bottom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single" w:sz="4" w:space="0" w:color="auto"/>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single" w:sz="4" w:space="0" w:color="auto"/>
              <w:left w:val="nil"/>
              <w:bottom w:val="nil"/>
              <w:right w:val="nil"/>
            </w:tcBorders>
            <w:shd w:val="clear" w:color="auto" w:fill="auto"/>
            <w:noWrap/>
            <w:vAlign w:val="bottom"/>
            <w:hideMark/>
          </w:tcPr>
          <w:p w:rsidR="00066E3E" w:rsidRPr="00477E37" w:rsidRDefault="00066E3E" w:rsidP="00F03892">
            <w:pPr>
              <w:rPr>
                <w:color w:val="000000"/>
                <w:u w:val="single"/>
              </w:rPr>
            </w:pPr>
            <w:r w:rsidRPr="00477E37">
              <w:rPr>
                <w:color w:val="000000"/>
                <w:u w:val="single"/>
              </w:rPr>
              <w:t>Description</w:t>
            </w:r>
          </w:p>
        </w:tc>
        <w:tc>
          <w:tcPr>
            <w:tcW w:w="276" w:type="dxa"/>
            <w:tcBorders>
              <w:top w:val="single" w:sz="4" w:space="0" w:color="auto"/>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 </w:t>
            </w:r>
          </w:p>
        </w:tc>
        <w:tc>
          <w:tcPr>
            <w:tcW w:w="2007" w:type="dxa"/>
            <w:tcBorders>
              <w:top w:val="single" w:sz="4" w:space="0" w:color="auto"/>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 </w:t>
            </w:r>
          </w:p>
        </w:tc>
        <w:tc>
          <w:tcPr>
            <w:tcW w:w="276" w:type="dxa"/>
            <w:tcBorders>
              <w:top w:val="single" w:sz="4" w:space="0" w:color="auto"/>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Jurisdictional Adjusted Rate Base</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 xml:space="preserve"> $      209,312,678 </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Overall Rate of Return Requested</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single" w:sz="4" w:space="0" w:color="auto"/>
              <w:right w:val="nil"/>
            </w:tcBorders>
            <w:shd w:val="clear" w:color="auto" w:fill="auto"/>
            <w:noWrap/>
            <w:vAlign w:val="bottom"/>
            <w:hideMark/>
          </w:tcPr>
          <w:p w:rsidR="00066E3E" w:rsidRPr="00477E37" w:rsidRDefault="00066E3E" w:rsidP="00F03892">
            <w:pPr>
              <w:jc w:val="right"/>
              <w:rPr>
                <w:color w:val="000000"/>
              </w:rPr>
            </w:pPr>
            <w:r>
              <w:rPr>
                <w:color w:val="000000"/>
              </w:rPr>
              <w:t>5.85</w:t>
            </w:r>
            <w:r w:rsidRPr="00477E37">
              <w:rPr>
                <w:color w:val="000000"/>
              </w:rPr>
              <w:t>%</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Jurisdictional Net Operating Income Requested</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 xml:space="preserve"> $        </w:t>
            </w:r>
            <w:r>
              <w:rPr>
                <w:color w:val="000000"/>
              </w:rPr>
              <w:t>12,244,792</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Jurisdictional Adjusted Net Operating Income</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single" w:sz="4" w:space="0" w:color="auto"/>
              <w:right w:val="nil"/>
            </w:tcBorders>
            <w:shd w:val="clear" w:color="auto" w:fill="auto"/>
            <w:noWrap/>
            <w:vAlign w:val="bottom"/>
            <w:hideMark/>
          </w:tcPr>
          <w:p w:rsidR="00066E3E" w:rsidRPr="00477E37" w:rsidRDefault="00066E3E" w:rsidP="00F03892">
            <w:pPr>
              <w:rPr>
                <w:color w:val="000000"/>
              </w:rPr>
            </w:pPr>
            <w:r w:rsidRPr="00477E37">
              <w:rPr>
                <w:color w:val="000000"/>
              </w:rPr>
              <w:t xml:space="preserve"> $          </w:t>
            </w:r>
            <w:r>
              <w:rPr>
                <w:color w:val="000000"/>
              </w:rPr>
              <w:t>9,221,584</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Revenue Deficiency</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 xml:space="preserve"> $          </w:t>
            </w:r>
            <w:r>
              <w:rPr>
                <w:color w:val="000000"/>
              </w:rPr>
              <w:t>3,023,208</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Net Operating Income Multiplier</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single" w:sz="4" w:space="0" w:color="auto"/>
              <w:right w:val="nil"/>
            </w:tcBorders>
            <w:shd w:val="clear" w:color="auto" w:fill="auto"/>
            <w:noWrap/>
            <w:vAlign w:val="bottom"/>
            <w:hideMark/>
          </w:tcPr>
          <w:p w:rsidR="00066E3E" w:rsidRPr="00477E37" w:rsidRDefault="00066E3E" w:rsidP="00F03892">
            <w:pPr>
              <w:ind w:right="23"/>
              <w:jc w:val="right"/>
              <w:rPr>
                <w:color w:val="000000"/>
              </w:rPr>
            </w:pPr>
            <w:r w:rsidRPr="00477E37">
              <w:rPr>
                <w:color w:val="000000"/>
              </w:rPr>
              <w:t>1.6185</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00"/>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15"/>
          <w:jc w:val="center"/>
        </w:trPr>
        <w:tc>
          <w:tcPr>
            <w:tcW w:w="34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r w:rsidRPr="00477E37">
              <w:rPr>
                <w:color w:val="000000"/>
              </w:rPr>
              <w:t>Interim Revenue Increase</w:t>
            </w:r>
          </w:p>
        </w:tc>
        <w:tc>
          <w:tcPr>
            <w:tcW w:w="276" w:type="dxa"/>
            <w:tcBorders>
              <w:top w:val="nil"/>
              <w:left w:val="nil"/>
              <w:bottom w:val="nil"/>
              <w:right w:val="nil"/>
            </w:tcBorders>
            <w:shd w:val="clear" w:color="auto" w:fill="auto"/>
            <w:noWrap/>
            <w:vAlign w:val="bottom"/>
            <w:hideMark/>
          </w:tcPr>
          <w:p w:rsidR="00066E3E" w:rsidRPr="00477E37" w:rsidRDefault="00066E3E" w:rsidP="00F03892">
            <w:pPr>
              <w:rPr>
                <w:color w:val="000000"/>
              </w:rPr>
            </w:pPr>
          </w:p>
        </w:tc>
        <w:tc>
          <w:tcPr>
            <w:tcW w:w="2007" w:type="dxa"/>
            <w:tcBorders>
              <w:top w:val="nil"/>
              <w:left w:val="nil"/>
              <w:bottom w:val="double" w:sz="6" w:space="0" w:color="auto"/>
              <w:right w:val="nil"/>
            </w:tcBorders>
            <w:shd w:val="clear" w:color="auto" w:fill="auto"/>
            <w:noWrap/>
            <w:vAlign w:val="bottom"/>
            <w:hideMark/>
          </w:tcPr>
          <w:p w:rsidR="00066E3E" w:rsidRPr="00477E37" w:rsidRDefault="00066E3E" w:rsidP="00F03892">
            <w:pPr>
              <w:rPr>
                <w:color w:val="000000"/>
              </w:rPr>
            </w:pPr>
            <w:r w:rsidRPr="00477E37">
              <w:rPr>
                <w:color w:val="000000"/>
              </w:rPr>
              <w:t xml:space="preserve"> $         </w:t>
            </w:r>
            <w:r>
              <w:rPr>
                <w:color w:val="000000"/>
              </w:rPr>
              <w:t>4,893,061</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r w:rsidR="00066E3E" w:rsidTr="00F03892">
        <w:trPr>
          <w:trHeight w:val="315"/>
          <w:jc w:val="center"/>
        </w:trPr>
        <w:tc>
          <w:tcPr>
            <w:tcW w:w="340" w:type="dxa"/>
            <w:tcBorders>
              <w:top w:val="nil"/>
              <w:left w:val="single" w:sz="4" w:space="0" w:color="auto"/>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single" w:sz="4" w:space="0" w:color="auto"/>
              <w:right w:val="nil"/>
            </w:tcBorders>
            <w:shd w:val="clear" w:color="auto" w:fill="auto"/>
            <w:noWrap/>
            <w:vAlign w:val="bottom"/>
            <w:hideMark/>
          </w:tcPr>
          <w:p w:rsidR="00066E3E" w:rsidRPr="00477E37" w:rsidRDefault="00066E3E" w:rsidP="00F03892">
            <w:pPr>
              <w:rPr>
                <w:color w:val="000000"/>
              </w:rPr>
            </w:pPr>
            <w:r w:rsidRPr="00477E37">
              <w:rPr>
                <w:color w:val="000000"/>
              </w:rPr>
              <w:t> </w:t>
            </w:r>
          </w:p>
        </w:tc>
        <w:tc>
          <w:tcPr>
            <w:tcW w:w="276" w:type="dxa"/>
            <w:tcBorders>
              <w:top w:val="nil"/>
              <w:left w:val="nil"/>
              <w:bottom w:val="single" w:sz="4" w:space="0" w:color="auto"/>
              <w:right w:val="nil"/>
            </w:tcBorders>
            <w:shd w:val="clear" w:color="auto" w:fill="auto"/>
            <w:noWrap/>
            <w:vAlign w:val="bottom"/>
            <w:hideMark/>
          </w:tcPr>
          <w:p w:rsidR="00066E3E" w:rsidRPr="00477E37" w:rsidRDefault="00066E3E" w:rsidP="00F03892">
            <w:pPr>
              <w:rPr>
                <w:color w:val="000000"/>
              </w:rPr>
            </w:pPr>
            <w:r w:rsidRPr="00477E37">
              <w:rPr>
                <w:color w:val="000000"/>
              </w:rPr>
              <w:t> </w:t>
            </w:r>
          </w:p>
        </w:tc>
        <w:tc>
          <w:tcPr>
            <w:tcW w:w="2007" w:type="dxa"/>
            <w:tcBorders>
              <w:top w:val="nil"/>
              <w:left w:val="nil"/>
              <w:bottom w:val="single" w:sz="4" w:space="0" w:color="auto"/>
              <w:right w:val="nil"/>
            </w:tcBorders>
            <w:shd w:val="clear" w:color="auto" w:fill="auto"/>
            <w:noWrap/>
            <w:vAlign w:val="bottom"/>
            <w:hideMark/>
          </w:tcPr>
          <w:p w:rsidR="00066E3E" w:rsidRPr="00477E37" w:rsidRDefault="00066E3E" w:rsidP="00F03892">
            <w:pPr>
              <w:rPr>
                <w:color w:val="000000"/>
              </w:rPr>
            </w:pPr>
            <w:r w:rsidRPr="00477E37">
              <w:rPr>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066E3E" w:rsidRPr="00477E37" w:rsidRDefault="00066E3E" w:rsidP="00F03892">
            <w:pPr>
              <w:rPr>
                <w:color w:val="000000"/>
              </w:rPr>
            </w:pPr>
            <w:r w:rsidRPr="00477E37">
              <w:rPr>
                <w:color w:val="000000"/>
              </w:rPr>
              <w:t> </w:t>
            </w:r>
          </w:p>
        </w:tc>
      </w:tr>
    </w:tbl>
    <w:p w:rsidR="00066E3E" w:rsidRDefault="00066E3E" w:rsidP="00066E3E">
      <w:pPr>
        <w:spacing w:after="240"/>
        <w:ind w:firstLine="720"/>
        <w:jc w:val="both"/>
      </w:pPr>
      <w:r>
        <w:tab/>
        <w:t>Source: Revised MFR Schedule F-7</w:t>
      </w:r>
    </w:p>
    <w:p w:rsidR="00A07BD3" w:rsidRDefault="00A07BD3" w:rsidP="00A07BD3">
      <w:pPr>
        <w:spacing w:after="240"/>
        <w:jc w:val="both"/>
      </w:pPr>
    </w:p>
    <w:p w:rsidR="00066E3E" w:rsidRPr="00A07BD3" w:rsidRDefault="00A07BD3" w:rsidP="00A07BD3">
      <w:pPr>
        <w:spacing w:after="240"/>
        <w:jc w:val="both"/>
        <w:rPr>
          <w:u w:val="single"/>
        </w:rPr>
      </w:pPr>
      <w:r w:rsidRPr="00A07BD3">
        <w:rPr>
          <w:u w:val="single"/>
        </w:rPr>
        <w:t>D</w:t>
      </w:r>
      <w:r w:rsidR="00066E3E" w:rsidRPr="00A07BD3">
        <w:rPr>
          <w:u w:val="single"/>
        </w:rPr>
        <w:t>istribut</w:t>
      </w:r>
      <w:r w:rsidRPr="00A07BD3">
        <w:rPr>
          <w:u w:val="single"/>
        </w:rPr>
        <w:t>ion of the Interim Rate Increase A</w:t>
      </w:r>
      <w:r w:rsidR="00066E3E" w:rsidRPr="00A07BD3">
        <w:rPr>
          <w:u w:val="single"/>
        </w:rPr>
        <w:t xml:space="preserve">mong the </w:t>
      </w:r>
      <w:r w:rsidRPr="00A07BD3">
        <w:rPr>
          <w:u w:val="single"/>
        </w:rPr>
        <w:t>R</w:t>
      </w:r>
      <w:r w:rsidR="00066E3E" w:rsidRPr="00A07BD3">
        <w:rPr>
          <w:u w:val="single"/>
        </w:rPr>
        <w:t xml:space="preserve">ate </w:t>
      </w:r>
      <w:r w:rsidRPr="00A07BD3">
        <w:rPr>
          <w:u w:val="single"/>
        </w:rPr>
        <w:t>C</w:t>
      </w:r>
      <w:r w:rsidR="00066E3E" w:rsidRPr="00A07BD3">
        <w:rPr>
          <w:u w:val="single"/>
        </w:rPr>
        <w:t>lasses</w:t>
      </w:r>
    </w:p>
    <w:p w:rsidR="00066E3E" w:rsidRPr="00066E3E" w:rsidRDefault="00066E3E" w:rsidP="00066E3E">
      <w:pPr>
        <w:spacing w:after="240"/>
        <w:ind w:firstLine="720"/>
        <w:jc w:val="both"/>
      </w:pPr>
      <w:r w:rsidRPr="00066E3E">
        <w:t xml:space="preserve">Attachment C </w:t>
      </w:r>
      <w:r w:rsidR="00BE5556">
        <w:t>provides</w:t>
      </w:r>
      <w:r w:rsidRPr="00066E3E">
        <w:t xml:space="preserve"> the allocation of the $4,893,061 interim increase and the resulting cents-per-therm increases to be applied to the rate classes. The increases were calculated using the methodology contained in Rule 25-7.040, </w:t>
      </w:r>
      <w:r w:rsidR="006E543F">
        <w:t>Florida Administrative Code</w:t>
      </w:r>
      <w:r w:rsidR="006E543F" w:rsidRPr="00066E3E">
        <w:t xml:space="preserve"> </w:t>
      </w:r>
      <w:r w:rsidR="006E543F">
        <w:t>(</w:t>
      </w:r>
      <w:r w:rsidRPr="00066E3E">
        <w:t>F.A.C.</w:t>
      </w:r>
      <w:r w:rsidR="006E543F">
        <w:t>)</w:t>
      </w:r>
      <w:r w:rsidRPr="00066E3E">
        <w:t xml:space="preserve">, which requires that any increase be applied evenly across the board to all rate classes based on their base rate revenues. Attachment D shows the resulting interim per therm distribution charges for all rate classes. </w:t>
      </w:r>
    </w:p>
    <w:p w:rsidR="00066E3E" w:rsidRPr="00066E3E" w:rsidRDefault="00066E3E" w:rsidP="00066E3E">
      <w:pPr>
        <w:spacing w:after="240"/>
        <w:ind w:firstLine="720"/>
        <w:jc w:val="both"/>
      </w:pPr>
      <w:r w:rsidRPr="00066E3E">
        <w:t>FCG included revenues from its approved safety, access, and facility enhancement program (SAFE) program to calculate the base rate revenues for each rate class. The SAFE program was approved in Order No. PSC-16-0517-TRF-GU as a surcharge.</w:t>
      </w:r>
      <w:r w:rsidRPr="00066E3E">
        <w:rPr>
          <w:vertAlign w:val="superscript"/>
        </w:rPr>
        <w:footnoteReference w:id="5"/>
      </w:r>
      <w:r w:rsidRPr="00066E3E">
        <w:t xml:space="preserve"> Rule 25-7.040, F.A.C., specifically states that revenues from the cost of gas should be excluded in the calculation of the interim increase for each rate class, but is silent on surcharges such as the </w:t>
      </w:r>
      <w:r w:rsidRPr="00066E3E">
        <w:lastRenderedPageBreak/>
        <w:t xml:space="preserve">SAFE surcharge. </w:t>
      </w:r>
      <w:r w:rsidR="00BE5556">
        <w:t>The i</w:t>
      </w:r>
      <w:r w:rsidRPr="00066E3E">
        <w:t>nclu</w:t>
      </w:r>
      <w:r w:rsidR="00BE5556">
        <w:t xml:space="preserve">sion </w:t>
      </w:r>
      <w:r w:rsidRPr="00066E3E">
        <w:t xml:space="preserve">or </w:t>
      </w:r>
      <w:r w:rsidR="00BE5556">
        <w:t>absence of</w:t>
      </w:r>
      <w:r w:rsidRPr="00066E3E">
        <w:t xml:space="preserve"> the SAFE revenues do not affected the total interim increase</w:t>
      </w:r>
      <w:r w:rsidR="0041157F">
        <w:t>;</w:t>
      </w:r>
      <w:r w:rsidRPr="00066E3E">
        <w:t xml:space="preserve"> however, it </w:t>
      </w:r>
      <w:r w:rsidR="00BE5556">
        <w:t xml:space="preserve">does </w:t>
      </w:r>
      <w:r w:rsidRPr="00066E3E">
        <w:t>ha</w:t>
      </w:r>
      <w:r w:rsidR="00BE5556">
        <w:t>ve</w:t>
      </w:r>
      <w:r w:rsidRPr="00066E3E">
        <w:t xml:space="preserve"> a minimal impact on the dollar increase and resulting interim rates for each rate class. Since FCG proposed to move the current investment in the SAFE program into rate base, </w:t>
      </w:r>
      <w:r w:rsidR="00BE5556">
        <w:t xml:space="preserve">we find </w:t>
      </w:r>
      <w:r w:rsidRPr="00066E3E">
        <w:t>that including the SAFE revenues in the interim calculation is appropriate in this instance.</w:t>
      </w:r>
    </w:p>
    <w:p w:rsidR="001C298B" w:rsidRPr="00066E3E" w:rsidRDefault="001C298B" w:rsidP="001C298B">
      <w:pPr>
        <w:spacing w:after="240"/>
        <w:ind w:firstLine="720"/>
        <w:jc w:val="both"/>
      </w:pPr>
      <w:r w:rsidRPr="00066E3E">
        <w:t>Any interim revenue increase authorized sh</w:t>
      </w:r>
      <w:r>
        <w:t>all</w:t>
      </w:r>
      <w:r w:rsidRPr="00066E3E">
        <w:t xml:space="preserve"> be applied evenly across the board to all rate classes based on their base rate revenues, as required by Rule 25-7.040, F.A.C., and sh</w:t>
      </w:r>
      <w:r>
        <w:t>all</w:t>
      </w:r>
      <w:r w:rsidRPr="00066E3E">
        <w:t xml:space="preserve"> be collected on a cents-per-therm basis. The interim rates sh</w:t>
      </w:r>
      <w:r>
        <w:t>all</w:t>
      </w:r>
      <w:r w:rsidRPr="00066E3E">
        <w:t xml:space="preserve"> be made effective for all meter readings made on or after thirty days from the date of th</w:t>
      </w:r>
      <w:r w:rsidR="0033050A">
        <w:t>is</w:t>
      </w:r>
      <w:r w:rsidRPr="00066E3E">
        <w:t xml:space="preserve"> Commission</w:t>
      </w:r>
      <w:r w:rsidR="0033050A">
        <w:t>’s</w:t>
      </w:r>
      <w:r w:rsidRPr="00066E3E">
        <w:t xml:space="preserve"> vote and decision herein. The Company s</w:t>
      </w:r>
      <w:r>
        <w:t>hall</w:t>
      </w:r>
      <w:r w:rsidRPr="00066E3E">
        <w:t xml:space="preserve"> provide pursuant to Rule 25-22.0406(8), F.A.C., notice to customers of the revised rates with the first bill containing the new rates. The Company sh</w:t>
      </w:r>
      <w:r>
        <w:t>all</w:t>
      </w:r>
      <w:r w:rsidRPr="00066E3E">
        <w:t xml:space="preserve"> file tariff sheets reflecting the Commission</w:t>
      </w:r>
      <w:r w:rsidR="0041157F">
        <w:t>-</w:t>
      </w:r>
      <w:r w:rsidRPr="00066E3E">
        <w:t xml:space="preserve">approved interim rates. </w:t>
      </w:r>
    </w:p>
    <w:p w:rsidR="00066E3E" w:rsidRPr="001C298B" w:rsidRDefault="001C298B" w:rsidP="001C298B">
      <w:pPr>
        <w:spacing w:after="240"/>
        <w:jc w:val="both"/>
        <w:rPr>
          <w:u w:val="single"/>
        </w:rPr>
      </w:pPr>
      <w:r w:rsidRPr="001C298B">
        <w:rPr>
          <w:u w:val="single"/>
        </w:rPr>
        <w:t>A</w:t>
      </w:r>
      <w:r w:rsidR="00066E3E" w:rsidRPr="001C298B">
        <w:rPr>
          <w:u w:val="single"/>
        </w:rPr>
        <w:t xml:space="preserve">ppropriate </w:t>
      </w:r>
      <w:r w:rsidRPr="001C298B">
        <w:rPr>
          <w:u w:val="single"/>
        </w:rPr>
        <w:t>S</w:t>
      </w:r>
      <w:r w:rsidR="00066E3E" w:rsidRPr="001C298B">
        <w:rPr>
          <w:u w:val="single"/>
        </w:rPr>
        <w:t xml:space="preserve">ecurity to </w:t>
      </w:r>
      <w:r w:rsidRPr="001C298B">
        <w:rPr>
          <w:u w:val="single"/>
        </w:rPr>
        <w:t>G</w:t>
      </w:r>
      <w:r w:rsidR="00066E3E" w:rsidRPr="001C298B">
        <w:rPr>
          <w:u w:val="single"/>
        </w:rPr>
        <w:t xml:space="preserve">uarantee the </w:t>
      </w:r>
      <w:r w:rsidRPr="001C298B">
        <w:rPr>
          <w:u w:val="single"/>
        </w:rPr>
        <w:t>A</w:t>
      </w:r>
      <w:r w:rsidR="00066E3E" w:rsidRPr="001C298B">
        <w:rPr>
          <w:u w:val="single"/>
        </w:rPr>
        <w:t xml:space="preserve">mount </w:t>
      </w:r>
      <w:r w:rsidRPr="001C298B">
        <w:rPr>
          <w:u w:val="single"/>
        </w:rPr>
        <w:t>S</w:t>
      </w:r>
      <w:r w:rsidR="00066E3E" w:rsidRPr="001C298B">
        <w:rPr>
          <w:u w:val="single"/>
        </w:rPr>
        <w:t xml:space="preserve">ubject to </w:t>
      </w:r>
      <w:r w:rsidRPr="001C298B">
        <w:rPr>
          <w:u w:val="single"/>
        </w:rPr>
        <w:t>R</w:t>
      </w:r>
      <w:r w:rsidR="00066E3E" w:rsidRPr="001C298B">
        <w:rPr>
          <w:u w:val="single"/>
        </w:rPr>
        <w:t>efund</w:t>
      </w:r>
    </w:p>
    <w:p w:rsidR="00066E3E" w:rsidRPr="00066E3E" w:rsidRDefault="00066E3E" w:rsidP="001C298B">
      <w:pPr>
        <w:spacing w:after="240"/>
        <w:ind w:firstLine="720"/>
        <w:jc w:val="both"/>
      </w:pPr>
      <w:r w:rsidRPr="00066E3E">
        <w:t xml:space="preserve">FCG has requested that all funds collected subject to refund be secured by a corporate undertaking. The criteria for a corporate undertaking include sufficient liquidity, ownership equity, profitability, and interest coverage to guarantee any potential refund. </w:t>
      </w:r>
      <w:r w:rsidR="001C298B">
        <w:t>We</w:t>
      </w:r>
      <w:r w:rsidRPr="00066E3E">
        <w:t xml:space="preserve"> reviewed FCG’s 2014, 2015 and 2016 financial statements filed with the Company’s Application for Authority to Issue Debt Security in 2016 and 2017 filed with th</w:t>
      </w:r>
      <w:r w:rsidR="0033050A">
        <w:t>is</w:t>
      </w:r>
      <w:r w:rsidRPr="00066E3E">
        <w:t xml:space="preserve"> Commission to determine if FCG can support a corporate undertaking for its potential refund obligation. Based on an estimated six-month collection period of interim rates for FCG, </w:t>
      </w:r>
      <w:r w:rsidR="001C298B">
        <w:t>we</w:t>
      </w:r>
      <w:r w:rsidRPr="00066E3E">
        <w:t xml:space="preserve"> ha</w:t>
      </w:r>
      <w:r w:rsidR="001C298B">
        <w:t>ve</w:t>
      </w:r>
      <w:r w:rsidRPr="00066E3E">
        <w:t xml:space="preserve"> determined the maximum amount of revenues that may need to be protected is $2,452,256. </w:t>
      </w:r>
      <w:r w:rsidR="001C298B">
        <w:t xml:space="preserve">Our </w:t>
      </w:r>
      <w:r w:rsidRPr="00066E3E">
        <w:t xml:space="preserve">analysis shows FCG has negative working capital and an unfavorable current ratio. However, FCG’s ownership equity, profitability (net income), and interest coverage are sufficient to guarantee any potential refund of the requested interim revenue increase. For all three years, FCG’s working capital has been negative and the current ratio has been less than one. However, FCG’s equity ratio was 48 percent in 2014 and 2015, and 49 percent in 2016, indicating adequate equity ownership. The Company’s interest coverage ratio has declined from 7.83 in 2014 to 4.53 in 2016, indicating that its earnings before interest and tax expense is currently 4.5 times greater than its interest expense. FCG’s net income has been on average fourteen times greater than the requested corporate undertaking amount, indicating good profitability. In addition, FCG participates in Southern Company Gas’s Utility Money Pool and is authorized by </w:t>
      </w:r>
      <w:r w:rsidR="0033050A">
        <w:t>us</w:t>
      </w:r>
      <w:r w:rsidRPr="00066E3E">
        <w:t xml:space="preserve"> to make short-term borrowings not to exceed $250 million.</w:t>
      </w:r>
    </w:p>
    <w:p w:rsidR="00066E3E" w:rsidRDefault="005D1E5F" w:rsidP="00066E3E">
      <w:pPr>
        <w:spacing w:after="240"/>
        <w:ind w:firstLine="720"/>
        <w:jc w:val="both"/>
      </w:pPr>
      <w:r>
        <w:t xml:space="preserve">Our analysis supports our finding that </w:t>
      </w:r>
      <w:r w:rsidR="00066E3E" w:rsidRPr="00066E3E">
        <w:t xml:space="preserve">FCG has adequate financial resources to support a corporate undertaking in the amount requested. Based on this analysis, </w:t>
      </w:r>
      <w:r>
        <w:t>we find</w:t>
      </w:r>
      <w:r w:rsidR="00066E3E" w:rsidRPr="00066E3E">
        <w:t xml:space="preserve"> that a corporate undertaking in the amount of $2,452,256 is acceptable. The preferred limit of the corporate undertaking amount is $8,751,917. This brief financial analysis is only appropriate for deciding if the Company can support a corporate undertaking in the amount requested and sh</w:t>
      </w:r>
      <w:r w:rsidR="0041157F">
        <w:t>all</w:t>
      </w:r>
      <w:r w:rsidR="00066E3E" w:rsidRPr="00066E3E">
        <w:t xml:space="preserve"> not be considered a finding regarding other issues in this proceeding.</w:t>
      </w:r>
    </w:p>
    <w:p w:rsidR="00066E3E" w:rsidRDefault="00066E3E" w:rsidP="00066E3E">
      <w:pPr>
        <w:pStyle w:val="OrderBody"/>
      </w:pPr>
      <w:r>
        <w:tab/>
        <w:t>Based on the foregoing, it is</w:t>
      </w:r>
    </w:p>
    <w:p w:rsidR="00066E3E" w:rsidRDefault="00066E3E" w:rsidP="00066E3E">
      <w:pPr>
        <w:pStyle w:val="OrderBody"/>
      </w:pPr>
    </w:p>
    <w:p w:rsidR="000F4801" w:rsidRDefault="00066E3E" w:rsidP="000F4801">
      <w:pPr>
        <w:pStyle w:val="OrderBody"/>
      </w:pPr>
      <w:r>
        <w:lastRenderedPageBreak/>
        <w:tab/>
      </w:r>
      <w:r w:rsidR="000F4801">
        <w:t>ORDERED by the Florida Public Service Commission that</w:t>
      </w:r>
      <w:r w:rsidR="007168AD" w:rsidRPr="007168AD">
        <w:t xml:space="preserve"> </w:t>
      </w:r>
      <w:r w:rsidR="007168AD" w:rsidRPr="00066E3E">
        <w:t>Florida City Gas</w:t>
      </w:r>
      <w:r w:rsidR="000F4801">
        <w:t>’s proposed final rates are hereby suspended. It is further</w:t>
      </w:r>
    </w:p>
    <w:p w:rsidR="000F4801" w:rsidRDefault="000F4801" w:rsidP="000F4801">
      <w:pPr>
        <w:pStyle w:val="OrderBody"/>
      </w:pPr>
    </w:p>
    <w:p w:rsidR="000F4801" w:rsidRDefault="000F4801" w:rsidP="000F4801">
      <w:pPr>
        <w:pStyle w:val="OrderBody"/>
      </w:pPr>
      <w:r>
        <w:tab/>
        <w:t xml:space="preserve">ORDERED that </w:t>
      </w:r>
      <w:r w:rsidR="007168AD" w:rsidRPr="00066E3E">
        <w:t>Florida City Gas</w:t>
      </w:r>
      <w:r w:rsidR="007168AD">
        <w:t>’s</w:t>
      </w:r>
      <w:r>
        <w:t xml:space="preserve"> requested interim revenue requirement and rate increase</w:t>
      </w:r>
      <w:r w:rsidR="00FD05C9">
        <w:t>s</w:t>
      </w:r>
      <w:r>
        <w:t xml:space="preserve"> are hereby approved as set forth in the body of this order. It is further</w:t>
      </w:r>
    </w:p>
    <w:p w:rsidR="000F4801" w:rsidRDefault="000F4801" w:rsidP="000F4801">
      <w:pPr>
        <w:pStyle w:val="OrderBody"/>
      </w:pPr>
    </w:p>
    <w:p w:rsidR="000F4801" w:rsidRDefault="000F4801" w:rsidP="000F4801">
      <w:pPr>
        <w:pStyle w:val="OrderBody"/>
      </w:pPr>
      <w:r>
        <w:tab/>
        <w:t xml:space="preserve">ORDERED that the </w:t>
      </w:r>
      <w:r w:rsidR="007168AD" w:rsidRPr="00066E3E">
        <w:t>all funds collected subject to refund be secured by a corporate undertaking</w:t>
      </w:r>
      <w:r w:rsidR="007168AD">
        <w:t xml:space="preserve"> by </w:t>
      </w:r>
      <w:r w:rsidRPr="00E25B79">
        <w:t xml:space="preserve"> </w:t>
      </w:r>
      <w:r w:rsidR="007168AD" w:rsidRPr="00066E3E">
        <w:t>Florida City Gas</w:t>
      </w:r>
      <w:r>
        <w:t xml:space="preserve"> to guarantee any potential refund of revenues collected under interim conditions as set forth herein. It is further </w:t>
      </w:r>
    </w:p>
    <w:p w:rsidR="000F4801" w:rsidRDefault="000F4801" w:rsidP="000F4801">
      <w:pPr>
        <w:pStyle w:val="OrderBody"/>
      </w:pPr>
    </w:p>
    <w:p w:rsidR="000F4801" w:rsidRDefault="000F4801" w:rsidP="000F4801">
      <w:pPr>
        <w:pStyle w:val="OrderBody"/>
      </w:pPr>
      <w:r>
        <w:tab/>
        <w:t xml:space="preserve">ORDERED that </w:t>
      </w:r>
      <w:r w:rsidR="007168AD">
        <w:t>a</w:t>
      </w:r>
      <w:r w:rsidR="007168AD" w:rsidRPr="00066E3E">
        <w:t>ny interim revenue increase authorized sh</w:t>
      </w:r>
      <w:r w:rsidR="007168AD">
        <w:t>all</w:t>
      </w:r>
      <w:r w:rsidR="007168AD" w:rsidRPr="00066E3E">
        <w:t xml:space="preserve"> be applied evenly across the board to all rate classes based on their base rate revenues, and sh</w:t>
      </w:r>
      <w:r w:rsidR="007168AD">
        <w:t>all</w:t>
      </w:r>
      <w:r w:rsidR="007168AD" w:rsidRPr="00066E3E">
        <w:t xml:space="preserve"> be collected on a cents-per-therm basis.</w:t>
      </w:r>
      <w:r w:rsidR="007168AD">
        <w:t xml:space="preserve"> It is further</w:t>
      </w:r>
    </w:p>
    <w:p w:rsidR="007168AD" w:rsidRDefault="007168AD" w:rsidP="000F4801">
      <w:pPr>
        <w:pStyle w:val="OrderBody"/>
      </w:pPr>
    </w:p>
    <w:p w:rsidR="007168AD" w:rsidRDefault="007168AD" w:rsidP="000F4801">
      <w:pPr>
        <w:pStyle w:val="OrderBody"/>
      </w:pPr>
      <w:r>
        <w:tab/>
        <w:t xml:space="preserve">ORDERED that </w:t>
      </w:r>
      <w:r w:rsidRPr="00066E3E">
        <w:t>interim rates sh</w:t>
      </w:r>
      <w:r>
        <w:t>all</w:t>
      </w:r>
      <w:r w:rsidRPr="00066E3E">
        <w:t xml:space="preserve"> be made effective for all meter readings made on or after thirty days from </w:t>
      </w:r>
      <w:r w:rsidR="00DC35F3" w:rsidRPr="00066E3E">
        <w:t>the date of th</w:t>
      </w:r>
      <w:r w:rsidR="00DC35F3">
        <w:t>is</w:t>
      </w:r>
      <w:r w:rsidR="00DC35F3" w:rsidRPr="00066E3E">
        <w:t xml:space="preserve"> Commission</w:t>
      </w:r>
      <w:r w:rsidR="00DC35F3">
        <w:t>’s</w:t>
      </w:r>
      <w:r w:rsidR="00DC35F3" w:rsidRPr="00066E3E">
        <w:t xml:space="preserve"> vote</w:t>
      </w:r>
      <w:r w:rsidR="00DC35F3">
        <w:t xml:space="preserve">, </w:t>
      </w:r>
      <w:r w:rsidR="0041157F">
        <w:t>December 12, 2017</w:t>
      </w:r>
      <w:r w:rsidRPr="00066E3E">
        <w:t>.</w:t>
      </w:r>
      <w:r w:rsidR="00DC35F3">
        <w:t xml:space="preserve"> It is further</w:t>
      </w:r>
    </w:p>
    <w:p w:rsidR="007168AD" w:rsidRDefault="007168AD" w:rsidP="000F4801">
      <w:pPr>
        <w:pStyle w:val="OrderBody"/>
      </w:pPr>
    </w:p>
    <w:p w:rsidR="004D6167" w:rsidRDefault="000F4801" w:rsidP="000F4801">
      <w:pPr>
        <w:pStyle w:val="OrderBody"/>
      </w:pPr>
      <w:r>
        <w:tab/>
      </w:r>
      <w:r w:rsidR="004D6167">
        <w:t>ORDERED</w:t>
      </w:r>
      <w:r w:rsidR="004D6167" w:rsidRPr="00066E3E">
        <w:t xml:space="preserve"> </w:t>
      </w:r>
      <w:r w:rsidR="004D6167">
        <w:t>that t</w:t>
      </w:r>
      <w:r w:rsidR="004D6167" w:rsidRPr="00066E3E">
        <w:t>he Company s</w:t>
      </w:r>
      <w:r w:rsidR="004D6167">
        <w:t>hall</w:t>
      </w:r>
      <w:r w:rsidR="004D6167" w:rsidRPr="00066E3E">
        <w:t xml:space="preserve"> notice to customers of the revised rates with the first bill containing the new rates.</w:t>
      </w:r>
      <w:r w:rsidR="00DC35F3">
        <w:t xml:space="preserve"> It is further</w:t>
      </w:r>
    </w:p>
    <w:p w:rsidR="004D6167" w:rsidRDefault="004D6167" w:rsidP="000F4801">
      <w:pPr>
        <w:pStyle w:val="OrderBody"/>
      </w:pPr>
    </w:p>
    <w:p w:rsidR="000F4801" w:rsidRDefault="000F4801" w:rsidP="004D6167">
      <w:pPr>
        <w:pStyle w:val="OrderBody"/>
        <w:ind w:firstLine="720"/>
      </w:pPr>
      <w:r>
        <w:t>ORDERED that t</w:t>
      </w:r>
      <w:r w:rsidRPr="00D572FD">
        <w:t xml:space="preserve">he </w:t>
      </w:r>
      <w:r>
        <w:t>U</w:t>
      </w:r>
      <w:r w:rsidRPr="00D572FD">
        <w:t>tility shall file revised tariff sheets and a propose</w:t>
      </w:r>
      <w:r>
        <w:t>d customer notice to reflect this</w:t>
      </w:r>
      <w:r w:rsidRPr="00D572FD">
        <w:t xml:space="preserve"> Commission</w:t>
      </w:r>
      <w:r>
        <w:t xml:space="preserve">’s </w:t>
      </w:r>
      <w:r w:rsidRPr="00D572FD">
        <w:t xml:space="preserve">approved rates. </w:t>
      </w:r>
      <w:r>
        <w:t>It is further</w:t>
      </w:r>
    </w:p>
    <w:p w:rsidR="000F4801" w:rsidRDefault="000F4801" w:rsidP="000F4801">
      <w:pPr>
        <w:pStyle w:val="OrderBody"/>
      </w:pPr>
    </w:p>
    <w:p w:rsidR="000F4801" w:rsidRDefault="000F4801" w:rsidP="000F4801">
      <w:pPr>
        <w:pStyle w:val="OrderBody"/>
        <w:ind w:firstLine="720"/>
      </w:pPr>
      <w:r>
        <w:t>ORDERED that this docket shall remain open pending this Commission’s final action on</w:t>
      </w:r>
      <w:r w:rsidR="003C3DD4">
        <w:t xml:space="preserve"> Florida City Gas’s</w:t>
      </w:r>
      <w:r>
        <w:t xml:space="preserve"> requested final rates.</w:t>
      </w:r>
    </w:p>
    <w:p w:rsidR="00066E3E" w:rsidRDefault="00066E3E" w:rsidP="00066E3E">
      <w:pPr>
        <w:pStyle w:val="OrderBody"/>
      </w:pPr>
    </w:p>
    <w:p w:rsidR="00066E3E" w:rsidRDefault="00066E3E" w:rsidP="00066E3E">
      <w:pPr>
        <w:pStyle w:val="OrderBody"/>
        <w:keepNext/>
        <w:keepLines/>
      </w:pPr>
      <w:r>
        <w:lastRenderedPageBreak/>
        <w:tab/>
        <w:t xml:space="preserve">By ORDER of the Florida Public Service Commission this </w:t>
      </w:r>
      <w:bookmarkStart w:id="7" w:name="replaceDate"/>
      <w:bookmarkEnd w:id="7"/>
      <w:r w:rsidR="00AC47BD">
        <w:rPr>
          <w:u w:val="single"/>
        </w:rPr>
        <w:t>4th</w:t>
      </w:r>
      <w:r w:rsidR="00AC47BD">
        <w:t xml:space="preserve"> day of </w:t>
      </w:r>
      <w:r w:rsidR="00AC47BD">
        <w:rPr>
          <w:u w:val="single"/>
        </w:rPr>
        <w:t>January</w:t>
      </w:r>
      <w:r w:rsidR="00AC47BD">
        <w:t xml:space="preserve">, </w:t>
      </w:r>
      <w:r w:rsidR="00AC47BD">
        <w:rPr>
          <w:u w:val="single"/>
        </w:rPr>
        <w:t>2018</w:t>
      </w:r>
      <w:r w:rsidR="00AC47BD">
        <w:t>.</w:t>
      </w:r>
    </w:p>
    <w:p w:rsidR="00AC47BD" w:rsidRPr="00AC47BD" w:rsidRDefault="00AC47BD" w:rsidP="00066E3E">
      <w:pPr>
        <w:pStyle w:val="OrderBody"/>
        <w:keepNext/>
        <w:keepLines/>
      </w:pPr>
    </w:p>
    <w:p w:rsidR="00066E3E" w:rsidRDefault="00066E3E" w:rsidP="00066E3E">
      <w:pPr>
        <w:pStyle w:val="OrderBody"/>
        <w:keepNext/>
        <w:keepLines/>
      </w:pPr>
    </w:p>
    <w:p w:rsidR="00066E3E" w:rsidRDefault="00066E3E" w:rsidP="00066E3E">
      <w:pPr>
        <w:pStyle w:val="OrderBody"/>
        <w:keepNext/>
        <w:keepLines/>
      </w:pPr>
    </w:p>
    <w:p w:rsidR="00066E3E" w:rsidRDefault="00066E3E" w:rsidP="00066E3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6E3E" w:rsidTr="00066E3E">
        <w:tc>
          <w:tcPr>
            <w:tcW w:w="720" w:type="dxa"/>
            <w:shd w:val="clear" w:color="auto" w:fill="auto"/>
          </w:tcPr>
          <w:p w:rsidR="00066E3E" w:rsidRDefault="00066E3E" w:rsidP="00066E3E">
            <w:pPr>
              <w:pStyle w:val="OrderBody"/>
              <w:keepNext/>
              <w:keepLines/>
            </w:pPr>
            <w:bookmarkStart w:id="8" w:name="bkmrkSignature" w:colFirst="0" w:colLast="0"/>
          </w:p>
        </w:tc>
        <w:tc>
          <w:tcPr>
            <w:tcW w:w="4320" w:type="dxa"/>
            <w:tcBorders>
              <w:bottom w:val="single" w:sz="4" w:space="0" w:color="auto"/>
            </w:tcBorders>
            <w:shd w:val="clear" w:color="auto" w:fill="auto"/>
          </w:tcPr>
          <w:p w:rsidR="00066E3E" w:rsidRDefault="009F2A4B" w:rsidP="00066E3E">
            <w:pPr>
              <w:pStyle w:val="OrderBody"/>
              <w:keepNext/>
              <w:keepLines/>
            </w:pPr>
            <w:r>
              <w:t>/s/ Carlotta S. Stauffer</w:t>
            </w:r>
          </w:p>
        </w:tc>
      </w:tr>
      <w:bookmarkEnd w:id="8"/>
      <w:tr w:rsidR="00066E3E" w:rsidTr="00066E3E">
        <w:tc>
          <w:tcPr>
            <w:tcW w:w="720" w:type="dxa"/>
            <w:shd w:val="clear" w:color="auto" w:fill="auto"/>
          </w:tcPr>
          <w:p w:rsidR="00066E3E" w:rsidRDefault="00066E3E" w:rsidP="00066E3E">
            <w:pPr>
              <w:pStyle w:val="OrderBody"/>
              <w:keepNext/>
              <w:keepLines/>
            </w:pPr>
          </w:p>
        </w:tc>
        <w:tc>
          <w:tcPr>
            <w:tcW w:w="4320" w:type="dxa"/>
            <w:tcBorders>
              <w:top w:val="single" w:sz="4" w:space="0" w:color="auto"/>
            </w:tcBorders>
            <w:shd w:val="clear" w:color="auto" w:fill="auto"/>
          </w:tcPr>
          <w:p w:rsidR="00066E3E" w:rsidRDefault="00066E3E" w:rsidP="00066E3E">
            <w:pPr>
              <w:pStyle w:val="OrderBody"/>
              <w:keepNext/>
              <w:keepLines/>
            </w:pPr>
            <w:r>
              <w:t>CARLOTTA S. STAUFFER</w:t>
            </w:r>
          </w:p>
          <w:p w:rsidR="00066E3E" w:rsidRDefault="00066E3E" w:rsidP="00066E3E">
            <w:pPr>
              <w:pStyle w:val="OrderBody"/>
              <w:keepNext/>
              <w:keepLines/>
            </w:pPr>
            <w:r>
              <w:t>Commission Clerk</w:t>
            </w:r>
          </w:p>
        </w:tc>
      </w:tr>
    </w:tbl>
    <w:p w:rsidR="00066E3E" w:rsidRDefault="00066E3E" w:rsidP="00066E3E">
      <w:pPr>
        <w:pStyle w:val="OrderSigInfo"/>
        <w:keepNext/>
        <w:keepLines/>
      </w:pPr>
      <w:r>
        <w:t>Florida Public Service Commission</w:t>
      </w:r>
    </w:p>
    <w:p w:rsidR="00066E3E" w:rsidRDefault="00066E3E" w:rsidP="00066E3E">
      <w:pPr>
        <w:pStyle w:val="OrderSigInfo"/>
        <w:keepNext/>
        <w:keepLines/>
      </w:pPr>
      <w:r>
        <w:t>2540 Shumard Oak Boulevard</w:t>
      </w:r>
    </w:p>
    <w:p w:rsidR="00066E3E" w:rsidRDefault="00066E3E" w:rsidP="00066E3E">
      <w:pPr>
        <w:pStyle w:val="OrderSigInfo"/>
        <w:keepNext/>
        <w:keepLines/>
      </w:pPr>
      <w:r>
        <w:t>Tallahassee, Florida  32399</w:t>
      </w:r>
    </w:p>
    <w:p w:rsidR="00066E3E" w:rsidRDefault="00066E3E" w:rsidP="00066E3E">
      <w:pPr>
        <w:pStyle w:val="OrderSigInfo"/>
        <w:keepNext/>
        <w:keepLines/>
      </w:pPr>
      <w:r>
        <w:t>(850) 413</w:t>
      </w:r>
      <w:r>
        <w:noBreakHyphen/>
        <w:t>6770</w:t>
      </w:r>
    </w:p>
    <w:p w:rsidR="00066E3E" w:rsidRDefault="00066E3E" w:rsidP="00066E3E">
      <w:pPr>
        <w:pStyle w:val="OrderSigInfo"/>
        <w:keepNext/>
        <w:keepLines/>
      </w:pPr>
      <w:r>
        <w:t>www.floridapsc.com</w:t>
      </w:r>
    </w:p>
    <w:p w:rsidR="00066E3E" w:rsidRDefault="00066E3E" w:rsidP="00066E3E">
      <w:pPr>
        <w:pStyle w:val="OrderSigInfo"/>
        <w:keepNext/>
        <w:keepLines/>
      </w:pPr>
    </w:p>
    <w:p w:rsidR="00066E3E" w:rsidRDefault="00066E3E" w:rsidP="00066E3E">
      <w:pPr>
        <w:pStyle w:val="OrderSigInfo"/>
        <w:keepNext/>
        <w:keepLines/>
      </w:pPr>
      <w:r>
        <w:t>Copies furnished:  A copy of this document is provided to the parties of record at the time of issuance and, if applicable, interested persons.</w:t>
      </w:r>
    </w:p>
    <w:p w:rsidR="00066E3E" w:rsidRDefault="00066E3E" w:rsidP="00066E3E">
      <w:pPr>
        <w:pStyle w:val="OrderBody"/>
        <w:keepNext/>
        <w:keepLines/>
      </w:pPr>
    </w:p>
    <w:p w:rsidR="00066E3E" w:rsidRDefault="00066E3E" w:rsidP="00066E3E">
      <w:pPr>
        <w:pStyle w:val="OrderBody"/>
        <w:keepNext/>
        <w:keepLines/>
      </w:pPr>
      <w:r>
        <w:t>WLT</w:t>
      </w:r>
    </w:p>
    <w:p w:rsidR="00066E3E" w:rsidRDefault="00066E3E" w:rsidP="00066E3E">
      <w:pPr>
        <w:pStyle w:val="OrderBody"/>
      </w:pPr>
    </w:p>
    <w:p w:rsidR="004E568B" w:rsidRDefault="004E568B" w:rsidP="00066E3E">
      <w:pPr>
        <w:pStyle w:val="OrderBody"/>
      </w:pPr>
    </w:p>
    <w:p w:rsidR="00066E3E" w:rsidRDefault="00066E3E" w:rsidP="00066E3E">
      <w:pPr>
        <w:pStyle w:val="CenterUnderline"/>
      </w:pPr>
      <w:r>
        <w:t>NOTICE OF FURTHER PROCEEDINGS OR JUDICIAL REVIEW</w:t>
      </w:r>
    </w:p>
    <w:p w:rsidR="00066E3E" w:rsidRDefault="00066E3E" w:rsidP="00066E3E">
      <w:pPr>
        <w:pStyle w:val="OrderBody"/>
      </w:pPr>
    </w:p>
    <w:p w:rsidR="00066E3E" w:rsidRDefault="00066E3E" w:rsidP="00066E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6E3E" w:rsidRDefault="00066E3E" w:rsidP="00066E3E">
      <w:pPr>
        <w:pStyle w:val="OrderBody"/>
      </w:pPr>
    </w:p>
    <w:p w:rsidR="00066E3E" w:rsidRDefault="00066E3E" w:rsidP="00066E3E">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066E3E" w:rsidRDefault="00066E3E" w:rsidP="00066E3E">
      <w:pPr>
        <w:pStyle w:val="OrderBody"/>
      </w:pPr>
    </w:p>
    <w:p w:rsidR="00DB590F" w:rsidRPr="00B073CF" w:rsidRDefault="00DB590F" w:rsidP="00DB590F">
      <w:pPr>
        <w:pStyle w:val="OrderBody"/>
        <w:ind w:firstLine="720"/>
      </w:pPr>
      <w:r w:rsidRPr="00B073CF">
        <w:t xml:space="preserve">Any party adversely affected by the portion of this order suspending proposed final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w:t>
      </w:r>
      <w:r w:rsidRPr="00B073CF">
        <w:lastRenderedPageBreak/>
        <w:t>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590F" w:rsidRPr="00B073CF" w:rsidRDefault="00DB590F" w:rsidP="00DB590F">
      <w:pPr>
        <w:pStyle w:val="OrderBody"/>
      </w:pPr>
    </w:p>
    <w:p w:rsidR="00DB590F" w:rsidRDefault="00DB590F" w:rsidP="00DB590F">
      <w:pPr>
        <w:pStyle w:val="OrderBody"/>
        <w:ind w:firstLine="720"/>
      </w:pPr>
      <w:r w:rsidRPr="00B073CF">
        <w:t xml:space="preserve">Mediation may be available on a case-by-case basis.  If mediation is </w:t>
      </w:r>
      <w:r>
        <w:t xml:space="preserve">conducted, it does not affect a </w:t>
      </w:r>
      <w:r w:rsidRPr="00B073CF">
        <w:t>substantially interested person's right to a hearing.</w:t>
      </w:r>
    </w:p>
    <w:p w:rsidR="00DB590F" w:rsidRDefault="00DB590F" w:rsidP="00066E3E">
      <w:pPr>
        <w:pStyle w:val="OrderBody"/>
        <w:sectPr w:rsidR="00DB590F">
          <w:headerReference w:type="default" r:id="rId7"/>
          <w:footerReference w:type="first" r:id="rId8"/>
          <w:pgSz w:w="12240" w:h="15840" w:code="1"/>
          <w:pgMar w:top="1440" w:right="1440" w:bottom="1440" w:left="1440" w:header="720" w:footer="720" w:gutter="0"/>
          <w:cols w:space="720"/>
          <w:titlePg/>
          <w:docGrid w:linePitch="360"/>
        </w:sectPr>
      </w:pPr>
    </w:p>
    <w:p w:rsidR="00066E3E" w:rsidRDefault="00066E3E" w:rsidP="00066E3E">
      <w:pPr>
        <w:jc w:val="center"/>
      </w:pPr>
      <w:r>
        <w:lastRenderedPageBreak/>
        <w:t>Florida City Gas</w:t>
      </w:r>
    </w:p>
    <w:p w:rsidR="00066E3E" w:rsidRDefault="00066E3E" w:rsidP="00066E3E">
      <w:pPr>
        <w:jc w:val="center"/>
      </w:pPr>
      <w:r>
        <w:t>Docket No. 20170179-GU</w:t>
      </w:r>
    </w:p>
    <w:p w:rsidR="00066E3E" w:rsidRDefault="00066E3E" w:rsidP="00066E3E">
      <w:pPr>
        <w:jc w:val="center"/>
      </w:pPr>
      <w:r>
        <w:t>Interim Rate Base and Net Operating Income</w:t>
      </w:r>
    </w:p>
    <w:p w:rsidR="00066E3E" w:rsidRDefault="00066E3E" w:rsidP="00066E3E">
      <w:pPr>
        <w:jc w:val="center"/>
      </w:pPr>
      <w:r>
        <w:t>December 31, 2016</w:t>
      </w:r>
    </w:p>
    <w:p w:rsidR="00066E3E" w:rsidRDefault="00066E3E" w:rsidP="00066E3E">
      <w:pPr>
        <w:jc w:val="center"/>
      </w:pPr>
    </w:p>
    <w:tbl>
      <w:tblPr>
        <w:tblW w:w="10719" w:type="dxa"/>
        <w:jc w:val="center"/>
        <w:tblLook w:val="04A0" w:firstRow="1" w:lastRow="0" w:firstColumn="1" w:lastColumn="0" w:noHBand="0" w:noVBand="1"/>
      </w:tblPr>
      <w:tblGrid>
        <w:gridCol w:w="266"/>
        <w:gridCol w:w="3204"/>
        <w:gridCol w:w="2070"/>
        <w:gridCol w:w="1440"/>
        <w:gridCol w:w="1710"/>
        <w:gridCol w:w="1729"/>
        <w:gridCol w:w="300"/>
      </w:tblGrid>
      <w:tr w:rsidR="00066E3E" w:rsidTr="00F03892">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710"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Interest</w:t>
            </w:r>
          </w:p>
        </w:tc>
        <w:tc>
          <w:tcPr>
            <w:tcW w:w="1729"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Adjustments</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Synchronization</w:t>
            </w:r>
          </w:p>
        </w:tc>
        <w:tc>
          <w:tcPr>
            <w:tcW w:w="1729" w:type="dxa"/>
            <w:tcBorders>
              <w:top w:val="nil"/>
              <w:left w:val="nil"/>
              <w:bottom w:val="single" w:sz="4" w:space="0" w:color="auto"/>
              <w:right w:val="nil"/>
            </w:tcBorders>
            <w:shd w:val="clear" w:color="auto" w:fill="auto"/>
            <w:noWrap/>
            <w:vAlign w:val="bottom"/>
            <w:hideMark/>
          </w:tcPr>
          <w:p w:rsidR="00066E3E" w:rsidRDefault="00066E3E" w:rsidP="006E543F">
            <w:pPr>
              <w:rPr>
                <w:rFonts w:ascii="Calibri" w:hAnsi="Calibri"/>
                <w:color w:val="000000"/>
                <w:sz w:val="22"/>
                <w:szCs w:val="22"/>
              </w:rPr>
            </w:pPr>
            <w:r>
              <w:rPr>
                <w:rFonts w:ascii="Calibri" w:hAnsi="Calibri"/>
                <w:color w:val="000000"/>
                <w:sz w:val="22"/>
                <w:szCs w:val="22"/>
              </w:rPr>
              <w:t xml:space="preserve">Year Per </w:t>
            </w:r>
            <w:r w:rsidR="0033050A">
              <w:rPr>
                <w:rFonts w:ascii="Calibri" w:hAnsi="Calibri"/>
                <w:color w:val="000000"/>
                <w:sz w:val="22"/>
                <w:szCs w:val="22"/>
              </w:rPr>
              <w:t>Comm.</w:t>
            </w:r>
            <w:r w:rsidR="004A48AD">
              <w:rPr>
                <w:rFonts w:ascii="Calibri" w:hAnsi="Calibri"/>
                <w:color w:val="000000"/>
                <w:sz w:val="22"/>
                <w:szCs w:val="22"/>
              </w:rPr>
              <w:t xml:space="preserve"> </w:t>
            </w:r>
            <w:r w:rsidR="0033050A">
              <w:rPr>
                <w:rFonts w:ascii="Calibri" w:hAnsi="Calibri"/>
                <w:color w:val="000000"/>
                <w:sz w:val="22"/>
                <w:szCs w:val="22"/>
              </w:rPr>
              <w:t xml:space="preserve"> </w:t>
            </w:r>
          </w:p>
        </w:tc>
        <w:tc>
          <w:tcPr>
            <w:tcW w:w="300" w:type="dxa"/>
            <w:tcBorders>
              <w:top w:val="nil"/>
              <w:left w:val="nil"/>
              <w:bottom w:val="single" w:sz="4" w:space="0" w:color="auto"/>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u w:val="single"/>
              </w:rPr>
            </w:pPr>
            <w:r>
              <w:rPr>
                <w:rFonts w:ascii="Calibri" w:hAnsi="Calibri"/>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Plant in Service</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348,619,750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348,619,750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Accumulated Depreciation</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(167,595,854)</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(167,595,854)</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181,023,896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181,023,896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Acquisition Adjustment</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21,656,835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21,656,835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Accum. Amort. Acquisition Adjustment</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(8,422,103)</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(8,422,103)</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19,729,410 </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19,729,410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Net Utility Plant</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213,988,038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213,988,038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Working Capital Allowance</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(4,675,360)</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(4,675,360)</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Total Rate Base</w:t>
            </w:r>
          </w:p>
        </w:tc>
        <w:tc>
          <w:tcPr>
            <w:tcW w:w="2070"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209,312,678 </w:t>
            </w:r>
          </w:p>
        </w:tc>
        <w:tc>
          <w:tcPr>
            <w:tcW w:w="1440"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209,312,678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u w:val="single"/>
              </w:rPr>
            </w:pPr>
            <w:r>
              <w:rPr>
                <w:rFonts w:ascii="Calibri" w:hAnsi="Calibri"/>
                <w:color w:val="000000"/>
                <w:sz w:val="22"/>
                <w:szCs w:val="22"/>
                <w:u w:val="single"/>
              </w:rPr>
              <w:t>Income Statement</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Operating Revenue</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50,316,465 </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50,316,465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Operating Expenses:</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20,261,429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20,261,429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Depreciation &amp; Amortization</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14,898,337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14,898,337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2,707,715 </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2,707,715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Income Taxes - Current</w:t>
            </w: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413,903</w:t>
            </w:r>
          </w:p>
          <w:p w:rsidR="00066E3E" w:rsidRDefault="00066E3E" w:rsidP="00F03892">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413,903</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Income Taxes - Deferred</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2,813,496</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2,813,496</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41,094,881</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41,094,881</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Net Operating Income</w:t>
            </w:r>
          </w:p>
        </w:tc>
        <w:tc>
          <w:tcPr>
            <w:tcW w:w="2070"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9,221,584</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1440"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9,221,584</w:t>
            </w:r>
          </w:p>
          <w:p w:rsidR="00066E3E" w:rsidRDefault="00066E3E" w:rsidP="00F03892">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4.41%</w:t>
            </w:r>
          </w:p>
        </w:tc>
        <w:tc>
          <w:tcPr>
            <w:tcW w:w="144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4.41%</w:t>
            </w:r>
          </w:p>
        </w:tc>
        <w:tc>
          <w:tcPr>
            <w:tcW w:w="30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71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bl>
    <w:p w:rsidR="00066E3E" w:rsidRDefault="00066E3E" w:rsidP="00066E3E">
      <w:pPr>
        <w:pStyle w:val="OrderBody"/>
        <w:sectPr w:rsidR="00066E3E" w:rsidSect="00066E3E">
          <w:headerReference w:type="default" r:id="rId9"/>
          <w:headerReference w:type="first" r:id="rId10"/>
          <w:pgSz w:w="12240" w:h="15840" w:code="1"/>
          <w:pgMar w:top="1440" w:right="1440" w:bottom="1440" w:left="1440" w:header="720" w:footer="720" w:gutter="0"/>
          <w:cols w:space="720"/>
          <w:docGrid w:linePitch="360"/>
        </w:sectPr>
      </w:pPr>
    </w:p>
    <w:p w:rsidR="00066E3E" w:rsidRDefault="00066E3E" w:rsidP="00066E3E">
      <w:pPr>
        <w:jc w:val="center"/>
      </w:pPr>
      <w:r>
        <w:lastRenderedPageBreak/>
        <w:t>Florida City Gas</w:t>
      </w:r>
    </w:p>
    <w:p w:rsidR="00066E3E" w:rsidRDefault="00066E3E" w:rsidP="00066E3E">
      <w:pPr>
        <w:jc w:val="center"/>
      </w:pPr>
      <w:r>
        <w:t>Docket No. 20170179-GU</w:t>
      </w:r>
    </w:p>
    <w:p w:rsidR="00066E3E" w:rsidRDefault="00066E3E" w:rsidP="00066E3E">
      <w:pPr>
        <w:jc w:val="center"/>
      </w:pPr>
      <w:r>
        <w:t>Interim Base Year</w:t>
      </w:r>
    </w:p>
    <w:p w:rsidR="00066E3E" w:rsidRDefault="00066E3E" w:rsidP="00066E3E">
      <w:pPr>
        <w:jc w:val="center"/>
      </w:pPr>
      <w:r>
        <w:t>December 31, 2016</w:t>
      </w:r>
    </w:p>
    <w:p w:rsidR="00066E3E" w:rsidRDefault="00066E3E" w:rsidP="00066E3E"/>
    <w:tbl>
      <w:tblPr>
        <w:tblW w:w="7338" w:type="dxa"/>
        <w:jc w:val="center"/>
        <w:tblLook w:val="04A0" w:firstRow="1" w:lastRow="0" w:firstColumn="1" w:lastColumn="0" w:noHBand="0" w:noVBand="1"/>
      </w:tblPr>
      <w:tblGrid>
        <w:gridCol w:w="280"/>
        <w:gridCol w:w="2300"/>
        <w:gridCol w:w="1629"/>
        <w:gridCol w:w="987"/>
        <w:gridCol w:w="960"/>
        <w:gridCol w:w="1090"/>
        <w:gridCol w:w="280"/>
      </w:tblGrid>
      <w:tr w:rsidR="00066E3E" w:rsidTr="00F03892">
        <w:trPr>
          <w:trHeight w:val="300"/>
          <w:jc w:val="center"/>
        </w:trPr>
        <w:tc>
          <w:tcPr>
            <w:tcW w:w="280" w:type="dxa"/>
            <w:tcBorders>
              <w:top w:val="single" w:sz="4" w:space="0" w:color="auto"/>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629"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Jurisdictional</w:t>
            </w:r>
          </w:p>
        </w:tc>
        <w:tc>
          <w:tcPr>
            <w:tcW w:w="799"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090" w:type="dxa"/>
            <w:tcBorders>
              <w:top w:val="single" w:sz="4" w:space="0" w:color="auto"/>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80" w:type="dxa"/>
            <w:tcBorders>
              <w:top w:val="single" w:sz="4" w:space="0" w:color="auto"/>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Capital</w:t>
            </w:r>
          </w:p>
        </w:tc>
        <w:tc>
          <w:tcPr>
            <w:tcW w:w="79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Cost</w:t>
            </w:r>
          </w:p>
        </w:tc>
        <w:tc>
          <w:tcPr>
            <w:tcW w:w="109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Weighted</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val="300"/>
          <w:jc w:val="center"/>
        </w:trPr>
        <w:tc>
          <w:tcPr>
            <w:tcW w:w="280" w:type="dxa"/>
            <w:tcBorders>
              <w:top w:val="nil"/>
              <w:left w:val="single" w:sz="4" w:space="0" w:color="auto"/>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Capital Component</w:t>
            </w:r>
          </w:p>
        </w:tc>
        <w:tc>
          <w:tcPr>
            <w:tcW w:w="16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Structure</w:t>
            </w:r>
          </w:p>
        </w:tc>
        <w:tc>
          <w:tcPr>
            <w:tcW w:w="79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Rate</w:t>
            </w:r>
          </w:p>
        </w:tc>
        <w:tc>
          <w:tcPr>
            <w:tcW w:w="109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Cost Rate</w:t>
            </w:r>
          </w:p>
        </w:tc>
        <w:tc>
          <w:tcPr>
            <w:tcW w:w="280" w:type="dxa"/>
            <w:tcBorders>
              <w:top w:val="nil"/>
              <w:left w:val="nil"/>
              <w:bottom w:val="single" w:sz="4" w:space="0" w:color="auto"/>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Long Term Debt</w:t>
            </w: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$73,857,708 </w:t>
            </w:r>
          </w:p>
        </w:tc>
        <w:tc>
          <w:tcPr>
            <w:tcW w:w="799"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35.29%</w:t>
            </w:r>
          </w:p>
        </w:tc>
        <w:tc>
          <w:tcPr>
            <w:tcW w:w="96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4.75%</w:t>
            </w:r>
          </w:p>
        </w:tc>
        <w:tc>
          <w:tcPr>
            <w:tcW w:w="109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1.68%</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Short Term Debt</w:t>
            </w: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13,071,944 </w:t>
            </w:r>
          </w:p>
        </w:tc>
        <w:tc>
          <w:tcPr>
            <w:tcW w:w="799"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6.25%</w:t>
            </w:r>
          </w:p>
        </w:tc>
        <w:tc>
          <w:tcPr>
            <w:tcW w:w="96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1.89%</w:t>
            </w:r>
          </w:p>
        </w:tc>
        <w:tc>
          <w:tcPr>
            <w:tcW w:w="109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0.12%</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Preferred Stock</w:t>
            </w: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   </w:t>
            </w:r>
          </w:p>
        </w:tc>
        <w:tc>
          <w:tcPr>
            <w:tcW w:w="799"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96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109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Common Equity</w:t>
            </w: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81,589,680 </w:t>
            </w:r>
          </w:p>
        </w:tc>
        <w:tc>
          <w:tcPr>
            <w:tcW w:w="799"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38.98%</w:t>
            </w:r>
          </w:p>
        </w:tc>
        <w:tc>
          <w:tcPr>
            <w:tcW w:w="96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10.25%</w:t>
            </w:r>
          </w:p>
        </w:tc>
        <w:tc>
          <w:tcPr>
            <w:tcW w:w="109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4.00%</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Customer Deposits</w:t>
            </w: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3,901,581 </w:t>
            </w:r>
          </w:p>
        </w:tc>
        <w:tc>
          <w:tcPr>
            <w:tcW w:w="799"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1.86%</w:t>
            </w:r>
          </w:p>
        </w:tc>
        <w:tc>
          <w:tcPr>
            <w:tcW w:w="96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2.73%</w:t>
            </w:r>
          </w:p>
        </w:tc>
        <w:tc>
          <w:tcPr>
            <w:tcW w:w="109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0.05%</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Deferred Income Taxes</w:t>
            </w:r>
          </w:p>
        </w:tc>
        <w:tc>
          <w:tcPr>
            <w:tcW w:w="1629"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36,891,759 </w:t>
            </w:r>
          </w:p>
        </w:tc>
        <w:tc>
          <w:tcPr>
            <w:tcW w:w="799"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17.63%</w:t>
            </w:r>
          </w:p>
        </w:tc>
        <w:tc>
          <w:tcPr>
            <w:tcW w:w="96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1090" w:type="dxa"/>
            <w:tcBorders>
              <w:top w:val="nil"/>
              <w:left w:val="nil"/>
              <w:bottom w:val="nil"/>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Investment Tax Credits</w:t>
            </w:r>
          </w:p>
        </w:tc>
        <w:tc>
          <w:tcPr>
            <w:tcW w:w="16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6 </w:t>
            </w:r>
          </w:p>
        </w:tc>
        <w:tc>
          <w:tcPr>
            <w:tcW w:w="799" w:type="dxa"/>
            <w:tcBorders>
              <w:top w:val="nil"/>
              <w:left w:val="nil"/>
              <w:bottom w:val="single" w:sz="4"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960" w:type="dxa"/>
            <w:tcBorders>
              <w:top w:val="nil"/>
              <w:left w:val="nil"/>
              <w:bottom w:val="single" w:sz="4"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1090" w:type="dxa"/>
            <w:tcBorders>
              <w:top w:val="nil"/>
              <w:left w:val="nil"/>
              <w:bottom w:val="single" w:sz="4"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0.00%</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80" w:type="dxa"/>
            <w:tcBorders>
              <w:top w:val="nil"/>
              <w:left w:val="single" w:sz="4" w:space="0" w:color="auto"/>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Total</w:t>
            </w:r>
          </w:p>
        </w:tc>
        <w:tc>
          <w:tcPr>
            <w:tcW w:w="1629" w:type="dxa"/>
            <w:tcBorders>
              <w:top w:val="nil"/>
              <w:left w:val="nil"/>
              <w:bottom w:val="double" w:sz="6"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xml:space="preserve">   $209,312,678 </w:t>
            </w:r>
          </w:p>
        </w:tc>
        <w:tc>
          <w:tcPr>
            <w:tcW w:w="799" w:type="dxa"/>
            <w:tcBorders>
              <w:top w:val="nil"/>
              <w:left w:val="nil"/>
              <w:bottom w:val="double" w:sz="6"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100.00%</w:t>
            </w:r>
          </w:p>
        </w:tc>
        <w:tc>
          <w:tcPr>
            <w:tcW w:w="960" w:type="dxa"/>
            <w:tcBorders>
              <w:top w:val="nil"/>
              <w:left w:val="nil"/>
              <w:bottom w:val="nil"/>
              <w:right w:val="nil"/>
            </w:tcBorders>
            <w:shd w:val="clear" w:color="auto" w:fill="auto"/>
            <w:noWrap/>
            <w:vAlign w:val="bottom"/>
            <w:hideMark/>
          </w:tcPr>
          <w:p w:rsidR="00066E3E" w:rsidRDefault="00066E3E" w:rsidP="00F03892">
            <w:pPr>
              <w:rPr>
                <w:rFonts w:ascii="Calibri" w:hAnsi="Calibri"/>
                <w:color w:val="000000"/>
                <w:sz w:val="22"/>
                <w:szCs w:val="22"/>
              </w:rPr>
            </w:pPr>
          </w:p>
        </w:tc>
        <w:tc>
          <w:tcPr>
            <w:tcW w:w="1090" w:type="dxa"/>
            <w:tcBorders>
              <w:top w:val="nil"/>
              <w:left w:val="nil"/>
              <w:bottom w:val="double" w:sz="6" w:space="0" w:color="auto"/>
              <w:right w:val="nil"/>
            </w:tcBorders>
            <w:shd w:val="clear" w:color="auto" w:fill="auto"/>
            <w:noWrap/>
            <w:vAlign w:val="bottom"/>
            <w:hideMark/>
          </w:tcPr>
          <w:p w:rsidR="00066E3E" w:rsidRDefault="00066E3E" w:rsidP="00F03892">
            <w:pPr>
              <w:jc w:val="right"/>
              <w:rPr>
                <w:rFonts w:ascii="Calibri" w:hAnsi="Calibri"/>
                <w:color w:val="000000"/>
                <w:sz w:val="22"/>
                <w:szCs w:val="22"/>
              </w:rPr>
            </w:pPr>
            <w:r>
              <w:rPr>
                <w:rFonts w:ascii="Calibri" w:hAnsi="Calibri"/>
                <w:color w:val="000000"/>
                <w:sz w:val="22"/>
                <w:szCs w:val="22"/>
              </w:rPr>
              <w:t>5.85%</w:t>
            </w:r>
          </w:p>
        </w:tc>
        <w:tc>
          <w:tcPr>
            <w:tcW w:w="280" w:type="dxa"/>
            <w:tcBorders>
              <w:top w:val="nil"/>
              <w:left w:val="nil"/>
              <w:bottom w:val="nil"/>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r w:rsidR="00066E3E" w:rsidTr="00F03892">
        <w:trPr>
          <w:trHeight w:hRule="exact" w:val="317"/>
          <w:jc w:val="center"/>
        </w:trPr>
        <w:tc>
          <w:tcPr>
            <w:tcW w:w="280" w:type="dxa"/>
            <w:tcBorders>
              <w:top w:val="nil"/>
              <w:left w:val="single" w:sz="4" w:space="0" w:color="auto"/>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62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799"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1090" w:type="dxa"/>
            <w:tcBorders>
              <w:top w:val="nil"/>
              <w:left w:val="nil"/>
              <w:bottom w:val="single" w:sz="4" w:space="0" w:color="auto"/>
              <w:right w:val="nil"/>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c>
          <w:tcPr>
            <w:tcW w:w="280" w:type="dxa"/>
            <w:tcBorders>
              <w:top w:val="nil"/>
              <w:left w:val="nil"/>
              <w:bottom w:val="single" w:sz="4" w:space="0" w:color="auto"/>
              <w:right w:val="single" w:sz="4" w:space="0" w:color="auto"/>
            </w:tcBorders>
            <w:shd w:val="clear" w:color="auto" w:fill="auto"/>
            <w:noWrap/>
            <w:vAlign w:val="bottom"/>
            <w:hideMark/>
          </w:tcPr>
          <w:p w:rsidR="00066E3E" w:rsidRDefault="00066E3E" w:rsidP="00F03892">
            <w:pPr>
              <w:rPr>
                <w:rFonts w:ascii="Calibri" w:hAnsi="Calibri"/>
                <w:color w:val="000000"/>
                <w:sz w:val="22"/>
                <w:szCs w:val="22"/>
              </w:rPr>
            </w:pPr>
            <w:r>
              <w:rPr>
                <w:rFonts w:ascii="Calibri" w:hAnsi="Calibri"/>
                <w:color w:val="000000"/>
                <w:sz w:val="22"/>
                <w:szCs w:val="22"/>
              </w:rPr>
              <w:t> </w:t>
            </w:r>
          </w:p>
        </w:tc>
      </w:tr>
    </w:tbl>
    <w:p w:rsidR="00066E3E" w:rsidRDefault="00066E3E" w:rsidP="00066E3E">
      <w:pPr>
        <w:pStyle w:val="OrderBody"/>
        <w:sectPr w:rsidR="00066E3E" w:rsidSect="00066E3E">
          <w:headerReference w:type="default" r:id="rId11"/>
          <w:pgSz w:w="12240" w:h="15840" w:code="1"/>
          <w:pgMar w:top="1440" w:right="1440" w:bottom="1440" w:left="1440" w:header="720" w:footer="720" w:gutter="0"/>
          <w:cols w:space="720"/>
          <w:docGrid w:linePitch="360"/>
        </w:sectPr>
      </w:pPr>
    </w:p>
    <w:p w:rsidR="00066E3E" w:rsidRDefault="00066E3E" w:rsidP="00066E3E">
      <w:pPr>
        <w:pStyle w:val="OrderBody"/>
        <w:rPr>
          <w:noProof/>
        </w:rPr>
        <w:sectPr w:rsidR="00066E3E" w:rsidSect="00066E3E">
          <w:headerReference w:type="default" r:id="rId12"/>
          <w:pgSz w:w="15840" w:h="12240" w:orient="landscape" w:code="1"/>
          <w:pgMar w:top="1440" w:right="1440" w:bottom="1440" w:left="1440" w:header="720" w:footer="720" w:gutter="0"/>
          <w:cols w:space="720"/>
          <w:docGrid w:linePitch="360"/>
        </w:sectPr>
      </w:pPr>
      <w:r>
        <w:rPr>
          <w:noProof/>
        </w:rPr>
        <w:lastRenderedPageBreak/>
        <w:drawing>
          <wp:inline distT="0" distB="0" distL="0" distR="0">
            <wp:extent cx="8143875" cy="49053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3875" cy="4905375"/>
                    </a:xfrm>
                    <a:prstGeom prst="rect">
                      <a:avLst/>
                    </a:prstGeom>
                    <a:noFill/>
                    <a:ln>
                      <a:noFill/>
                    </a:ln>
                  </pic:spPr>
                </pic:pic>
              </a:graphicData>
            </a:graphic>
          </wp:inline>
        </w:drawing>
      </w:r>
    </w:p>
    <w:p w:rsidR="00066E3E" w:rsidRDefault="00066E3E" w:rsidP="00066E3E">
      <w:pPr>
        <w:pStyle w:val="OrderBody"/>
      </w:pPr>
      <w:r>
        <w:rPr>
          <w:noProof/>
        </w:rPr>
        <w:lastRenderedPageBreak/>
        <w:drawing>
          <wp:inline distT="0" distB="0" distL="0" distR="0">
            <wp:extent cx="5943600" cy="79629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962900"/>
                    </a:xfrm>
                    <a:prstGeom prst="rect">
                      <a:avLst/>
                    </a:prstGeom>
                    <a:noFill/>
                    <a:ln>
                      <a:noFill/>
                    </a:ln>
                  </pic:spPr>
                </pic:pic>
              </a:graphicData>
            </a:graphic>
          </wp:inline>
        </w:drawing>
      </w:r>
    </w:p>
    <w:sectPr w:rsidR="00066E3E" w:rsidSect="00066E3E">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7F" w:rsidRDefault="0041157F">
      <w:r>
        <w:separator/>
      </w:r>
    </w:p>
  </w:endnote>
  <w:endnote w:type="continuationSeparator" w:id="0">
    <w:p w:rsidR="0041157F" w:rsidRDefault="0041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pPr>
      <w:pStyle w:val="Footer"/>
    </w:pPr>
  </w:p>
  <w:p w:rsidR="0041157F" w:rsidRDefault="00411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7F" w:rsidRDefault="0041157F">
      <w:r>
        <w:separator/>
      </w:r>
    </w:p>
  </w:footnote>
  <w:footnote w:type="continuationSeparator" w:id="0">
    <w:p w:rsidR="0041157F" w:rsidRDefault="0041157F">
      <w:r>
        <w:continuationSeparator/>
      </w:r>
    </w:p>
  </w:footnote>
  <w:footnote w:id="1">
    <w:p w:rsidR="0041157F" w:rsidRPr="0041157F" w:rsidRDefault="0041157F" w:rsidP="00066E3E">
      <w:pPr>
        <w:pStyle w:val="FootnoteText"/>
      </w:pPr>
      <w:r>
        <w:rPr>
          <w:rStyle w:val="FootnoteReference"/>
        </w:rPr>
        <w:footnoteRef/>
      </w:r>
      <w:r>
        <w:t xml:space="preserve"> Order No. PSC-04-0128-PAA-GU, issued February 9, 2004, in Docket No. 030569-GU,</w:t>
      </w:r>
      <w:r w:rsidRPr="00BA6578">
        <w:rPr>
          <w:i/>
        </w:rPr>
        <w:t xml:space="preserve"> </w:t>
      </w:r>
      <w:r w:rsidRPr="0041157F">
        <w:rPr>
          <w:u w:val="single"/>
        </w:rPr>
        <w:t>In re: Application for rate increase by City Gas Company of Florida</w:t>
      </w:r>
      <w:r w:rsidRPr="0041157F">
        <w:t>.</w:t>
      </w:r>
    </w:p>
  </w:footnote>
  <w:footnote w:id="2">
    <w:p w:rsidR="0041157F" w:rsidRPr="00F07526" w:rsidRDefault="0041157F" w:rsidP="00066E3E">
      <w:pPr>
        <w:pStyle w:val="FootnoteText"/>
      </w:pPr>
      <w:r w:rsidRPr="00F07526">
        <w:rPr>
          <w:rStyle w:val="FootnoteReference"/>
        </w:rPr>
        <w:footnoteRef/>
      </w:r>
      <w:r w:rsidRPr="00F07526">
        <w:t xml:space="preserve"> </w:t>
      </w:r>
      <w:r w:rsidRPr="006E543F">
        <w:rPr>
          <w:u w:val="single"/>
        </w:rPr>
        <w:t>Id.</w:t>
      </w:r>
      <w:r>
        <w:t xml:space="preserve">, and </w:t>
      </w:r>
      <w:r w:rsidRPr="00A6714F">
        <w:t>PSC-07-0913-PAA-GU, issued November 13, 2007, in Docket No. 060657-GU,</w:t>
      </w:r>
      <w:r w:rsidRPr="00F07526">
        <w:t xml:space="preserve"> </w:t>
      </w:r>
      <w:r w:rsidRPr="0041157F">
        <w:rPr>
          <w:u w:val="single"/>
        </w:rPr>
        <w:t>In re: Petition for approval of acquisition adjustment and recognition of regulatory asset to reflect purchase of Florida City Gas by AGL Resources, Inc.</w:t>
      </w:r>
      <w:r w:rsidRPr="00F07526">
        <w:t>, and PSC-16-0517-TRF-GU, issued November 21, 2016</w:t>
      </w:r>
      <w:r w:rsidRPr="004D075B">
        <w:t xml:space="preserve">, in Docket No. 160198-GU, </w:t>
      </w:r>
      <w:r w:rsidRPr="0041157F">
        <w:rPr>
          <w:u w:val="single"/>
        </w:rPr>
        <w:t>In re: Petition for approval of safety, access, and facility enhancement program (SAFE) true-up and associated cost recovery factors, by Florida City Gas</w:t>
      </w:r>
      <w:r w:rsidRPr="00A11024">
        <w:rPr>
          <w:i/>
        </w:rPr>
        <w:t>.</w:t>
      </w:r>
    </w:p>
  </w:footnote>
  <w:footnote w:id="3">
    <w:p w:rsidR="0041157F" w:rsidRPr="0041157F" w:rsidRDefault="0041157F" w:rsidP="00066E3E">
      <w:pPr>
        <w:pStyle w:val="FootnoteText"/>
      </w:pPr>
      <w:r w:rsidRPr="00F07526">
        <w:rPr>
          <w:rStyle w:val="FootnoteReference"/>
        </w:rPr>
        <w:footnoteRef/>
      </w:r>
      <w:r w:rsidRPr="000C42D5">
        <w:rPr>
          <w:i/>
        </w:rPr>
        <w:t xml:space="preserve"> </w:t>
      </w:r>
      <w:r w:rsidRPr="0041157F">
        <w:rPr>
          <w:u w:val="single"/>
        </w:rPr>
        <w:t>Id</w:t>
      </w:r>
      <w:r w:rsidRPr="0041157F">
        <w:t>.</w:t>
      </w:r>
    </w:p>
  </w:footnote>
  <w:footnote w:id="4">
    <w:p w:rsidR="0041157F" w:rsidRPr="0041157F" w:rsidRDefault="0041157F" w:rsidP="00066E3E">
      <w:pPr>
        <w:pStyle w:val="FootnoteText"/>
      </w:pPr>
      <w:r w:rsidRPr="00F07526">
        <w:rPr>
          <w:rStyle w:val="FootnoteReference"/>
        </w:rPr>
        <w:footnoteRef/>
      </w:r>
      <w:r w:rsidRPr="00F07526">
        <w:t xml:space="preserve"> </w:t>
      </w:r>
      <w:r w:rsidRPr="0041157F">
        <w:rPr>
          <w:u w:val="single"/>
        </w:rPr>
        <w:t>Id</w:t>
      </w:r>
      <w:r w:rsidRPr="0041157F">
        <w:t>.</w:t>
      </w:r>
    </w:p>
  </w:footnote>
  <w:footnote w:id="5">
    <w:p w:rsidR="0041157F" w:rsidRPr="0041157F" w:rsidRDefault="0041157F" w:rsidP="00066E3E">
      <w:pPr>
        <w:pStyle w:val="FootnoteText"/>
      </w:pPr>
      <w:r>
        <w:rPr>
          <w:rStyle w:val="FootnoteReference"/>
        </w:rPr>
        <w:footnoteRef/>
      </w:r>
      <w:r>
        <w:t xml:space="preserve"> </w:t>
      </w:r>
      <w:r w:rsidRPr="00F07526">
        <w:t>PSC-16-0517-TRF-GU, issued November 21, 2016</w:t>
      </w:r>
      <w:r w:rsidRPr="004D075B">
        <w:t xml:space="preserve">, in Docket No. 160198-GU, </w:t>
      </w:r>
      <w:r w:rsidRPr="0041157F">
        <w:rPr>
          <w:u w:val="single"/>
        </w:rPr>
        <w:t>In re: Petition for approval of safety, access, and facility enhancement program (SAFE) true-up and associated cost recovery factors, by Florida City Gas</w:t>
      </w:r>
      <w:r w:rsidRPr="0041157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pPr>
      <w:pStyle w:val="OrderHeader"/>
    </w:pPr>
    <w:r>
      <w:t xml:space="preserve">ORDER NO. </w:t>
    </w:r>
    <w:r w:rsidR="00472746">
      <w:fldChar w:fldCharType="begin"/>
    </w:r>
    <w:r w:rsidR="00472746">
      <w:instrText xml:space="preserve"> REF OrderNo0011 </w:instrText>
    </w:r>
    <w:r w:rsidR="00472746">
      <w:fldChar w:fldCharType="separate"/>
    </w:r>
    <w:r w:rsidR="00472746">
      <w:t>PSC-2018-0011-PCO-GU</w:t>
    </w:r>
    <w:r w:rsidR="00472746">
      <w:fldChar w:fldCharType="end"/>
    </w:r>
  </w:p>
  <w:p w:rsidR="0041157F" w:rsidRDefault="0041157F">
    <w:pPr>
      <w:pStyle w:val="OrderHeader"/>
    </w:pPr>
    <w:bookmarkStart w:id="9" w:name="HeaderDocketNo"/>
    <w:bookmarkEnd w:id="9"/>
    <w:r>
      <w:t>DOCKET NO. 20170179-GU</w:t>
    </w:r>
  </w:p>
  <w:p w:rsidR="0041157F" w:rsidRDefault="004115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746">
      <w:rPr>
        <w:rStyle w:val="PageNumber"/>
        <w:noProof/>
      </w:rPr>
      <w:t>9</w:t>
    </w:r>
    <w:r>
      <w:rPr>
        <w:rStyle w:val="PageNumber"/>
      </w:rPr>
      <w:fldChar w:fldCharType="end"/>
    </w:r>
  </w:p>
  <w:p w:rsidR="0041157F" w:rsidRDefault="0041157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rsidP="00066E3E">
    <w:pPr>
      <w:pStyle w:val="OrderHeader"/>
      <w:tabs>
        <w:tab w:val="clear" w:pos="4320"/>
        <w:tab w:val="clear" w:pos="8640"/>
        <w:tab w:val="right" w:pos="9360"/>
      </w:tabs>
    </w:pPr>
    <w:r>
      <w:t xml:space="preserve">ORDER NO. </w:t>
    </w:r>
    <w:r w:rsidR="00AC47BD" w:rsidRPr="00AC47BD">
      <w:t>PSC-2018-0011-PCO-GU</w:t>
    </w:r>
    <w:r>
      <w:tab/>
      <w:t>Attachment A</w:t>
    </w:r>
  </w:p>
  <w:p w:rsidR="0041157F" w:rsidRDefault="0041157F">
    <w:pPr>
      <w:pStyle w:val="OrderHeader"/>
    </w:pPr>
    <w:r>
      <w:t>DOCKET NO. 20170179-GU</w:t>
    </w:r>
  </w:p>
  <w:p w:rsidR="0041157F" w:rsidRDefault="004115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746">
      <w:rPr>
        <w:rStyle w:val="PageNumber"/>
        <w:noProof/>
      </w:rPr>
      <w:t>10</w:t>
    </w:r>
    <w:r>
      <w:rPr>
        <w:rStyle w:val="PageNumber"/>
      </w:rPr>
      <w:fldChar w:fldCharType="end"/>
    </w:r>
  </w:p>
  <w:p w:rsidR="0041157F" w:rsidRDefault="0041157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rsidP="00066E3E">
    <w:pPr>
      <w:pStyle w:val="OrderHeader"/>
      <w:tabs>
        <w:tab w:val="clear" w:pos="4320"/>
        <w:tab w:val="clear" w:pos="8640"/>
        <w:tab w:val="right" w:pos="9360"/>
      </w:tabs>
    </w:pPr>
    <w:r>
      <w:t xml:space="preserve">ORDER NO. </w:t>
    </w:r>
    <w:r w:rsidR="00AC47BD" w:rsidRPr="00AC47BD">
      <w:t>PSC-2018-0011-PCO-GU</w:t>
    </w:r>
    <w:r>
      <w:tab/>
      <w:t>Attachment B</w:t>
    </w:r>
  </w:p>
  <w:p w:rsidR="0041157F" w:rsidRDefault="0041157F">
    <w:pPr>
      <w:pStyle w:val="OrderHeader"/>
    </w:pPr>
    <w:r>
      <w:t>DOCKET NO. 20170179-GU</w:t>
    </w:r>
  </w:p>
  <w:p w:rsidR="0041157F" w:rsidRDefault="004115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746">
      <w:rPr>
        <w:rStyle w:val="PageNumber"/>
        <w:noProof/>
      </w:rPr>
      <w:t>11</w:t>
    </w:r>
    <w:r>
      <w:rPr>
        <w:rStyle w:val="PageNumber"/>
      </w:rPr>
      <w:fldChar w:fldCharType="end"/>
    </w:r>
  </w:p>
  <w:p w:rsidR="0041157F" w:rsidRDefault="0041157F">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rsidP="00066E3E">
    <w:pPr>
      <w:pStyle w:val="OrderHeader"/>
      <w:tabs>
        <w:tab w:val="clear" w:pos="4320"/>
        <w:tab w:val="clear" w:pos="8640"/>
        <w:tab w:val="right" w:pos="12960"/>
      </w:tabs>
    </w:pPr>
    <w:r>
      <w:t xml:space="preserve">ORDER NO. </w:t>
    </w:r>
    <w:r w:rsidR="00AC47BD" w:rsidRPr="00AC47BD">
      <w:t>PSC-2018-0011-PCO-GU</w:t>
    </w:r>
    <w:r>
      <w:tab/>
      <w:t>Attachment C</w:t>
    </w:r>
  </w:p>
  <w:p w:rsidR="0041157F" w:rsidRDefault="0041157F">
    <w:pPr>
      <w:pStyle w:val="OrderHeader"/>
    </w:pPr>
    <w:r>
      <w:t>DOCKET NO. 20170179-GU</w:t>
    </w:r>
  </w:p>
  <w:p w:rsidR="0041157F" w:rsidRDefault="004115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746">
      <w:rPr>
        <w:rStyle w:val="PageNumber"/>
        <w:noProof/>
      </w:rPr>
      <w:t>12</w:t>
    </w:r>
    <w:r>
      <w:rPr>
        <w:rStyle w:val="PageNumber"/>
      </w:rPr>
      <w:fldChar w:fldCharType="end"/>
    </w:r>
  </w:p>
  <w:p w:rsidR="0041157F" w:rsidRDefault="0041157F">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7F" w:rsidRDefault="0041157F" w:rsidP="00066E3E">
    <w:pPr>
      <w:pStyle w:val="OrderHeader"/>
      <w:tabs>
        <w:tab w:val="clear" w:pos="4320"/>
        <w:tab w:val="clear" w:pos="8640"/>
        <w:tab w:val="right" w:pos="9360"/>
      </w:tabs>
    </w:pPr>
    <w:r>
      <w:t xml:space="preserve">ORDER NO. </w:t>
    </w:r>
    <w:r w:rsidR="00AC47BD" w:rsidRPr="00AC47BD">
      <w:t>PSC-2018-0011-PCO-GU</w:t>
    </w:r>
    <w:r>
      <w:tab/>
      <w:t>Attachment D</w:t>
    </w:r>
  </w:p>
  <w:p w:rsidR="0041157F" w:rsidRDefault="0041157F">
    <w:pPr>
      <w:pStyle w:val="OrderHeader"/>
    </w:pPr>
    <w:r>
      <w:t>DOCKET NO. 20170179-GU</w:t>
    </w:r>
  </w:p>
  <w:p w:rsidR="0041157F" w:rsidRDefault="004115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746">
      <w:rPr>
        <w:rStyle w:val="PageNumber"/>
        <w:noProof/>
      </w:rPr>
      <w:t>13</w:t>
    </w:r>
    <w:r>
      <w:rPr>
        <w:rStyle w:val="PageNumber"/>
      </w:rPr>
      <w:fldChar w:fldCharType="end"/>
    </w:r>
  </w:p>
  <w:p w:rsidR="0041157F" w:rsidRDefault="0041157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9-GU"/>
  </w:docVars>
  <w:rsids>
    <w:rsidRoot w:val="00066E3E"/>
    <w:rsid w:val="000022B8"/>
    <w:rsid w:val="00053AB9"/>
    <w:rsid w:val="00056229"/>
    <w:rsid w:val="00057AF1"/>
    <w:rsid w:val="00065FC2"/>
    <w:rsid w:val="00066E3E"/>
    <w:rsid w:val="00067685"/>
    <w:rsid w:val="00076E6B"/>
    <w:rsid w:val="0008247D"/>
    <w:rsid w:val="00090AFC"/>
    <w:rsid w:val="000D02B8"/>
    <w:rsid w:val="000D06E8"/>
    <w:rsid w:val="000E20F0"/>
    <w:rsid w:val="000E344D"/>
    <w:rsid w:val="000E7B73"/>
    <w:rsid w:val="000F3B2C"/>
    <w:rsid w:val="000F4801"/>
    <w:rsid w:val="000F62DB"/>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98B"/>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050A"/>
    <w:rsid w:val="00331ED0"/>
    <w:rsid w:val="00332B0A"/>
    <w:rsid w:val="00333A41"/>
    <w:rsid w:val="00352761"/>
    <w:rsid w:val="0035495B"/>
    <w:rsid w:val="00361522"/>
    <w:rsid w:val="0037196E"/>
    <w:rsid w:val="003744F5"/>
    <w:rsid w:val="00390DD8"/>
    <w:rsid w:val="00394DC6"/>
    <w:rsid w:val="00397C3E"/>
    <w:rsid w:val="003A2D8A"/>
    <w:rsid w:val="003C3DD4"/>
    <w:rsid w:val="003D4CCA"/>
    <w:rsid w:val="003D52A6"/>
    <w:rsid w:val="003D6416"/>
    <w:rsid w:val="003E1D48"/>
    <w:rsid w:val="0041157F"/>
    <w:rsid w:val="00411DF2"/>
    <w:rsid w:val="0042527B"/>
    <w:rsid w:val="00457DC7"/>
    <w:rsid w:val="00472746"/>
    <w:rsid w:val="00472BCC"/>
    <w:rsid w:val="004A25CD"/>
    <w:rsid w:val="004A26CC"/>
    <w:rsid w:val="004A48AD"/>
    <w:rsid w:val="004B2108"/>
    <w:rsid w:val="004B3A2B"/>
    <w:rsid w:val="004B70D3"/>
    <w:rsid w:val="004C312D"/>
    <w:rsid w:val="004D2D1B"/>
    <w:rsid w:val="004D5067"/>
    <w:rsid w:val="004D6167"/>
    <w:rsid w:val="004E469D"/>
    <w:rsid w:val="004E568B"/>
    <w:rsid w:val="004F2DDE"/>
    <w:rsid w:val="004F7826"/>
    <w:rsid w:val="0050097F"/>
    <w:rsid w:val="00514B1F"/>
    <w:rsid w:val="00525E93"/>
    <w:rsid w:val="0052671D"/>
    <w:rsid w:val="00556A10"/>
    <w:rsid w:val="00590845"/>
    <w:rsid w:val="005963C2"/>
    <w:rsid w:val="0059694B"/>
    <w:rsid w:val="005A0D69"/>
    <w:rsid w:val="005A2688"/>
    <w:rsid w:val="005A31F4"/>
    <w:rsid w:val="005B45F7"/>
    <w:rsid w:val="005B63EA"/>
    <w:rsid w:val="005C1A88"/>
    <w:rsid w:val="005C5033"/>
    <w:rsid w:val="005D1E5F"/>
    <w:rsid w:val="005E751B"/>
    <w:rsid w:val="00610E73"/>
    <w:rsid w:val="0063168D"/>
    <w:rsid w:val="00660774"/>
    <w:rsid w:val="0066389A"/>
    <w:rsid w:val="0066495C"/>
    <w:rsid w:val="00665CC7"/>
    <w:rsid w:val="00672612"/>
    <w:rsid w:val="00677F18"/>
    <w:rsid w:val="006A0BF3"/>
    <w:rsid w:val="006B0DA6"/>
    <w:rsid w:val="006C547E"/>
    <w:rsid w:val="006E543F"/>
    <w:rsid w:val="00704C5D"/>
    <w:rsid w:val="007072BC"/>
    <w:rsid w:val="00715275"/>
    <w:rsid w:val="007168AD"/>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0965"/>
    <w:rsid w:val="00863A66"/>
    <w:rsid w:val="008703D7"/>
    <w:rsid w:val="00874429"/>
    <w:rsid w:val="00883D9A"/>
    <w:rsid w:val="008919EF"/>
    <w:rsid w:val="00892B20"/>
    <w:rsid w:val="00897691"/>
    <w:rsid w:val="008A12EC"/>
    <w:rsid w:val="008B2F3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9E6225"/>
    <w:rsid w:val="009F2A4B"/>
    <w:rsid w:val="00A00D8D"/>
    <w:rsid w:val="00A07BD3"/>
    <w:rsid w:val="00A4303C"/>
    <w:rsid w:val="00A62DAB"/>
    <w:rsid w:val="00A726A6"/>
    <w:rsid w:val="00A97535"/>
    <w:rsid w:val="00AA2BAA"/>
    <w:rsid w:val="00AA73F1"/>
    <w:rsid w:val="00AB0E1A"/>
    <w:rsid w:val="00AB1A30"/>
    <w:rsid w:val="00AC47BD"/>
    <w:rsid w:val="00AD10EB"/>
    <w:rsid w:val="00AD1ED3"/>
    <w:rsid w:val="00B04248"/>
    <w:rsid w:val="00B07536"/>
    <w:rsid w:val="00B0777D"/>
    <w:rsid w:val="00B1195F"/>
    <w:rsid w:val="00B209C7"/>
    <w:rsid w:val="00B3644F"/>
    <w:rsid w:val="00B4057A"/>
    <w:rsid w:val="00B40894"/>
    <w:rsid w:val="00B444AE"/>
    <w:rsid w:val="00B45E75"/>
    <w:rsid w:val="00B50876"/>
    <w:rsid w:val="00B55AB0"/>
    <w:rsid w:val="00B55EE5"/>
    <w:rsid w:val="00B71D1F"/>
    <w:rsid w:val="00B73DE6"/>
    <w:rsid w:val="00B76CAB"/>
    <w:rsid w:val="00B86EF0"/>
    <w:rsid w:val="00B96969"/>
    <w:rsid w:val="00B97900"/>
    <w:rsid w:val="00BA1229"/>
    <w:rsid w:val="00BA44A8"/>
    <w:rsid w:val="00BE5556"/>
    <w:rsid w:val="00BF6691"/>
    <w:rsid w:val="00C028FC"/>
    <w:rsid w:val="00C10ED5"/>
    <w:rsid w:val="00C12007"/>
    <w:rsid w:val="00C1502A"/>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0E29"/>
    <w:rsid w:val="00D8560E"/>
    <w:rsid w:val="00D8758F"/>
    <w:rsid w:val="00DA6B78"/>
    <w:rsid w:val="00DB590F"/>
    <w:rsid w:val="00DC1D94"/>
    <w:rsid w:val="00DC35F3"/>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03892"/>
    <w:rsid w:val="00F107D3"/>
    <w:rsid w:val="00F234A7"/>
    <w:rsid w:val="00F277B6"/>
    <w:rsid w:val="00F54380"/>
    <w:rsid w:val="00F54B47"/>
    <w:rsid w:val="00F6702E"/>
    <w:rsid w:val="00F70E84"/>
    <w:rsid w:val="00FA092B"/>
    <w:rsid w:val="00FA6EFD"/>
    <w:rsid w:val="00FB571C"/>
    <w:rsid w:val="00FB74EA"/>
    <w:rsid w:val="00FD05C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066E3E"/>
    <w:pPr>
      <w:spacing w:before="480" w:after="0"/>
      <w:jc w:val="center"/>
    </w:pPr>
    <w:rPr>
      <w:rFonts w:ascii="Arial" w:hAnsi="Arial"/>
      <w:b/>
    </w:rPr>
  </w:style>
  <w:style w:type="paragraph" w:customStyle="1" w:styleId="TableTitle">
    <w:name w:val="Table Title"/>
    <w:basedOn w:val="BodyText"/>
    <w:next w:val="BodyText"/>
    <w:qFormat/>
    <w:rsid w:val="00066E3E"/>
    <w:pPr>
      <w:spacing w:after="0"/>
      <w:jc w:val="center"/>
    </w:pPr>
    <w:rPr>
      <w:rFonts w:ascii="Arial" w:hAnsi="Arial"/>
      <w:b/>
    </w:rPr>
  </w:style>
  <w:style w:type="paragraph" w:styleId="BalloonText">
    <w:name w:val="Balloon Text"/>
    <w:basedOn w:val="Normal"/>
    <w:link w:val="BalloonTextChar"/>
    <w:rsid w:val="00352761"/>
    <w:rPr>
      <w:rFonts w:ascii="Tahoma" w:hAnsi="Tahoma" w:cs="Tahoma"/>
      <w:sz w:val="16"/>
      <w:szCs w:val="16"/>
    </w:rPr>
  </w:style>
  <w:style w:type="character" w:customStyle="1" w:styleId="BalloonTextChar">
    <w:name w:val="Balloon Text Char"/>
    <w:basedOn w:val="DefaultParagraphFont"/>
    <w:link w:val="BalloonText"/>
    <w:rsid w:val="00352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066E3E"/>
    <w:pPr>
      <w:spacing w:before="480" w:after="0"/>
      <w:jc w:val="center"/>
    </w:pPr>
    <w:rPr>
      <w:rFonts w:ascii="Arial" w:hAnsi="Arial"/>
      <w:b/>
    </w:rPr>
  </w:style>
  <w:style w:type="paragraph" w:customStyle="1" w:styleId="TableTitle">
    <w:name w:val="Table Title"/>
    <w:basedOn w:val="BodyText"/>
    <w:next w:val="BodyText"/>
    <w:qFormat/>
    <w:rsid w:val="00066E3E"/>
    <w:pPr>
      <w:spacing w:after="0"/>
      <w:jc w:val="center"/>
    </w:pPr>
    <w:rPr>
      <w:rFonts w:ascii="Arial" w:hAnsi="Arial"/>
      <w:b/>
    </w:rPr>
  </w:style>
  <w:style w:type="paragraph" w:styleId="BalloonText">
    <w:name w:val="Balloon Text"/>
    <w:basedOn w:val="Normal"/>
    <w:link w:val="BalloonTextChar"/>
    <w:rsid w:val="00352761"/>
    <w:rPr>
      <w:rFonts w:ascii="Tahoma" w:hAnsi="Tahoma" w:cs="Tahoma"/>
      <w:sz w:val="16"/>
      <w:szCs w:val="16"/>
    </w:rPr>
  </w:style>
  <w:style w:type="character" w:customStyle="1" w:styleId="BalloonTextChar">
    <w:name w:val="Balloon Text Char"/>
    <w:basedOn w:val="DefaultParagraphFont"/>
    <w:link w:val="BalloonText"/>
    <w:rsid w:val="00352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13</Pages>
  <Words>2878</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2018-01-04T16:24:00Z</dcterms:created>
  <dcterms:modified xsi:type="dcterms:W3CDTF">2018-01-04T19:15:00Z</dcterms:modified>
</cp:coreProperties>
</file>