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B0C8E" w:rsidP="001641D8">
      <w:pPr>
        <w:pStyle w:val="OrderHeading"/>
      </w:pPr>
      <w:r>
        <w:t>BEFORE THE FLORIDA PUBLIC SERVICE COMMISSION</w:t>
      </w:r>
    </w:p>
    <w:p w:rsidR="00AB0C8E" w:rsidRDefault="00AB0C8E" w:rsidP="00D34CCD">
      <w:pPr>
        <w:pStyle w:val="OrderHeading"/>
        <w:jc w:val="both"/>
      </w:pPr>
    </w:p>
    <w:p w:rsidR="00AB0C8E" w:rsidRDefault="00AB0C8E" w:rsidP="00D34C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0C8E" w:rsidRPr="00C63FCF" w:rsidTr="00C63FCF">
        <w:trPr>
          <w:trHeight w:val="828"/>
        </w:trPr>
        <w:tc>
          <w:tcPr>
            <w:tcW w:w="4788" w:type="dxa"/>
            <w:tcBorders>
              <w:bottom w:val="nil"/>
              <w:right w:val="double" w:sz="6" w:space="0" w:color="auto"/>
            </w:tcBorders>
            <w:shd w:val="clear" w:color="auto" w:fill="auto"/>
          </w:tcPr>
          <w:p w:rsidR="00AB0C8E" w:rsidRDefault="00AB0C8E" w:rsidP="00D34CCD">
            <w:pPr>
              <w:pStyle w:val="OrderBody"/>
              <w:tabs>
                <w:tab w:val="center" w:pos="4320"/>
                <w:tab w:val="right" w:pos="8640"/>
              </w:tabs>
            </w:pPr>
            <w:r>
              <w:t xml:space="preserve">In re: </w:t>
            </w:r>
            <w:bookmarkStart w:id="0" w:name="SMInRe"/>
            <w:bookmarkEnd w:id="0"/>
            <w:r>
              <w:t>Petition to determine need for Seminole combined cycle facility, by Seminole Electric Cooperative, Inc.</w:t>
            </w:r>
          </w:p>
          <w:p w:rsidR="00AB0C8E" w:rsidRDefault="00AB0C8E" w:rsidP="00D34CCD">
            <w:pPr>
              <w:pStyle w:val="OrderBody"/>
              <w:tabs>
                <w:tab w:val="center" w:pos="4320"/>
                <w:tab w:val="right" w:pos="8640"/>
              </w:tabs>
            </w:pPr>
          </w:p>
        </w:tc>
        <w:tc>
          <w:tcPr>
            <w:tcW w:w="4788" w:type="dxa"/>
            <w:tcBorders>
              <w:left w:val="double" w:sz="6" w:space="0" w:color="auto"/>
              <w:bottom w:val="nil"/>
            </w:tcBorders>
            <w:shd w:val="clear" w:color="auto" w:fill="auto"/>
          </w:tcPr>
          <w:p w:rsidR="00AB0C8E" w:rsidRDefault="00AB0C8E" w:rsidP="00D34CCD">
            <w:pPr>
              <w:pStyle w:val="OrderBody"/>
              <w:tabs>
                <w:tab w:val="center" w:pos="4320"/>
                <w:tab w:val="right" w:pos="8640"/>
              </w:tabs>
            </w:pPr>
            <w:r>
              <w:t xml:space="preserve">DOCKET NO. </w:t>
            </w:r>
            <w:bookmarkStart w:id="1" w:name="SMDocketNo"/>
            <w:bookmarkEnd w:id="1"/>
            <w:r>
              <w:t>20170266-EC</w:t>
            </w:r>
          </w:p>
        </w:tc>
      </w:tr>
      <w:tr w:rsidR="00AB0C8E" w:rsidRPr="00C63FCF" w:rsidTr="00C63FCF">
        <w:trPr>
          <w:trHeight w:val="828"/>
        </w:trPr>
        <w:tc>
          <w:tcPr>
            <w:tcW w:w="4788" w:type="dxa"/>
            <w:tcBorders>
              <w:top w:val="nil"/>
              <w:bottom w:val="single" w:sz="8" w:space="0" w:color="auto"/>
              <w:right w:val="double" w:sz="6" w:space="0" w:color="auto"/>
            </w:tcBorders>
            <w:shd w:val="clear" w:color="auto" w:fill="auto"/>
          </w:tcPr>
          <w:p w:rsidR="00AB0C8E" w:rsidRDefault="00AB0C8E" w:rsidP="00D34CCD">
            <w:pPr>
              <w:pStyle w:val="OrderBody"/>
              <w:tabs>
                <w:tab w:val="center" w:pos="4320"/>
                <w:tab w:val="right" w:pos="8640"/>
              </w:tabs>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rsidR="00AB0C8E" w:rsidRDefault="00AB0C8E" w:rsidP="00D34CCD">
            <w:pPr>
              <w:pStyle w:val="OrderBody"/>
            </w:pPr>
            <w:r>
              <w:t xml:space="preserve">DOCKET NO. </w:t>
            </w:r>
            <w:bookmarkStart w:id="2" w:name="SMDocketNo2"/>
            <w:bookmarkEnd w:id="2"/>
            <w:r>
              <w:t>20170267-EC</w:t>
            </w:r>
          </w:p>
          <w:p w:rsidR="00AB0C8E" w:rsidRDefault="00AB0C8E" w:rsidP="00D34CCD">
            <w:pPr>
              <w:pStyle w:val="OrderBody"/>
              <w:tabs>
                <w:tab w:val="center" w:pos="4320"/>
                <w:tab w:val="right" w:pos="8640"/>
              </w:tabs>
            </w:pPr>
            <w:r>
              <w:t xml:space="preserve">ORDER NO. </w:t>
            </w:r>
            <w:bookmarkStart w:id="3" w:name="OrderNo0018"/>
            <w:r w:rsidR="00C27C8C">
              <w:t>PSC-2018-0018-PCO-EC</w:t>
            </w:r>
            <w:bookmarkEnd w:id="3"/>
          </w:p>
          <w:p w:rsidR="00AB0C8E" w:rsidRDefault="00AB0C8E" w:rsidP="00D34CCD">
            <w:pPr>
              <w:pStyle w:val="OrderBody"/>
              <w:tabs>
                <w:tab w:val="center" w:pos="4320"/>
                <w:tab w:val="right" w:pos="8640"/>
              </w:tabs>
            </w:pPr>
            <w:r>
              <w:t xml:space="preserve">ISSUED: </w:t>
            </w:r>
            <w:r w:rsidR="00C27C8C">
              <w:t>January 5, 2018</w:t>
            </w:r>
          </w:p>
          <w:p w:rsidR="00AB0C8E" w:rsidRDefault="00AB0C8E" w:rsidP="00D34CCD">
            <w:pPr>
              <w:pStyle w:val="OrderBody"/>
              <w:tabs>
                <w:tab w:val="center" w:pos="4320"/>
                <w:tab w:val="right" w:pos="8640"/>
              </w:tabs>
            </w:pPr>
          </w:p>
        </w:tc>
      </w:tr>
    </w:tbl>
    <w:p w:rsidR="00CB5276" w:rsidRDefault="00CB5276" w:rsidP="00D34CCD">
      <w:pPr>
        <w:pStyle w:val="OrderBody"/>
      </w:pPr>
      <w:bookmarkStart w:id="4" w:name="Commissioners"/>
      <w:bookmarkEnd w:id="4"/>
    </w:p>
    <w:p w:rsidR="00721BFF" w:rsidRDefault="00721BFF" w:rsidP="00D34CCD">
      <w:pPr>
        <w:pStyle w:val="OrderBody"/>
      </w:pPr>
    </w:p>
    <w:p w:rsidR="008343F9" w:rsidRDefault="00AB0C8E" w:rsidP="001641D8">
      <w:pPr>
        <w:pStyle w:val="CenterUnderline"/>
      </w:pPr>
      <w:r>
        <w:t>ORDER</w:t>
      </w:r>
      <w:bookmarkStart w:id="5" w:name="OrderTitle"/>
      <w:r w:rsidR="007B60E3">
        <w:t xml:space="preserve"> ESTABLISHING PROCEDURE</w:t>
      </w:r>
      <w:r w:rsidR="004463A6">
        <w:t xml:space="preserve"> </w:t>
      </w:r>
    </w:p>
    <w:p w:rsidR="00AB0C8E" w:rsidRDefault="004463A6" w:rsidP="008343F9">
      <w:pPr>
        <w:pStyle w:val="CenterUnderline"/>
      </w:pPr>
      <w:r>
        <w:t>AND CONSOLIDATING</w:t>
      </w:r>
      <w:r w:rsidR="008343F9">
        <w:t xml:space="preserve"> </w:t>
      </w:r>
      <w:r w:rsidR="00F411D0">
        <w:t>DOCKET NOS. 20170266-EC AND 20170267-EC</w:t>
      </w:r>
      <w:bookmarkEnd w:id="5"/>
      <w:r w:rsidR="00851802">
        <w:t xml:space="preserve"> FOR HEARING</w:t>
      </w:r>
    </w:p>
    <w:p w:rsidR="00AB0C8E" w:rsidRDefault="00AB0C8E" w:rsidP="00D34CCD">
      <w:pPr>
        <w:pStyle w:val="OrderBody"/>
      </w:pPr>
    </w:p>
    <w:p w:rsidR="007B60E3" w:rsidRPr="002A45CB" w:rsidRDefault="007B60E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bookmarkStart w:id="6" w:name="OrderText"/>
      <w:bookmarkEnd w:id="6"/>
      <w:r w:rsidRPr="002A45CB">
        <w:rPr>
          <w:b/>
          <w:bCs/>
        </w:rPr>
        <w:t>I.</w:t>
      </w:r>
      <w:r w:rsidRPr="002A45CB">
        <w:rPr>
          <w:b/>
          <w:bCs/>
        </w:rPr>
        <w:tab/>
      </w:r>
      <w:r w:rsidRPr="002A45CB">
        <w:rPr>
          <w:b/>
          <w:bCs/>
          <w:u w:val="single"/>
        </w:rPr>
        <w:t>Case Background</w:t>
      </w:r>
    </w:p>
    <w:p w:rsidR="007B60E3" w:rsidRPr="002A45CB" w:rsidRDefault="007B60E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D82D01" w:rsidRDefault="007B60E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December 21, 2017, pursuant to Section 403.519, Florida Statutes (F.S.), and Rule 25-22.081, Florida Administrative Code (F.A.C.), Seminole Electric Cooperative, Inc. (Seminole) filed</w:t>
      </w:r>
      <w:r w:rsidR="009261EE">
        <w:t xml:space="preserve"> two petitions</w:t>
      </w:r>
      <w:r>
        <w:t xml:space="preserve">: (1) a </w:t>
      </w:r>
      <w:r w:rsidR="009261EE">
        <w:t>p</w:t>
      </w:r>
      <w:r>
        <w:t xml:space="preserve">etition </w:t>
      </w:r>
      <w:r w:rsidR="000305B6">
        <w:t>for determination of need</w:t>
      </w:r>
      <w:r>
        <w:t xml:space="preserve"> for</w:t>
      </w:r>
      <w:r w:rsidR="000305B6">
        <w:t xml:space="preserve"> a </w:t>
      </w:r>
      <w:r>
        <w:t>Seminole combined cycle facility</w:t>
      </w:r>
      <w:r w:rsidR="003E64D3">
        <w:t xml:space="preserve"> </w:t>
      </w:r>
      <w:r>
        <w:t>and (2)</w:t>
      </w:r>
      <w:r w:rsidR="009261EE">
        <w:t xml:space="preserve"> a j</w:t>
      </w:r>
      <w:r>
        <w:t>oint petition</w:t>
      </w:r>
      <w:r w:rsidR="00F46584">
        <w:t xml:space="preserve"> with Shady Hills Energy Center, LLC (SHEC)</w:t>
      </w:r>
      <w:r>
        <w:t xml:space="preserve"> for determination of need for </w:t>
      </w:r>
      <w:r w:rsidR="000305B6">
        <w:t xml:space="preserve">a </w:t>
      </w:r>
      <w:r>
        <w:t>Shady Hills combined cycle facility.</w:t>
      </w:r>
      <w:r w:rsidR="009261EE">
        <w:t xml:space="preserve"> </w:t>
      </w:r>
    </w:p>
    <w:p w:rsidR="00D82D01" w:rsidRDefault="00D82D01"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366F" w:rsidRDefault="00D82D01"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261EE">
        <w:t>In the first petition,</w:t>
      </w:r>
      <w:r w:rsidR="003E64D3">
        <w:t xml:space="preserve"> filed in Docket No. 20170266-EC,</w:t>
      </w:r>
      <w:r w:rsidR="009261EE">
        <w:t xml:space="preserve"> Seminole</w:t>
      </w:r>
      <w:r w:rsidR="009261EE" w:rsidRPr="00B502C7">
        <w:t xml:space="preserve"> proposes to construct a</w:t>
      </w:r>
      <w:r w:rsidR="001504FE">
        <w:t xml:space="preserve"> </w:t>
      </w:r>
      <w:r w:rsidR="001504FE" w:rsidRPr="000C75CF">
        <w:t xml:space="preserve">1,050 </w:t>
      </w:r>
      <w:r w:rsidR="000C75CF" w:rsidRPr="000C75CF">
        <w:t>megawatt</w:t>
      </w:r>
      <w:r w:rsidR="009261EE" w:rsidRPr="000C75CF">
        <w:t xml:space="preserve"> (net-nominal) t</w:t>
      </w:r>
      <w:r w:rsidR="009261EE">
        <w:t>wo-on-one (“2x1”)</w:t>
      </w:r>
      <w:r w:rsidR="009261EE" w:rsidRPr="00B502C7">
        <w:t xml:space="preserve"> natural gas-</w:t>
      </w:r>
      <w:r w:rsidR="009261EE">
        <w:t>fired combined cycle electric generating unit</w:t>
      </w:r>
      <w:r w:rsidR="009261EE" w:rsidRPr="00B502C7">
        <w:t xml:space="preserve"> adjacent to Seminole’s existing power p</w:t>
      </w:r>
      <w:r w:rsidR="009261EE">
        <w:t xml:space="preserve">lant in Putman County, Florida. In the second petition, </w:t>
      </w:r>
      <w:r w:rsidR="003E64D3">
        <w:t xml:space="preserve">filed in Docket No. 20170267-EC, </w:t>
      </w:r>
      <w:r w:rsidR="009261EE">
        <w:t>Seminole and SHEC propose to construct a n</w:t>
      </w:r>
      <w:r w:rsidR="009261EE" w:rsidRPr="00721BFF">
        <w:t xml:space="preserve">ew 573 </w:t>
      </w:r>
      <w:r w:rsidR="000C75CF" w:rsidRPr="000C75CF">
        <w:t>megawatt</w:t>
      </w:r>
      <w:r w:rsidR="009261EE" w:rsidRPr="00721BFF">
        <w:t xml:space="preserve"> (net-nominal) combined cycle generating facility located adjacent to the site of the existing Shady Hills power plant in Pasco County, Florida. According to both petitions, the inclusion of the new Shady Hills Combined Cycle Facility, in conjunction with the removal from service of an exist</w:t>
      </w:r>
      <w:r w:rsidR="001504FE">
        <w:t>ing S</w:t>
      </w:r>
      <w:r w:rsidR="00F46584">
        <w:t xml:space="preserve">eminole </w:t>
      </w:r>
      <w:r w:rsidR="001504FE">
        <w:t>G</w:t>
      </w:r>
      <w:r w:rsidR="00F46584">
        <w:t xml:space="preserve">enerating </w:t>
      </w:r>
      <w:r w:rsidR="001504FE">
        <w:t>S</w:t>
      </w:r>
      <w:r w:rsidR="00F46584">
        <w:t>tation (SGS)</w:t>
      </w:r>
      <w:r w:rsidR="001504FE">
        <w:t xml:space="preserve"> coal-fired unit, and the addition of a </w:t>
      </w:r>
      <w:r w:rsidR="009261EE" w:rsidRPr="00721BFF">
        <w:t xml:space="preserve">1,050 </w:t>
      </w:r>
      <w:r w:rsidR="000C75CF" w:rsidRPr="000C75CF">
        <w:t>megawatt</w:t>
      </w:r>
      <w:r w:rsidR="009261EE" w:rsidRPr="00721BFF">
        <w:t xml:space="preserve"> (net-nominal) </w:t>
      </w:r>
      <w:r w:rsidR="000305B6">
        <w:t>2x1</w:t>
      </w:r>
      <w:r w:rsidR="009261EE" w:rsidRPr="00721BFF">
        <w:t xml:space="preserve"> natural gas-fired combined cycle electric generating unit, is the most-effective way to meet the capacity needs of Seminole and its members.</w:t>
      </w:r>
      <w:r w:rsidR="00FD366F">
        <w:t xml:space="preserve"> </w:t>
      </w:r>
    </w:p>
    <w:p w:rsidR="00FD366F" w:rsidRDefault="00FD366F"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73C" w:rsidRDefault="00FD366F"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370A9">
        <w:rPr>
          <w:rFonts w:ascii="BookAntiqua" w:hAnsi="BookAntiqua" w:cs="BookAntiqua"/>
        </w:rPr>
        <w:t>In both petitions</w:t>
      </w:r>
      <w:r w:rsidRPr="00721BFF">
        <w:rPr>
          <w:rFonts w:ascii="BookAntiqua" w:hAnsi="BookAntiqua" w:cs="BookAntiqua"/>
        </w:rPr>
        <w:t>, Seminole and SHEC requested that the two proceedings be consolidated for purposes of hearing</w:t>
      </w:r>
      <w:r w:rsidR="00F370A9">
        <w:rPr>
          <w:rFonts w:ascii="BookAntiqua" w:hAnsi="BookAntiqua" w:cs="BookAntiqua"/>
        </w:rPr>
        <w:t xml:space="preserve"> since the petitions are interrelated</w:t>
      </w:r>
      <w:r w:rsidRPr="00721BFF">
        <w:rPr>
          <w:rFonts w:ascii="BookAntiqua" w:hAnsi="BookAntiqua" w:cs="BookAntiqua"/>
        </w:rPr>
        <w:t>. However, because the two proceedings will proceed separately under the Florida Electrical Power Plant Siting Act, Seminole and SHEC requested that the Commission issue two separate final orders pursuant to Section 403.519, F.S.</w:t>
      </w:r>
      <w:r>
        <w:rPr>
          <w:rFonts w:ascii="BookAntiqua" w:hAnsi="BookAntiqua" w:cs="BookAntiqua"/>
        </w:rPr>
        <w:t xml:space="preserve"> </w:t>
      </w:r>
      <w:r>
        <w:t>The petitioners’ request for consolidation is addressed</w:t>
      </w:r>
      <w:r w:rsidRPr="002A45CB">
        <w:t xml:space="preserve"> in Section </w:t>
      </w:r>
      <w:r w:rsidRPr="00187659">
        <w:t>X o</w:t>
      </w:r>
      <w:r w:rsidRPr="002A45CB">
        <w:t>f this Order.</w:t>
      </w:r>
    </w:p>
    <w:p w:rsidR="00B81519" w:rsidRDefault="00B81519"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11A2" w:rsidRPr="00FD366F" w:rsidRDefault="00B81519" w:rsidP="00FD366F">
      <w:pPr>
        <w:autoSpaceDE w:val="0"/>
        <w:autoSpaceDN w:val="0"/>
        <w:adjustRightInd w:val="0"/>
        <w:ind w:firstLine="720"/>
        <w:jc w:val="both"/>
        <w:rPr>
          <w:rFonts w:ascii="BookAntiqua" w:hAnsi="BookAntiqua" w:cs="BookAntiqua"/>
        </w:rPr>
      </w:pPr>
      <w:r w:rsidRPr="0099140C">
        <w:t>An administrative hearing has been scheduled for both docketed matters from March 21 - 22, 2018.</w:t>
      </w:r>
      <w:r w:rsidRPr="0099140C">
        <w:rPr>
          <w:rFonts w:ascii="BookAntiqua" w:hAnsi="BookAntiqua" w:cs="BookAntiqua"/>
        </w:rPr>
        <w:t xml:space="preserve"> </w:t>
      </w:r>
      <w:r w:rsidRPr="0099140C">
        <w:t>Jurisdiction over these matters is vested in the Commission by Chapter 366, F.S., and Section 403.51</w:t>
      </w:r>
      <w:r w:rsidRPr="00EB334F">
        <w:t>9, F.S.</w:t>
      </w:r>
      <w:r>
        <w:t xml:space="preserve"> </w:t>
      </w:r>
      <w:r w:rsidRPr="002A45CB">
        <w:t xml:space="preserve">This Order is issued pursuant to the authority granted by Rule 28-106.211, </w:t>
      </w:r>
      <w:r w:rsidR="000E7C81">
        <w:lastRenderedPageBreak/>
        <w:t>F.A.C.</w:t>
      </w:r>
      <w:r w:rsidRPr="002A45CB">
        <w:t>, which provides that the presiding officer before whom a case is pending may issue any orders necessary to effectuate discovery, prevent delay, and promote the just, speedy, and inexpensive determination of all aspects of the case.</w:t>
      </w:r>
    </w:p>
    <w:p w:rsidR="007B60E3" w:rsidRPr="002A45CB" w:rsidRDefault="007B60E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2A45CB">
        <w:tab/>
      </w: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rPr>
          <w:b/>
          <w:bCs/>
        </w:rPr>
        <w:t>II.</w:t>
      </w:r>
      <w:r w:rsidRPr="002A45CB">
        <w:rPr>
          <w:b/>
          <w:bCs/>
        </w:rPr>
        <w:tab/>
      </w:r>
      <w:r w:rsidRPr="002A45CB">
        <w:rPr>
          <w:b/>
          <w:bCs/>
          <w:u w:val="single"/>
        </w:rPr>
        <w:t>General Filing Procedures</w:t>
      </w: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2A45CB">
          <w:rPr>
            <w:color w:val="0000FF"/>
            <w:u w:val="single"/>
          </w:rPr>
          <w:t>www.floridapsc.com</w:t>
        </w:r>
      </w:hyperlink>
      <w:r w:rsidRPr="002A45CB">
        <w:t>.   If filing via mail, hand delivery, or courier service, the filing should be  addressed to:</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Office of Commission Clerk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Florida Public Service Commission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2540 Shumard Oak Boulevard</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Tallahassee, Florida  32399-0850</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59782F" w:rsidRDefault="00497C33" w:rsidP="0059782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w:t>
      </w:r>
      <w:r w:rsidR="00D2070B">
        <w:t>,</w:t>
      </w:r>
      <w:r w:rsidRPr="002A45CB">
        <w:t xml:space="preserve"> and all schedules shall be provided in Microsoft Excel format with formulas intact and unlocked.</w:t>
      </w:r>
    </w:p>
    <w:p w:rsidR="00FE2ECE" w:rsidRPr="00497C33" w:rsidRDefault="00FE2ECE"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highlight w:val="yellow"/>
        </w:rPr>
      </w:pPr>
    </w:p>
    <w:p w:rsidR="00497C33" w:rsidRPr="00497C33" w:rsidRDefault="003B54BF"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497C33" w:rsidRPr="00497C33">
        <w:rPr>
          <w:b/>
        </w:rPr>
        <w:t>.</w:t>
      </w:r>
      <w:r w:rsidR="00497C33" w:rsidRPr="00497C33">
        <w:rPr>
          <w:b/>
        </w:rPr>
        <w:tab/>
      </w:r>
      <w:r w:rsidR="00497C33" w:rsidRPr="00497C33">
        <w:rPr>
          <w:b/>
          <w:u w:val="single"/>
        </w:rPr>
        <w:t>Tentative List of Issues</w:t>
      </w:r>
    </w:p>
    <w:p w:rsidR="00497C33" w:rsidRPr="00497C33"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497C33" w:rsidRPr="0059782F"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97C33">
        <w:tab/>
      </w:r>
      <w:r w:rsidRPr="00FE2ECE">
        <w:t>A</w:t>
      </w:r>
      <w:r w:rsidR="00BC78FD" w:rsidRPr="00FE2ECE">
        <w:t xml:space="preserve"> tentative </w:t>
      </w:r>
      <w:r w:rsidRPr="00FE2ECE">
        <w:t xml:space="preserve">list of the issues </w:t>
      </w:r>
      <w:r w:rsidR="00BC78FD" w:rsidRPr="00FE2ECE">
        <w:t>is set forth in Attachment A</w:t>
      </w:r>
      <w:r w:rsidR="00FD366F">
        <w:t xml:space="preserve"> of this Order</w:t>
      </w:r>
      <w:r w:rsidRPr="00FE2ECE">
        <w:t>.</w:t>
      </w:r>
      <w:r w:rsidRPr="00497C33">
        <w:t xml:space="preserve"> The scope of this proceeding will be based upon these issues as well as other issues raised by the parties up to and during the Prehearing Conference, unless modified by the Commission.</w:t>
      </w: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497C33" w:rsidRPr="002A45CB" w:rsidRDefault="003B54BF"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497C33" w:rsidRPr="002A45CB">
        <w:rPr>
          <w:b/>
        </w:rPr>
        <w:t>V.</w:t>
      </w:r>
      <w:r w:rsidR="00497C33" w:rsidRPr="002A45CB">
        <w:rPr>
          <w:b/>
        </w:rPr>
        <w:tab/>
      </w:r>
      <w:r w:rsidR="00497C33" w:rsidRPr="002A45CB">
        <w:rPr>
          <w:b/>
          <w:u w:val="single"/>
        </w:rPr>
        <w:t>Prefiled Testimony and Exhibits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Each party shall file all testimony and exhibits that it intends to sponsor, pursuant to the schedule set forth in Section </w:t>
      </w:r>
      <w:r w:rsidR="003B54BF" w:rsidRPr="00187659">
        <w:t>IX</w:t>
      </w:r>
      <w:r w:rsidR="003B54BF">
        <w:rPr>
          <w:b/>
          <w:i/>
        </w:rPr>
        <w:t xml:space="preserve"> </w:t>
      </w:r>
      <w:r w:rsidRPr="002A45CB">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The dimensions of each page of testimony shall be 8 ½ x 11 inches.  Each page shall be consecutively numbered and double spaced, with 25 numbered lines per page and left margins of </w:t>
      </w:r>
      <w:r w:rsidRPr="002A45CB">
        <w:lastRenderedPageBreak/>
        <w:t>at least 1.25 inches.  If filing paper copies of the testimony, all pages shall be filed on white, unglossed, three-holed paper and shall be unbound and without tabs.</w:t>
      </w: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ab/>
        <w:t>Each exhibit sponsored by a witness in support of his or her prefiled testimony shall be:</w:t>
      </w: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97C33" w:rsidRPr="002A45CB" w:rsidRDefault="00497C33" w:rsidP="00D34CCD">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Attached to that witness’ testimony when filed;</w:t>
      </w:r>
    </w:p>
    <w:p w:rsidR="00497C33" w:rsidRPr="002A45CB" w:rsidRDefault="00497C33" w:rsidP="00D34CCD">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If filing paper copies, on three-holed paper, unbound, and without tabs;</w:t>
      </w:r>
    </w:p>
    <w:p w:rsidR="00497C33" w:rsidRPr="002A45CB" w:rsidRDefault="00497C33" w:rsidP="00D34CCD">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Sequentially numbered beginning with 1 (any exhibits attached to subsequently filed testimony of the same witness shall continue the sequential numbering system);</w:t>
      </w:r>
    </w:p>
    <w:p w:rsidR="00497C33" w:rsidRPr="002A45CB" w:rsidRDefault="00497C33" w:rsidP="00D34CCD">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Identified in the upper right-hand corner of each page by the docket number, a brief title, and the witness’ initials followed by the exhibit’s number; and</w:t>
      </w:r>
    </w:p>
    <w:p w:rsidR="00497C33" w:rsidRPr="002A45CB" w:rsidRDefault="00497C33" w:rsidP="00D34CCD">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Paginated by showing in the upper right-hand corner of each page the page number followed by the total number of pages in the exhibit.</w:t>
      </w: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ab/>
        <w:t>An example of the information to appear in the upper right-hand corner of the exhibit is as follows: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r w:rsidRPr="002A45CB">
        <w:tab/>
        <w:t>Docket No. 012345-EI</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r w:rsidRPr="002A45CB">
        <w:tab/>
        <w:t>Foreign Coal Shipments to Port of Tampa</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r w:rsidRPr="002A45CB">
        <w:tab/>
        <w:t>Exhibit BLW-1, Page 1 of 2</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After an opportunity for opposing parties to object to introduction of the exhibits and to cross-examine the witness sponsoring them, exhibits may be offered into evidence at the hearing.</w:t>
      </w:r>
    </w:p>
    <w:p w:rsidR="00FE2ECE" w:rsidRPr="002A45CB" w:rsidRDefault="00FE2ECE"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3B54BF"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497C33" w:rsidRPr="002A45CB">
        <w:rPr>
          <w:b/>
        </w:rPr>
        <w:t>.</w:t>
      </w:r>
      <w:r w:rsidR="00497C33" w:rsidRPr="002A45CB">
        <w:rPr>
          <w:b/>
        </w:rPr>
        <w:tab/>
      </w:r>
      <w:r w:rsidR="00497C33" w:rsidRPr="002A45CB">
        <w:rPr>
          <w:b/>
          <w:u w:val="single"/>
        </w:rPr>
        <w:t>Discovery Procedures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A.</w:t>
      </w:r>
      <w:r w:rsidRPr="002A45CB">
        <w:tab/>
      </w:r>
      <w:r w:rsidRPr="002A45CB">
        <w:rPr>
          <w:u w:val="single"/>
        </w:rPr>
        <w:t>General Requirements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Discovery shall be conducted in accordance with the pro</w:t>
      </w:r>
      <w:r w:rsidR="00730B93">
        <w:t>visions of Chapter 120, F.S.</w:t>
      </w:r>
      <w:r w:rsidRPr="002A45CB">
        <w:t>, and the relevant provisions of Chapter</w:t>
      </w:r>
      <w:r>
        <w:rPr>
          <w:b/>
          <w:i/>
        </w:rPr>
        <w:t xml:space="preserve"> </w:t>
      </w:r>
      <w:r w:rsidRPr="00497C33">
        <w:t>366,</w:t>
      </w:r>
      <w:r>
        <w:t xml:space="preserve"> F.S.,</w:t>
      </w:r>
      <w:r w:rsidRPr="002A45CB">
        <w:t xml:space="preserve"> Rules 25-22, 25-40, and 28-106, F.A.C., and the Florida Rules of Civil Procedure (as applicable), as modified herein or as may be subsequently modified by the Prehearing Officer.</w:t>
      </w:r>
    </w:p>
    <w:p w:rsidR="00497C33" w:rsidRPr="002A45CB" w:rsidRDefault="00497C33" w:rsidP="00D34CCD">
      <w:pPr>
        <w:jc w:val="both"/>
        <w:rPr>
          <w:rFonts w:cs="Courier New"/>
        </w:rPr>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Unless subsequently modified by the Prehearing Officer, the following shall apply:</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spacing w:line="2" w:lineRule="exact"/>
        <w:jc w:val="both"/>
      </w:pP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Discovery shall be complete</w:t>
      </w:r>
      <w:r w:rsidRPr="00187659">
        <w:t>d by March 9, 2018.</w:t>
      </w:r>
      <w:r w:rsidRPr="002A45CB">
        <w:t xml:space="preserve"> </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Each electronic discovery response shall be given a separate electronic file name that is no longer than 60 characters.</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lastRenderedPageBreak/>
        <w:t>Sets of interrogatories, requests for admissions, requests for production of documents, or other forms of discovery shall be numbered sequentially in order to facilitate identification.</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Within each set, discovery requests shall be numbered sequentially, and any discovery requests in subsequent sets shall continue the sequential numbering system.</w:t>
      </w:r>
    </w:p>
    <w:p w:rsidR="00497C33" w:rsidRPr="002619D6"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rPr>
      </w:pPr>
      <w:r w:rsidRPr="002619D6">
        <w:rPr>
          <w:b/>
        </w:rPr>
        <w:t xml:space="preserve">Discovery responses shall be served within </w:t>
      </w:r>
      <w:r w:rsidR="002619D6" w:rsidRPr="002619D6">
        <w:rPr>
          <w:b/>
        </w:rPr>
        <w:t>15</w:t>
      </w:r>
      <w:r w:rsidR="002619D6" w:rsidRPr="002619D6">
        <w:rPr>
          <w:b/>
          <w:i/>
        </w:rPr>
        <w:t xml:space="preserve"> </w:t>
      </w:r>
      <w:r w:rsidRPr="002619D6">
        <w:rPr>
          <w:b/>
        </w:rPr>
        <w:t>days (inclusive of mailing) of rec</w:t>
      </w:r>
      <w:r w:rsidR="002619D6" w:rsidRPr="002619D6">
        <w:rPr>
          <w:b/>
        </w:rPr>
        <w:t xml:space="preserve">eipt of the discovery request. </w:t>
      </w:r>
      <w:r w:rsidRPr="002619D6">
        <w:rPr>
          <w:b/>
        </w:rPr>
        <w:t xml:space="preserve">For discovery requests related to matters addressed in the utility’s rebuttal testimony, discovery responses shall be served within </w:t>
      </w:r>
      <w:r w:rsidR="002619D6" w:rsidRPr="002619D6">
        <w:rPr>
          <w:b/>
        </w:rPr>
        <w:t>10</w:t>
      </w:r>
      <w:r w:rsidRPr="002619D6">
        <w:rPr>
          <w:b/>
        </w:rPr>
        <w:t xml:space="preserve"> days of receipt of the discovery request.</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2A45CB">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497C33" w:rsidRPr="002A45CB" w:rsidRDefault="00497C33" w:rsidP="00D34CCD">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Unless subsequently modified by the Prehearing Officer, the following shall apply:</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spacing w:line="2" w:lineRule="exact"/>
        <w:jc w:val="both"/>
      </w:pPr>
    </w:p>
    <w:p w:rsidR="00497C33" w:rsidRPr="00187659" w:rsidRDefault="00497C33" w:rsidP="00D34C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Interrogatories, includin</w:t>
      </w:r>
      <w:r w:rsidRPr="00187659">
        <w:t>g all subparts, shall be limited to</w:t>
      </w:r>
      <w:r w:rsidR="009F38D3" w:rsidRPr="00187659">
        <w:rPr>
          <w:b/>
          <w:i/>
        </w:rPr>
        <w:t xml:space="preserve"> </w:t>
      </w:r>
      <w:r w:rsidR="009F38D3" w:rsidRPr="00187659">
        <w:t>200</w:t>
      </w:r>
      <w:r w:rsidRPr="00187659">
        <w:t>.</w:t>
      </w:r>
    </w:p>
    <w:p w:rsidR="00497C33" w:rsidRPr="00187659" w:rsidRDefault="00497C33" w:rsidP="00D34C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87659">
        <w:t>Requests for production of documents, including all subparts, shall be limited to</w:t>
      </w:r>
      <w:r w:rsidR="009F38D3" w:rsidRPr="00187659">
        <w:rPr>
          <w:b/>
          <w:i/>
        </w:rPr>
        <w:t xml:space="preserve"> </w:t>
      </w:r>
      <w:r w:rsidR="009F38D3" w:rsidRPr="00187659">
        <w:t>200.</w:t>
      </w:r>
    </w:p>
    <w:p w:rsidR="00497C33" w:rsidRPr="00187659" w:rsidRDefault="00497C33" w:rsidP="00D34CC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187659">
        <w:t>Requests for admissions, including all subparts, shall be limited to</w:t>
      </w:r>
      <w:r w:rsidR="009F38D3" w:rsidRPr="00187659">
        <w:t xml:space="preserve"> 100.</w:t>
      </w: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97C33" w:rsidRPr="002A45CB" w:rsidRDefault="00497C33" w:rsidP="0059782F">
      <w:pPr>
        <w:ind w:firstLine="720"/>
        <w:jc w:val="both"/>
        <w:rPr>
          <w:rFonts w:cs="Courier New"/>
        </w:rPr>
      </w:pPr>
      <w:r w:rsidRPr="002A45CB">
        <w:rPr>
          <w:rFonts w:cs="Courier New"/>
        </w:rPr>
        <w:t>When a discovery request is served and the respondent intends to seek clarification of any portion of the discovery request, the re</w:t>
      </w:r>
      <w:r w:rsidRPr="00187659">
        <w:rPr>
          <w:rFonts w:cs="Courier New"/>
        </w:rPr>
        <w:t>spondent shall request such clarification within</w:t>
      </w:r>
      <w:r w:rsidR="009F38D3" w:rsidRPr="00187659">
        <w:rPr>
          <w:rFonts w:cs="Courier New"/>
        </w:rPr>
        <w:t xml:space="preserve"> five (5)</w:t>
      </w:r>
      <w:r w:rsidRPr="00187659">
        <w:rPr>
          <w:rFonts w:cs="Courier New"/>
        </w:rPr>
        <w:t xml:space="preserve"> days of se</w:t>
      </w:r>
      <w:r w:rsidR="009F38D3" w:rsidRPr="00187659">
        <w:rPr>
          <w:rFonts w:cs="Courier New"/>
        </w:rPr>
        <w:t>rvice of the discovery request.</w:t>
      </w:r>
      <w:r w:rsidRPr="00187659">
        <w:rPr>
          <w:rFonts w:cs="Courier New"/>
        </w:rPr>
        <w:t xml:space="preserve"> For discovery requests served after the</w:t>
      </w:r>
      <w:r w:rsidR="00306E72" w:rsidRPr="00187659">
        <w:rPr>
          <w:rFonts w:cs="Courier New"/>
        </w:rPr>
        <w:t xml:space="preserve"> utility’s rebuttal testimony</w:t>
      </w:r>
      <w:r w:rsidRPr="00187659">
        <w:rPr>
          <w:rFonts w:cs="Courier New"/>
        </w:rPr>
        <w:t xml:space="preserve"> such clarification must be requested within </w:t>
      </w:r>
      <w:r w:rsidR="009F38D3" w:rsidRPr="00187659">
        <w:rPr>
          <w:rFonts w:cs="Courier New"/>
        </w:rPr>
        <w:t>five (5)</w:t>
      </w:r>
      <w:r w:rsidR="009F38D3" w:rsidRPr="00187659">
        <w:rPr>
          <w:rFonts w:cs="Courier New"/>
          <w:b/>
          <w:i/>
        </w:rPr>
        <w:t xml:space="preserve"> </w:t>
      </w:r>
      <w:r w:rsidRPr="00187659">
        <w:rPr>
          <w:rFonts w:cs="Courier New"/>
        </w:rPr>
        <w:t>days. This procedure is intended to reduce delay in resolving discovery disput</w:t>
      </w:r>
      <w:r w:rsidRPr="002A45CB">
        <w:rPr>
          <w:rFonts w:cs="Courier New"/>
        </w:rPr>
        <w:t>es.</w:t>
      </w: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ab/>
        <w:t>B.</w:t>
      </w:r>
      <w:r w:rsidRPr="002A45CB">
        <w:tab/>
      </w:r>
      <w:r w:rsidRPr="002A45CB">
        <w:rPr>
          <w:u w:val="single"/>
        </w:rPr>
        <w:t>Confidential Information Provided Pursuant to Discovery</w:t>
      </w:r>
      <w:r w:rsidRPr="002A45CB">
        <w:tab/>
      </w:r>
    </w:p>
    <w:p w:rsidR="00497C33" w:rsidRPr="002A45CB" w:rsidRDefault="00497C33" w:rsidP="00D34C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Any information provided to the Commission staff pursuant to a discovery request by the staff or any other person and for which proprietary confidential business information status is requested pursuant to Section</w:t>
      </w:r>
      <w:r w:rsidR="009F38D3">
        <w:t xml:space="preserve"> 366.093</w:t>
      </w:r>
      <w:r w:rsidRPr="002A45CB">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w:t>
      </w:r>
      <w:r w:rsidRPr="002A45CB">
        <w:lastRenderedPageBreak/>
        <w:t xml:space="preserve">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9F38D3" w:rsidRPr="009F38D3">
        <w:t>366.093</w:t>
      </w:r>
      <w:r w:rsidR="009F38D3">
        <w:t>,</w:t>
      </w:r>
      <w:r w:rsidRPr="009F38D3">
        <w:t xml:space="preserve"> F</w:t>
      </w:r>
      <w:r w:rsidRPr="002A45CB">
        <w:t>.S.  The Commission may determine that continued possession of the information is necessary for the Commission to conduct its business.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FE2ECE"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p>
    <w:p w:rsidR="00497C33" w:rsidRPr="002A45CB" w:rsidRDefault="003B54BF"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497C33" w:rsidRPr="002A45CB">
        <w:rPr>
          <w:b/>
          <w:bCs/>
        </w:rPr>
        <w:t>I.</w:t>
      </w:r>
      <w:r w:rsidR="00497C33" w:rsidRPr="002A45CB">
        <w:tab/>
      </w:r>
      <w:r w:rsidR="00497C33" w:rsidRPr="002A45CB">
        <w:rPr>
          <w:b/>
          <w:bCs/>
          <w:u w:val="single"/>
        </w:rPr>
        <w:t>Prehearing Procedures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A.</w:t>
      </w:r>
      <w:r w:rsidRPr="002A45CB">
        <w:tab/>
      </w:r>
      <w:r w:rsidRPr="002A45CB">
        <w:rPr>
          <w:u w:val="single"/>
        </w:rPr>
        <w:t>Prehearing Statements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A45CB">
        <w:tab/>
        <w:t xml:space="preserve">All parties in this docket and the Commission staff shall file a prehearing statement pursuant to the schedule set forth in Section </w:t>
      </w:r>
      <w:r w:rsidR="009F38D3" w:rsidRPr="00187659">
        <w:t>IX</w:t>
      </w:r>
      <w:r w:rsidRPr="00187659">
        <w:t xml:space="preserve"> o</w:t>
      </w:r>
      <w:r w:rsidRPr="002A45CB">
        <w:t>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Each party’s prehearing statement shall set forth the following information in the sequence listed below:</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(1)</w:t>
      </w:r>
      <w:r w:rsidRPr="002A45CB">
        <w:tab/>
        <w:t>The name of all known witnesses whose testimony has been prefiled or who may be called by the party, along with subject matter of each such witness’ testimony and the corresponding issue numbers in the following format:</w:t>
      </w:r>
    </w:p>
    <w:p w:rsidR="00497C33"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C4348" w:rsidRDefault="00AC4348"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C4348" w:rsidRDefault="00AC4348"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AC4348" w:rsidRPr="002A45CB" w:rsidRDefault="00AC4348"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lastRenderedPageBreak/>
        <w:t>All Known Witnesses: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497C33" w:rsidRPr="002A45CB" w:rsidTr="005B5125">
        <w:tc>
          <w:tcPr>
            <w:tcW w:w="306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Witness</w:t>
            </w:r>
          </w:p>
        </w:tc>
        <w:tc>
          <w:tcPr>
            <w:tcW w:w="2919"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Subject Matter</w:t>
            </w:r>
          </w:p>
        </w:tc>
        <w:tc>
          <w:tcPr>
            <w:tcW w:w="2571"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Issues #</w:t>
            </w:r>
          </w:p>
        </w:tc>
      </w:tr>
      <w:tr w:rsidR="00497C33" w:rsidRPr="002A45CB" w:rsidTr="005B5125">
        <w:tc>
          <w:tcPr>
            <w:tcW w:w="306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t xml:space="preserve">       </w:t>
            </w:r>
            <w:r w:rsidRPr="002A45CB">
              <w:rPr>
                <w:b/>
              </w:rPr>
              <w:t xml:space="preserve"> Direct</w:t>
            </w:r>
          </w:p>
        </w:tc>
        <w:tc>
          <w:tcPr>
            <w:tcW w:w="2919"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97C33" w:rsidRPr="002A45CB" w:rsidTr="005B5125">
        <w:tc>
          <w:tcPr>
            <w:tcW w:w="306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John Smith</w:t>
            </w:r>
          </w:p>
        </w:tc>
        <w:tc>
          <w:tcPr>
            <w:tcW w:w="2919"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 xml:space="preserve">Subject . . . </w:t>
            </w:r>
          </w:p>
        </w:tc>
        <w:tc>
          <w:tcPr>
            <w:tcW w:w="2571"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1, 3-5</w:t>
            </w:r>
          </w:p>
        </w:tc>
      </w:tr>
      <w:tr w:rsidR="00497C33" w:rsidRPr="002A45CB" w:rsidTr="005B5125">
        <w:tc>
          <w:tcPr>
            <w:tcW w:w="306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497C33" w:rsidRPr="002A45CB" w:rsidTr="005B5125">
        <w:tc>
          <w:tcPr>
            <w:tcW w:w="306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(2)</w:t>
      </w:r>
      <w:r w:rsidRPr="002A45CB">
        <w:tab/>
        <w:t>A description of all prefiled exhibits and other exhibits that may be used by the party in presenting its direct case (including individual components of a composite exhibit) and the witness sponsoring each in the following format:</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All Known Exhibits: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497C33" w:rsidRPr="002A45CB" w:rsidTr="005B5125">
        <w:tc>
          <w:tcPr>
            <w:tcW w:w="225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Witness</w:t>
            </w:r>
          </w:p>
        </w:tc>
        <w:tc>
          <w:tcPr>
            <w:tcW w:w="2275"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Proffered By</w:t>
            </w:r>
          </w:p>
        </w:tc>
        <w:tc>
          <w:tcPr>
            <w:tcW w:w="201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Exhibit #</w:t>
            </w:r>
          </w:p>
        </w:tc>
        <w:tc>
          <w:tcPr>
            <w:tcW w:w="2123"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rPr>
                <w:b/>
              </w:rPr>
              <w:t>Description</w:t>
            </w:r>
          </w:p>
        </w:tc>
      </w:tr>
      <w:tr w:rsidR="00497C33" w:rsidRPr="002A45CB" w:rsidTr="005B5125">
        <w:tc>
          <w:tcPr>
            <w:tcW w:w="225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2A45CB">
              <w:t xml:space="preserve">       </w:t>
            </w:r>
            <w:r w:rsidRPr="002A45CB">
              <w:rPr>
                <w:b/>
              </w:rPr>
              <w:t xml:space="preserve"> Direct</w:t>
            </w:r>
          </w:p>
        </w:tc>
        <w:tc>
          <w:tcPr>
            <w:tcW w:w="2275"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497C33" w:rsidRPr="002A45CB" w:rsidTr="005B5125">
        <w:tc>
          <w:tcPr>
            <w:tcW w:w="225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John Smith</w:t>
            </w:r>
          </w:p>
        </w:tc>
        <w:tc>
          <w:tcPr>
            <w:tcW w:w="2275"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Party/Utility</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Name</w:t>
            </w:r>
          </w:p>
        </w:tc>
        <w:tc>
          <w:tcPr>
            <w:tcW w:w="2010"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ABC-1</w:t>
            </w:r>
          </w:p>
        </w:tc>
        <w:tc>
          <w:tcPr>
            <w:tcW w:w="2123" w:type="dxa"/>
            <w:shd w:val="clear" w:color="auto" w:fill="auto"/>
          </w:tcPr>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2A45CB">
              <w:t>Title . . .</w:t>
            </w:r>
          </w:p>
        </w:tc>
      </w:tr>
    </w:tbl>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2A45CB">
        <w:t>(3)</w:t>
      </w:r>
      <w:r w:rsidRPr="002A45CB">
        <w:tab/>
        <w:t>A statement of the party’s basic position in the proceeding;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(4)</w:t>
      </w:r>
      <w:r w:rsidRPr="002A45CB">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(5)</w:t>
      </w:r>
      <w:r w:rsidRPr="002A45CB">
        <w:tab/>
        <w:t>A statement of issues to which the parties have stipulated;</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(6)</w:t>
      </w:r>
      <w:r w:rsidRPr="002A45CB">
        <w:tab/>
        <w:t>A statement of all pending motions or other matters the party seeks action upon;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(7)</w:t>
      </w:r>
      <w:r w:rsidRPr="002A45CB">
        <w:tab/>
        <w:t>A statement identifying the party’s pending requests or claims for confidentiality;</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(8)</w:t>
      </w:r>
      <w:r w:rsidRPr="002A45CB">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497C33" w:rsidRPr="002A45CB" w:rsidRDefault="00497C33" w:rsidP="00D34CCD">
      <w:pPr>
        <w:spacing w:line="2" w:lineRule="exact"/>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t>(9)</w:t>
      </w:r>
      <w:r w:rsidRPr="002A45CB">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497C33" w:rsidRPr="002A45CB" w:rsidRDefault="00497C33" w:rsidP="0061138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2A45CB">
        <w:lastRenderedPageBreak/>
        <w:t>(10)</w:t>
      </w:r>
      <w:r w:rsidRPr="002A45CB">
        <w:tab/>
        <w:t>A statement as to any requirement set forth in this order that cannot be complied with, and the reasons therefore.</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B.</w:t>
      </w:r>
      <w:r w:rsidRPr="002A45CB">
        <w:tab/>
      </w:r>
      <w:r w:rsidRPr="002A45CB">
        <w:rPr>
          <w:u w:val="single"/>
        </w:rPr>
        <w:t>Attendance at Prehearing Conference</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r w:rsidRPr="00187659">
        <w:t xml:space="preserve">Pursuant to Rule 28-106.209, F.A.C., a Prehearing Conference will be held </w:t>
      </w:r>
      <w:r w:rsidR="009F38D3" w:rsidRPr="00187659">
        <w:t>March 12, 2018</w:t>
      </w:r>
      <w:r w:rsidRPr="00187659">
        <w:t xml:space="preserve"> at the Betty Easley Conference Center, 4075 Esplanade Way, Tallahassee, Florida.  Unless excused by</w:t>
      </w:r>
      <w:r w:rsidRPr="002A45CB">
        <w:t xml:space="preserve">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C.</w:t>
      </w:r>
      <w:r w:rsidRPr="002A45CB">
        <w:tab/>
      </w:r>
      <w:r w:rsidRPr="002A45CB">
        <w:rPr>
          <w:u w:val="single"/>
        </w:rPr>
        <w:t>Waiver of Issues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spacing w:line="2" w:lineRule="exact"/>
        <w:jc w:val="both"/>
      </w:pPr>
    </w:p>
    <w:p w:rsidR="00497C33" w:rsidRPr="002A45CB" w:rsidRDefault="00497C33" w:rsidP="00D34C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Whether the party was unable to identify the issue because of the complexity of the matter;</w:t>
      </w:r>
    </w:p>
    <w:p w:rsidR="00497C33" w:rsidRPr="002A45CB" w:rsidRDefault="00497C33" w:rsidP="00D34C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Whether discovery or other prehearing procedures were not adequate to fully develop the issue;</w:t>
      </w:r>
    </w:p>
    <w:p w:rsidR="00497C33" w:rsidRPr="002A45CB" w:rsidRDefault="00497C33" w:rsidP="00D34C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 xml:space="preserve">Whether due diligence was exercised to obtain facts touching on the issue; </w:t>
      </w:r>
    </w:p>
    <w:p w:rsidR="00497C33" w:rsidRPr="002A45CB" w:rsidRDefault="00497C33" w:rsidP="00D34C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Whether information obtained subsequent to the Prehearing Conference was not previously available to enable the party to identify the issue; and</w:t>
      </w:r>
    </w:p>
    <w:p w:rsidR="00497C33" w:rsidRPr="002A45CB" w:rsidRDefault="00497C33" w:rsidP="00D34CC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Whether introduction of the issue would not be to the prejudice or surprise of any party.</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Specific reference shall be made to the information received and how it enabled the party to identify the issue.</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t>
      </w:r>
      <w:r w:rsidRPr="002A45CB">
        <w:lastRenderedPageBreak/>
        <w:t>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rPr>
          <w:u w:val="single"/>
        </w:rPr>
        <w:t>Motions to Strike Prefiled Testimony and Exhibits</w:t>
      </w: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Motions to strike any portion of the prefiled testimony and related portions of exhibits of any witness shall be made in writing no later </w:t>
      </w:r>
      <w:r w:rsidR="009F38D3">
        <w:t>than the Prehearing Conference.</w:t>
      </w:r>
      <w:r w:rsidRPr="002A45CB">
        <w:t xml:space="preserve"> Motions to strike any portion of prefiled testimony and related portions of exhibits at hearing shall be considered untimely, absent good cause shown.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rPr>
          <w:u w:val="single"/>
        </w:rPr>
        <w:t>Demonstrative Exhibits</w:t>
      </w: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If a party wishes to use a demonstrative exhibit or other demonstrative tools at hearing, such materials must be identified by the time of the Prehearing Conference.</w:t>
      </w: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A45CB">
        <w:tab/>
        <w:t>F.</w:t>
      </w:r>
      <w:r w:rsidRPr="002A45CB">
        <w:tab/>
      </w:r>
      <w:r w:rsidRPr="002A45CB">
        <w:rPr>
          <w:u w:val="single"/>
        </w:rPr>
        <w:t>Official Recognition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Parties seeking official recognition of materials pursuant to Section 120.569(2)(i), F.S., shall notify all other parties and </w:t>
      </w:r>
      <w:r w:rsidR="009F38D3">
        <w:t>staff in writing no later than</w:t>
      </w:r>
      <w:r w:rsidR="009F38D3" w:rsidRPr="009F38D3">
        <w:t xml:space="preserve"> </w:t>
      </w:r>
      <w:r w:rsidRPr="00187659">
        <w:t>two business days pr</w:t>
      </w:r>
      <w:r w:rsidRPr="002A45CB">
        <w:t>ior to the first scheduled hearing date.  Such notification shall identify all materials for which the party seeks official recognition, and such materials shall be provided along with the notification.</w:t>
      </w:r>
    </w:p>
    <w:p w:rsidR="00497C33" w:rsidRPr="002A45CB" w:rsidRDefault="00497C33" w:rsidP="00D34CCD">
      <w:pPr>
        <w:jc w:val="both"/>
      </w:pPr>
    </w:p>
    <w:p w:rsidR="00497C33" w:rsidRPr="002A45CB" w:rsidRDefault="00497C33"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2A45CB">
        <w:tab/>
        <w:t>G.</w:t>
      </w:r>
      <w:r w:rsidRPr="002A45CB">
        <w:tab/>
      </w:r>
      <w:r w:rsidRPr="002A45CB">
        <w:rPr>
          <w:u w:val="single"/>
        </w:rPr>
        <w:t>Use of Depositions at Hearing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jc w:val="both"/>
      </w:pPr>
      <w:r w:rsidRPr="002A45CB">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w:t>
      </w:r>
      <w:r w:rsidRPr="00187659">
        <w:t>n</w:t>
      </w:r>
      <w:r w:rsidR="009F38D3" w:rsidRPr="00187659">
        <w:t xml:space="preserve"> IX</w:t>
      </w:r>
      <w:r w:rsidRPr="00187659">
        <w:t xml:space="preserve"> o</w:t>
      </w:r>
      <w:r w:rsidRPr="002A45CB">
        <w:t>f this Order.   The Notice shall include the following information for each deposition:</w:t>
      </w:r>
    </w:p>
    <w:p w:rsidR="00497C33" w:rsidRPr="002A45CB" w:rsidRDefault="00497C33" w:rsidP="00D34CCD">
      <w:pPr>
        <w:ind w:left="1080"/>
        <w:contextualSpacing/>
        <w:jc w:val="both"/>
      </w:pPr>
    </w:p>
    <w:p w:rsidR="00497C33" w:rsidRPr="002A45CB" w:rsidRDefault="00497C33" w:rsidP="00D34CCD">
      <w:pPr>
        <w:numPr>
          <w:ilvl w:val="0"/>
          <w:numId w:val="8"/>
        </w:numPr>
        <w:contextualSpacing/>
        <w:jc w:val="both"/>
      </w:pPr>
      <w:r w:rsidRPr="002A45CB">
        <w:t>Name of witness deposed;</w:t>
      </w:r>
    </w:p>
    <w:p w:rsidR="00497C33" w:rsidRPr="002A45CB" w:rsidRDefault="00497C33" w:rsidP="00D34CCD">
      <w:pPr>
        <w:numPr>
          <w:ilvl w:val="0"/>
          <w:numId w:val="8"/>
        </w:numPr>
        <w:contextualSpacing/>
        <w:jc w:val="both"/>
      </w:pPr>
      <w:r w:rsidRPr="002A45CB">
        <w:t>Date deposition was taken; and</w:t>
      </w:r>
    </w:p>
    <w:p w:rsidR="00497C33" w:rsidRPr="002A45CB" w:rsidRDefault="00497C33" w:rsidP="00D34CCD">
      <w:pPr>
        <w:numPr>
          <w:ilvl w:val="0"/>
          <w:numId w:val="8"/>
        </w:numPr>
        <w:contextualSpacing/>
        <w:jc w:val="both"/>
      </w:pPr>
      <w:r w:rsidRPr="002A45CB">
        <w:t>Page an</w:t>
      </w:r>
      <w:r w:rsidRPr="009F38D3">
        <w:t>d line numbers of each deposition the party seeks to introduce, when available.</w:t>
      </w:r>
      <w:r w:rsidRPr="002A45CB">
        <w:t xml:space="preserve"> </w:t>
      </w:r>
    </w:p>
    <w:p w:rsidR="00497C33" w:rsidRPr="002A45CB" w:rsidRDefault="00497C33" w:rsidP="00D34CCD">
      <w:pPr>
        <w:jc w:val="both"/>
      </w:pPr>
    </w:p>
    <w:p w:rsidR="00AC4348" w:rsidRPr="0061138C" w:rsidRDefault="00497C33" w:rsidP="0061138C">
      <w:pPr>
        <w:ind w:firstLine="720"/>
        <w:jc w:val="both"/>
      </w:pPr>
      <w:r w:rsidRPr="002A45CB">
        <w:t xml:space="preserve">Objection(s) to the entry into the record of a deposition or portion thereof at hearing for purposes other than impeachment must be made in writing within </w:t>
      </w:r>
      <w:r w:rsidR="009F38D3">
        <w:t>three (</w:t>
      </w:r>
      <w:r w:rsidRPr="002A45CB">
        <w:t>3</w:t>
      </w:r>
      <w:r w:rsidR="009F38D3">
        <w:t>)</w:t>
      </w:r>
      <w:r w:rsidRPr="002A45CB">
        <w:t xml:space="preserve"> days of filing a Notice of Intent to use Deposition for resolution by the Prehearing Officer.</w:t>
      </w:r>
    </w:p>
    <w:p w:rsidR="00AC4348" w:rsidRDefault="00AC4348"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1138C" w:rsidRDefault="0061138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1138C" w:rsidRDefault="0061138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61138C" w:rsidRDefault="0061138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97C33" w:rsidRPr="002A45CB" w:rsidRDefault="003B54BF"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w:t>
      </w:r>
      <w:r w:rsidR="00497C33" w:rsidRPr="002A45CB">
        <w:rPr>
          <w:b/>
          <w:bCs/>
        </w:rPr>
        <w:t>I.</w:t>
      </w:r>
      <w:r w:rsidR="00497C33" w:rsidRPr="002A45CB">
        <w:rPr>
          <w:b/>
          <w:bCs/>
        </w:rPr>
        <w:tab/>
      </w:r>
      <w:r w:rsidR="00497C33" w:rsidRPr="002A45CB">
        <w:rPr>
          <w:b/>
          <w:bCs/>
          <w:u w:val="single"/>
        </w:rPr>
        <w:t>Hearing Procedures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A.</w:t>
      </w:r>
      <w:r w:rsidRPr="002A45CB">
        <w:tab/>
      </w:r>
      <w:r w:rsidRPr="002A45CB">
        <w:rPr>
          <w:u w:val="single"/>
        </w:rPr>
        <w:t>Attendance at Hearing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Likewise, all witnesses are expected to be present at the hearing unless excused by the Presiding Officer upon the staff attorney’s confirmation prior to the hearing date of the following: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spacing w:line="2" w:lineRule="exact"/>
        <w:jc w:val="both"/>
      </w:pPr>
    </w:p>
    <w:p w:rsidR="00497C33" w:rsidRPr="002A45CB" w:rsidRDefault="00497C33" w:rsidP="00D34CC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All parties agree that the witness will not be needed for cross examination.</w:t>
      </w:r>
    </w:p>
    <w:p w:rsidR="00497C33" w:rsidRPr="002A45CB" w:rsidRDefault="00497C33" w:rsidP="00D34CCD">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A45CB">
        <w:t>All Commissioners assigned to the panel do not have questions for the witness.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In the event a witness is excused in this manner, his or her testimony may be entered into the record as though read following the Commission’s approval of the proposed stipulation of that witness’ testimony.</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B.</w:t>
      </w:r>
      <w:r w:rsidRPr="002A45CB">
        <w:tab/>
      </w:r>
      <w:r w:rsidRPr="002A45CB">
        <w:rPr>
          <w:u w:val="single"/>
        </w:rPr>
        <w:t>Cross-Examination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C.</w:t>
      </w:r>
      <w:r w:rsidRPr="002A45CB">
        <w:tab/>
      </w:r>
      <w:r w:rsidRPr="002A45CB">
        <w:rPr>
          <w:u w:val="single"/>
        </w:rPr>
        <w:t>Use of Confidential Information at Hearing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It is the policy of this Commission that all Commission hearings be open to the public at all times.  The Commission also recognizes its obligation pursuant to Section </w:t>
      </w:r>
      <w:r w:rsidR="009F38D3" w:rsidRPr="009F38D3">
        <w:t>366.093</w:t>
      </w:r>
      <w:r w:rsidRPr="009F38D3">
        <w:t>,</w:t>
      </w:r>
      <w:r w:rsidRPr="002A45CB">
        <w:t xml:space="preserve"> F.S., to protect proprietary confidential business information from disclosure outside the proceeding.  Therefore, any party wishing to use at the hearing any proprietary confidential business information, as that term is defined in Section </w:t>
      </w:r>
      <w:r w:rsidR="009F38D3" w:rsidRPr="009F38D3">
        <w:t>366.093,</w:t>
      </w:r>
      <w:r w:rsidRPr="002A45CB">
        <w:t xml:space="preserve"> F.S., shall adhere to the following: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spacing w:line="2" w:lineRule="exact"/>
        <w:jc w:val="both"/>
      </w:pPr>
    </w:p>
    <w:p w:rsidR="00497C33" w:rsidRPr="002A45CB" w:rsidRDefault="00497C33" w:rsidP="00D34CCD">
      <w:pPr>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A45CB">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w:t>
      </w:r>
      <w:r w:rsidRPr="002A45CB">
        <w:lastRenderedPageBreak/>
        <w:t>confidential material that is not subject to an order granting confidentiality shall be provided a copy in the same fashion as provided to the Commissioners, subject to execution of any appropriate protective agreement with the owner of the material.</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2A45CB">
        <w:t>Counsel and witnesses are cautioned to avoid verbalizing confidential information in such a way that would compromise confidentiality.  Therefore, confidential information should be presented by written exhibit when reasonably possible.</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p>
    <w:p w:rsidR="00497C33" w:rsidRPr="0059782F"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497C33" w:rsidRPr="002A45CB" w:rsidRDefault="003B54BF"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497C33" w:rsidRPr="002A45CB">
        <w:rPr>
          <w:b/>
          <w:bCs/>
        </w:rPr>
        <w:t>.</w:t>
      </w:r>
      <w:r w:rsidR="00497C33" w:rsidRPr="002A45CB">
        <w:rPr>
          <w:b/>
          <w:bCs/>
        </w:rPr>
        <w:tab/>
      </w:r>
      <w:r w:rsidR="00497C33" w:rsidRPr="002A45CB">
        <w:rPr>
          <w:b/>
          <w:bCs/>
          <w:u w:val="single"/>
        </w:rPr>
        <w:t>Post-Hearing Procedures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If the Commission (or assigned panel) does not render a bench decision at the hearing, it may allow each party to file a post-hearing statement of issues and positions pursuant to the schedule set forth </w:t>
      </w:r>
      <w:r w:rsidRPr="00187659">
        <w:t xml:space="preserve">in Section </w:t>
      </w:r>
      <w:r w:rsidR="009F38D3" w:rsidRPr="00187659">
        <w:t>IX</w:t>
      </w:r>
      <w:r w:rsidR="009F38D3" w:rsidRPr="00187659">
        <w:rPr>
          <w:b/>
          <w:i/>
        </w:rPr>
        <w:t xml:space="preserve"> </w:t>
      </w:r>
      <w:r w:rsidRPr="00187659">
        <w:t xml:space="preserve">of this Order.  In such event, a summary of each position of no more than </w:t>
      </w:r>
      <w:r w:rsidR="008D1E78">
        <w:t>50</w:t>
      </w:r>
      <w:r w:rsidRPr="00187659">
        <w:t xml:space="preserve"> words, set off with a</w:t>
      </w:r>
      <w:r w:rsidRPr="002A45CB">
        <w:t xml:space="preserve">sterisks, shall be included in that statement.  If a party’s position has not changed since the issuance of the prehearing order, the post-hearing statement may simply restate the prehearing position.  However, the position must be reduced to no more than </w:t>
      </w:r>
      <w:r w:rsidR="008D1E78">
        <w:t>50</w:t>
      </w:r>
      <w:r w:rsidRPr="002A45CB">
        <w:t xml:space="preserve"> words.  If a post-hearing statement is required and a party fails to file in conformance with the rule, that party shall have waived all issues and may be dismissed from the proceeding.</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Pursuant to Rule 28-106.215, F.A.C., a party’s proposed findings of fact and conclusions of law, if any, statement of issues and positions, and brief, shall together total no </w:t>
      </w:r>
      <w:r w:rsidRPr="00187659">
        <w:t xml:space="preserve">more than </w:t>
      </w:r>
      <w:r w:rsidR="009F38D3" w:rsidRPr="00187659">
        <w:t>40</w:t>
      </w:r>
      <w:r w:rsidR="009F38D3" w:rsidRPr="009F38D3">
        <w:t xml:space="preserve"> </w:t>
      </w:r>
      <w:r w:rsidRPr="002A45CB">
        <w:t xml:space="preserve">pages and shall be filed at the same time, unless modified by the Presiding Officer. </w:t>
      </w:r>
    </w:p>
    <w:p w:rsidR="00FE2ECE" w:rsidRPr="002A45CB" w:rsidRDefault="00FE2ECE"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3B54BF"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497C33" w:rsidRPr="002A45CB">
        <w:rPr>
          <w:b/>
          <w:bCs/>
        </w:rPr>
        <w:t>X.</w:t>
      </w:r>
      <w:r w:rsidR="00497C33" w:rsidRPr="002A45CB">
        <w:rPr>
          <w:b/>
          <w:bCs/>
        </w:rPr>
        <w:tab/>
      </w:r>
      <w:r w:rsidR="00497C33" w:rsidRPr="002A45CB">
        <w:rPr>
          <w:b/>
          <w:bCs/>
          <w:u w:val="single"/>
        </w:rPr>
        <w:t>Controlling Dates</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The following dates have been established to govern the key activities of this case:</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497C33" w:rsidRPr="002A45CB" w:rsidTr="005B5125">
        <w:trPr>
          <w:cantSplit/>
        </w:trPr>
        <w:tc>
          <w:tcPr>
            <w:tcW w:w="630" w:type="dxa"/>
            <w:tcBorders>
              <w:top w:val="nil"/>
              <w:left w:val="nil"/>
              <w:bottom w:val="nil"/>
              <w:right w:val="nil"/>
            </w:tcBorders>
          </w:tcPr>
          <w:p w:rsidR="00497C33" w:rsidRPr="002A45CB" w:rsidRDefault="00497C33" w:rsidP="00D34CCD">
            <w:pPr>
              <w:numPr>
                <w:ilvl w:val="12"/>
                <w:numId w:val="0"/>
              </w:numPr>
              <w:tabs>
                <w:tab w:val="left" w:pos="0"/>
              </w:tabs>
              <w:spacing w:before="120" w:after="57"/>
              <w:jc w:val="both"/>
            </w:pPr>
            <w:r w:rsidRPr="002A45CB">
              <w:t>(1)</w:t>
            </w:r>
          </w:p>
        </w:tc>
        <w:tc>
          <w:tcPr>
            <w:tcW w:w="5310" w:type="dxa"/>
            <w:tcBorders>
              <w:top w:val="nil"/>
              <w:left w:val="nil"/>
              <w:bottom w:val="nil"/>
              <w:right w:val="nil"/>
            </w:tcBorders>
          </w:tcPr>
          <w:p w:rsidR="00497C33" w:rsidRPr="00187659" w:rsidRDefault="00497C33"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Utility’s</w:t>
            </w:r>
            <w:r w:rsidRPr="00187659">
              <w:rPr>
                <w:b/>
                <w:i/>
              </w:rPr>
              <w:t xml:space="preserve"> </w:t>
            </w:r>
            <w:r w:rsidRPr="00187659">
              <w:t>testimony and exhibits</w:t>
            </w:r>
          </w:p>
        </w:tc>
        <w:tc>
          <w:tcPr>
            <w:tcW w:w="3420" w:type="dxa"/>
            <w:tcBorders>
              <w:top w:val="nil"/>
              <w:left w:val="nil"/>
              <w:bottom w:val="nil"/>
              <w:right w:val="nil"/>
            </w:tcBorders>
          </w:tcPr>
          <w:p w:rsidR="00497C33" w:rsidRPr="00187659" w:rsidRDefault="0028438C" w:rsidP="00D34CCD">
            <w:pPr>
              <w:numPr>
                <w:ilvl w:val="12"/>
                <w:numId w:val="0"/>
              </w:numPr>
              <w:tabs>
                <w:tab w:val="left" w:pos="0"/>
                <w:tab w:val="left" w:pos="720"/>
                <w:tab w:val="left" w:pos="1440"/>
                <w:tab w:val="left" w:pos="2160"/>
                <w:tab w:val="left" w:pos="2880"/>
              </w:tabs>
              <w:spacing w:before="120" w:after="57"/>
              <w:jc w:val="both"/>
            </w:pPr>
            <w:r w:rsidRPr="00187659">
              <w:t>December 21, 2017</w:t>
            </w:r>
          </w:p>
        </w:tc>
      </w:tr>
      <w:tr w:rsidR="00497C33" w:rsidRPr="002A45CB" w:rsidTr="005B5125">
        <w:trPr>
          <w:cantSplit/>
        </w:trPr>
        <w:tc>
          <w:tcPr>
            <w:tcW w:w="630" w:type="dxa"/>
            <w:tcBorders>
              <w:top w:val="nil"/>
              <w:left w:val="nil"/>
              <w:bottom w:val="nil"/>
              <w:right w:val="nil"/>
            </w:tcBorders>
          </w:tcPr>
          <w:p w:rsidR="00497C33" w:rsidRPr="002A45CB" w:rsidRDefault="00497C33" w:rsidP="00D34CCD">
            <w:pPr>
              <w:numPr>
                <w:ilvl w:val="12"/>
                <w:numId w:val="0"/>
              </w:numPr>
              <w:tabs>
                <w:tab w:val="left" w:pos="0"/>
              </w:tabs>
              <w:spacing w:before="120" w:after="57"/>
              <w:jc w:val="both"/>
            </w:pPr>
            <w:r w:rsidRPr="002A45CB">
              <w:t>(2)</w:t>
            </w:r>
          </w:p>
        </w:tc>
        <w:tc>
          <w:tcPr>
            <w:tcW w:w="5310" w:type="dxa"/>
            <w:tcBorders>
              <w:top w:val="nil"/>
              <w:left w:val="nil"/>
              <w:bottom w:val="nil"/>
              <w:right w:val="nil"/>
            </w:tcBorders>
          </w:tcPr>
          <w:p w:rsidR="00497C33" w:rsidRPr="00187659" w:rsidRDefault="00497C33"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Intervenors’ testimony and exhibits</w:t>
            </w:r>
          </w:p>
        </w:tc>
        <w:tc>
          <w:tcPr>
            <w:tcW w:w="3420" w:type="dxa"/>
            <w:tcBorders>
              <w:top w:val="nil"/>
              <w:left w:val="nil"/>
              <w:bottom w:val="nil"/>
              <w:right w:val="nil"/>
            </w:tcBorders>
          </w:tcPr>
          <w:p w:rsidR="00497C33" w:rsidRPr="00187659" w:rsidRDefault="00187659" w:rsidP="00D34CCD">
            <w:pPr>
              <w:numPr>
                <w:ilvl w:val="12"/>
                <w:numId w:val="0"/>
              </w:numPr>
              <w:tabs>
                <w:tab w:val="left" w:pos="0"/>
                <w:tab w:val="left" w:pos="720"/>
                <w:tab w:val="left" w:pos="1440"/>
                <w:tab w:val="left" w:pos="2160"/>
                <w:tab w:val="left" w:pos="2880"/>
              </w:tabs>
              <w:spacing w:before="120" w:after="57"/>
              <w:jc w:val="both"/>
            </w:pPr>
            <w:r w:rsidRPr="00187659">
              <w:t>January 25</w:t>
            </w:r>
            <w:r w:rsidR="00D12001" w:rsidRPr="00187659">
              <w:t xml:space="preserve">, 2018 </w:t>
            </w:r>
          </w:p>
        </w:tc>
      </w:tr>
      <w:tr w:rsidR="00497C33" w:rsidRPr="002A45CB" w:rsidTr="005B5125">
        <w:trPr>
          <w:cantSplit/>
        </w:trPr>
        <w:tc>
          <w:tcPr>
            <w:tcW w:w="630" w:type="dxa"/>
            <w:tcBorders>
              <w:top w:val="nil"/>
              <w:left w:val="nil"/>
              <w:bottom w:val="nil"/>
              <w:right w:val="nil"/>
            </w:tcBorders>
          </w:tcPr>
          <w:p w:rsidR="00497C33" w:rsidRPr="002A45CB" w:rsidRDefault="00497C33" w:rsidP="00D34CCD">
            <w:pPr>
              <w:numPr>
                <w:ilvl w:val="12"/>
                <w:numId w:val="0"/>
              </w:numPr>
              <w:tabs>
                <w:tab w:val="left" w:pos="0"/>
              </w:tabs>
              <w:spacing w:before="120" w:after="57"/>
              <w:jc w:val="both"/>
            </w:pPr>
            <w:r w:rsidRPr="002A45CB">
              <w:t>(3)</w:t>
            </w:r>
          </w:p>
        </w:tc>
        <w:tc>
          <w:tcPr>
            <w:tcW w:w="5310" w:type="dxa"/>
            <w:tcBorders>
              <w:top w:val="nil"/>
              <w:left w:val="nil"/>
              <w:bottom w:val="nil"/>
              <w:right w:val="nil"/>
            </w:tcBorders>
          </w:tcPr>
          <w:p w:rsidR="00497C33" w:rsidRPr="00187659" w:rsidRDefault="00497C33"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Staff’s testimony and exhibits, if any</w:t>
            </w:r>
          </w:p>
        </w:tc>
        <w:tc>
          <w:tcPr>
            <w:tcW w:w="3420" w:type="dxa"/>
            <w:tcBorders>
              <w:top w:val="nil"/>
              <w:left w:val="nil"/>
              <w:bottom w:val="nil"/>
              <w:right w:val="nil"/>
            </w:tcBorders>
          </w:tcPr>
          <w:p w:rsidR="00497C33" w:rsidRPr="00187659" w:rsidRDefault="00187659" w:rsidP="00D34CCD">
            <w:pPr>
              <w:numPr>
                <w:ilvl w:val="12"/>
                <w:numId w:val="0"/>
              </w:numPr>
              <w:tabs>
                <w:tab w:val="left" w:pos="0"/>
                <w:tab w:val="left" w:pos="720"/>
                <w:tab w:val="left" w:pos="1440"/>
                <w:tab w:val="left" w:pos="2160"/>
                <w:tab w:val="left" w:pos="2880"/>
              </w:tabs>
              <w:spacing w:before="120" w:after="57"/>
              <w:jc w:val="both"/>
            </w:pPr>
            <w:r w:rsidRPr="00187659">
              <w:t>February 1</w:t>
            </w:r>
            <w:r w:rsidR="00D12001" w:rsidRPr="00187659">
              <w:t>, 2018</w:t>
            </w:r>
          </w:p>
        </w:tc>
      </w:tr>
      <w:tr w:rsidR="00497C33" w:rsidRPr="002A45CB" w:rsidTr="005B5125">
        <w:trPr>
          <w:cantSplit/>
        </w:trPr>
        <w:tc>
          <w:tcPr>
            <w:tcW w:w="630" w:type="dxa"/>
            <w:tcBorders>
              <w:top w:val="nil"/>
              <w:left w:val="nil"/>
              <w:bottom w:val="nil"/>
              <w:right w:val="nil"/>
            </w:tcBorders>
          </w:tcPr>
          <w:p w:rsidR="00497C33" w:rsidRPr="002A45CB" w:rsidRDefault="00497C33" w:rsidP="00D34CCD">
            <w:pPr>
              <w:numPr>
                <w:ilvl w:val="12"/>
                <w:numId w:val="0"/>
              </w:numPr>
              <w:tabs>
                <w:tab w:val="left" w:pos="0"/>
              </w:tabs>
              <w:spacing w:before="120" w:after="57"/>
              <w:jc w:val="both"/>
            </w:pPr>
            <w:r w:rsidRPr="002A45CB">
              <w:t>(4)</w:t>
            </w:r>
          </w:p>
        </w:tc>
        <w:tc>
          <w:tcPr>
            <w:tcW w:w="5310" w:type="dxa"/>
            <w:tcBorders>
              <w:top w:val="nil"/>
              <w:left w:val="nil"/>
              <w:bottom w:val="nil"/>
              <w:right w:val="nil"/>
            </w:tcBorders>
          </w:tcPr>
          <w:p w:rsidR="00497C33" w:rsidRPr="00187659" w:rsidRDefault="00497C33"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 xml:space="preserve">Rebuttal testimony and exhibits </w:t>
            </w:r>
          </w:p>
        </w:tc>
        <w:tc>
          <w:tcPr>
            <w:tcW w:w="3420" w:type="dxa"/>
            <w:tcBorders>
              <w:top w:val="nil"/>
              <w:left w:val="nil"/>
              <w:bottom w:val="nil"/>
              <w:right w:val="nil"/>
            </w:tcBorders>
          </w:tcPr>
          <w:p w:rsidR="00497C33" w:rsidRPr="00187659" w:rsidRDefault="00187659" w:rsidP="00D34CCD">
            <w:pPr>
              <w:numPr>
                <w:ilvl w:val="12"/>
                <w:numId w:val="0"/>
              </w:numPr>
              <w:tabs>
                <w:tab w:val="left" w:pos="0"/>
                <w:tab w:val="left" w:pos="720"/>
                <w:tab w:val="left" w:pos="1440"/>
                <w:tab w:val="left" w:pos="2160"/>
                <w:tab w:val="left" w:pos="2880"/>
              </w:tabs>
              <w:spacing w:before="120" w:after="57"/>
              <w:jc w:val="both"/>
            </w:pPr>
            <w:r w:rsidRPr="00187659">
              <w:t>February 15</w:t>
            </w:r>
            <w:r w:rsidR="00D12001" w:rsidRPr="00187659">
              <w:t>, 2018</w:t>
            </w:r>
          </w:p>
        </w:tc>
      </w:tr>
      <w:tr w:rsidR="00497C33" w:rsidRPr="002A45CB" w:rsidTr="005B5125">
        <w:trPr>
          <w:cantSplit/>
        </w:trPr>
        <w:tc>
          <w:tcPr>
            <w:tcW w:w="630" w:type="dxa"/>
            <w:tcBorders>
              <w:top w:val="nil"/>
              <w:left w:val="nil"/>
              <w:bottom w:val="nil"/>
              <w:right w:val="nil"/>
            </w:tcBorders>
          </w:tcPr>
          <w:p w:rsidR="00497C33" w:rsidRPr="002A45CB" w:rsidRDefault="00497C33" w:rsidP="00D34CCD">
            <w:pPr>
              <w:numPr>
                <w:ilvl w:val="12"/>
                <w:numId w:val="0"/>
              </w:numPr>
              <w:tabs>
                <w:tab w:val="left" w:pos="0"/>
              </w:tabs>
              <w:spacing w:before="120" w:after="57"/>
              <w:jc w:val="both"/>
            </w:pPr>
            <w:r w:rsidRPr="002A45CB">
              <w:t>(5)</w:t>
            </w:r>
          </w:p>
        </w:tc>
        <w:tc>
          <w:tcPr>
            <w:tcW w:w="5310" w:type="dxa"/>
            <w:tcBorders>
              <w:top w:val="nil"/>
              <w:left w:val="nil"/>
              <w:bottom w:val="nil"/>
              <w:right w:val="nil"/>
            </w:tcBorders>
          </w:tcPr>
          <w:p w:rsidR="00497C33" w:rsidRPr="00187659" w:rsidRDefault="00497C33"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Prehearing Statements</w:t>
            </w:r>
          </w:p>
        </w:tc>
        <w:tc>
          <w:tcPr>
            <w:tcW w:w="3420" w:type="dxa"/>
            <w:tcBorders>
              <w:top w:val="nil"/>
              <w:left w:val="nil"/>
              <w:bottom w:val="nil"/>
              <w:right w:val="nil"/>
            </w:tcBorders>
          </w:tcPr>
          <w:p w:rsidR="00497C33" w:rsidRPr="00187659" w:rsidRDefault="0028438C" w:rsidP="00D34CCD">
            <w:pPr>
              <w:numPr>
                <w:ilvl w:val="12"/>
                <w:numId w:val="0"/>
              </w:numPr>
              <w:tabs>
                <w:tab w:val="left" w:pos="0"/>
                <w:tab w:val="left" w:pos="720"/>
                <w:tab w:val="left" w:pos="1440"/>
                <w:tab w:val="left" w:pos="2160"/>
                <w:tab w:val="left" w:pos="2880"/>
              </w:tabs>
              <w:spacing w:before="120" w:after="57"/>
              <w:jc w:val="both"/>
            </w:pPr>
            <w:r w:rsidRPr="00187659">
              <w:t>March 5, 2018</w:t>
            </w:r>
          </w:p>
        </w:tc>
      </w:tr>
      <w:tr w:rsidR="00D12001" w:rsidRPr="002A45CB" w:rsidTr="005B5125">
        <w:trPr>
          <w:cantSplit/>
        </w:trPr>
        <w:tc>
          <w:tcPr>
            <w:tcW w:w="630" w:type="dxa"/>
            <w:tcBorders>
              <w:top w:val="nil"/>
              <w:left w:val="nil"/>
              <w:bottom w:val="nil"/>
              <w:right w:val="nil"/>
            </w:tcBorders>
          </w:tcPr>
          <w:p w:rsidR="00D12001" w:rsidRPr="002A45CB" w:rsidRDefault="00D12001" w:rsidP="00D34CCD">
            <w:pPr>
              <w:numPr>
                <w:ilvl w:val="12"/>
                <w:numId w:val="0"/>
              </w:numPr>
              <w:tabs>
                <w:tab w:val="left" w:pos="0"/>
              </w:tabs>
              <w:spacing w:before="120" w:after="57"/>
              <w:jc w:val="both"/>
            </w:pPr>
            <w:r w:rsidRPr="002A45CB">
              <w:lastRenderedPageBreak/>
              <w:t>(</w:t>
            </w:r>
            <w:r>
              <w:t>6</w:t>
            </w:r>
            <w:r w:rsidRPr="002A45CB">
              <w:t>)</w:t>
            </w:r>
          </w:p>
        </w:tc>
        <w:tc>
          <w:tcPr>
            <w:tcW w:w="531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Discovery deadline</w:t>
            </w:r>
          </w:p>
        </w:tc>
        <w:tc>
          <w:tcPr>
            <w:tcW w:w="342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s>
              <w:spacing w:before="120" w:after="57"/>
              <w:jc w:val="both"/>
            </w:pPr>
            <w:r w:rsidRPr="00187659">
              <w:t>March 9, 2018</w:t>
            </w:r>
          </w:p>
        </w:tc>
      </w:tr>
      <w:tr w:rsidR="00D12001" w:rsidRPr="002A45CB" w:rsidTr="005B5125">
        <w:trPr>
          <w:cantSplit/>
        </w:trPr>
        <w:tc>
          <w:tcPr>
            <w:tcW w:w="630" w:type="dxa"/>
            <w:tcBorders>
              <w:top w:val="nil"/>
              <w:left w:val="nil"/>
              <w:bottom w:val="nil"/>
              <w:right w:val="nil"/>
            </w:tcBorders>
          </w:tcPr>
          <w:p w:rsidR="00D12001" w:rsidRPr="002A45CB" w:rsidRDefault="00D12001" w:rsidP="00D34CCD">
            <w:pPr>
              <w:numPr>
                <w:ilvl w:val="12"/>
                <w:numId w:val="0"/>
              </w:numPr>
              <w:tabs>
                <w:tab w:val="left" w:pos="0"/>
              </w:tabs>
              <w:spacing w:before="120" w:after="57"/>
              <w:jc w:val="both"/>
            </w:pPr>
            <w:r w:rsidRPr="002A45CB">
              <w:t>(</w:t>
            </w:r>
            <w:r>
              <w:t>7</w:t>
            </w:r>
            <w:r w:rsidRPr="002A45CB">
              <w:t>)</w:t>
            </w:r>
          </w:p>
        </w:tc>
        <w:tc>
          <w:tcPr>
            <w:tcW w:w="531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Prehearing Conference</w:t>
            </w:r>
          </w:p>
        </w:tc>
        <w:tc>
          <w:tcPr>
            <w:tcW w:w="342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s>
              <w:spacing w:before="120" w:after="57"/>
              <w:jc w:val="both"/>
            </w:pPr>
            <w:r w:rsidRPr="00187659">
              <w:t>March 12, 2018</w:t>
            </w:r>
          </w:p>
        </w:tc>
      </w:tr>
      <w:tr w:rsidR="00D12001" w:rsidRPr="002A45CB" w:rsidTr="005B5125">
        <w:trPr>
          <w:cantSplit/>
          <w:trHeight w:val="454"/>
        </w:trPr>
        <w:tc>
          <w:tcPr>
            <w:tcW w:w="630" w:type="dxa"/>
            <w:tcBorders>
              <w:top w:val="nil"/>
              <w:left w:val="nil"/>
              <w:bottom w:val="nil"/>
              <w:right w:val="nil"/>
            </w:tcBorders>
          </w:tcPr>
          <w:p w:rsidR="00D12001" w:rsidRPr="002A45CB" w:rsidRDefault="00D12001" w:rsidP="00D34CCD">
            <w:pPr>
              <w:numPr>
                <w:ilvl w:val="12"/>
                <w:numId w:val="0"/>
              </w:numPr>
              <w:tabs>
                <w:tab w:val="left" w:pos="0"/>
              </w:tabs>
              <w:spacing w:before="120" w:after="57"/>
              <w:jc w:val="both"/>
            </w:pPr>
            <w:r w:rsidRPr="002A45CB">
              <w:t>(8)</w:t>
            </w:r>
          </w:p>
        </w:tc>
        <w:tc>
          <w:tcPr>
            <w:tcW w:w="531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Hearing</w:t>
            </w:r>
          </w:p>
        </w:tc>
        <w:tc>
          <w:tcPr>
            <w:tcW w:w="342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s>
              <w:spacing w:before="120" w:after="57"/>
              <w:jc w:val="both"/>
            </w:pPr>
            <w:r w:rsidRPr="00187659">
              <w:t>March 21-22, 2018</w:t>
            </w:r>
          </w:p>
        </w:tc>
      </w:tr>
      <w:tr w:rsidR="00D12001" w:rsidRPr="002A45CB" w:rsidTr="00D12001">
        <w:trPr>
          <w:cantSplit/>
          <w:trHeight w:val="315"/>
        </w:trPr>
        <w:tc>
          <w:tcPr>
            <w:tcW w:w="630" w:type="dxa"/>
            <w:tcBorders>
              <w:top w:val="nil"/>
              <w:left w:val="nil"/>
              <w:bottom w:val="nil"/>
              <w:right w:val="nil"/>
            </w:tcBorders>
          </w:tcPr>
          <w:p w:rsidR="00D12001" w:rsidRPr="002A45CB" w:rsidRDefault="00D12001" w:rsidP="00D34CCD">
            <w:pPr>
              <w:numPr>
                <w:ilvl w:val="12"/>
                <w:numId w:val="0"/>
              </w:numPr>
              <w:tabs>
                <w:tab w:val="left" w:pos="0"/>
              </w:tabs>
              <w:spacing w:before="120" w:after="57"/>
              <w:jc w:val="both"/>
            </w:pPr>
            <w:r w:rsidRPr="002A45CB">
              <w:t>(9)</w:t>
            </w:r>
          </w:p>
        </w:tc>
        <w:tc>
          <w:tcPr>
            <w:tcW w:w="5310" w:type="dxa"/>
            <w:tcBorders>
              <w:top w:val="nil"/>
              <w:left w:val="nil"/>
              <w:bottom w:val="nil"/>
              <w:right w:val="nil"/>
            </w:tcBorders>
          </w:tcPr>
          <w:p w:rsidR="00D12001" w:rsidRPr="00187659" w:rsidRDefault="00D12001" w:rsidP="00D34C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87659">
              <w:t>Briefs</w:t>
            </w:r>
          </w:p>
        </w:tc>
        <w:tc>
          <w:tcPr>
            <w:tcW w:w="3420" w:type="dxa"/>
            <w:tcBorders>
              <w:top w:val="nil"/>
              <w:left w:val="nil"/>
              <w:bottom w:val="nil"/>
              <w:right w:val="nil"/>
            </w:tcBorders>
          </w:tcPr>
          <w:p w:rsidR="00D12001" w:rsidRPr="00187659" w:rsidRDefault="00187659" w:rsidP="00D34CCD">
            <w:pPr>
              <w:numPr>
                <w:ilvl w:val="12"/>
                <w:numId w:val="0"/>
              </w:numPr>
              <w:tabs>
                <w:tab w:val="left" w:pos="0"/>
                <w:tab w:val="left" w:pos="720"/>
                <w:tab w:val="left" w:pos="1440"/>
                <w:tab w:val="left" w:pos="2160"/>
                <w:tab w:val="left" w:pos="2880"/>
              </w:tabs>
              <w:spacing w:before="120" w:after="57"/>
              <w:jc w:val="both"/>
            </w:pPr>
            <w:r w:rsidRPr="00187659">
              <w:t>April 4</w:t>
            </w:r>
            <w:r w:rsidR="00D12001" w:rsidRPr="00187659">
              <w:t>, 2018</w:t>
            </w:r>
          </w:p>
        </w:tc>
      </w:tr>
    </w:tbl>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2A45CB">
        <w:tab/>
      </w:r>
    </w:p>
    <w:p w:rsidR="00FE2ECE" w:rsidRDefault="00FE2ECE"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40C" w:rsidRPr="0099140C" w:rsidRDefault="0099140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rPr>
          <w:b/>
          <w:bCs/>
        </w:rPr>
        <w:t>X.</w:t>
      </w:r>
      <w:r w:rsidRPr="002A45CB">
        <w:rPr>
          <w:b/>
          <w:bCs/>
        </w:rPr>
        <w:tab/>
      </w:r>
      <w:r>
        <w:rPr>
          <w:b/>
          <w:bCs/>
          <w:u w:val="single"/>
        </w:rPr>
        <w:t xml:space="preserve">Request to Consolidate Dockets </w:t>
      </w:r>
    </w:p>
    <w:p w:rsidR="0099140C" w:rsidRPr="00721BFF" w:rsidRDefault="0099140C"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40C" w:rsidRPr="00721BFF" w:rsidRDefault="0099140C" w:rsidP="00D34CCD">
      <w:pPr>
        <w:autoSpaceDE w:val="0"/>
        <w:autoSpaceDN w:val="0"/>
        <w:adjustRightInd w:val="0"/>
        <w:jc w:val="both"/>
        <w:rPr>
          <w:rFonts w:ascii="BookAntiqua" w:hAnsi="BookAntiqua" w:cs="BookAntiqua"/>
        </w:rPr>
      </w:pPr>
      <w:r w:rsidRPr="00721BFF">
        <w:tab/>
      </w:r>
      <w:r w:rsidRPr="00721BFF">
        <w:rPr>
          <w:rFonts w:ascii="BookAntiqua" w:hAnsi="BookAntiqua" w:cs="BookAntiqua"/>
        </w:rPr>
        <w:t xml:space="preserve">Because the issues in both proceedings are interrelated, Seminole and SHEC requested that the two proceedings be consolidated for purposes of hearing. However, because the two proceedings will proceed separately under the Florida Electrical Power Plant Siting Act, Seminole and SHEC requested that the Commission issue two separate final orders pursuant to Section 403.519, F.S. </w:t>
      </w:r>
    </w:p>
    <w:p w:rsidR="0099140C" w:rsidRDefault="0099140C" w:rsidP="00D34CCD">
      <w:pPr>
        <w:autoSpaceDE w:val="0"/>
        <w:autoSpaceDN w:val="0"/>
        <w:adjustRightInd w:val="0"/>
        <w:jc w:val="both"/>
        <w:rPr>
          <w:rFonts w:ascii="BookAntiqua" w:hAnsi="BookAntiqua" w:cs="BookAntiqua"/>
          <w:highlight w:val="yellow"/>
        </w:rPr>
      </w:pPr>
    </w:p>
    <w:p w:rsidR="0099140C" w:rsidRDefault="0099140C"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82D01">
        <w:t xml:space="preserve">Pursuant to </w:t>
      </w:r>
      <w:r>
        <w:t>Rule 28-106.211, F.A.C.,</w:t>
      </w:r>
      <w:r w:rsidR="00D82D01">
        <w:t xml:space="preserve"> the presiding</w:t>
      </w:r>
      <w:r>
        <w:t xml:space="preserve"> officer before whom a case is pending may issue any orders necessary to effectuate discovery, to prevent delay, and to promote the just, speedy, and inexpensive determination of all aspects of the case</w:t>
      </w:r>
      <w:r w:rsidR="00D82D01">
        <w:t xml:space="preserve">. </w:t>
      </w:r>
      <w:r>
        <w:t>Upon review, it appears that Docket Nos. 20170266-EC and 20170</w:t>
      </w:r>
      <w:r w:rsidR="005018E7">
        <w:t>267-EC are interrelated and that consolidation would cause no undue prejudice; therefore,</w:t>
      </w:r>
      <w:r>
        <w:t xml:space="preserve"> the standard for consolidation set out in Rule 28-106.108, F.A.C., has been met. Therefore, Docket Nos. 20170266-EC and 20170267-EC shall be consolidated for </w:t>
      </w:r>
      <w:r w:rsidR="00AC4348">
        <w:t>the purposes of hearing</w:t>
      </w:r>
      <w:r>
        <w:t>, except that two separate final orders shall be issued</w:t>
      </w:r>
      <w:r w:rsidRPr="00C3110F">
        <w:t>.</w:t>
      </w:r>
      <w:r>
        <w:t xml:space="preserve">  </w:t>
      </w:r>
    </w:p>
    <w:p w:rsidR="0099140C" w:rsidRDefault="0099140C"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140C" w:rsidRPr="002A45CB" w:rsidRDefault="0099140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All parties to Docket No. 20170266-EC shall also be parties to Docket No. 20170267-EC. Accordingly, all procedures established by this Order Establishing Procedure shall govern this proceeding unless modified by the Prehearing Officer or the Commission.</w:t>
      </w:r>
      <w:r w:rsidRPr="00991753">
        <w:t xml:space="preserve"> </w:t>
      </w:r>
      <w:r>
        <w:t>All fil</w:t>
      </w:r>
      <w:r w:rsidR="00187659">
        <w:t>ings made in Docket No. 20170267</w:t>
      </w:r>
      <w:r>
        <w:t>-EC shall be c</w:t>
      </w:r>
      <w:r w:rsidR="00187659">
        <w:t>ombined into Docket No. 20170266</w:t>
      </w:r>
      <w:r>
        <w:t>-EC, and all future filings shall</w:t>
      </w:r>
      <w:r w:rsidR="00187659">
        <w:t xml:space="preserve"> be filed in Docket No. 20170266</w:t>
      </w:r>
      <w:r>
        <w:t xml:space="preserve">-EC. </w:t>
      </w:r>
    </w:p>
    <w:p w:rsidR="0099140C"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A45CB">
        <w:tab/>
      </w:r>
    </w:p>
    <w:p w:rsidR="00497C33" w:rsidRDefault="0099140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97C33" w:rsidRPr="002A45CB">
        <w:t>Based upon the foregoing, it is</w:t>
      </w:r>
    </w:p>
    <w:p w:rsidR="002A773C" w:rsidRDefault="002A773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773C" w:rsidRDefault="002A773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2A45CB">
        <w:t xml:space="preserve">ORDERED by Commissioner </w:t>
      </w:r>
      <w:r w:rsidR="000C75CF">
        <w:t>Gary F. Clark</w:t>
      </w:r>
      <w:r w:rsidRPr="002A45CB">
        <w:t>,</w:t>
      </w:r>
      <w:r>
        <w:t xml:space="preserve"> as Prehearing Officer, that </w:t>
      </w:r>
      <w:r w:rsidR="006E0501">
        <w:t>the request</w:t>
      </w:r>
      <w:r>
        <w:t xml:space="preserve"> submitted by Seminole Cooperative, Inc. and Shady Hills Energy Center, LLC to consolidate Docket Nos. 20170266-EC and 20170267-EC is hereby granted, as set forth in the body of this Order. It is further </w:t>
      </w:r>
    </w:p>
    <w:p w:rsidR="00062AF1" w:rsidRDefault="00062AF1"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62AF1" w:rsidRDefault="00062AF1" w:rsidP="00D34CCD">
      <w:pPr>
        <w:ind w:firstLine="720"/>
        <w:jc w:val="both"/>
      </w:pPr>
      <w:r>
        <w:t xml:space="preserve">ORDERED that Docket Nos. 20170266-EC and 20170267-EC are hereby consolidated for </w:t>
      </w:r>
      <w:r w:rsidR="00AC4348">
        <w:t>purposes of hearing</w:t>
      </w:r>
      <w:r w:rsidR="002D5EBC">
        <w:t xml:space="preserve"> only</w:t>
      </w:r>
      <w:r w:rsidR="009429CB">
        <w:t>,</w:t>
      </w:r>
      <w:r>
        <w:t xml:space="preserve"> as set forth in the body of this Order.  It is further</w:t>
      </w:r>
    </w:p>
    <w:p w:rsidR="00062AF1" w:rsidRDefault="00062AF1" w:rsidP="00D34C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62AF1" w:rsidRDefault="00062AF1" w:rsidP="002D5E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429CB" w:rsidRDefault="009429CB"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7C33" w:rsidRPr="002A45CB" w:rsidRDefault="002A773C"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w:t>
      </w:r>
      <w:r w:rsidR="00497C33" w:rsidRPr="002A45CB">
        <w:t>that the provisions of this Order shall govern this proceeding unless modified by the Commission.</w:t>
      </w:r>
      <w:r w:rsidR="006C5D08">
        <w:t xml:space="preserve"> </w:t>
      </w:r>
    </w:p>
    <w:p w:rsidR="00497C33" w:rsidRPr="002A45CB" w:rsidRDefault="00497C33" w:rsidP="00D34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B4BC6" w:rsidRDefault="006B4BC6" w:rsidP="006B4BC6">
      <w:pPr>
        <w:keepNext/>
        <w:keepLines/>
        <w:jc w:val="both"/>
      </w:pPr>
      <w:r>
        <w:rPr>
          <w:b/>
        </w:rPr>
        <w:tab/>
      </w:r>
      <w:r w:rsidRPr="006B4BC6">
        <w:t xml:space="preserve">By ORDER of Commissioner Gary F. Clark, as Prehearing Officer, this </w:t>
      </w:r>
      <w:bookmarkStart w:id="7" w:name="replaceDate"/>
      <w:bookmarkEnd w:id="7"/>
      <w:r w:rsidR="00C27C8C">
        <w:rPr>
          <w:u w:val="single"/>
        </w:rPr>
        <w:t>5th</w:t>
      </w:r>
      <w:r w:rsidR="00C27C8C">
        <w:t xml:space="preserve"> day of </w:t>
      </w:r>
      <w:r w:rsidR="00C27C8C">
        <w:rPr>
          <w:u w:val="single"/>
        </w:rPr>
        <w:t>January</w:t>
      </w:r>
      <w:r w:rsidR="00C27C8C">
        <w:t xml:space="preserve">, </w:t>
      </w:r>
      <w:r w:rsidR="00C27C8C">
        <w:rPr>
          <w:u w:val="single"/>
        </w:rPr>
        <w:t>2018</w:t>
      </w:r>
      <w:r w:rsidR="00C27C8C">
        <w:t>.</w:t>
      </w:r>
    </w:p>
    <w:p w:rsidR="00C27C8C" w:rsidRPr="00C27C8C" w:rsidRDefault="00C27C8C" w:rsidP="006B4BC6">
      <w:pPr>
        <w:keepNext/>
        <w:keepLines/>
        <w:jc w:val="both"/>
        <w:rPr>
          <w:b/>
        </w:rPr>
      </w:pPr>
    </w:p>
    <w:p w:rsidR="006B4BC6" w:rsidRDefault="006B4BC6" w:rsidP="006B4BC6">
      <w:pPr>
        <w:keepNext/>
        <w:keepLines/>
        <w:jc w:val="both"/>
        <w:rPr>
          <w:b/>
        </w:rPr>
      </w:pPr>
    </w:p>
    <w:p w:rsidR="006B4BC6" w:rsidRDefault="006B4BC6" w:rsidP="006B4BC6">
      <w:pPr>
        <w:keepNext/>
        <w:keepLines/>
        <w:jc w:val="both"/>
        <w:rPr>
          <w:b/>
        </w:rPr>
      </w:pPr>
    </w:p>
    <w:p w:rsidR="006B4BC6" w:rsidRDefault="006B4BC6" w:rsidP="006B4BC6">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6B4BC6" w:rsidTr="006B4BC6">
        <w:tc>
          <w:tcPr>
            <w:tcW w:w="720" w:type="dxa"/>
            <w:shd w:val="clear" w:color="auto" w:fill="auto"/>
          </w:tcPr>
          <w:p w:rsidR="006B4BC6" w:rsidRDefault="006B4BC6" w:rsidP="006B4BC6">
            <w:pPr>
              <w:keepNext/>
              <w:keepLines/>
              <w:jc w:val="both"/>
              <w:rPr>
                <w:b/>
              </w:rPr>
            </w:pPr>
            <w:bookmarkStart w:id="8" w:name="bkmrkSignature" w:colFirst="0" w:colLast="0"/>
          </w:p>
        </w:tc>
        <w:tc>
          <w:tcPr>
            <w:tcW w:w="4320" w:type="dxa"/>
            <w:tcBorders>
              <w:bottom w:val="single" w:sz="4" w:space="0" w:color="auto"/>
            </w:tcBorders>
            <w:shd w:val="clear" w:color="auto" w:fill="auto"/>
          </w:tcPr>
          <w:p w:rsidR="006B4BC6" w:rsidRPr="00730C45" w:rsidRDefault="00C27C8C" w:rsidP="006B4BC6">
            <w:pPr>
              <w:keepNext/>
              <w:keepLines/>
              <w:jc w:val="both"/>
            </w:pPr>
            <w:r w:rsidRPr="00730C45">
              <w:t>/s/ Gary F. Clark</w:t>
            </w:r>
          </w:p>
        </w:tc>
      </w:tr>
      <w:bookmarkEnd w:id="8"/>
      <w:tr w:rsidR="006B4BC6" w:rsidTr="006B4BC6">
        <w:tc>
          <w:tcPr>
            <w:tcW w:w="720" w:type="dxa"/>
            <w:shd w:val="clear" w:color="auto" w:fill="auto"/>
          </w:tcPr>
          <w:p w:rsidR="006B4BC6" w:rsidRDefault="006B4BC6" w:rsidP="006B4BC6">
            <w:pPr>
              <w:keepNext/>
              <w:keepLines/>
              <w:jc w:val="both"/>
              <w:rPr>
                <w:b/>
              </w:rPr>
            </w:pPr>
          </w:p>
        </w:tc>
        <w:tc>
          <w:tcPr>
            <w:tcW w:w="4320" w:type="dxa"/>
            <w:tcBorders>
              <w:top w:val="single" w:sz="4" w:space="0" w:color="auto"/>
            </w:tcBorders>
            <w:shd w:val="clear" w:color="auto" w:fill="auto"/>
          </w:tcPr>
          <w:p w:rsidR="006B4BC6" w:rsidRPr="006B4BC6" w:rsidRDefault="006B4BC6" w:rsidP="006B4BC6">
            <w:pPr>
              <w:keepNext/>
              <w:keepLines/>
              <w:jc w:val="both"/>
            </w:pPr>
            <w:r w:rsidRPr="006B4BC6">
              <w:t>GARY F. CLARK</w:t>
            </w:r>
          </w:p>
          <w:p w:rsidR="006B4BC6" w:rsidRDefault="006B4BC6" w:rsidP="006B4BC6">
            <w:pPr>
              <w:keepNext/>
              <w:keepLines/>
              <w:jc w:val="both"/>
              <w:rPr>
                <w:b/>
              </w:rPr>
            </w:pPr>
            <w:r w:rsidRPr="006B4BC6">
              <w:t>Commissioner and Prehearing Officer</w:t>
            </w:r>
          </w:p>
        </w:tc>
      </w:tr>
    </w:tbl>
    <w:p w:rsidR="006B4BC6" w:rsidRDefault="006B4BC6" w:rsidP="006B4BC6">
      <w:pPr>
        <w:pStyle w:val="OrderSigInfo"/>
        <w:keepNext/>
        <w:keepLines/>
      </w:pPr>
      <w:r>
        <w:t>Florida Public Service Commission</w:t>
      </w:r>
    </w:p>
    <w:p w:rsidR="006B4BC6" w:rsidRDefault="006B4BC6" w:rsidP="006B4BC6">
      <w:pPr>
        <w:pStyle w:val="OrderSigInfo"/>
        <w:keepNext/>
        <w:keepLines/>
      </w:pPr>
      <w:r>
        <w:t>2540 Shumard Oak Boulevard</w:t>
      </w:r>
    </w:p>
    <w:p w:rsidR="006B4BC6" w:rsidRDefault="006B4BC6" w:rsidP="006B4BC6">
      <w:pPr>
        <w:pStyle w:val="OrderSigInfo"/>
        <w:keepNext/>
        <w:keepLines/>
      </w:pPr>
      <w:bookmarkStart w:id="9" w:name="_GoBack"/>
      <w:bookmarkEnd w:id="9"/>
      <w:r>
        <w:t>Tallahassee, Florida  32399</w:t>
      </w:r>
    </w:p>
    <w:p w:rsidR="006B4BC6" w:rsidRDefault="006B4BC6" w:rsidP="006B4BC6">
      <w:pPr>
        <w:pStyle w:val="OrderSigInfo"/>
        <w:keepNext/>
        <w:keepLines/>
      </w:pPr>
      <w:r>
        <w:t>(850) 413</w:t>
      </w:r>
      <w:r>
        <w:noBreakHyphen/>
        <w:t>6770</w:t>
      </w:r>
    </w:p>
    <w:p w:rsidR="006B4BC6" w:rsidRDefault="006B4BC6" w:rsidP="006B4BC6">
      <w:pPr>
        <w:pStyle w:val="OrderSigInfo"/>
        <w:keepNext/>
        <w:keepLines/>
      </w:pPr>
      <w:r>
        <w:t>www.floridapsc.com</w:t>
      </w:r>
    </w:p>
    <w:p w:rsidR="006B4BC6" w:rsidRDefault="006B4BC6" w:rsidP="006B4BC6">
      <w:pPr>
        <w:pStyle w:val="OrderSigInfo"/>
        <w:keepNext/>
        <w:keepLines/>
      </w:pPr>
    </w:p>
    <w:p w:rsidR="006B4BC6" w:rsidRDefault="006B4BC6" w:rsidP="006B4BC6">
      <w:pPr>
        <w:pStyle w:val="OrderSigInfo"/>
        <w:keepNext/>
        <w:keepLines/>
      </w:pPr>
      <w:r>
        <w:t>Copies furnished:  A copy of this document is provided to the parties of record at the time of issuance and, if applicable, interested persons.</w:t>
      </w:r>
    </w:p>
    <w:p w:rsidR="006B4BC6" w:rsidRDefault="006B4BC6" w:rsidP="006B4BC6">
      <w:pPr>
        <w:pStyle w:val="OrderBody"/>
        <w:keepNext/>
        <w:keepLines/>
      </w:pPr>
    </w:p>
    <w:p w:rsidR="006B4BC6" w:rsidRDefault="006B4BC6" w:rsidP="006B4BC6">
      <w:pPr>
        <w:keepNext/>
        <w:keepLines/>
        <w:jc w:val="both"/>
        <w:rPr>
          <w:b/>
        </w:rPr>
      </w:pPr>
    </w:p>
    <w:p w:rsidR="006B4BC6" w:rsidRPr="006B4BC6" w:rsidRDefault="006B4BC6" w:rsidP="006B4BC6">
      <w:pPr>
        <w:keepNext/>
        <w:keepLines/>
        <w:jc w:val="both"/>
      </w:pPr>
      <w:r>
        <w:t>RD</w:t>
      </w:r>
    </w:p>
    <w:p w:rsidR="006B4BC6" w:rsidRDefault="006B4BC6" w:rsidP="00D34CCD">
      <w:pPr>
        <w:jc w:val="both"/>
        <w:rPr>
          <w:b/>
        </w:rPr>
      </w:pPr>
    </w:p>
    <w:p w:rsidR="006B4BC6" w:rsidRDefault="006B4BC6" w:rsidP="00D34CCD">
      <w:pPr>
        <w:jc w:val="both"/>
        <w:rPr>
          <w:b/>
        </w:rPr>
      </w:pPr>
    </w:p>
    <w:p w:rsidR="006B4BC6" w:rsidRDefault="006B4BC6" w:rsidP="006B4BC6">
      <w:pPr>
        <w:pStyle w:val="CenterUnderline"/>
      </w:pPr>
      <w:r>
        <w:t>NOTICE OF FURTHER PROCEEDINGS OR JUDICIAL REVIEW</w:t>
      </w:r>
    </w:p>
    <w:p w:rsidR="00497C33" w:rsidRDefault="00497C33" w:rsidP="006B4BC6">
      <w:pPr>
        <w:pStyle w:val="CenterUnderline"/>
      </w:pPr>
    </w:p>
    <w:p w:rsidR="006B4BC6" w:rsidRDefault="006B4BC6" w:rsidP="006B4B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4BC6" w:rsidRDefault="006B4BC6" w:rsidP="006B4BC6">
      <w:pPr>
        <w:pStyle w:val="OrderBody"/>
      </w:pPr>
    </w:p>
    <w:p w:rsidR="006B4BC6" w:rsidRDefault="006B4BC6" w:rsidP="006B4BC6">
      <w:pPr>
        <w:pStyle w:val="OrderBody"/>
      </w:pPr>
      <w:r>
        <w:tab/>
        <w:t>Mediation may be available on a case-by-case basis.  If mediation is conducted, it does not affect a substantially interested person's right to a hearing.</w:t>
      </w:r>
    </w:p>
    <w:p w:rsidR="006B4BC6" w:rsidRDefault="006B4BC6" w:rsidP="006B4BC6">
      <w:pPr>
        <w:pStyle w:val="OrderBody"/>
      </w:pPr>
    </w:p>
    <w:p w:rsidR="006B4BC6" w:rsidRDefault="006B4BC6" w:rsidP="006B4BC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lastRenderedPageBreak/>
        <w:t>of the final action will not provide an adequate remedy.  Such review may be requested from the appropriate court, as described above, pursuant to Rule 9.100, Florida Rules of Appellate Procedure.</w:t>
      </w:r>
    </w:p>
    <w:p w:rsidR="00BC78FD" w:rsidRDefault="00BC78FD" w:rsidP="00BC78FD"/>
    <w:p w:rsidR="00BC78FD" w:rsidRDefault="00BC78FD" w:rsidP="00BC78FD">
      <w:pPr>
        <w:sectPr w:rsidR="00BC78FD" w:rsidSect="00BE2878">
          <w:headerReference w:type="default" r:id="rId10"/>
          <w:footerReference w:type="first" r:id="rId11"/>
          <w:pgSz w:w="12240" w:h="15840" w:code="1"/>
          <w:pgMar w:top="1440" w:right="1440" w:bottom="1440" w:left="1440" w:header="720" w:footer="720" w:gutter="0"/>
          <w:cols w:space="720"/>
          <w:titlePg/>
          <w:docGrid w:linePitch="360"/>
        </w:sectPr>
      </w:pPr>
    </w:p>
    <w:p w:rsidR="00BC78FD" w:rsidRDefault="00BC78FD" w:rsidP="00BC78FD">
      <w:pPr>
        <w:jc w:val="both"/>
        <w:rPr>
          <w:rFonts w:eastAsiaTheme="minorHAnsi"/>
        </w:rPr>
      </w:pPr>
      <w:r>
        <w:rPr>
          <w:rFonts w:eastAsiaTheme="minorHAnsi"/>
          <w:b/>
          <w:bCs/>
          <w:u w:val="single"/>
        </w:rPr>
        <w:lastRenderedPageBreak/>
        <w:t>Issue 1A</w:t>
      </w:r>
      <w:r>
        <w:rPr>
          <w:rFonts w:eastAsiaTheme="minorHAnsi"/>
        </w:rPr>
        <w:t>:  Is there a need for the proposed Seminole Combined Cycle Facility, taking into account the need for electric system reliability and integrity, as this criterion is used in Section 403.519(3), Florida Statutes?</w:t>
      </w:r>
    </w:p>
    <w:p w:rsidR="00BC78FD" w:rsidRDefault="00BC78FD" w:rsidP="00BC78FD">
      <w:pPr>
        <w:jc w:val="both"/>
        <w:rPr>
          <w:rFonts w:eastAsiaTheme="minorHAnsi"/>
        </w:rPr>
      </w:pPr>
    </w:p>
    <w:p w:rsidR="00BC78FD" w:rsidRDefault="00BC78FD" w:rsidP="00BC78FD">
      <w:pPr>
        <w:jc w:val="both"/>
        <w:rPr>
          <w:rFonts w:eastAsiaTheme="minorHAnsi"/>
        </w:rPr>
      </w:pPr>
      <w:r>
        <w:rPr>
          <w:rFonts w:eastAsiaTheme="minorHAnsi"/>
          <w:b/>
          <w:bCs/>
          <w:u w:val="single"/>
        </w:rPr>
        <w:t>Issue 1B</w:t>
      </w:r>
      <w:r>
        <w:rPr>
          <w:rFonts w:eastAsiaTheme="minorHAnsi"/>
        </w:rPr>
        <w:t>:  Is there a need for the proposed Shady Hills Combined Cycle Facility, taking into account the need for electric system reliability and integrity, as this criterion is used in Section 403.519(3), Florida Statutes?</w:t>
      </w:r>
    </w:p>
    <w:p w:rsidR="00BC78FD" w:rsidRDefault="00BC78FD" w:rsidP="00BC78FD">
      <w:pPr>
        <w:jc w:val="both"/>
        <w:rPr>
          <w:rFonts w:eastAsiaTheme="minorHAnsi"/>
          <w:b/>
          <w:bCs/>
          <w:u w:val="single"/>
        </w:rPr>
      </w:pPr>
    </w:p>
    <w:p w:rsidR="00BC78FD" w:rsidRDefault="00BC78FD" w:rsidP="00BC78FD">
      <w:pPr>
        <w:jc w:val="both"/>
        <w:rPr>
          <w:rFonts w:eastAsiaTheme="minorHAnsi"/>
        </w:rPr>
      </w:pPr>
      <w:r>
        <w:rPr>
          <w:rFonts w:eastAsiaTheme="minorHAnsi"/>
          <w:b/>
          <w:bCs/>
          <w:u w:val="single"/>
        </w:rPr>
        <w:t>Issue 2A</w:t>
      </w:r>
      <w:r>
        <w:rPr>
          <w:rFonts w:eastAsiaTheme="minorHAnsi"/>
        </w:rPr>
        <w:t xml:space="preserve">:  Are there any renewable energy sources and technologies or conservation measures taken by or reasonably available to Seminole Electric Cooperative, Inc., which might mitigate the need for the proposed </w:t>
      </w:r>
      <w:r w:rsidR="008343F9">
        <w:rPr>
          <w:rFonts w:eastAsiaTheme="minorHAnsi"/>
        </w:rPr>
        <w:t>Seminole Combined Cycle Facility</w:t>
      </w:r>
      <w:r>
        <w:rPr>
          <w:rFonts w:eastAsiaTheme="minorHAnsi"/>
        </w:rPr>
        <w:t>?</w:t>
      </w:r>
    </w:p>
    <w:p w:rsidR="00BC78FD" w:rsidRDefault="00BC78FD" w:rsidP="00BC78FD">
      <w:pPr>
        <w:jc w:val="both"/>
        <w:rPr>
          <w:rFonts w:eastAsiaTheme="minorHAnsi"/>
        </w:rPr>
      </w:pPr>
    </w:p>
    <w:p w:rsidR="00BC78FD" w:rsidRDefault="00BC78FD" w:rsidP="00BC78FD">
      <w:pPr>
        <w:jc w:val="both"/>
        <w:rPr>
          <w:rFonts w:eastAsiaTheme="minorHAnsi"/>
        </w:rPr>
      </w:pPr>
      <w:r>
        <w:rPr>
          <w:rFonts w:eastAsiaTheme="minorHAnsi"/>
          <w:b/>
          <w:bCs/>
          <w:u w:val="single"/>
        </w:rPr>
        <w:t>Issue 2B</w:t>
      </w:r>
      <w:r>
        <w:rPr>
          <w:rFonts w:eastAsiaTheme="minorHAnsi"/>
        </w:rPr>
        <w:t xml:space="preserve">:  Are there any renewable energy sources and technologies or conservation measures taken by or reasonably available to </w:t>
      </w:r>
      <w:r w:rsidR="00706274">
        <w:rPr>
          <w:rFonts w:eastAsiaTheme="minorHAnsi"/>
        </w:rPr>
        <w:t>Seminole Electric Cooperative, Inc.</w:t>
      </w:r>
      <w:r>
        <w:rPr>
          <w:rFonts w:eastAsiaTheme="minorHAnsi"/>
        </w:rPr>
        <w:t xml:space="preserve"> and Shady Hills Energy Center, LLC, which might mitigate the need for the proposed </w:t>
      </w:r>
      <w:r w:rsidR="008343F9">
        <w:rPr>
          <w:rFonts w:eastAsiaTheme="minorHAnsi"/>
        </w:rPr>
        <w:t>Shady Hills Combined Cycle Facility</w:t>
      </w:r>
      <w:r>
        <w:rPr>
          <w:rFonts w:eastAsiaTheme="minorHAnsi"/>
        </w:rPr>
        <w:t>?</w:t>
      </w:r>
    </w:p>
    <w:p w:rsidR="00BC78FD" w:rsidRDefault="00BC78FD" w:rsidP="00BC78FD">
      <w:pPr>
        <w:jc w:val="both"/>
        <w:rPr>
          <w:rFonts w:eastAsiaTheme="minorHAnsi"/>
          <w:b/>
          <w:bCs/>
          <w:u w:val="single"/>
        </w:rPr>
      </w:pPr>
    </w:p>
    <w:p w:rsidR="00BC78FD" w:rsidRDefault="00BC78FD" w:rsidP="00BC78FD">
      <w:pPr>
        <w:jc w:val="both"/>
        <w:rPr>
          <w:rFonts w:eastAsiaTheme="minorHAnsi"/>
        </w:rPr>
      </w:pPr>
      <w:r>
        <w:rPr>
          <w:rFonts w:eastAsiaTheme="minorHAnsi"/>
          <w:b/>
          <w:bCs/>
          <w:u w:val="single"/>
        </w:rPr>
        <w:t>Issue 3A</w:t>
      </w:r>
      <w:r>
        <w:rPr>
          <w:rFonts w:eastAsiaTheme="minorHAnsi"/>
        </w:rPr>
        <w:t xml:space="preserve">:  Is there a need for the proposed </w:t>
      </w:r>
      <w:r w:rsidR="008343F9">
        <w:rPr>
          <w:rFonts w:eastAsiaTheme="minorHAnsi"/>
        </w:rPr>
        <w:t>Seminole Combined Cycle Facility,</w:t>
      </w:r>
      <w:r>
        <w:rPr>
          <w:rFonts w:eastAsiaTheme="minorHAnsi"/>
        </w:rPr>
        <w:t xml:space="preserve"> taking into account the need for adequate electricity at a reasonable cost, as this criterion is used in Section 403.519(3), Florida Statutes?</w:t>
      </w:r>
    </w:p>
    <w:p w:rsidR="00BC78FD" w:rsidRDefault="00BC78FD" w:rsidP="00BC78FD">
      <w:pPr>
        <w:jc w:val="both"/>
        <w:rPr>
          <w:rFonts w:eastAsiaTheme="minorHAnsi"/>
        </w:rPr>
      </w:pPr>
    </w:p>
    <w:p w:rsidR="00BC78FD" w:rsidRDefault="00BC78FD" w:rsidP="00BC78FD">
      <w:pPr>
        <w:jc w:val="both"/>
        <w:rPr>
          <w:rFonts w:eastAsiaTheme="minorHAnsi"/>
        </w:rPr>
      </w:pPr>
      <w:r>
        <w:rPr>
          <w:rFonts w:eastAsiaTheme="minorHAnsi"/>
          <w:b/>
          <w:bCs/>
          <w:u w:val="single"/>
        </w:rPr>
        <w:t>Issue 3B</w:t>
      </w:r>
      <w:r>
        <w:rPr>
          <w:rFonts w:eastAsiaTheme="minorHAnsi"/>
        </w:rPr>
        <w:t xml:space="preserve">:  Is there a need for the proposed </w:t>
      </w:r>
      <w:r w:rsidR="008343F9">
        <w:rPr>
          <w:rFonts w:eastAsiaTheme="minorHAnsi"/>
        </w:rPr>
        <w:t>Shady Hills Combined Cycle Facility</w:t>
      </w:r>
      <w:r>
        <w:rPr>
          <w:rFonts w:eastAsiaTheme="minorHAnsi"/>
        </w:rPr>
        <w:t>, taking into account the need for adequate electricity at a reasonable cost, as this criterion is used in Section 403.519(3), Florida Statutes?</w:t>
      </w:r>
    </w:p>
    <w:p w:rsidR="00BC78FD" w:rsidRDefault="00BC78FD" w:rsidP="00BC78FD">
      <w:pPr>
        <w:jc w:val="both"/>
        <w:rPr>
          <w:rFonts w:eastAsiaTheme="minorHAnsi"/>
          <w:b/>
          <w:bCs/>
          <w:u w:val="single"/>
        </w:rPr>
      </w:pPr>
    </w:p>
    <w:p w:rsidR="00BC78FD" w:rsidRDefault="00BC78FD" w:rsidP="00BC78FD">
      <w:pPr>
        <w:jc w:val="both"/>
        <w:rPr>
          <w:rFonts w:eastAsiaTheme="minorHAnsi"/>
        </w:rPr>
      </w:pPr>
      <w:r>
        <w:rPr>
          <w:rFonts w:eastAsiaTheme="minorHAnsi"/>
          <w:b/>
          <w:bCs/>
          <w:u w:val="single"/>
        </w:rPr>
        <w:t>Issue 4A</w:t>
      </w:r>
      <w:r>
        <w:rPr>
          <w:rFonts w:eastAsiaTheme="minorHAnsi"/>
        </w:rPr>
        <w:t>:  Is there a need for the proposed</w:t>
      </w:r>
      <w:r w:rsidR="008343F9">
        <w:rPr>
          <w:rFonts w:eastAsiaTheme="minorHAnsi"/>
        </w:rPr>
        <w:t xml:space="preserve"> Seminole Combined Cycle Facility</w:t>
      </w:r>
      <w:r>
        <w:rPr>
          <w:rFonts w:eastAsiaTheme="minorHAnsi"/>
        </w:rPr>
        <w:t>, taking into account the need for fuel diversity and supply reliability, as this criterion is used in Section 403.519(3), Florida Statutes?</w:t>
      </w:r>
    </w:p>
    <w:p w:rsidR="00BC78FD" w:rsidRDefault="00BC78FD" w:rsidP="00BC78FD">
      <w:pPr>
        <w:jc w:val="both"/>
        <w:rPr>
          <w:rFonts w:eastAsiaTheme="minorHAnsi"/>
        </w:rPr>
      </w:pPr>
    </w:p>
    <w:p w:rsidR="00BC78FD" w:rsidRDefault="00BC78FD" w:rsidP="00BC78FD">
      <w:pPr>
        <w:jc w:val="both"/>
        <w:rPr>
          <w:rFonts w:eastAsiaTheme="minorHAnsi"/>
        </w:rPr>
      </w:pPr>
      <w:r>
        <w:rPr>
          <w:rFonts w:eastAsiaTheme="minorHAnsi"/>
          <w:b/>
          <w:bCs/>
          <w:u w:val="single"/>
        </w:rPr>
        <w:t>Issue 4B</w:t>
      </w:r>
      <w:r>
        <w:rPr>
          <w:rFonts w:eastAsiaTheme="minorHAnsi"/>
        </w:rPr>
        <w:t xml:space="preserve">:  Is there a need for the proposed </w:t>
      </w:r>
      <w:r w:rsidR="008343F9">
        <w:rPr>
          <w:rFonts w:eastAsiaTheme="minorHAnsi"/>
        </w:rPr>
        <w:t>Shady Hills Combined Cycle Facility</w:t>
      </w:r>
      <w:r>
        <w:rPr>
          <w:rFonts w:eastAsiaTheme="minorHAnsi"/>
        </w:rPr>
        <w:t>, taking into account the need for fuel diversity and supply reliability, as this criterion is used in Section 403.519(3), Florida Statutes?</w:t>
      </w:r>
    </w:p>
    <w:p w:rsidR="00BC78FD" w:rsidRDefault="00BC78FD" w:rsidP="00BC78FD">
      <w:pPr>
        <w:jc w:val="both"/>
        <w:rPr>
          <w:rFonts w:eastAsiaTheme="minorHAnsi"/>
          <w:b/>
          <w:bCs/>
          <w:u w:val="single"/>
        </w:rPr>
      </w:pPr>
    </w:p>
    <w:p w:rsidR="00BC78FD" w:rsidRDefault="00BC78FD" w:rsidP="00BC78FD">
      <w:pPr>
        <w:jc w:val="both"/>
        <w:rPr>
          <w:rFonts w:eastAsiaTheme="minorHAnsi"/>
        </w:rPr>
      </w:pPr>
      <w:r>
        <w:rPr>
          <w:rFonts w:eastAsiaTheme="minorHAnsi"/>
          <w:b/>
          <w:bCs/>
          <w:u w:val="single"/>
        </w:rPr>
        <w:t>Issue 5A</w:t>
      </w:r>
      <w:r>
        <w:rPr>
          <w:rFonts w:eastAsiaTheme="minorHAnsi"/>
        </w:rPr>
        <w:t xml:space="preserve">:  Will the proposed </w:t>
      </w:r>
      <w:r w:rsidR="008343F9">
        <w:rPr>
          <w:rFonts w:eastAsiaTheme="minorHAnsi"/>
        </w:rPr>
        <w:t>Seminole Combined Cycle Facility</w:t>
      </w:r>
      <w:r>
        <w:rPr>
          <w:rFonts w:eastAsiaTheme="minorHAnsi"/>
        </w:rPr>
        <w:t xml:space="preserve"> provide the most cost-effective alternative available, as this criterion is used in Section 403.519(3), Florida Statutes?</w:t>
      </w:r>
    </w:p>
    <w:p w:rsidR="00BC78FD" w:rsidRDefault="00BC78FD" w:rsidP="00BC78FD">
      <w:pPr>
        <w:jc w:val="both"/>
        <w:rPr>
          <w:rFonts w:eastAsiaTheme="minorHAnsi"/>
        </w:rPr>
      </w:pPr>
    </w:p>
    <w:p w:rsidR="00BC78FD" w:rsidRDefault="00BC78FD" w:rsidP="00BC78FD">
      <w:pPr>
        <w:jc w:val="both"/>
        <w:rPr>
          <w:rFonts w:eastAsiaTheme="minorHAnsi"/>
        </w:rPr>
      </w:pPr>
      <w:r>
        <w:rPr>
          <w:rFonts w:eastAsiaTheme="minorHAnsi"/>
          <w:b/>
          <w:bCs/>
          <w:u w:val="single"/>
        </w:rPr>
        <w:t>Issue 5B</w:t>
      </w:r>
      <w:r>
        <w:rPr>
          <w:rFonts w:eastAsiaTheme="minorHAnsi"/>
        </w:rPr>
        <w:t xml:space="preserve">:  Will the proposed </w:t>
      </w:r>
      <w:r w:rsidR="008343F9">
        <w:rPr>
          <w:rFonts w:eastAsiaTheme="minorHAnsi"/>
        </w:rPr>
        <w:t>Shady Hills Combined Cycle Facility</w:t>
      </w:r>
      <w:r>
        <w:rPr>
          <w:rFonts w:eastAsiaTheme="minorHAnsi"/>
        </w:rPr>
        <w:t xml:space="preserve"> provide the most cost-effective alternative available, as this criterion is used in Section 403.519(3), Florida Statutes?</w:t>
      </w:r>
    </w:p>
    <w:p w:rsidR="00BC78FD" w:rsidRDefault="00BC78FD" w:rsidP="00BC78FD">
      <w:pPr>
        <w:jc w:val="both"/>
        <w:rPr>
          <w:rFonts w:eastAsiaTheme="minorHAnsi"/>
          <w:b/>
          <w:bCs/>
          <w:u w:val="single"/>
        </w:rPr>
      </w:pPr>
    </w:p>
    <w:p w:rsidR="00706274" w:rsidRDefault="00BC78FD" w:rsidP="00BC78FD">
      <w:pPr>
        <w:jc w:val="both"/>
        <w:rPr>
          <w:rFonts w:eastAsiaTheme="minorHAnsi"/>
        </w:rPr>
        <w:sectPr w:rsidR="00706274" w:rsidSect="0059782F">
          <w:headerReference w:type="first" r:id="rId12"/>
          <w:pgSz w:w="12240" w:h="15840" w:code="1"/>
          <w:pgMar w:top="1440" w:right="1440" w:bottom="1440" w:left="1440" w:header="720" w:footer="720" w:gutter="0"/>
          <w:cols w:space="720"/>
          <w:titlePg/>
          <w:docGrid w:linePitch="360"/>
        </w:sectPr>
      </w:pPr>
      <w:r>
        <w:rPr>
          <w:rFonts w:eastAsiaTheme="minorHAnsi"/>
          <w:b/>
          <w:bCs/>
          <w:u w:val="single"/>
        </w:rPr>
        <w:t>Issue 6A</w:t>
      </w:r>
      <w:r>
        <w:rPr>
          <w:rFonts w:eastAsiaTheme="minorHAnsi"/>
        </w:rPr>
        <w:t xml:space="preserve">:  Based on the resolution of the foregoing issues and other matters within its jurisdiction which it deems relevant, should the Commission grant </w:t>
      </w:r>
      <w:r w:rsidR="00706274">
        <w:rPr>
          <w:rFonts w:eastAsiaTheme="minorHAnsi"/>
        </w:rPr>
        <w:t>Seminole Electric Cooperative, Inc.</w:t>
      </w:r>
      <w:r>
        <w:rPr>
          <w:rFonts w:eastAsiaTheme="minorHAnsi"/>
        </w:rPr>
        <w:t xml:space="preserve">’s petition to determine the need for the proposed </w:t>
      </w:r>
      <w:r w:rsidR="008343F9">
        <w:rPr>
          <w:rFonts w:eastAsiaTheme="minorHAnsi"/>
        </w:rPr>
        <w:t>Seminole Combined Cycle Facility</w:t>
      </w:r>
      <w:r>
        <w:rPr>
          <w:rFonts w:eastAsiaTheme="minorHAnsi"/>
        </w:rPr>
        <w:t>?</w:t>
      </w:r>
    </w:p>
    <w:p w:rsidR="00706274" w:rsidRDefault="00BC78FD" w:rsidP="00BC78FD">
      <w:pPr>
        <w:jc w:val="both"/>
        <w:rPr>
          <w:rFonts w:eastAsiaTheme="minorHAnsi"/>
        </w:rPr>
      </w:pPr>
      <w:r>
        <w:rPr>
          <w:rFonts w:eastAsiaTheme="minorHAnsi"/>
          <w:b/>
          <w:bCs/>
          <w:u w:val="single"/>
        </w:rPr>
        <w:lastRenderedPageBreak/>
        <w:t>Issue 6B</w:t>
      </w:r>
      <w:r>
        <w:rPr>
          <w:rFonts w:eastAsiaTheme="minorHAnsi"/>
        </w:rPr>
        <w:t xml:space="preserve">:  Based on the resolution of the foregoing issues and other matters within its jurisdiction which it deems relevant, should the Commission grant </w:t>
      </w:r>
      <w:r w:rsidR="00706274">
        <w:rPr>
          <w:rFonts w:eastAsiaTheme="minorHAnsi"/>
        </w:rPr>
        <w:t>Seminole Electric Cooperative, Inc.</w:t>
      </w:r>
      <w:r>
        <w:rPr>
          <w:rFonts w:eastAsiaTheme="minorHAnsi"/>
        </w:rPr>
        <w:t xml:space="preserve"> and </w:t>
      </w:r>
      <w:r w:rsidR="00706274">
        <w:rPr>
          <w:rFonts w:eastAsiaTheme="minorHAnsi"/>
        </w:rPr>
        <w:t>Shady Hills Energy Center, LLC</w:t>
      </w:r>
      <w:r>
        <w:rPr>
          <w:rFonts w:eastAsiaTheme="minorHAnsi"/>
        </w:rPr>
        <w:t xml:space="preserve">’s joint petition to determine the need for the proposed </w:t>
      </w:r>
      <w:r w:rsidR="008343F9">
        <w:rPr>
          <w:rFonts w:eastAsiaTheme="minorHAnsi"/>
        </w:rPr>
        <w:t>Shady Hills Combined Cycle Facility</w:t>
      </w:r>
      <w:r>
        <w:rPr>
          <w:rFonts w:eastAsiaTheme="minorHAnsi"/>
        </w:rPr>
        <w:t>?</w:t>
      </w:r>
    </w:p>
    <w:p w:rsidR="00706274" w:rsidRDefault="00706274" w:rsidP="00706274">
      <w:pPr>
        <w:jc w:val="both"/>
        <w:rPr>
          <w:rFonts w:eastAsiaTheme="minorHAnsi"/>
          <w:b/>
          <w:bCs/>
          <w:u w:val="single"/>
        </w:rPr>
      </w:pPr>
    </w:p>
    <w:p w:rsidR="00706274" w:rsidRDefault="00706274" w:rsidP="00706274">
      <w:pPr>
        <w:jc w:val="both"/>
        <w:rPr>
          <w:rFonts w:eastAsiaTheme="minorHAnsi"/>
        </w:rPr>
      </w:pPr>
      <w:r>
        <w:rPr>
          <w:rFonts w:eastAsiaTheme="minorHAnsi"/>
          <w:b/>
          <w:bCs/>
          <w:u w:val="single"/>
        </w:rPr>
        <w:t>Issue 7A</w:t>
      </w:r>
      <w:r>
        <w:rPr>
          <w:rFonts w:eastAsiaTheme="minorHAnsi"/>
        </w:rPr>
        <w:t>:  Should Docket No. 20170266-EC be closed?</w:t>
      </w:r>
    </w:p>
    <w:p w:rsidR="00706274" w:rsidRDefault="00706274" w:rsidP="00706274">
      <w:pPr>
        <w:jc w:val="both"/>
        <w:rPr>
          <w:rFonts w:eastAsiaTheme="minorHAnsi"/>
        </w:rPr>
      </w:pPr>
    </w:p>
    <w:p w:rsidR="0055595D" w:rsidRPr="004E336D" w:rsidRDefault="00706274" w:rsidP="00D34CCD">
      <w:pPr>
        <w:jc w:val="both"/>
        <w:rPr>
          <w:rFonts w:eastAsiaTheme="minorHAnsi"/>
        </w:rPr>
      </w:pPr>
      <w:r>
        <w:rPr>
          <w:rFonts w:eastAsiaTheme="minorHAnsi"/>
          <w:b/>
          <w:bCs/>
          <w:u w:val="single"/>
        </w:rPr>
        <w:t>Issue 7B</w:t>
      </w:r>
      <w:r>
        <w:rPr>
          <w:rFonts w:eastAsiaTheme="minorHAnsi"/>
        </w:rPr>
        <w:t>:  Should Docket No. 20170267-EC be closed?</w:t>
      </w:r>
    </w:p>
    <w:sectPr w:rsidR="0055595D" w:rsidRPr="004E336D" w:rsidSect="0059782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8E" w:rsidRDefault="00AB0C8E">
      <w:r>
        <w:separator/>
      </w:r>
    </w:p>
  </w:endnote>
  <w:endnote w:type="continuationSeparator" w:id="0">
    <w:p w:rsidR="00AB0C8E" w:rsidRDefault="00AB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Antiqu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8E" w:rsidRDefault="00AB0C8E">
      <w:r>
        <w:separator/>
      </w:r>
    </w:p>
  </w:footnote>
  <w:footnote w:type="continuationSeparator" w:id="0">
    <w:p w:rsidR="00AB0C8E" w:rsidRDefault="00AB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rsidP="00BE2878">
    <w:pPr>
      <w:pStyle w:val="OrderHeader"/>
      <w:tabs>
        <w:tab w:val="left" w:pos="2010"/>
      </w:tabs>
    </w:pPr>
    <w:r>
      <w:t xml:space="preserve">ORDER NO. </w:t>
    </w:r>
    <w:r w:rsidR="00730C45">
      <w:fldChar w:fldCharType="begin"/>
    </w:r>
    <w:r w:rsidR="00730C45">
      <w:instrText xml:space="preserve"> REF OrderNo0018 </w:instrText>
    </w:r>
    <w:r w:rsidR="00730C45">
      <w:fldChar w:fldCharType="separate"/>
    </w:r>
    <w:r w:rsidR="0025403B">
      <w:t>PSC-2018-0018-PCO-EC</w:t>
    </w:r>
    <w:r w:rsidR="00730C45">
      <w:fldChar w:fldCharType="end"/>
    </w:r>
    <w:r w:rsidR="00BC78FD">
      <w:tab/>
    </w:r>
    <w:r w:rsidR="00BE2878">
      <w:tab/>
    </w:r>
    <w:r w:rsidR="00BC78FD">
      <w:tab/>
    </w:r>
  </w:p>
  <w:p w:rsidR="00FA6EFD" w:rsidRDefault="00AB0C8E">
    <w:pPr>
      <w:pStyle w:val="OrderHeader"/>
    </w:pPr>
    <w:bookmarkStart w:id="10" w:name="HeaderDocketNo"/>
    <w:bookmarkEnd w:id="10"/>
    <w:r>
      <w:t>DOCKET NOS. 20170266-EC, 20170267-EC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0C45">
      <w:rPr>
        <w:rStyle w:val="PageNumber"/>
        <w:noProof/>
      </w:rPr>
      <w:t>12</w:t>
    </w:r>
    <w:r>
      <w:rPr>
        <w:rStyle w:val="PageNumber"/>
      </w:rPr>
      <w:fldChar w:fldCharType="end"/>
    </w:r>
  </w:p>
  <w:p w:rsidR="0059782F" w:rsidRDefault="0059782F">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78" w:rsidRDefault="00BE2878" w:rsidP="00BE2878">
    <w:pPr>
      <w:pStyle w:val="OrderHeader"/>
    </w:pPr>
    <w:r>
      <w:t xml:space="preserve">ORDER NO. </w:t>
    </w:r>
    <w:r w:rsidR="006930B5" w:rsidRPr="006930B5">
      <w:t>PSC-2018-0018-PCO-EC</w:t>
    </w:r>
    <w:r>
      <w:tab/>
    </w:r>
    <w:r>
      <w:tab/>
      <w:t>Attachment A</w:t>
    </w:r>
    <w:r>
      <w:tab/>
    </w:r>
  </w:p>
  <w:p w:rsidR="00BE2878" w:rsidRDefault="00BE2878" w:rsidP="00BE2878">
    <w:pPr>
      <w:pStyle w:val="OrderHeader"/>
    </w:pPr>
    <w:r>
      <w:t>DOCKET NOS. 20170266-EC, 20170267-EC</w:t>
    </w:r>
  </w:p>
  <w:p w:rsidR="00BE2878" w:rsidRDefault="00BE2878" w:rsidP="00BE28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30C45">
      <w:rPr>
        <w:rStyle w:val="PageNumber"/>
        <w:noProof/>
      </w:rPr>
      <w:t>15</w:t>
    </w:r>
    <w:r>
      <w:rPr>
        <w:rStyle w:val="PageNumber"/>
      </w:rPr>
      <w:fldChar w:fldCharType="end"/>
    </w:r>
  </w:p>
  <w:p w:rsidR="00BE2878" w:rsidRDefault="00BE2878" w:rsidP="00BC78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2"/>
  </w:num>
  <w:num w:numId="5">
    <w:abstractNumId w:val="6"/>
  </w:num>
  <w:num w:numId="6">
    <w:abstractNumId w:val="3"/>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20170267-EC"/>
  </w:docVars>
  <w:rsids>
    <w:rsidRoot w:val="00AB0C8E"/>
    <w:rsid w:val="000022B8"/>
    <w:rsid w:val="00017415"/>
    <w:rsid w:val="000305B6"/>
    <w:rsid w:val="00053AB9"/>
    <w:rsid w:val="00056229"/>
    <w:rsid w:val="00057AF1"/>
    <w:rsid w:val="00062AF1"/>
    <w:rsid w:val="00065FC2"/>
    <w:rsid w:val="00067685"/>
    <w:rsid w:val="00076E6B"/>
    <w:rsid w:val="0008247D"/>
    <w:rsid w:val="00090AFC"/>
    <w:rsid w:val="000B783E"/>
    <w:rsid w:val="000C75CF"/>
    <w:rsid w:val="000D02B8"/>
    <w:rsid w:val="000D06E8"/>
    <w:rsid w:val="000E20F0"/>
    <w:rsid w:val="000E344D"/>
    <w:rsid w:val="000E7C81"/>
    <w:rsid w:val="000F3B2C"/>
    <w:rsid w:val="000F63EB"/>
    <w:rsid w:val="000F648A"/>
    <w:rsid w:val="000F7ABB"/>
    <w:rsid w:val="000F7BE3"/>
    <w:rsid w:val="001052BA"/>
    <w:rsid w:val="001107B3"/>
    <w:rsid w:val="001114B1"/>
    <w:rsid w:val="001139D8"/>
    <w:rsid w:val="00116AD3"/>
    <w:rsid w:val="00121957"/>
    <w:rsid w:val="00126593"/>
    <w:rsid w:val="00142A96"/>
    <w:rsid w:val="001504FE"/>
    <w:rsid w:val="001513DE"/>
    <w:rsid w:val="001641D8"/>
    <w:rsid w:val="00187659"/>
    <w:rsid w:val="00187E32"/>
    <w:rsid w:val="00194E81"/>
    <w:rsid w:val="001A15E7"/>
    <w:rsid w:val="001A1E04"/>
    <w:rsid w:val="001A33C9"/>
    <w:rsid w:val="001A58F3"/>
    <w:rsid w:val="001B0914"/>
    <w:rsid w:val="001D008A"/>
    <w:rsid w:val="001E0152"/>
    <w:rsid w:val="001E0FF5"/>
    <w:rsid w:val="002002ED"/>
    <w:rsid w:val="002170E5"/>
    <w:rsid w:val="00220D57"/>
    <w:rsid w:val="0022721A"/>
    <w:rsid w:val="00230BB9"/>
    <w:rsid w:val="00241CEF"/>
    <w:rsid w:val="00252B30"/>
    <w:rsid w:val="0025403B"/>
    <w:rsid w:val="002619D6"/>
    <w:rsid w:val="0026544B"/>
    <w:rsid w:val="00277655"/>
    <w:rsid w:val="002824B7"/>
    <w:rsid w:val="0028438C"/>
    <w:rsid w:val="002A11AC"/>
    <w:rsid w:val="002A6F30"/>
    <w:rsid w:val="002A773C"/>
    <w:rsid w:val="002B3111"/>
    <w:rsid w:val="002C7908"/>
    <w:rsid w:val="002D391B"/>
    <w:rsid w:val="002D4B1F"/>
    <w:rsid w:val="002D5B75"/>
    <w:rsid w:val="002D5EBC"/>
    <w:rsid w:val="002D7D15"/>
    <w:rsid w:val="002E1B2E"/>
    <w:rsid w:val="002E27EB"/>
    <w:rsid w:val="002F2A9D"/>
    <w:rsid w:val="002F3B35"/>
    <w:rsid w:val="002F720A"/>
    <w:rsid w:val="00303FDE"/>
    <w:rsid w:val="00306E72"/>
    <w:rsid w:val="003140E8"/>
    <w:rsid w:val="003231C7"/>
    <w:rsid w:val="003270C4"/>
    <w:rsid w:val="00331ED0"/>
    <w:rsid w:val="00332B0A"/>
    <w:rsid w:val="00333A41"/>
    <w:rsid w:val="0035495B"/>
    <w:rsid w:val="00361522"/>
    <w:rsid w:val="0037196E"/>
    <w:rsid w:val="0037247F"/>
    <w:rsid w:val="003744F5"/>
    <w:rsid w:val="00383760"/>
    <w:rsid w:val="00387BDE"/>
    <w:rsid w:val="00390DD8"/>
    <w:rsid w:val="00394DC6"/>
    <w:rsid w:val="00397C3E"/>
    <w:rsid w:val="003B1A09"/>
    <w:rsid w:val="003B54BF"/>
    <w:rsid w:val="003D4CCA"/>
    <w:rsid w:val="003D52A6"/>
    <w:rsid w:val="003D6416"/>
    <w:rsid w:val="003E1D48"/>
    <w:rsid w:val="003E64D3"/>
    <w:rsid w:val="00410BEE"/>
    <w:rsid w:val="00411DF2"/>
    <w:rsid w:val="0042527B"/>
    <w:rsid w:val="004406E5"/>
    <w:rsid w:val="004463A6"/>
    <w:rsid w:val="00457DC7"/>
    <w:rsid w:val="00472BCC"/>
    <w:rsid w:val="00497C33"/>
    <w:rsid w:val="004A25CD"/>
    <w:rsid w:val="004A26CC"/>
    <w:rsid w:val="004A582A"/>
    <w:rsid w:val="004B2108"/>
    <w:rsid w:val="004B3A2B"/>
    <w:rsid w:val="004B70D3"/>
    <w:rsid w:val="004C312D"/>
    <w:rsid w:val="004D2D1B"/>
    <w:rsid w:val="004D5067"/>
    <w:rsid w:val="004D72BC"/>
    <w:rsid w:val="004E336D"/>
    <w:rsid w:val="004E469D"/>
    <w:rsid w:val="004F27BA"/>
    <w:rsid w:val="004F2DDE"/>
    <w:rsid w:val="004F7826"/>
    <w:rsid w:val="0050097F"/>
    <w:rsid w:val="005018E7"/>
    <w:rsid w:val="00514B1F"/>
    <w:rsid w:val="00525E93"/>
    <w:rsid w:val="0052671D"/>
    <w:rsid w:val="005314F7"/>
    <w:rsid w:val="0055595D"/>
    <w:rsid w:val="00556A10"/>
    <w:rsid w:val="00571D3D"/>
    <w:rsid w:val="00590845"/>
    <w:rsid w:val="005963C2"/>
    <w:rsid w:val="0059782F"/>
    <w:rsid w:val="005A0D69"/>
    <w:rsid w:val="005A31F4"/>
    <w:rsid w:val="005A557F"/>
    <w:rsid w:val="005B45F7"/>
    <w:rsid w:val="005B63EA"/>
    <w:rsid w:val="005C1A88"/>
    <w:rsid w:val="005C5033"/>
    <w:rsid w:val="005E751B"/>
    <w:rsid w:val="005F3354"/>
    <w:rsid w:val="00610E73"/>
    <w:rsid w:val="0061138C"/>
    <w:rsid w:val="0063168D"/>
    <w:rsid w:val="00660774"/>
    <w:rsid w:val="0066389A"/>
    <w:rsid w:val="0066495C"/>
    <w:rsid w:val="00665C23"/>
    <w:rsid w:val="00665CC7"/>
    <w:rsid w:val="00672612"/>
    <w:rsid w:val="00677F18"/>
    <w:rsid w:val="006930B5"/>
    <w:rsid w:val="006A0BF3"/>
    <w:rsid w:val="006B0DA6"/>
    <w:rsid w:val="006B4BC6"/>
    <w:rsid w:val="006C547E"/>
    <w:rsid w:val="006C5D08"/>
    <w:rsid w:val="006C63C2"/>
    <w:rsid w:val="006D09C2"/>
    <w:rsid w:val="006D7648"/>
    <w:rsid w:val="006E0501"/>
    <w:rsid w:val="00704C5D"/>
    <w:rsid w:val="00706274"/>
    <w:rsid w:val="007072BC"/>
    <w:rsid w:val="00715275"/>
    <w:rsid w:val="00721BFF"/>
    <w:rsid w:val="007232A2"/>
    <w:rsid w:val="00730B93"/>
    <w:rsid w:val="00730C45"/>
    <w:rsid w:val="00733B6B"/>
    <w:rsid w:val="007355CC"/>
    <w:rsid w:val="00740D32"/>
    <w:rsid w:val="007467C4"/>
    <w:rsid w:val="0076170F"/>
    <w:rsid w:val="0076669C"/>
    <w:rsid w:val="00766E46"/>
    <w:rsid w:val="00777727"/>
    <w:rsid w:val="007865E9"/>
    <w:rsid w:val="00792383"/>
    <w:rsid w:val="0079617D"/>
    <w:rsid w:val="007A060F"/>
    <w:rsid w:val="007B60E3"/>
    <w:rsid w:val="007C36E3"/>
    <w:rsid w:val="007C7134"/>
    <w:rsid w:val="007D3D20"/>
    <w:rsid w:val="007D742E"/>
    <w:rsid w:val="007E3AFD"/>
    <w:rsid w:val="00801DAD"/>
    <w:rsid w:val="00803189"/>
    <w:rsid w:val="00804D38"/>
    <w:rsid w:val="00804E7A"/>
    <w:rsid w:val="00805FBB"/>
    <w:rsid w:val="00814852"/>
    <w:rsid w:val="008169A4"/>
    <w:rsid w:val="008278FE"/>
    <w:rsid w:val="00832598"/>
    <w:rsid w:val="0083397E"/>
    <w:rsid w:val="008343F9"/>
    <w:rsid w:val="0083534B"/>
    <w:rsid w:val="00842602"/>
    <w:rsid w:val="00847B45"/>
    <w:rsid w:val="00851802"/>
    <w:rsid w:val="00863A66"/>
    <w:rsid w:val="008703D7"/>
    <w:rsid w:val="00874429"/>
    <w:rsid w:val="00883D9A"/>
    <w:rsid w:val="008919EF"/>
    <w:rsid w:val="00892B20"/>
    <w:rsid w:val="008A12EC"/>
    <w:rsid w:val="008C21C8"/>
    <w:rsid w:val="008C6375"/>
    <w:rsid w:val="008C6A5B"/>
    <w:rsid w:val="008D1E78"/>
    <w:rsid w:val="008E26A5"/>
    <w:rsid w:val="008E42D2"/>
    <w:rsid w:val="009040EE"/>
    <w:rsid w:val="009057FD"/>
    <w:rsid w:val="00906FBA"/>
    <w:rsid w:val="009228C7"/>
    <w:rsid w:val="00922A7F"/>
    <w:rsid w:val="00923A5E"/>
    <w:rsid w:val="009261EE"/>
    <w:rsid w:val="00926E27"/>
    <w:rsid w:val="00931C8C"/>
    <w:rsid w:val="009429CB"/>
    <w:rsid w:val="0094504B"/>
    <w:rsid w:val="00966A9D"/>
    <w:rsid w:val="0096742B"/>
    <w:rsid w:val="0099140C"/>
    <w:rsid w:val="009924CF"/>
    <w:rsid w:val="00994100"/>
    <w:rsid w:val="009A6B17"/>
    <w:rsid w:val="009B2D18"/>
    <w:rsid w:val="009D4C29"/>
    <w:rsid w:val="009F38D3"/>
    <w:rsid w:val="00A00D8D"/>
    <w:rsid w:val="00A01BB6"/>
    <w:rsid w:val="00A4303C"/>
    <w:rsid w:val="00A62DAB"/>
    <w:rsid w:val="00A726A6"/>
    <w:rsid w:val="00A97535"/>
    <w:rsid w:val="00AA2BAA"/>
    <w:rsid w:val="00AA73F1"/>
    <w:rsid w:val="00AB0C8E"/>
    <w:rsid w:val="00AB0E1A"/>
    <w:rsid w:val="00AB1A30"/>
    <w:rsid w:val="00AB3C36"/>
    <w:rsid w:val="00AB7BAA"/>
    <w:rsid w:val="00AC4348"/>
    <w:rsid w:val="00AD10EB"/>
    <w:rsid w:val="00AD1ED3"/>
    <w:rsid w:val="00AE6F5C"/>
    <w:rsid w:val="00AF4DF1"/>
    <w:rsid w:val="00B03C50"/>
    <w:rsid w:val="00B0777D"/>
    <w:rsid w:val="00B1195F"/>
    <w:rsid w:val="00B209C7"/>
    <w:rsid w:val="00B20A0F"/>
    <w:rsid w:val="00B3644F"/>
    <w:rsid w:val="00B4057A"/>
    <w:rsid w:val="00B40894"/>
    <w:rsid w:val="00B444AE"/>
    <w:rsid w:val="00B45E75"/>
    <w:rsid w:val="00B50876"/>
    <w:rsid w:val="00B55AB0"/>
    <w:rsid w:val="00B55EE5"/>
    <w:rsid w:val="00B64BCD"/>
    <w:rsid w:val="00B71D1F"/>
    <w:rsid w:val="00B73DE6"/>
    <w:rsid w:val="00B81519"/>
    <w:rsid w:val="00B86EF0"/>
    <w:rsid w:val="00B96969"/>
    <w:rsid w:val="00B97900"/>
    <w:rsid w:val="00BA1229"/>
    <w:rsid w:val="00BA44A8"/>
    <w:rsid w:val="00BC78FD"/>
    <w:rsid w:val="00BE2878"/>
    <w:rsid w:val="00BF6691"/>
    <w:rsid w:val="00C0058F"/>
    <w:rsid w:val="00C028FC"/>
    <w:rsid w:val="00C0386D"/>
    <w:rsid w:val="00C065A1"/>
    <w:rsid w:val="00C10ED5"/>
    <w:rsid w:val="00C151A6"/>
    <w:rsid w:val="00C24098"/>
    <w:rsid w:val="00C27C8C"/>
    <w:rsid w:val="00C30A4E"/>
    <w:rsid w:val="00C411F3"/>
    <w:rsid w:val="00C44105"/>
    <w:rsid w:val="00C55A33"/>
    <w:rsid w:val="00C66692"/>
    <w:rsid w:val="00C91123"/>
    <w:rsid w:val="00C97CCD"/>
    <w:rsid w:val="00CA71FF"/>
    <w:rsid w:val="00CB5276"/>
    <w:rsid w:val="00CB68D7"/>
    <w:rsid w:val="00CC7E68"/>
    <w:rsid w:val="00CD7132"/>
    <w:rsid w:val="00CE0E6F"/>
    <w:rsid w:val="00CE56FC"/>
    <w:rsid w:val="00CF4CFE"/>
    <w:rsid w:val="00D02E0F"/>
    <w:rsid w:val="00D03EE8"/>
    <w:rsid w:val="00D12001"/>
    <w:rsid w:val="00D13535"/>
    <w:rsid w:val="00D17B79"/>
    <w:rsid w:val="00D2070B"/>
    <w:rsid w:val="00D23FEA"/>
    <w:rsid w:val="00D2536A"/>
    <w:rsid w:val="00D269CA"/>
    <w:rsid w:val="00D30B48"/>
    <w:rsid w:val="00D3150D"/>
    <w:rsid w:val="00D34CCD"/>
    <w:rsid w:val="00D46FAA"/>
    <w:rsid w:val="00D47A40"/>
    <w:rsid w:val="00D51D33"/>
    <w:rsid w:val="00D57BB2"/>
    <w:rsid w:val="00D57E57"/>
    <w:rsid w:val="00D70752"/>
    <w:rsid w:val="00D711A2"/>
    <w:rsid w:val="00D728AD"/>
    <w:rsid w:val="00D80E2D"/>
    <w:rsid w:val="00D82D01"/>
    <w:rsid w:val="00D8560E"/>
    <w:rsid w:val="00D8758F"/>
    <w:rsid w:val="00D93CCC"/>
    <w:rsid w:val="00DA6B78"/>
    <w:rsid w:val="00DC1D94"/>
    <w:rsid w:val="00DC42CF"/>
    <w:rsid w:val="00DC72F6"/>
    <w:rsid w:val="00DE057F"/>
    <w:rsid w:val="00DE2082"/>
    <w:rsid w:val="00DE2289"/>
    <w:rsid w:val="00E001D6"/>
    <w:rsid w:val="00E03A76"/>
    <w:rsid w:val="00E04410"/>
    <w:rsid w:val="00E11351"/>
    <w:rsid w:val="00E455F4"/>
    <w:rsid w:val="00E73456"/>
    <w:rsid w:val="00E75AE0"/>
    <w:rsid w:val="00E83C1F"/>
    <w:rsid w:val="00EA172C"/>
    <w:rsid w:val="00EA259B"/>
    <w:rsid w:val="00EA35A3"/>
    <w:rsid w:val="00EA3E6A"/>
    <w:rsid w:val="00EB18EF"/>
    <w:rsid w:val="00EB7951"/>
    <w:rsid w:val="00EE17DF"/>
    <w:rsid w:val="00EF4621"/>
    <w:rsid w:val="00EF6312"/>
    <w:rsid w:val="00F234A7"/>
    <w:rsid w:val="00F277B6"/>
    <w:rsid w:val="00F370A9"/>
    <w:rsid w:val="00F411D0"/>
    <w:rsid w:val="00F46584"/>
    <w:rsid w:val="00F54380"/>
    <w:rsid w:val="00F54B47"/>
    <w:rsid w:val="00F6702E"/>
    <w:rsid w:val="00F70E84"/>
    <w:rsid w:val="00FA092B"/>
    <w:rsid w:val="00FA4F6C"/>
    <w:rsid w:val="00FA6EFD"/>
    <w:rsid w:val="00FA7EF6"/>
    <w:rsid w:val="00FB74EA"/>
    <w:rsid w:val="00FD2C9E"/>
    <w:rsid w:val="00FD366F"/>
    <w:rsid w:val="00FD4786"/>
    <w:rsid w:val="00FD616C"/>
    <w:rsid w:val="00FE2EC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6F5C"/>
    <w:rPr>
      <w:rFonts w:ascii="Tahoma" w:hAnsi="Tahoma" w:cs="Tahoma"/>
      <w:sz w:val="16"/>
      <w:szCs w:val="16"/>
    </w:rPr>
  </w:style>
  <w:style w:type="character" w:customStyle="1" w:styleId="BalloonTextChar">
    <w:name w:val="Balloon Text Char"/>
    <w:basedOn w:val="DefaultParagraphFont"/>
    <w:link w:val="BalloonText"/>
    <w:rsid w:val="00AE6F5C"/>
    <w:rPr>
      <w:rFonts w:ascii="Tahoma" w:hAnsi="Tahoma" w:cs="Tahoma"/>
      <w:sz w:val="16"/>
      <w:szCs w:val="16"/>
    </w:rPr>
  </w:style>
  <w:style w:type="paragraph" w:styleId="ListParagraph">
    <w:name w:val="List Paragraph"/>
    <w:basedOn w:val="Normal"/>
    <w:uiPriority w:val="34"/>
    <w:qFormat/>
    <w:rsid w:val="006C5D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E6F5C"/>
    <w:rPr>
      <w:rFonts w:ascii="Tahoma" w:hAnsi="Tahoma" w:cs="Tahoma"/>
      <w:sz w:val="16"/>
      <w:szCs w:val="16"/>
    </w:rPr>
  </w:style>
  <w:style w:type="character" w:customStyle="1" w:styleId="BalloonTextChar">
    <w:name w:val="Balloon Text Char"/>
    <w:basedOn w:val="DefaultParagraphFont"/>
    <w:link w:val="BalloonText"/>
    <w:rsid w:val="00AE6F5C"/>
    <w:rPr>
      <w:rFonts w:ascii="Tahoma" w:hAnsi="Tahoma" w:cs="Tahoma"/>
      <w:sz w:val="16"/>
      <w:szCs w:val="16"/>
    </w:rPr>
  </w:style>
  <w:style w:type="paragraph" w:styleId="ListParagraph">
    <w:name w:val="List Paragraph"/>
    <w:basedOn w:val="Normal"/>
    <w:uiPriority w:val="34"/>
    <w:qFormat/>
    <w:rsid w:val="006C5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427DF-779B-446D-8354-25D4F0CB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15</Pages>
  <Words>5130</Words>
  <Characters>27866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2018-01-05T22:11:00Z</dcterms:created>
  <dcterms:modified xsi:type="dcterms:W3CDTF">2018-01-08T19:23:00Z</dcterms:modified>
</cp:coreProperties>
</file>