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556BF" w:rsidP="002556BF">
      <w:pPr>
        <w:pStyle w:val="OrderHeading"/>
      </w:pPr>
      <w:bookmarkStart w:id="0" w:name="_GoBack"/>
      <w:bookmarkEnd w:id="0"/>
      <w:r>
        <w:t>BEFORE THE FLORIDA PUBLIC SERVICE COMMISSION</w:t>
      </w:r>
    </w:p>
    <w:p w:rsidR="002556BF" w:rsidRDefault="002556BF" w:rsidP="002556BF">
      <w:pPr>
        <w:pStyle w:val="OrderHeading"/>
      </w:pPr>
    </w:p>
    <w:p w:rsidR="002556BF" w:rsidRDefault="002556BF" w:rsidP="002556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56BF" w:rsidRPr="00C63FCF" w:rsidTr="00D66029">
        <w:trPr>
          <w:trHeight w:val="828"/>
        </w:trPr>
        <w:tc>
          <w:tcPr>
            <w:tcW w:w="4788" w:type="dxa"/>
            <w:tcBorders>
              <w:bottom w:val="single" w:sz="8" w:space="0" w:color="auto"/>
              <w:right w:val="double" w:sz="6" w:space="0" w:color="auto"/>
            </w:tcBorders>
            <w:shd w:val="clear" w:color="auto" w:fill="auto"/>
          </w:tcPr>
          <w:p w:rsidR="002556BF" w:rsidRDefault="002556BF" w:rsidP="00D66029">
            <w:pPr>
              <w:pStyle w:val="OrderBody"/>
              <w:tabs>
                <w:tab w:val="center" w:pos="4320"/>
                <w:tab w:val="right" w:pos="8640"/>
              </w:tabs>
              <w:jc w:val="left"/>
            </w:pPr>
            <w:r>
              <w:t xml:space="preserve">In re: </w:t>
            </w:r>
            <w:bookmarkStart w:id="1" w:name="SSInRe"/>
            <w:bookmarkEnd w:id="1"/>
            <w:r>
              <w:t>Petition for determination of need for Dania Beach Clean Energy Center Unit 7, by Florida Power &amp; Light Company.</w:t>
            </w:r>
          </w:p>
        </w:tc>
        <w:tc>
          <w:tcPr>
            <w:tcW w:w="4788" w:type="dxa"/>
            <w:tcBorders>
              <w:left w:val="double" w:sz="6" w:space="0" w:color="auto"/>
            </w:tcBorders>
            <w:shd w:val="clear" w:color="auto" w:fill="auto"/>
          </w:tcPr>
          <w:p w:rsidR="002556BF" w:rsidRDefault="002556BF" w:rsidP="002556BF">
            <w:pPr>
              <w:pStyle w:val="OrderBody"/>
            </w:pPr>
            <w:r>
              <w:t xml:space="preserve">DOCKET NO. </w:t>
            </w:r>
            <w:bookmarkStart w:id="2" w:name="SSDocketNo"/>
            <w:bookmarkEnd w:id="2"/>
            <w:r>
              <w:t>20170225-EI</w:t>
            </w:r>
          </w:p>
          <w:p w:rsidR="002556BF" w:rsidRDefault="002556BF" w:rsidP="00D66029">
            <w:pPr>
              <w:pStyle w:val="OrderBody"/>
              <w:tabs>
                <w:tab w:val="center" w:pos="4320"/>
                <w:tab w:val="right" w:pos="8640"/>
              </w:tabs>
              <w:jc w:val="left"/>
            </w:pPr>
            <w:r>
              <w:t xml:space="preserve">ORDER NO. </w:t>
            </w:r>
            <w:bookmarkStart w:id="3" w:name="OrderNo0037"/>
            <w:r w:rsidR="0022067C">
              <w:t>PSC-2018-0037-PHO-EI</w:t>
            </w:r>
            <w:bookmarkEnd w:id="3"/>
          </w:p>
          <w:p w:rsidR="002556BF" w:rsidRDefault="002556BF" w:rsidP="00D66029">
            <w:pPr>
              <w:pStyle w:val="OrderBody"/>
              <w:tabs>
                <w:tab w:val="center" w:pos="4320"/>
                <w:tab w:val="right" w:pos="8640"/>
              </w:tabs>
              <w:jc w:val="left"/>
            </w:pPr>
            <w:r>
              <w:t xml:space="preserve">ISSUED: </w:t>
            </w:r>
            <w:r w:rsidR="0022067C">
              <w:t>January 12, 2018</w:t>
            </w:r>
          </w:p>
        </w:tc>
      </w:tr>
    </w:tbl>
    <w:p w:rsidR="002556BF" w:rsidRDefault="002556BF" w:rsidP="002556BF"/>
    <w:p w:rsidR="002556BF" w:rsidRDefault="002556BF" w:rsidP="002556BF"/>
    <w:p w:rsidR="002556BF" w:rsidRPr="00701945" w:rsidRDefault="002556BF" w:rsidP="002556BF">
      <w:pPr>
        <w:ind w:firstLine="720"/>
        <w:jc w:val="both"/>
      </w:pPr>
      <w:bookmarkStart w:id="4" w:name="Commissioners"/>
      <w:bookmarkStart w:id="5" w:name="OrderText"/>
      <w:bookmarkEnd w:id="4"/>
      <w:bookmarkEnd w:id="5"/>
      <w:r w:rsidRPr="00701945">
        <w:t xml:space="preserve">Pursuant to Notice and in accordance with Rule 28-106.209, </w:t>
      </w:r>
      <w:r>
        <w:t>Florida Administrative Code (F.A.C.)</w:t>
      </w:r>
      <w:r w:rsidRPr="00701945">
        <w:t xml:space="preserve">, a Prehearing Conference was held on </w:t>
      </w:r>
      <w:r w:rsidR="00ED11E7">
        <w:t>January 10, 2018,</w:t>
      </w:r>
      <w:r w:rsidRPr="00701945">
        <w:t xml:space="preserve"> in Tallahassee, Florida, before Commissioner </w:t>
      </w:r>
      <w:r w:rsidR="00ED11E7" w:rsidRPr="00ED11E7">
        <w:t>Gary F. Clark</w:t>
      </w:r>
      <w:r w:rsidRPr="00701945">
        <w:t>, as Prehearing Officer.</w:t>
      </w:r>
    </w:p>
    <w:p w:rsidR="002556BF" w:rsidRPr="00701945" w:rsidRDefault="002556BF" w:rsidP="002556BF">
      <w:pPr>
        <w:jc w:val="both"/>
      </w:pPr>
    </w:p>
    <w:p w:rsidR="002556BF" w:rsidRPr="00701945" w:rsidRDefault="002556BF" w:rsidP="002556BF">
      <w:pPr>
        <w:jc w:val="both"/>
      </w:pPr>
      <w:r w:rsidRPr="00701945">
        <w:t>APPEARANCES:</w:t>
      </w:r>
    </w:p>
    <w:p w:rsidR="002556BF" w:rsidRPr="00701945" w:rsidRDefault="002556BF" w:rsidP="002556BF">
      <w:pPr>
        <w:jc w:val="both"/>
      </w:pPr>
    </w:p>
    <w:p w:rsidR="002556BF" w:rsidRDefault="005378A4" w:rsidP="002556BF">
      <w:pPr>
        <w:ind w:left="1440"/>
        <w:jc w:val="both"/>
      </w:pPr>
      <w:r>
        <w:t>WILLIAM P. COX</w:t>
      </w:r>
      <w:r w:rsidR="001F40AE">
        <w:t>, KEVIN I.C. DONALDSON</w:t>
      </w:r>
      <w:r>
        <w:t>, ESQUIRE</w:t>
      </w:r>
      <w:r w:rsidR="001F40AE">
        <w:t>S</w:t>
      </w:r>
      <w:r>
        <w:t xml:space="preserve">, </w:t>
      </w:r>
      <w:r w:rsidRPr="00EB752F">
        <w:t>700 Universe Boulevard, Juno Beach, Florida 33408</w:t>
      </w:r>
      <w:r>
        <w:t xml:space="preserve">, </w:t>
      </w:r>
      <w:r w:rsidR="001F40AE">
        <w:t>and MICHAEL MARCIL, ESQUIRE, Gunster, 450 E. Las Olas Blvd., Fort Lauderdale, FL 33301</w:t>
      </w:r>
    </w:p>
    <w:p w:rsidR="002556BF" w:rsidRPr="00701945" w:rsidRDefault="002556BF" w:rsidP="002556BF">
      <w:pPr>
        <w:ind w:left="720" w:firstLine="720"/>
        <w:jc w:val="both"/>
      </w:pPr>
      <w:r w:rsidRPr="00701945">
        <w:rPr>
          <w:u w:val="single"/>
        </w:rPr>
        <w:t xml:space="preserve">On behalf of </w:t>
      </w:r>
      <w:r w:rsidR="00406925">
        <w:rPr>
          <w:u w:val="single"/>
        </w:rPr>
        <w:t>FLORIDA POWER AND LIGHT COMPANY</w:t>
      </w:r>
      <w:r>
        <w:rPr>
          <w:u w:val="single"/>
        </w:rPr>
        <w:t xml:space="preserve"> (</w:t>
      </w:r>
      <w:r w:rsidR="00ED11E7">
        <w:rPr>
          <w:u w:val="single"/>
        </w:rPr>
        <w:t>FPL</w:t>
      </w:r>
      <w:r>
        <w:rPr>
          <w:u w:val="single"/>
        </w:rPr>
        <w:t>)</w:t>
      </w:r>
      <w:r w:rsidRPr="00701945">
        <w:t>.</w:t>
      </w:r>
    </w:p>
    <w:p w:rsidR="002556BF" w:rsidRPr="00701945" w:rsidRDefault="002556BF" w:rsidP="002556BF">
      <w:pPr>
        <w:jc w:val="both"/>
      </w:pPr>
    </w:p>
    <w:p w:rsidR="005378A4" w:rsidRPr="00EB752F" w:rsidRDefault="005378A4" w:rsidP="005378A4">
      <w:pPr>
        <w:ind w:left="1440"/>
        <w:rPr>
          <w:color w:val="000000"/>
        </w:rPr>
      </w:pPr>
      <w:r>
        <w:rPr>
          <w:color w:val="000000"/>
        </w:rPr>
        <w:t xml:space="preserve">JULIE KAPLAN, DIANA CSANK, </w:t>
      </w:r>
      <w:r w:rsidR="002556BF" w:rsidRPr="00701945">
        <w:t>ESQUIRE</w:t>
      </w:r>
      <w:r>
        <w:t>S</w:t>
      </w:r>
      <w:r w:rsidR="00BA3BB5">
        <w:t>;</w:t>
      </w:r>
      <w:r>
        <w:t xml:space="preserve"> MICHAEL LENOFF, LEGAL FELLOW, </w:t>
      </w:r>
      <w:r w:rsidRPr="00EB752F">
        <w:rPr>
          <w:color w:val="000000"/>
        </w:rPr>
        <w:t>50 F Street NW, Eighth Floor</w:t>
      </w:r>
      <w:r>
        <w:rPr>
          <w:color w:val="000000"/>
        </w:rPr>
        <w:t xml:space="preserve">, </w:t>
      </w:r>
      <w:r w:rsidRPr="00EB752F">
        <w:rPr>
          <w:color w:val="000000"/>
        </w:rPr>
        <w:t>Washington, District of Columbia 20001</w:t>
      </w:r>
    </w:p>
    <w:p w:rsidR="002556BF" w:rsidRDefault="002556BF" w:rsidP="002556BF">
      <w:pPr>
        <w:ind w:left="720" w:firstLine="720"/>
        <w:jc w:val="both"/>
      </w:pPr>
      <w:r w:rsidRPr="00701945">
        <w:rPr>
          <w:u w:val="single"/>
        </w:rPr>
        <w:t xml:space="preserve">On behalf of </w:t>
      </w:r>
      <w:r w:rsidR="00406925">
        <w:rPr>
          <w:u w:val="single"/>
        </w:rPr>
        <w:t>SIERRA CLUB</w:t>
      </w:r>
      <w:r w:rsidRPr="00701945">
        <w:t xml:space="preserve">. </w:t>
      </w:r>
    </w:p>
    <w:p w:rsidR="005378A4" w:rsidRDefault="005378A4" w:rsidP="005378A4">
      <w:pPr>
        <w:ind w:left="1440"/>
      </w:pPr>
    </w:p>
    <w:p w:rsidR="0066552E" w:rsidRPr="0066552E" w:rsidRDefault="0066552E" w:rsidP="0066552E">
      <w:pPr>
        <w:widowControl w:val="0"/>
        <w:tabs>
          <w:tab w:val="left" w:pos="720"/>
        </w:tabs>
        <w:autoSpaceDE w:val="0"/>
        <w:autoSpaceDN w:val="0"/>
        <w:adjustRightInd w:val="0"/>
        <w:ind w:left="1440"/>
        <w:jc w:val="both"/>
        <w:rPr>
          <w:bCs/>
        </w:rPr>
      </w:pPr>
      <w:r>
        <w:rPr>
          <w:bCs/>
        </w:rPr>
        <w:t xml:space="preserve">PATRICIA A. CHRISTENSEN, ASSOCIATE PUBLIC COUNSEL, </w:t>
      </w:r>
      <w:r w:rsidR="003D1922">
        <w:rPr>
          <w:bCs/>
        </w:rPr>
        <w:t xml:space="preserve">and J.R. KELLY, PUBLIC COUNSEL, </w:t>
      </w:r>
      <w:r w:rsidRPr="0066552E">
        <w:rPr>
          <w:bCs/>
        </w:rPr>
        <w:t>Office of Public Counsel</w:t>
      </w:r>
      <w:r>
        <w:rPr>
          <w:bCs/>
        </w:rPr>
        <w:t xml:space="preserve">, </w:t>
      </w:r>
      <w:r w:rsidRPr="0066552E">
        <w:rPr>
          <w:bCs/>
        </w:rPr>
        <w:t>c/o The Florida Legislature</w:t>
      </w:r>
      <w:r>
        <w:rPr>
          <w:bCs/>
        </w:rPr>
        <w:t xml:space="preserve">, </w:t>
      </w:r>
      <w:r w:rsidRPr="0066552E">
        <w:rPr>
          <w:bCs/>
        </w:rPr>
        <w:tab/>
        <w:t>111 West Madison Street, Room 812</w:t>
      </w:r>
      <w:r>
        <w:rPr>
          <w:bCs/>
        </w:rPr>
        <w:t xml:space="preserve">, </w:t>
      </w:r>
      <w:r w:rsidRPr="0066552E">
        <w:rPr>
          <w:bCs/>
        </w:rPr>
        <w:t>Tallahassee, Florida 32399-1400</w:t>
      </w:r>
    </w:p>
    <w:p w:rsidR="0066552E" w:rsidRPr="00406925" w:rsidRDefault="0066552E" w:rsidP="0066552E">
      <w:pPr>
        <w:widowControl w:val="0"/>
        <w:tabs>
          <w:tab w:val="left" w:pos="720"/>
        </w:tabs>
        <w:autoSpaceDE w:val="0"/>
        <w:autoSpaceDN w:val="0"/>
        <w:adjustRightInd w:val="0"/>
        <w:jc w:val="both"/>
        <w:rPr>
          <w:bCs/>
        </w:rPr>
      </w:pPr>
      <w:r w:rsidRPr="0066552E">
        <w:rPr>
          <w:bCs/>
        </w:rPr>
        <w:tab/>
      </w:r>
      <w:r>
        <w:rPr>
          <w:bCs/>
        </w:rPr>
        <w:tab/>
      </w:r>
      <w:r w:rsidRPr="0066552E">
        <w:rPr>
          <w:bCs/>
          <w:u w:val="single"/>
        </w:rPr>
        <w:t>On behalf of the Citizens of the State of Florida</w:t>
      </w:r>
      <w:r w:rsidR="00406925">
        <w:rPr>
          <w:bCs/>
          <w:u w:val="single"/>
        </w:rPr>
        <w:t xml:space="preserve"> (OPC)</w:t>
      </w:r>
      <w:r w:rsidR="00406925">
        <w:rPr>
          <w:bCs/>
        </w:rPr>
        <w:t>.</w:t>
      </w:r>
    </w:p>
    <w:p w:rsidR="002556BF" w:rsidRPr="00701945" w:rsidRDefault="002556BF" w:rsidP="002556BF">
      <w:pPr>
        <w:jc w:val="both"/>
      </w:pPr>
    </w:p>
    <w:p w:rsidR="002556BF" w:rsidRPr="00701945" w:rsidRDefault="00ED11E7" w:rsidP="002556BF">
      <w:pPr>
        <w:ind w:left="1440"/>
        <w:jc w:val="both"/>
      </w:pPr>
      <w:r w:rsidRPr="0035035C">
        <w:t>CHARLES W. MURPHY, STEPHANIE A. CUELLO, and RACHAEL DZIECHCIARZ</w:t>
      </w:r>
      <w:r w:rsidR="002556BF" w:rsidRPr="00701945">
        <w:t>, ESQUIRE</w:t>
      </w:r>
      <w:r w:rsidR="00D308C3">
        <w:t>S</w:t>
      </w:r>
      <w:r w:rsidR="002556BF" w:rsidRPr="00701945">
        <w:t xml:space="preserve">, </w:t>
      </w:r>
      <w:smartTag w:uri="urn:schemas-microsoft-com:office:smarttags" w:element="State">
        <w:smartTag w:uri="urn:schemas-microsoft-com:office:smarttags" w:element="place">
          <w:r w:rsidR="002556BF" w:rsidRPr="00701945">
            <w:t>Florida</w:t>
          </w:r>
        </w:smartTag>
      </w:smartTag>
      <w:r w:rsidR="002556BF" w:rsidRPr="00701945">
        <w:t xml:space="preserve"> Public Service Commission, </w:t>
      </w:r>
      <w:smartTag w:uri="urn:schemas-microsoft-com:office:smarttags" w:element="address">
        <w:smartTag w:uri="urn:schemas-microsoft-com:office:smarttags" w:element="Street">
          <w:r w:rsidR="002556BF" w:rsidRPr="00701945">
            <w:t>2540 Shumard Oak Boulevard</w:t>
          </w:r>
        </w:smartTag>
        <w:r w:rsidR="002556BF" w:rsidRPr="00701945">
          <w:t xml:space="preserve">, </w:t>
        </w:r>
        <w:smartTag w:uri="urn:schemas-microsoft-com:office:smarttags" w:element="City">
          <w:r w:rsidR="002556BF" w:rsidRPr="00701945">
            <w:t>Tallahassee</w:t>
          </w:r>
        </w:smartTag>
        <w:r w:rsidR="002556BF" w:rsidRPr="00701945">
          <w:t xml:space="preserve">, </w:t>
        </w:r>
        <w:smartTag w:uri="urn:schemas-microsoft-com:office:smarttags" w:element="State">
          <w:r w:rsidR="002556BF" w:rsidRPr="00701945">
            <w:t>Florida</w:t>
          </w:r>
        </w:smartTag>
        <w:r w:rsidR="002556BF" w:rsidRPr="00701945">
          <w:t xml:space="preserve"> </w:t>
        </w:r>
        <w:smartTag w:uri="urn:schemas-microsoft-com:office:smarttags" w:element="PostalCode">
          <w:r w:rsidR="002556BF" w:rsidRPr="00701945">
            <w:t>32399-0850</w:t>
          </w:r>
        </w:smartTag>
      </w:smartTag>
    </w:p>
    <w:p w:rsidR="002556BF" w:rsidRPr="00701945" w:rsidRDefault="002556BF" w:rsidP="002556BF">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2556BF" w:rsidRPr="00701945" w:rsidRDefault="002556BF" w:rsidP="002556BF">
      <w:pPr>
        <w:jc w:val="both"/>
      </w:pPr>
    </w:p>
    <w:p w:rsidR="002556BF" w:rsidRPr="00701945" w:rsidRDefault="002556BF" w:rsidP="002556BF">
      <w:pPr>
        <w:ind w:left="1440"/>
        <w:jc w:val="both"/>
      </w:pPr>
      <w:r>
        <w:t>M</w:t>
      </w:r>
      <w:r w:rsidR="00ED11E7">
        <w:t>ARY ANNE HELTON</w:t>
      </w:r>
      <w:r>
        <w:t xml:space="preserve">,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2556BF" w:rsidRPr="00701945" w:rsidRDefault="002556BF" w:rsidP="002556BF">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2556BF" w:rsidRPr="00701945" w:rsidRDefault="002556BF" w:rsidP="002556BF">
      <w:pPr>
        <w:jc w:val="center"/>
        <w:rPr>
          <w:b/>
          <w:bCs/>
          <w:u w:val="single"/>
        </w:rPr>
      </w:pPr>
    </w:p>
    <w:p w:rsidR="002556BF" w:rsidRPr="00D033EB" w:rsidRDefault="002556BF" w:rsidP="002556BF">
      <w:pPr>
        <w:ind w:left="1440"/>
        <w:jc w:val="both"/>
      </w:pPr>
      <w:r w:rsidRPr="00D033EB">
        <w:t>KEITH HETRICK, ESQUIRE, General Counsel, Florida Public Service Commission, 2540 Shumard Oak Boulevard, Tallahassee, Florida 32399-0850</w:t>
      </w:r>
    </w:p>
    <w:p w:rsidR="002556BF" w:rsidRPr="00D033EB" w:rsidRDefault="002556BF" w:rsidP="002556BF">
      <w:pPr>
        <w:ind w:left="720" w:firstLine="720"/>
        <w:jc w:val="both"/>
      </w:pPr>
      <w:r w:rsidRPr="00D033EB">
        <w:rPr>
          <w:u w:val="single"/>
        </w:rPr>
        <w:t>Florida Public Service Commission General Counsel</w:t>
      </w:r>
    </w:p>
    <w:p w:rsidR="00AF0DFE" w:rsidRDefault="00AF0DFE">
      <w:pPr>
        <w:rPr>
          <w:bCs/>
          <w:u w:val="single"/>
        </w:rPr>
      </w:pPr>
      <w:r>
        <w:rPr>
          <w:bCs/>
          <w:u w:val="single"/>
        </w:rPr>
        <w:br w:type="page"/>
      </w:r>
    </w:p>
    <w:p w:rsidR="00AF0DFE" w:rsidRPr="00617632" w:rsidRDefault="00AF0DFE" w:rsidP="00AF0DFE">
      <w:pPr>
        <w:pStyle w:val="CenterUnderline"/>
        <w:rPr>
          <w:b/>
        </w:rPr>
      </w:pPr>
      <w:bookmarkStart w:id="6" w:name="OrderTitle"/>
      <w:r w:rsidRPr="00617632">
        <w:rPr>
          <w:b/>
        </w:rPr>
        <w:lastRenderedPageBreak/>
        <w:t xml:space="preserve">PREHEARING ORDER </w:t>
      </w:r>
      <w:bookmarkEnd w:id="6"/>
    </w:p>
    <w:p w:rsidR="002556BF" w:rsidRPr="00FE3D14" w:rsidRDefault="002556BF" w:rsidP="002556BF">
      <w:pPr>
        <w:jc w:val="both"/>
      </w:pPr>
    </w:p>
    <w:p w:rsidR="002556BF" w:rsidRPr="00FE3D14" w:rsidRDefault="002556BF" w:rsidP="002556BF">
      <w:pPr>
        <w:jc w:val="both"/>
      </w:pPr>
    </w:p>
    <w:p w:rsidR="002556BF" w:rsidRPr="00BA3BB5" w:rsidRDefault="002556BF" w:rsidP="002556BF">
      <w:pPr>
        <w:jc w:val="both"/>
        <w:rPr>
          <w:b/>
          <w:u w:val="single"/>
        </w:rPr>
      </w:pPr>
      <w:r w:rsidRPr="00BA3BB5">
        <w:rPr>
          <w:b/>
        </w:rPr>
        <w:t>I.</w:t>
      </w:r>
      <w:r w:rsidRPr="00BA3BB5">
        <w:rPr>
          <w:b/>
        </w:rPr>
        <w:tab/>
      </w:r>
      <w:r w:rsidRPr="00BA3BB5">
        <w:rPr>
          <w:b/>
          <w:u w:val="single"/>
        </w:rPr>
        <w:t>CASE BACKGROUND</w:t>
      </w:r>
    </w:p>
    <w:p w:rsidR="00981786" w:rsidRPr="00FE3D14" w:rsidRDefault="00981786" w:rsidP="002556BF">
      <w:pPr>
        <w:jc w:val="both"/>
      </w:pPr>
    </w:p>
    <w:p w:rsidR="00E54DFA" w:rsidRDefault="002556BF" w:rsidP="00094D74">
      <w:pPr>
        <w:autoSpaceDE w:val="0"/>
        <w:autoSpaceDN w:val="0"/>
        <w:adjustRightInd w:val="0"/>
        <w:jc w:val="both"/>
      </w:pPr>
      <w:r>
        <w:tab/>
      </w:r>
      <w:r w:rsidR="00094D74" w:rsidRPr="00EB334F">
        <w:t>On October 20, 2017, pursuant to Chapter 366, Florida Statutes (F.S.), and Rule 25-22.080 through Rule 25-22.082 and 28-106.201, Florida Administrative Code (F.A.C.), Florida Power &amp; Light (FPL) petitioned the Florida Public Service Commission (Commission) for a determination of need for Dania Beach Clean Energy Center Unit 7.</w:t>
      </w:r>
      <w:r w:rsidR="00FE3D14">
        <w:t xml:space="preserve"> </w:t>
      </w:r>
      <w:r w:rsidR="00094D74" w:rsidRPr="00EB334F">
        <w:t xml:space="preserve"> FPL proposes to construct a natural gas-fired combined cycle power plant, with an expected summer peak rating of 1,163 megawatts (MW), at the site of FPL’s existing Lauderdale plant s</w:t>
      </w:r>
      <w:r w:rsidR="00406925">
        <w:t>ite in Broward County, Florida.</w:t>
      </w:r>
    </w:p>
    <w:p w:rsidR="00E54DFA" w:rsidRDefault="00E54DFA" w:rsidP="00094D74">
      <w:pPr>
        <w:autoSpaceDE w:val="0"/>
        <w:autoSpaceDN w:val="0"/>
        <w:adjustRightInd w:val="0"/>
        <w:jc w:val="both"/>
      </w:pPr>
    </w:p>
    <w:p w:rsidR="00094D74" w:rsidRPr="00EB334F" w:rsidRDefault="00E54DFA" w:rsidP="00094D74">
      <w:pPr>
        <w:autoSpaceDE w:val="0"/>
        <w:autoSpaceDN w:val="0"/>
        <w:adjustRightInd w:val="0"/>
        <w:jc w:val="both"/>
      </w:pPr>
      <w:r>
        <w:tab/>
      </w:r>
      <w:r w:rsidR="00094D74">
        <w:t xml:space="preserve">On October 21, 2017, the Office of Public Counsel (OPC) filed its Notice of Intervention. </w:t>
      </w:r>
      <w:r w:rsidR="00FE3D14">
        <w:t xml:space="preserve"> </w:t>
      </w:r>
      <w:r w:rsidR="00094D74">
        <w:t xml:space="preserve">The Order Establishing Procedure, Order No. PSC-2017-0426-PCO-EI, was issued on November 6, 2017. </w:t>
      </w:r>
      <w:r w:rsidR="00FE3D14">
        <w:t xml:space="preserve"> </w:t>
      </w:r>
      <w:r w:rsidR="00094D74">
        <w:t xml:space="preserve">The issues for the docket were set forth in Order No. PSC-2017-0447-PCO-EI, issued on November 17, 2017. </w:t>
      </w:r>
      <w:r w:rsidR="00FE3D14">
        <w:t xml:space="preserve"> </w:t>
      </w:r>
      <w:r w:rsidR="00094D74">
        <w:t>On that same day, by Order No. PSC-2017-0448-PCO-EI, the Sierra Club was granted intervention.</w:t>
      </w:r>
      <w:r>
        <w:t xml:space="preserve"> </w:t>
      </w:r>
      <w:r w:rsidR="00FE3D14">
        <w:t xml:space="preserve"> </w:t>
      </w:r>
      <w:r>
        <w:t>On December 20, 2017, by Order No. PSC-2017-0476-PCO-EI, t</w:t>
      </w:r>
      <w:r w:rsidR="00094D74">
        <w:t>he he</w:t>
      </w:r>
      <w:r>
        <w:t>a</w:t>
      </w:r>
      <w:r w:rsidR="00094D74">
        <w:t>ring dat</w:t>
      </w:r>
      <w:r>
        <w:t>e</w:t>
      </w:r>
      <w:r w:rsidR="00094D74">
        <w:t>s for th</w:t>
      </w:r>
      <w:r>
        <w:t xml:space="preserve">is </w:t>
      </w:r>
      <w:r w:rsidR="00094D74">
        <w:t>docket were changed from January 18-19</w:t>
      </w:r>
      <w:r>
        <w:t xml:space="preserve">, </w:t>
      </w:r>
      <w:r w:rsidR="00094D74">
        <w:t>2018 to January 17</w:t>
      </w:r>
      <w:r>
        <w:t>-18, 2018</w:t>
      </w:r>
      <w:r w:rsidR="00406925">
        <w:t>.</w:t>
      </w:r>
    </w:p>
    <w:p w:rsidR="002556BF" w:rsidRDefault="002556BF" w:rsidP="002556BF">
      <w:pPr>
        <w:jc w:val="both"/>
      </w:pPr>
    </w:p>
    <w:p w:rsidR="002556BF" w:rsidRPr="00BA3BB5" w:rsidRDefault="002556BF" w:rsidP="002556BF">
      <w:pPr>
        <w:jc w:val="both"/>
        <w:rPr>
          <w:b/>
        </w:rPr>
      </w:pPr>
      <w:r w:rsidRPr="00BA3BB5">
        <w:rPr>
          <w:b/>
        </w:rPr>
        <w:t>II.</w:t>
      </w:r>
      <w:r w:rsidRPr="00BA3BB5">
        <w:rPr>
          <w:b/>
        </w:rPr>
        <w:tab/>
      </w:r>
      <w:r w:rsidRPr="00BA3BB5">
        <w:rPr>
          <w:b/>
          <w:u w:val="single"/>
        </w:rPr>
        <w:t>CONDUCT OF PROCEEDINGS</w:t>
      </w:r>
    </w:p>
    <w:p w:rsidR="002556BF" w:rsidRPr="00701945" w:rsidRDefault="002556BF" w:rsidP="002556BF">
      <w:pPr>
        <w:jc w:val="both"/>
      </w:pPr>
    </w:p>
    <w:p w:rsidR="002556BF" w:rsidRPr="00701945" w:rsidRDefault="002556BF" w:rsidP="002556B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2556BF" w:rsidRDefault="002556BF" w:rsidP="002556BF">
      <w:pPr>
        <w:jc w:val="both"/>
      </w:pPr>
    </w:p>
    <w:p w:rsidR="002556BF" w:rsidRPr="00BA3BB5" w:rsidRDefault="002556BF" w:rsidP="002556BF">
      <w:pPr>
        <w:jc w:val="both"/>
        <w:rPr>
          <w:b/>
        </w:rPr>
      </w:pPr>
      <w:smartTag w:uri="urn:schemas-microsoft-com:office:smarttags" w:element="stockticker">
        <w:r w:rsidRPr="00BA3BB5">
          <w:rPr>
            <w:b/>
          </w:rPr>
          <w:t>III</w:t>
        </w:r>
      </w:smartTag>
      <w:r w:rsidRPr="00BA3BB5">
        <w:rPr>
          <w:b/>
        </w:rPr>
        <w:t>.</w:t>
      </w:r>
      <w:r w:rsidRPr="00BA3BB5">
        <w:rPr>
          <w:b/>
        </w:rPr>
        <w:tab/>
      </w:r>
      <w:r w:rsidRPr="00BA3BB5">
        <w:rPr>
          <w:b/>
          <w:u w:val="single"/>
        </w:rPr>
        <w:t>JURISDICTION</w:t>
      </w:r>
    </w:p>
    <w:p w:rsidR="002556BF" w:rsidRPr="00701945" w:rsidRDefault="002556BF" w:rsidP="002556BF">
      <w:pPr>
        <w:jc w:val="both"/>
      </w:pPr>
    </w:p>
    <w:p w:rsidR="002556BF" w:rsidRPr="00701945" w:rsidRDefault="002556BF" w:rsidP="002556BF">
      <w:pPr>
        <w:jc w:val="both"/>
      </w:pPr>
      <w:r w:rsidRPr="00701945">
        <w:tab/>
        <w:t xml:space="preserve">This Commission is vested with jurisdiction over the subject matter by the provisions of Chapter </w:t>
      </w:r>
      <w:r w:rsidR="00E54DFA">
        <w:t>366 and Section 403.519, F.S.</w:t>
      </w:r>
      <w:r w:rsidRPr="00701945">
        <w:t xml:space="preserve"> This hearing will be governed by said </w:t>
      </w:r>
      <w:r w:rsidR="00E54DFA">
        <w:t xml:space="preserve">statutes and </w:t>
      </w:r>
      <w:r w:rsidRPr="00701945">
        <w:t xml:space="preserve"> Chapters</w:t>
      </w:r>
      <w:r>
        <w:t xml:space="preserve"> 25-6</w:t>
      </w:r>
      <w:r w:rsidRPr="00701945">
        <w:t xml:space="preserve">, 25-22, and 28-106, </w:t>
      </w:r>
      <w:r>
        <w:t>F.A.C., as well as any other applicable provisions of law</w:t>
      </w:r>
      <w:r w:rsidRPr="00701945">
        <w:t>.</w:t>
      </w:r>
    </w:p>
    <w:p w:rsidR="002556BF" w:rsidRPr="00701945" w:rsidRDefault="002556BF" w:rsidP="002556BF">
      <w:pPr>
        <w:jc w:val="both"/>
      </w:pPr>
    </w:p>
    <w:p w:rsidR="002556BF" w:rsidRPr="00BA3BB5" w:rsidRDefault="002556BF" w:rsidP="002556BF">
      <w:pPr>
        <w:jc w:val="both"/>
        <w:rPr>
          <w:b/>
        </w:rPr>
      </w:pPr>
      <w:r w:rsidRPr="00BA3BB5">
        <w:rPr>
          <w:b/>
        </w:rPr>
        <w:t>IV.</w:t>
      </w:r>
      <w:r w:rsidRPr="00BA3BB5">
        <w:rPr>
          <w:b/>
        </w:rPr>
        <w:tab/>
      </w:r>
      <w:r w:rsidRPr="00BA3BB5">
        <w:rPr>
          <w:b/>
          <w:u w:val="single"/>
        </w:rPr>
        <w:t>PROCEDURE FOR HANDLING CONFIDENTIAL INFORMATION</w:t>
      </w:r>
    </w:p>
    <w:p w:rsidR="002556BF" w:rsidRPr="00701945" w:rsidRDefault="002556BF" w:rsidP="002556BF">
      <w:pPr>
        <w:jc w:val="both"/>
      </w:pPr>
    </w:p>
    <w:p w:rsidR="002556BF" w:rsidRDefault="002556BF" w:rsidP="002556BF">
      <w:pPr>
        <w:jc w:val="both"/>
      </w:pPr>
      <w:r w:rsidRPr="00701945">
        <w:tab/>
      </w:r>
      <w:r w:rsidRPr="002B0BAE">
        <w:t xml:space="preserve">Information for which proprietary confidential business information status is requested pursuant to Section </w:t>
      </w:r>
      <w:r w:rsidR="002B0BAE" w:rsidRPr="002B0BAE">
        <w:t>366.093,</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2B0BAE">
        <w:t>366.093</w:t>
      </w:r>
      <w:r>
        <w:t>, F.S.  T</w:t>
      </w:r>
      <w:r w:rsidRPr="00B2317F">
        <w:t>he Commission may determine that continued possession of the information is necessary for the Commission to conduct its business.</w:t>
      </w:r>
    </w:p>
    <w:p w:rsidR="002556BF" w:rsidRDefault="002556BF" w:rsidP="002556BF">
      <w:pPr>
        <w:jc w:val="both"/>
      </w:pPr>
    </w:p>
    <w:p w:rsidR="002556BF" w:rsidRDefault="002556BF" w:rsidP="002556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It is the policy of this Commission that all Commission hearings be open to the public at all times.  The Commission also recognizes its obligation pursuant to </w:t>
      </w:r>
      <w:r w:rsidRPr="005555EC">
        <w:t>Section</w:t>
      </w:r>
      <w:r>
        <w:t xml:space="preserve"> </w:t>
      </w:r>
      <w:r w:rsidR="002B0BAE">
        <w:t>366.093</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2B0BAE">
        <w:t>366.093</w:t>
      </w:r>
      <w:r>
        <w:t xml:space="preserve">, </w:t>
      </w:r>
      <w:smartTag w:uri="urn:schemas:contacts" w:element="GivenName">
        <w:r>
          <w:t>F.S.</w:t>
        </w:r>
      </w:smartTag>
      <w:r>
        <w:t>, at the hearing shall adhere to the following:</w:t>
      </w:r>
    </w:p>
    <w:p w:rsidR="002556BF" w:rsidRDefault="002556BF" w:rsidP="002556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556BF" w:rsidRDefault="002556BF" w:rsidP="002556BF">
      <w:pPr>
        <w:spacing w:line="2" w:lineRule="exact"/>
        <w:jc w:val="both"/>
      </w:pPr>
    </w:p>
    <w:p w:rsidR="002556BF" w:rsidRDefault="002556BF" w:rsidP="002556B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556BF" w:rsidRDefault="002556BF" w:rsidP="002556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556BF" w:rsidRDefault="002556BF" w:rsidP="002556BF">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556BF" w:rsidRDefault="002556BF" w:rsidP="002556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556BF" w:rsidRDefault="002556BF" w:rsidP="002556B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2556BF" w:rsidRDefault="002556BF" w:rsidP="002556BF">
      <w:pPr>
        <w:jc w:val="both"/>
      </w:pPr>
    </w:p>
    <w:p w:rsidR="002556BF" w:rsidRPr="00BA3BB5" w:rsidRDefault="002556BF" w:rsidP="002556BF">
      <w:pPr>
        <w:jc w:val="both"/>
        <w:rPr>
          <w:b/>
        </w:rPr>
      </w:pPr>
      <w:r w:rsidRPr="00BA3BB5">
        <w:rPr>
          <w:b/>
        </w:rPr>
        <w:t>V.</w:t>
      </w:r>
      <w:r w:rsidRPr="00BA3BB5">
        <w:rPr>
          <w:b/>
        </w:rPr>
        <w:tab/>
      </w:r>
      <w:r w:rsidRPr="00BA3BB5">
        <w:rPr>
          <w:b/>
          <w:u w:val="single"/>
        </w:rPr>
        <w:t xml:space="preserve">PREFILED TESTIMONY </w:t>
      </w:r>
      <w:smartTag w:uri="urn:schemas-microsoft-com:office:smarttags" w:element="stockticker">
        <w:r w:rsidRPr="00BA3BB5">
          <w:rPr>
            <w:b/>
            <w:u w:val="single"/>
          </w:rPr>
          <w:t>AND</w:t>
        </w:r>
      </w:smartTag>
      <w:r w:rsidRPr="00BA3BB5">
        <w:rPr>
          <w:b/>
          <w:u w:val="single"/>
        </w:rPr>
        <w:t xml:space="preserve"> EXHIBITS; WITNESSES</w:t>
      </w:r>
    </w:p>
    <w:p w:rsidR="002556BF" w:rsidRPr="00701945" w:rsidRDefault="002556BF" w:rsidP="002556BF">
      <w:pPr>
        <w:jc w:val="both"/>
      </w:pPr>
    </w:p>
    <w:p w:rsidR="002556BF" w:rsidRDefault="002556BF" w:rsidP="002556BF">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2556BF" w:rsidRDefault="002556BF" w:rsidP="002556BF">
      <w:pPr>
        <w:jc w:val="both"/>
      </w:pPr>
    </w:p>
    <w:p w:rsidR="002556BF" w:rsidRPr="00701945" w:rsidRDefault="002556BF" w:rsidP="002556BF">
      <w:pPr>
        <w:ind w:firstLine="720"/>
        <w:jc w:val="both"/>
      </w:pPr>
      <w:r w:rsidRPr="00701945">
        <w:t xml:space="preserve">Witnesses are reminded that, on cross-examination, responses to questions calling for a simple </w:t>
      </w:r>
      <w:r w:rsidR="008773C2">
        <w:t>“</w:t>
      </w:r>
      <w:r w:rsidRPr="00701945">
        <w:t>yes</w:t>
      </w:r>
      <w:r w:rsidR="008773C2">
        <w:t>”</w:t>
      </w:r>
      <w:r w:rsidRPr="00701945">
        <w:t xml:space="preserve"> or </w:t>
      </w:r>
      <w:r w:rsidR="008773C2">
        <w:t>“</w:t>
      </w:r>
      <w:r w:rsidRPr="00701945">
        <w:t>no</w:t>
      </w:r>
      <w:r w:rsidR="008773C2">
        <w:t>”</w:t>
      </w:r>
      <w:r w:rsidRPr="00701945">
        <w:t xml:space="preserve">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2556BF" w:rsidRPr="00701945" w:rsidRDefault="002556BF" w:rsidP="002556BF">
      <w:pPr>
        <w:jc w:val="both"/>
      </w:pPr>
    </w:p>
    <w:p w:rsidR="002556BF" w:rsidRPr="00701945" w:rsidRDefault="002556BF" w:rsidP="002556BF">
      <w:pPr>
        <w:jc w:val="both"/>
      </w:pPr>
      <w:r w:rsidRPr="00701945">
        <w:lastRenderedPageBreak/>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2556BF" w:rsidRPr="00B75F84" w:rsidRDefault="002556BF" w:rsidP="002556BF">
      <w:pPr>
        <w:jc w:val="both"/>
        <w:rPr>
          <w:color w:val="000000"/>
        </w:rPr>
      </w:pPr>
    </w:p>
    <w:p w:rsidR="002556BF" w:rsidRPr="00B75F84" w:rsidRDefault="002556BF" w:rsidP="002556BF">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2556BF" w:rsidRDefault="002556BF" w:rsidP="002556BF">
      <w:pPr>
        <w:jc w:val="both"/>
      </w:pPr>
    </w:p>
    <w:p w:rsidR="002556BF" w:rsidRPr="00BA3BB5" w:rsidRDefault="002556BF" w:rsidP="002556BF">
      <w:pPr>
        <w:jc w:val="both"/>
        <w:rPr>
          <w:b/>
        </w:rPr>
      </w:pPr>
      <w:r w:rsidRPr="00BA3BB5">
        <w:rPr>
          <w:b/>
        </w:rPr>
        <w:t>VI.</w:t>
      </w:r>
      <w:r w:rsidRPr="00BA3BB5">
        <w:rPr>
          <w:b/>
        </w:rPr>
        <w:tab/>
      </w:r>
      <w:r w:rsidRPr="00BA3BB5">
        <w:rPr>
          <w:b/>
          <w:u w:val="single"/>
        </w:rPr>
        <w:t>ORDER OF WITNESSES</w:t>
      </w:r>
    </w:p>
    <w:p w:rsidR="002556BF" w:rsidRDefault="002556BF" w:rsidP="002556BF">
      <w:pPr>
        <w:jc w:val="both"/>
      </w:pPr>
    </w:p>
    <w:p w:rsidR="002556BF" w:rsidRPr="00701945" w:rsidRDefault="002556BF" w:rsidP="002556BF">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556BF" w:rsidRPr="00701945" w:rsidTr="00D66029">
        <w:trPr>
          <w:cantSplit/>
          <w:trHeight w:val="362"/>
          <w:tblHeader/>
        </w:trPr>
        <w:tc>
          <w:tcPr>
            <w:tcW w:w="3507" w:type="dxa"/>
            <w:tcBorders>
              <w:top w:val="nil"/>
              <w:left w:val="nil"/>
              <w:bottom w:val="nil"/>
              <w:right w:val="nil"/>
            </w:tcBorders>
          </w:tcPr>
          <w:p w:rsidR="002556BF" w:rsidRPr="00701945" w:rsidRDefault="002556BF" w:rsidP="00D66029">
            <w:pPr>
              <w:jc w:val="both"/>
            </w:pPr>
            <w:r w:rsidRPr="00701945">
              <w:rPr>
                <w:u w:val="single"/>
              </w:rPr>
              <w:t>Witness</w:t>
            </w:r>
          </w:p>
        </w:tc>
        <w:tc>
          <w:tcPr>
            <w:tcW w:w="2511" w:type="dxa"/>
            <w:tcBorders>
              <w:top w:val="nil"/>
              <w:left w:val="nil"/>
              <w:bottom w:val="nil"/>
              <w:right w:val="nil"/>
            </w:tcBorders>
          </w:tcPr>
          <w:p w:rsidR="002556BF" w:rsidRPr="00701945" w:rsidRDefault="002556BF" w:rsidP="00D66029">
            <w:pPr>
              <w:jc w:val="center"/>
            </w:pPr>
            <w:r w:rsidRPr="00701945">
              <w:rPr>
                <w:u w:val="single"/>
              </w:rPr>
              <w:t>Proffered By</w:t>
            </w:r>
          </w:p>
        </w:tc>
        <w:tc>
          <w:tcPr>
            <w:tcW w:w="3546" w:type="dxa"/>
            <w:tcBorders>
              <w:top w:val="nil"/>
              <w:left w:val="nil"/>
              <w:bottom w:val="nil"/>
              <w:right w:val="nil"/>
            </w:tcBorders>
          </w:tcPr>
          <w:p w:rsidR="002556BF" w:rsidRPr="00701945" w:rsidRDefault="002556BF" w:rsidP="00D66029">
            <w:pPr>
              <w:jc w:val="both"/>
            </w:pPr>
            <w:r w:rsidRPr="00701945">
              <w:rPr>
                <w:u w:val="single"/>
              </w:rPr>
              <w:t>Issues #</w:t>
            </w:r>
          </w:p>
        </w:tc>
      </w:tr>
      <w:tr w:rsidR="002556BF" w:rsidRPr="00701945" w:rsidTr="00D66029">
        <w:trPr>
          <w:cantSplit/>
          <w:trHeight w:val="362"/>
        </w:trPr>
        <w:tc>
          <w:tcPr>
            <w:tcW w:w="3507" w:type="dxa"/>
            <w:tcBorders>
              <w:top w:val="nil"/>
              <w:left w:val="nil"/>
              <w:bottom w:val="nil"/>
              <w:right w:val="nil"/>
            </w:tcBorders>
          </w:tcPr>
          <w:p w:rsidR="002556BF" w:rsidRPr="00AC105C" w:rsidRDefault="002556BF" w:rsidP="00D66029">
            <w:pPr>
              <w:jc w:val="both"/>
              <w:rPr>
                <w:u w:val="single"/>
              </w:rPr>
            </w:pPr>
            <w:r w:rsidRPr="00AC105C">
              <w:tab/>
            </w:r>
            <w:r w:rsidRPr="00AC105C">
              <w:rPr>
                <w:u w:val="single"/>
              </w:rPr>
              <w:t>Direct</w:t>
            </w:r>
          </w:p>
        </w:tc>
        <w:tc>
          <w:tcPr>
            <w:tcW w:w="2511" w:type="dxa"/>
            <w:tcBorders>
              <w:top w:val="nil"/>
              <w:left w:val="nil"/>
              <w:bottom w:val="nil"/>
              <w:right w:val="nil"/>
            </w:tcBorders>
          </w:tcPr>
          <w:p w:rsidR="002556BF" w:rsidRPr="00701945" w:rsidRDefault="002556BF" w:rsidP="00D66029">
            <w:pPr>
              <w:jc w:val="center"/>
            </w:pPr>
          </w:p>
        </w:tc>
        <w:tc>
          <w:tcPr>
            <w:tcW w:w="3546" w:type="dxa"/>
            <w:tcBorders>
              <w:top w:val="nil"/>
              <w:left w:val="nil"/>
              <w:bottom w:val="nil"/>
              <w:right w:val="nil"/>
            </w:tcBorders>
          </w:tcPr>
          <w:p w:rsidR="002556BF" w:rsidRPr="00701945" w:rsidRDefault="002556BF" w:rsidP="00D66029"/>
        </w:tc>
      </w:tr>
      <w:tr w:rsidR="002556BF" w:rsidRPr="00701945" w:rsidTr="00D66029">
        <w:trPr>
          <w:cantSplit/>
          <w:trHeight w:val="382"/>
        </w:trPr>
        <w:tc>
          <w:tcPr>
            <w:tcW w:w="3507" w:type="dxa"/>
            <w:tcBorders>
              <w:top w:val="nil"/>
              <w:left w:val="nil"/>
              <w:bottom w:val="nil"/>
              <w:right w:val="nil"/>
            </w:tcBorders>
          </w:tcPr>
          <w:p w:rsidR="002556BF" w:rsidRPr="00701945" w:rsidRDefault="009C7B35" w:rsidP="00D66029">
            <w:pPr>
              <w:jc w:val="both"/>
            </w:pPr>
            <w:r w:rsidRPr="009905B5">
              <w:t>Steven R. Sim</w:t>
            </w:r>
          </w:p>
        </w:tc>
        <w:tc>
          <w:tcPr>
            <w:tcW w:w="2511" w:type="dxa"/>
            <w:tcBorders>
              <w:top w:val="nil"/>
              <w:left w:val="nil"/>
              <w:bottom w:val="nil"/>
              <w:right w:val="nil"/>
            </w:tcBorders>
          </w:tcPr>
          <w:p w:rsidR="002556BF" w:rsidRPr="00701945" w:rsidRDefault="009C7B35" w:rsidP="00D66029">
            <w:pPr>
              <w:jc w:val="center"/>
            </w:pPr>
            <w:r>
              <w:t>FPL</w:t>
            </w:r>
          </w:p>
        </w:tc>
        <w:tc>
          <w:tcPr>
            <w:tcW w:w="3546" w:type="dxa"/>
            <w:tcBorders>
              <w:top w:val="nil"/>
              <w:left w:val="nil"/>
              <w:bottom w:val="nil"/>
              <w:right w:val="nil"/>
            </w:tcBorders>
          </w:tcPr>
          <w:p w:rsidR="002556BF" w:rsidRPr="00701945" w:rsidRDefault="009C7B35" w:rsidP="00D66029">
            <w:r w:rsidRPr="009905B5">
              <w:t>1, 2, 3, 4, 5, 6</w:t>
            </w:r>
          </w:p>
        </w:tc>
      </w:tr>
      <w:tr w:rsidR="002556BF" w:rsidRPr="00701945" w:rsidTr="00D66029">
        <w:trPr>
          <w:cantSplit/>
          <w:trHeight w:val="362"/>
        </w:trPr>
        <w:tc>
          <w:tcPr>
            <w:tcW w:w="3507" w:type="dxa"/>
            <w:tcBorders>
              <w:top w:val="nil"/>
              <w:left w:val="nil"/>
              <w:bottom w:val="nil"/>
              <w:right w:val="nil"/>
            </w:tcBorders>
          </w:tcPr>
          <w:p w:rsidR="002556BF" w:rsidRPr="00701945" w:rsidRDefault="009C7B35" w:rsidP="00D66029">
            <w:pPr>
              <w:jc w:val="both"/>
            </w:pPr>
            <w:r w:rsidRPr="009905B5">
              <w:t>Richard Feldman</w:t>
            </w:r>
          </w:p>
        </w:tc>
        <w:tc>
          <w:tcPr>
            <w:tcW w:w="2511" w:type="dxa"/>
            <w:tcBorders>
              <w:top w:val="nil"/>
              <w:left w:val="nil"/>
              <w:bottom w:val="nil"/>
              <w:right w:val="nil"/>
            </w:tcBorders>
          </w:tcPr>
          <w:p w:rsidR="002556BF" w:rsidRPr="00701945" w:rsidRDefault="009C7B35" w:rsidP="00D66029">
            <w:pPr>
              <w:jc w:val="center"/>
            </w:pPr>
            <w:r>
              <w:t>FPL</w:t>
            </w:r>
          </w:p>
        </w:tc>
        <w:tc>
          <w:tcPr>
            <w:tcW w:w="3546" w:type="dxa"/>
            <w:tcBorders>
              <w:top w:val="nil"/>
              <w:left w:val="nil"/>
              <w:bottom w:val="nil"/>
              <w:right w:val="nil"/>
            </w:tcBorders>
          </w:tcPr>
          <w:p w:rsidR="002556BF" w:rsidRPr="00701945" w:rsidRDefault="009C7B35" w:rsidP="00D66029">
            <w:r>
              <w:t>1, 3</w:t>
            </w:r>
          </w:p>
        </w:tc>
      </w:tr>
      <w:tr w:rsidR="002556BF" w:rsidRPr="00701945" w:rsidTr="00D66029">
        <w:trPr>
          <w:cantSplit/>
          <w:trHeight w:val="362"/>
        </w:trPr>
        <w:tc>
          <w:tcPr>
            <w:tcW w:w="3507" w:type="dxa"/>
            <w:tcBorders>
              <w:top w:val="nil"/>
              <w:left w:val="nil"/>
              <w:bottom w:val="nil"/>
              <w:right w:val="nil"/>
            </w:tcBorders>
          </w:tcPr>
          <w:p w:rsidR="002556BF" w:rsidRPr="00701945" w:rsidRDefault="009C7B35" w:rsidP="00D66029">
            <w:pPr>
              <w:jc w:val="both"/>
            </w:pPr>
            <w:r w:rsidRPr="009905B5">
              <w:t>Jacquelyn K. Kingston</w:t>
            </w:r>
          </w:p>
        </w:tc>
        <w:tc>
          <w:tcPr>
            <w:tcW w:w="2511" w:type="dxa"/>
            <w:tcBorders>
              <w:top w:val="nil"/>
              <w:left w:val="nil"/>
              <w:bottom w:val="nil"/>
              <w:right w:val="nil"/>
            </w:tcBorders>
          </w:tcPr>
          <w:p w:rsidR="002556BF" w:rsidRPr="00701945" w:rsidRDefault="009C7B35" w:rsidP="00D66029">
            <w:pPr>
              <w:jc w:val="center"/>
            </w:pPr>
            <w:r>
              <w:t>FPL</w:t>
            </w:r>
          </w:p>
        </w:tc>
        <w:tc>
          <w:tcPr>
            <w:tcW w:w="3546" w:type="dxa"/>
            <w:tcBorders>
              <w:top w:val="nil"/>
              <w:left w:val="nil"/>
              <w:bottom w:val="nil"/>
              <w:right w:val="nil"/>
            </w:tcBorders>
          </w:tcPr>
          <w:p w:rsidR="002556BF" w:rsidRPr="00701945" w:rsidRDefault="009C7B35" w:rsidP="00D66029">
            <w:r>
              <w:t>1, 2, 3</w:t>
            </w:r>
          </w:p>
        </w:tc>
      </w:tr>
      <w:tr w:rsidR="002556BF" w:rsidRPr="00701945" w:rsidTr="00D66029">
        <w:trPr>
          <w:cantSplit/>
          <w:trHeight w:val="362"/>
        </w:trPr>
        <w:tc>
          <w:tcPr>
            <w:tcW w:w="3507" w:type="dxa"/>
            <w:tcBorders>
              <w:top w:val="nil"/>
              <w:left w:val="nil"/>
              <w:bottom w:val="nil"/>
              <w:right w:val="nil"/>
            </w:tcBorders>
          </w:tcPr>
          <w:p w:rsidR="002556BF" w:rsidRPr="00701945" w:rsidRDefault="009C7B35" w:rsidP="00D66029">
            <w:pPr>
              <w:jc w:val="both"/>
            </w:pPr>
            <w:r w:rsidRPr="009905B5">
              <w:t>Heather C. Stubblefield</w:t>
            </w:r>
          </w:p>
        </w:tc>
        <w:tc>
          <w:tcPr>
            <w:tcW w:w="2511" w:type="dxa"/>
            <w:tcBorders>
              <w:top w:val="nil"/>
              <w:left w:val="nil"/>
              <w:bottom w:val="nil"/>
              <w:right w:val="nil"/>
            </w:tcBorders>
          </w:tcPr>
          <w:p w:rsidR="002556BF" w:rsidRPr="00701945" w:rsidRDefault="009C7B35" w:rsidP="00D66029">
            <w:pPr>
              <w:jc w:val="center"/>
            </w:pPr>
            <w:r>
              <w:t>FPL</w:t>
            </w:r>
          </w:p>
        </w:tc>
        <w:tc>
          <w:tcPr>
            <w:tcW w:w="3546" w:type="dxa"/>
            <w:tcBorders>
              <w:top w:val="nil"/>
              <w:left w:val="nil"/>
              <w:bottom w:val="nil"/>
              <w:right w:val="nil"/>
            </w:tcBorders>
          </w:tcPr>
          <w:p w:rsidR="002556BF" w:rsidRPr="00701945" w:rsidRDefault="009C7B35" w:rsidP="00D66029">
            <w:r>
              <w:t>3, 4</w:t>
            </w:r>
          </w:p>
        </w:tc>
      </w:tr>
      <w:tr w:rsidR="002556BF" w:rsidRPr="00701945" w:rsidTr="00D66029">
        <w:trPr>
          <w:cantSplit/>
          <w:trHeight w:val="362"/>
        </w:trPr>
        <w:tc>
          <w:tcPr>
            <w:tcW w:w="3507" w:type="dxa"/>
            <w:tcBorders>
              <w:top w:val="nil"/>
              <w:left w:val="nil"/>
              <w:bottom w:val="nil"/>
              <w:right w:val="nil"/>
            </w:tcBorders>
          </w:tcPr>
          <w:p w:rsidR="002556BF" w:rsidRPr="00701945" w:rsidRDefault="006740F2" w:rsidP="00D66029">
            <w:pPr>
              <w:jc w:val="both"/>
            </w:pPr>
            <w:r>
              <w:t>Dr. Ezra Hausman</w:t>
            </w:r>
          </w:p>
        </w:tc>
        <w:tc>
          <w:tcPr>
            <w:tcW w:w="2511" w:type="dxa"/>
            <w:tcBorders>
              <w:top w:val="nil"/>
              <w:left w:val="nil"/>
              <w:bottom w:val="nil"/>
              <w:right w:val="nil"/>
            </w:tcBorders>
          </w:tcPr>
          <w:p w:rsidR="002556BF" w:rsidRPr="00701945" w:rsidRDefault="006740F2" w:rsidP="00D66029">
            <w:pPr>
              <w:jc w:val="center"/>
            </w:pPr>
            <w:r>
              <w:t>Sierra Club</w:t>
            </w:r>
          </w:p>
        </w:tc>
        <w:tc>
          <w:tcPr>
            <w:tcW w:w="3546" w:type="dxa"/>
            <w:tcBorders>
              <w:top w:val="nil"/>
              <w:left w:val="nil"/>
              <w:bottom w:val="nil"/>
              <w:right w:val="nil"/>
            </w:tcBorders>
          </w:tcPr>
          <w:p w:rsidR="002556BF" w:rsidRPr="00701945" w:rsidRDefault="006740F2" w:rsidP="00D66029">
            <w:r>
              <w:t>1-6</w:t>
            </w:r>
          </w:p>
        </w:tc>
      </w:tr>
      <w:tr w:rsidR="002556BF" w:rsidRPr="00701945" w:rsidTr="00D66029">
        <w:trPr>
          <w:cantSplit/>
          <w:trHeight w:val="362"/>
        </w:trPr>
        <w:tc>
          <w:tcPr>
            <w:tcW w:w="3507" w:type="dxa"/>
            <w:tcBorders>
              <w:top w:val="nil"/>
              <w:left w:val="nil"/>
              <w:bottom w:val="nil"/>
              <w:right w:val="nil"/>
            </w:tcBorders>
          </w:tcPr>
          <w:p w:rsidR="002556BF" w:rsidRPr="00701945" w:rsidRDefault="002556BF" w:rsidP="00D66029">
            <w:pPr>
              <w:jc w:val="both"/>
            </w:pPr>
          </w:p>
        </w:tc>
        <w:tc>
          <w:tcPr>
            <w:tcW w:w="2511" w:type="dxa"/>
            <w:tcBorders>
              <w:top w:val="nil"/>
              <w:left w:val="nil"/>
              <w:bottom w:val="nil"/>
              <w:right w:val="nil"/>
            </w:tcBorders>
          </w:tcPr>
          <w:p w:rsidR="002556BF" w:rsidRPr="00701945" w:rsidRDefault="002556BF" w:rsidP="00D66029">
            <w:pPr>
              <w:jc w:val="center"/>
            </w:pPr>
          </w:p>
        </w:tc>
        <w:tc>
          <w:tcPr>
            <w:tcW w:w="3546" w:type="dxa"/>
            <w:tcBorders>
              <w:top w:val="nil"/>
              <w:left w:val="nil"/>
              <w:bottom w:val="nil"/>
              <w:right w:val="nil"/>
            </w:tcBorders>
          </w:tcPr>
          <w:p w:rsidR="002556BF" w:rsidRPr="00701945" w:rsidRDefault="002556BF" w:rsidP="00D66029"/>
        </w:tc>
      </w:tr>
      <w:tr w:rsidR="002556BF" w:rsidRPr="00701945" w:rsidTr="00D66029">
        <w:trPr>
          <w:cantSplit/>
          <w:trHeight w:val="382"/>
        </w:trPr>
        <w:tc>
          <w:tcPr>
            <w:tcW w:w="3507" w:type="dxa"/>
            <w:tcBorders>
              <w:top w:val="nil"/>
              <w:left w:val="nil"/>
              <w:bottom w:val="nil"/>
              <w:right w:val="nil"/>
            </w:tcBorders>
          </w:tcPr>
          <w:p w:rsidR="002556BF" w:rsidRPr="00701945" w:rsidRDefault="002556BF" w:rsidP="00D66029">
            <w:pPr>
              <w:jc w:val="both"/>
            </w:pPr>
            <w:r w:rsidRPr="00701945">
              <w:tab/>
            </w:r>
            <w:r w:rsidRPr="00701945">
              <w:rPr>
                <w:u w:val="single"/>
              </w:rPr>
              <w:t>Rebuttal</w:t>
            </w:r>
          </w:p>
        </w:tc>
        <w:tc>
          <w:tcPr>
            <w:tcW w:w="2511" w:type="dxa"/>
            <w:tcBorders>
              <w:top w:val="nil"/>
              <w:left w:val="nil"/>
              <w:bottom w:val="nil"/>
              <w:right w:val="nil"/>
            </w:tcBorders>
          </w:tcPr>
          <w:p w:rsidR="002556BF" w:rsidRPr="00701945" w:rsidRDefault="002556BF" w:rsidP="00D66029">
            <w:pPr>
              <w:jc w:val="center"/>
            </w:pPr>
          </w:p>
        </w:tc>
        <w:tc>
          <w:tcPr>
            <w:tcW w:w="3546" w:type="dxa"/>
            <w:tcBorders>
              <w:top w:val="nil"/>
              <w:left w:val="nil"/>
              <w:bottom w:val="nil"/>
              <w:right w:val="nil"/>
            </w:tcBorders>
          </w:tcPr>
          <w:p w:rsidR="002556BF" w:rsidRPr="00701945" w:rsidRDefault="002556BF" w:rsidP="00D66029"/>
        </w:tc>
      </w:tr>
      <w:tr w:rsidR="002556BF" w:rsidRPr="00701945" w:rsidTr="00D66029">
        <w:trPr>
          <w:cantSplit/>
          <w:trHeight w:val="362"/>
        </w:trPr>
        <w:tc>
          <w:tcPr>
            <w:tcW w:w="3507" w:type="dxa"/>
            <w:tcBorders>
              <w:top w:val="nil"/>
              <w:left w:val="nil"/>
              <w:bottom w:val="nil"/>
              <w:right w:val="nil"/>
            </w:tcBorders>
          </w:tcPr>
          <w:p w:rsidR="002556BF" w:rsidRPr="00701945" w:rsidRDefault="009C7B35" w:rsidP="00D66029">
            <w:pPr>
              <w:jc w:val="both"/>
            </w:pPr>
            <w:r w:rsidRPr="00BB2401">
              <w:t>Hector J. Sanchez</w:t>
            </w:r>
          </w:p>
        </w:tc>
        <w:tc>
          <w:tcPr>
            <w:tcW w:w="2511" w:type="dxa"/>
            <w:tcBorders>
              <w:top w:val="nil"/>
              <w:left w:val="nil"/>
              <w:bottom w:val="nil"/>
              <w:right w:val="nil"/>
            </w:tcBorders>
          </w:tcPr>
          <w:p w:rsidR="002556BF" w:rsidRPr="00701945" w:rsidRDefault="009C7B35" w:rsidP="00D66029">
            <w:pPr>
              <w:jc w:val="center"/>
            </w:pPr>
            <w:r>
              <w:t>FPL</w:t>
            </w:r>
          </w:p>
        </w:tc>
        <w:tc>
          <w:tcPr>
            <w:tcW w:w="3546" w:type="dxa"/>
            <w:tcBorders>
              <w:top w:val="nil"/>
              <w:left w:val="nil"/>
              <w:bottom w:val="nil"/>
              <w:right w:val="nil"/>
            </w:tcBorders>
          </w:tcPr>
          <w:p w:rsidR="002556BF" w:rsidRPr="00701945" w:rsidRDefault="009C7B35" w:rsidP="00D66029">
            <w:r>
              <w:t>1, 3</w:t>
            </w:r>
          </w:p>
        </w:tc>
      </w:tr>
      <w:tr w:rsidR="002556BF" w:rsidRPr="00701945" w:rsidTr="00D66029">
        <w:trPr>
          <w:cantSplit/>
          <w:trHeight w:val="362"/>
        </w:trPr>
        <w:tc>
          <w:tcPr>
            <w:tcW w:w="3507" w:type="dxa"/>
            <w:tcBorders>
              <w:top w:val="nil"/>
              <w:left w:val="nil"/>
              <w:bottom w:val="nil"/>
              <w:right w:val="nil"/>
            </w:tcBorders>
          </w:tcPr>
          <w:p w:rsidR="002556BF" w:rsidRPr="00701945" w:rsidRDefault="009C7B35" w:rsidP="00D66029">
            <w:pPr>
              <w:jc w:val="both"/>
            </w:pPr>
            <w:r w:rsidRPr="00BB2401">
              <w:t>Steven R. Sim</w:t>
            </w:r>
          </w:p>
        </w:tc>
        <w:tc>
          <w:tcPr>
            <w:tcW w:w="2511" w:type="dxa"/>
            <w:tcBorders>
              <w:top w:val="nil"/>
              <w:left w:val="nil"/>
              <w:bottom w:val="nil"/>
              <w:right w:val="nil"/>
            </w:tcBorders>
          </w:tcPr>
          <w:p w:rsidR="002556BF" w:rsidRPr="00701945" w:rsidRDefault="009C7B35" w:rsidP="00D66029">
            <w:pPr>
              <w:jc w:val="center"/>
            </w:pPr>
            <w:r>
              <w:t>FPL</w:t>
            </w:r>
          </w:p>
        </w:tc>
        <w:tc>
          <w:tcPr>
            <w:tcW w:w="3546" w:type="dxa"/>
            <w:tcBorders>
              <w:top w:val="nil"/>
              <w:left w:val="nil"/>
              <w:bottom w:val="nil"/>
              <w:right w:val="nil"/>
            </w:tcBorders>
          </w:tcPr>
          <w:p w:rsidR="002556BF" w:rsidRPr="00701945" w:rsidRDefault="009C7B35" w:rsidP="00D66029">
            <w:r>
              <w:t>1, 2, 3, 4, 5, 6</w:t>
            </w:r>
          </w:p>
        </w:tc>
      </w:tr>
      <w:tr w:rsidR="002556BF" w:rsidRPr="00701945" w:rsidTr="00D66029">
        <w:trPr>
          <w:cantSplit/>
          <w:trHeight w:val="382"/>
        </w:trPr>
        <w:tc>
          <w:tcPr>
            <w:tcW w:w="3507" w:type="dxa"/>
            <w:tcBorders>
              <w:top w:val="nil"/>
              <w:left w:val="nil"/>
              <w:bottom w:val="nil"/>
              <w:right w:val="nil"/>
            </w:tcBorders>
          </w:tcPr>
          <w:p w:rsidR="002556BF" w:rsidRPr="00701945" w:rsidRDefault="002556BF" w:rsidP="00D66029">
            <w:pPr>
              <w:jc w:val="both"/>
            </w:pPr>
          </w:p>
        </w:tc>
        <w:tc>
          <w:tcPr>
            <w:tcW w:w="2511" w:type="dxa"/>
            <w:tcBorders>
              <w:top w:val="nil"/>
              <w:left w:val="nil"/>
              <w:bottom w:val="nil"/>
              <w:right w:val="nil"/>
            </w:tcBorders>
          </w:tcPr>
          <w:p w:rsidR="002556BF" w:rsidRPr="00701945" w:rsidRDefault="002556BF" w:rsidP="00D66029">
            <w:pPr>
              <w:jc w:val="center"/>
            </w:pPr>
          </w:p>
        </w:tc>
        <w:tc>
          <w:tcPr>
            <w:tcW w:w="3546" w:type="dxa"/>
            <w:tcBorders>
              <w:top w:val="nil"/>
              <w:left w:val="nil"/>
              <w:bottom w:val="nil"/>
              <w:right w:val="nil"/>
            </w:tcBorders>
          </w:tcPr>
          <w:p w:rsidR="002556BF" w:rsidRPr="00701945" w:rsidRDefault="002556BF" w:rsidP="00D66029"/>
        </w:tc>
      </w:tr>
    </w:tbl>
    <w:p w:rsidR="00D66029" w:rsidRDefault="00D66029" w:rsidP="002556BF">
      <w:pPr>
        <w:jc w:val="both"/>
      </w:pPr>
    </w:p>
    <w:p w:rsidR="00D66029" w:rsidRDefault="00D66029">
      <w:r>
        <w:br w:type="page"/>
      </w:r>
    </w:p>
    <w:p w:rsidR="002556BF" w:rsidRPr="00BA3BB5" w:rsidRDefault="002556BF" w:rsidP="002556BF">
      <w:pPr>
        <w:jc w:val="both"/>
        <w:rPr>
          <w:b/>
        </w:rPr>
      </w:pPr>
      <w:r w:rsidRPr="00BA3BB5">
        <w:rPr>
          <w:b/>
        </w:rPr>
        <w:lastRenderedPageBreak/>
        <w:t>VII.</w:t>
      </w:r>
      <w:r w:rsidRPr="00BA3BB5">
        <w:rPr>
          <w:b/>
        </w:rPr>
        <w:tab/>
      </w:r>
      <w:r w:rsidRPr="00BA3BB5">
        <w:rPr>
          <w:b/>
          <w:u w:val="single"/>
        </w:rPr>
        <w:t>BASIC POSITIONS</w:t>
      </w:r>
    </w:p>
    <w:p w:rsidR="002556BF" w:rsidRPr="00701945" w:rsidRDefault="002556BF" w:rsidP="002556BF">
      <w:pPr>
        <w:jc w:val="both"/>
      </w:pPr>
    </w:p>
    <w:p w:rsidR="00BA3BB5" w:rsidRPr="00BA3BB5" w:rsidRDefault="008E698F" w:rsidP="00BA3BB5">
      <w:pPr>
        <w:tabs>
          <w:tab w:val="left" w:pos="720"/>
        </w:tabs>
        <w:ind w:left="1440" w:hanging="1440"/>
        <w:jc w:val="both"/>
      </w:pPr>
      <w:r>
        <w:rPr>
          <w:b/>
          <w:bCs/>
        </w:rPr>
        <w:t>FPL</w:t>
      </w:r>
      <w:r w:rsidR="002556BF" w:rsidRPr="00701945">
        <w:rPr>
          <w:b/>
          <w:bCs/>
        </w:rPr>
        <w:t>:</w:t>
      </w:r>
      <w:r w:rsidR="002556BF" w:rsidRPr="00701945">
        <w:tab/>
      </w:r>
      <w:r w:rsidR="000D1B36">
        <w:tab/>
      </w:r>
      <w:r w:rsidR="00BA3BB5" w:rsidRPr="00BA3BB5">
        <w:t>FPL has petitioned the Commission for an affirmative determination of need for the construction of a combined cycle (“CC”) generating unit at the site of FPL’s existing Lauderdale power plant in Broward County, Florida, which will utilize existing facilities, including transmission line, substation facilities, and gas infrastructure, to integrate, interconnect, and transmit energy from this site to FPL’s transmission network for delivery to customers.  The unit and associated facilities are collectively referred to as the Dania Beach Clean Energ</w:t>
      </w:r>
      <w:r w:rsidR="00406925">
        <w:t>y Center Unit 7 (“DBEC Unit 7”)</w:t>
      </w:r>
    </w:p>
    <w:p w:rsidR="00BA3BB5" w:rsidRDefault="00BA3BB5" w:rsidP="00BA3BB5">
      <w:pPr>
        <w:tabs>
          <w:tab w:val="left" w:pos="720"/>
        </w:tabs>
        <w:ind w:left="1440" w:hanging="1440"/>
        <w:jc w:val="both"/>
      </w:pPr>
    </w:p>
    <w:p w:rsidR="00BA3BB5" w:rsidRPr="00BA3BB5" w:rsidRDefault="00BA3BB5" w:rsidP="00BA3BB5">
      <w:pPr>
        <w:tabs>
          <w:tab w:val="left" w:pos="720"/>
        </w:tabs>
        <w:ind w:left="1440" w:hanging="1440"/>
        <w:jc w:val="both"/>
      </w:pPr>
      <w:r>
        <w:tab/>
      </w:r>
      <w:r>
        <w:tab/>
      </w:r>
      <w:r w:rsidRPr="00BA3BB5">
        <w:t>FPL proposes to build a new 2-on-1 (“2x1”) CC unit sited at FPL’s existing Lauderdale plant site in Broward County, Florida. The new CC unit, DBEC Unit 7, will replace the older, less efficient existing Lauderdale Units 4 &amp; 5 currently at the site. These older CC units will be retired in 2018 prior to beginning construction of the new CC unit. This modernization of the Lauderdale site is projected</w:t>
      </w:r>
      <w:r w:rsidR="00406925">
        <w:t xml:space="preserve"> to be completed by June 2022.</w:t>
      </w:r>
    </w:p>
    <w:p w:rsidR="00BA3BB5" w:rsidRDefault="00BA3BB5" w:rsidP="00BA3BB5">
      <w:pPr>
        <w:tabs>
          <w:tab w:val="left" w:pos="720"/>
        </w:tabs>
        <w:ind w:left="1440" w:hanging="1440"/>
        <w:jc w:val="both"/>
      </w:pPr>
    </w:p>
    <w:p w:rsidR="00BA3BB5" w:rsidRPr="00BA3BB5" w:rsidRDefault="00BA3BB5" w:rsidP="00BA3BB5">
      <w:pPr>
        <w:tabs>
          <w:tab w:val="left" w:pos="720"/>
        </w:tabs>
        <w:ind w:left="1440" w:hanging="1440"/>
        <w:jc w:val="both"/>
      </w:pPr>
      <w:r>
        <w:tab/>
      </w:r>
      <w:r>
        <w:tab/>
      </w:r>
      <w:r w:rsidRPr="00BA3BB5">
        <w:t>The Project is projected to provide $337 million cumulative present value of revenue requirements (“CPVRR”) in savings to FPL’s customers compared to keeping the existing Lauderdale Units 4 &amp; 5 operating with their higher operational and fuel costs. It will also enhance FPL’s system reliability by increasing two reserve margin criteria and enhancing the load-generation balance in the Southeastern Florida region of FPL’s service territory.  In addition, the Project would defer the need for future capacity additions, and the unit’s high fuel efficiency will result in less natural gas burned on the FPL system than would be the case if the existing Lauderdale Units 4 &amp; 5 remained in operation.  Beyond the fuel savings, system reliability improvements, and air emission reductions, DBEC Unit 7 is estimated to generate significant economic benefits, including millions of dollars in tax revenues for local governments and school districts, and a number of temp</w:t>
      </w:r>
      <w:r w:rsidR="00406925">
        <w:t>orary and permanent jobs.</w:t>
      </w:r>
    </w:p>
    <w:p w:rsidR="00BA3BB5" w:rsidRDefault="00BA3BB5" w:rsidP="00BA3BB5">
      <w:pPr>
        <w:tabs>
          <w:tab w:val="left" w:pos="720"/>
        </w:tabs>
        <w:ind w:left="1440" w:hanging="1440"/>
        <w:jc w:val="both"/>
      </w:pPr>
    </w:p>
    <w:p w:rsidR="00BA3BB5" w:rsidRPr="00BA3BB5" w:rsidRDefault="00BA3BB5" w:rsidP="00BA3BB5">
      <w:pPr>
        <w:tabs>
          <w:tab w:val="left" w:pos="720"/>
        </w:tabs>
        <w:ind w:left="1440" w:hanging="1440"/>
        <w:jc w:val="both"/>
      </w:pPr>
      <w:r>
        <w:tab/>
      </w:r>
      <w:r>
        <w:tab/>
      </w:r>
      <w:r w:rsidRPr="00BA3BB5">
        <w:t>Thus, the proposed modernization of the existing Lauderdale plant site with a new 2x1 CC unit, DBEC Unit 7, is projected to result in economic, reliability, and fuel usage benefits for FPL’s customers.  For these reasons and for those set forth more fully in FPL’s Petition and pre-filed testimony, FPL satisfies the statutory elements for granting an affirmative determination of need for DBEC Unit 7 with an in-service date of June 1, 2022, pursuant to Section 403.519, Florida Statutes.</w:t>
      </w:r>
    </w:p>
    <w:p w:rsidR="002556BF" w:rsidRPr="00701945" w:rsidRDefault="002556BF" w:rsidP="00BA3BB5">
      <w:pPr>
        <w:jc w:val="both"/>
      </w:pPr>
    </w:p>
    <w:p w:rsidR="00E523DD" w:rsidRDefault="008E698F" w:rsidP="002556BF">
      <w:pPr>
        <w:ind w:left="1440" w:hanging="1440"/>
        <w:jc w:val="both"/>
        <w:rPr>
          <w:b/>
          <w:bCs/>
        </w:rPr>
      </w:pPr>
      <w:r>
        <w:rPr>
          <w:b/>
          <w:bCs/>
        </w:rPr>
        <w:t>SIERRA</w:t>
      </w:r>
    </w:p>
    <w:p w:rsidR="00E523DD" w:rsidRPr="00E523DD" w:rsidRDefault="008E698F" w:rsidP="00E523DD">
      <w:pPr>
        <w:ind w:left="1440" w:hanging="1440"/>
        <w:jc w:val="both"/>
        <w:rPr>
          <w:bCs/>
        </w:rPr>
      </w:pPr>
      <w:r>
        <w:rPr>
          <w:b/>
          <w:bCs/>
        </w:rPr>
        <w:t>CLUB:</w:t>
      </w:r>
      <w:r w:rsidR="00E523DD">
        <w:rPr>
          <w:b/>
          <w:bCs/>
        </w:rPr>
        <w:tab/>
      </w:r>
      <w:r w:rsidR="00E523DD" w:rsidRPr="00E523DD">
        <w:rPr>
          <w:bCs/>
        </w:rPr>
        <w:t>Florida Power &amp; Light Company (FPL) has failed to demonstrate a need, as required by section 403.519(3), F.S.,</w:t>
      </w:r>
      <w:r w:rsidR="00E523DD" w:rsidRPr="00E523DD" w:rsidDel="004608CF">
        <w:rPr>
          <w:bCs/>
        </w:rPr>
        <w:t xml:space="preserve"> </w:t>
      </w:r>
      <w:r w:rsidR="00E523DD" w:rsidRPr="00E523DD">
        <w:rPr>
          <w:bCs/>
        </w:rPr>
        <w:t xml:space="preserve">to bring on line in June 2022 the Dania Beach Clean Energy Center Unit 7 (DBEC). To the contrary, FPL’s own projections show neither a reserve margin need nor a Southeastern Florida system imbalance until at the earliest 2024. Therefore, fundamentally, no valid reason </w:t>
      </w:r>
      <w:r w:rsidR="00E523DD" w:rsidRPr="00E523DD">
        <w:rPr>
          <w:bCs/>
        </w:rPr>
        <w:lastRenderedPageBreak/>
        <w:t>exists to gamble $888 million of ratepayers’ money to bring DBEC on line in 2022, when doing so gratuitously extends by another four decades (the expected life of DBEC) ratepayers’ exposure to the costs and risks of importing gas so that DBEC may operate. Bringing DBEC on line in 2022 is also rash because the record demonstrates that flexible, low-cost, low-risk resources such as solar and energy efficiency are available to FPL, but FPL has failed to properly investiga</w:t>
      </w:r>
      <w:r w:rsidR="00406925">
        <w:rPr>
          <w:bCs/>
        </w:rPr>
        <w:t>te these alternatives to DBEC.</w:t>
      </w:r>
    </w:p>
    <w:p w:rsidR="00E523DD" w:rsidRPr="00E523DD" w:rsidRDefault="00E523DD" w:rsidP="00E523DD">
      <w:pPr>
        <w:ind w:left="1440" w:hanging="1440"/>
        <w:jc w:val="both"/>
        <w:rPr>
          <w:bCs/>
        </w:rPr>
      </w:pPr>
    </w:p>
    <w:p w:rsidR="00E523DD" w:rsidRPr="00E523DD" w:rsidRDefault="00E523DD" w:rsidP="00E523DD">
      <w:pPr>
        <w:ind w:left="1440" w:hanging="1440"/>
        <w:jc w:val="both"/>
        <w:rPr>
          <w:bCs/>
        </w:rPr>
      </w:pPr>
      <w:r w:rsidRPr="00E523DD">
        <w:rPr>
          <w:bCs/>
        </w:rPr>
        <w:tab/>
        <w:t>The evidence establishes that FPL’s reserve margin and Southeast Florida system balance needs can both be met while retiring the two existing units (Units 4 and 5) at FPL’s Lauderdale plant site, in 2018, and only bringing new generation on line when a reserve margin shortfall is projected to arise, which is not until 2024 at the earliest.  Moreover, the evidence establishes that this would be less costly than FPL’s proposed project – which involves retiring Lauderdale 4 and 5 in 2018 and bringing DBEC into service in 2022.  Accordingly, FPL has not shown that DBEC is the mo</w:t>
      </w:r>
      <w:r w:rsidR="00406925">
        <w:rPr>
          <w:bCs/>
        </w:rPr>
        <w:t>st cost-effective alternative.</w:t>
      </w:r>
    </w:p>
    <w:p w:rsidR="00E523DD" w:rsidRPr="00E523DD" w:rsidRDefault="00E523DD" w:rsidP="00E523DD">
      <w:pPr>
        <w:ind w:left="1440" w:hanging="1440"/>
        <w:jc w:val="both"/>
        <w:rPr>
          <w:bCs/>
        </w:rPr>
      </w:pPr>
    </w:p>
    <w:p w:rsidR="00E523DD" w:rsidRPr="00E523DD" w:rsidRDefault="00E523DD" w:rsidP="00E523DD">
      <w:pPr>
        <w:ind w:left="1440" w:hanging="1440"/>
        <w:jc w:val="both"/>
        <w:rPr>
          <w:bCs/>
        </w:rPr>
      </w:pPr>
      <w:r w:rsidRPr="00E523DD">
        <w:rPr>
          <w:bCs/>
        </w:rPr>
        <w:tab/>
        <w:t xml:space="preserve">Nor has FPL shown that it has fairly compared the costs of the DBEC to costs of incrementally adding clean energy resources. Just as FPL has failed to establish that DBEC is the most cost-effective alternative, it has also ignored its obligation to utilize reasonably available renewable energy sources and technologies or conservation measures to mitigate the need for the DBEC.  FPL’s only consideration of clean energy resources—its “Plan 3”—evaluates an arbitrarily constrained and unnecessarily expensive renewable energy ‘strawman’ and makes no serious effort to consider more cost-effective alternatives.  Moreover, it is patently obvious that adding 1,163 MW of gas to a system already overburdened with gas cannot possibly, in any rational world, be found to promote fuel diversity; this is all the more egregious because FPL’s own plans to add solar to its system evidence how </w:t>
      </w:r>
      <w:r w:rsidR="00406925">
        <w:rPr>
          <w:bCs/>
        </w:rPr>
        <w:t>cost competitive solar now is.</w:t>
      </w:r>
    </w:p>
    <w:p w:rsidR="00E523DD" w:rsidRPr="00E523DD" w:rsidRDefault="00E523DD" w:rsidP="00E523DD">
      <w:pPr>
        <w:ind w:left="1440" w:hanging="1440"/>
        <w:jc w:val="both"/>
        <w:rPr>
          <w:bCs/>
        </w:rPr>
      </w:pPr>
    </w:p>
    <w:p w:rsidR="00E523DD" w:rsidRPr="00E523DD" w:rsidRDefault="00E523DD" w:rsidP="00E523DD">
      <w:pPr>
        <w:ind w:left="1440" w:hanging="1440"/>
        <w:jc w:val="both"/>
        <w:rPr>
          <w:bCs/>
        </w:rPr>
      </w:pPr>
      <w:r w:rsidRPr="00E523DD">
        <w:rPr>
          <w:bCs/>
        </w:rPr>
        <w:tab/>
        <w:t xml:space="preserve">Ultimately, “FPL has the burden of proof” in this proceeding. </w:t>
      </w:r>
      <w:r>
        <w:rPr>
          <w:bCs/>
        </w:rPr>
        <w:t xml:space="preserve"> </w:t>
      </w:r>
      <w:r w:rsidRPr="00E523DD">
        <w:rPr>
          <w:bCs/>
          <w:i/>
        </w:rPr>
        <w:t>See In re: Petition for exemption under Rule 25  -22.082(18), F.A.C., from issuing a request for proposals (RFPs) for modernization of  the Lauderdale Plant, by Florida Power &amp; Light Company</w:t>
      </w:r>
      <w:r w:rsidRPr="00E523DD">
        <w:rPr>
          <w:bCs/>
        </w:rPr>
        <w:t xml:space="preserve">, Order No. PSC-2017-0358-PCO-EI at 4-5, in Docket No. 20170122-EI (September 20, 2017); </w:t>
      </w:r>
      <w:r w:rsidRPr="00E523DD">
        <w:rPr>
          <w:bCs/>
          <w:i/>
        </w:rPr>
        <w:t>see also In re: Petition to determine need for Florida EnergySecure Pipeline by Florida Power &amp; Light Company</w:t>
      </w:r>
      <w:r w:rsidRPr="00E523DD">
        <w:rPr>
          <w:bCs/>
        </w:rPr>
        <w:t>, Order No PSC PSC-09- 0715-FOF- EI (October 28, 2009). Here, FPL has fail</w:t>
      </w:r>
      <w:r w:rsidR="00406925">
        <w:rPr>
          <w:bCs/>
        </w:rPr>
        <w:t>ed to carry it burden of proof.</w:t>
      </w:r>
    </w:p>
    <w:p w:rsidR="008E698F" w:rsidRDefault="008E698F" w:rsidP="002556BF">
      <w:pPr>
        <w:ind w:left="1440" w:hanging="1440"/>
        <w:jc w:val="both"/>
        <w:rPr>
          <w:b/>
          <w:bCs/>
        </w:rPr>
      </w:pPr>
    </w:p>
    <w:p w:rsidR="00386449" w:rsidRDefault="008E698F" w:rsidP="00386449">
      <w:pPr>
        <w:ind w:left="1440" w:hanging="1440"/>
        <w:jc w:val="both"/>
      </w:pPr>
      <w:r>
        <w:rPr>
          <w:b/>
          <w:bCs/>
        </w:rPr>
        <w:t>OPC:</w:t>
      </w:r>
      <w:r w:rsidR="002556BF" w:rsidRPr="005D4B47">
        <w:tab/>
      </w:r>
      <w:r w:rsidR="00386449" w:rsidRPr="00386449">
        <w:t xml:space="preserve">FPL is proposing to retire its existing Lauderdale Units 4&amp;5 and replace them with a new 2-on-1 advanced CC unit called the Dania Beach Clean Energy Center sited at the existing Lauderdale plant site in Broward County, Florida in June, 2022.  The proposed Dania Unit 7 will produce 1,163 MW, which is an additional 279 MW beyond the current Lauderdale units.  FPL alleges this proposal is $337 million cumulative present value of revenue requirements (CPVRR) less </w:t>
      </w:r>
      <w:r w:rsidR="00386449" w:rsidRPr="00386449">
        <w:lastRenderedPageBreak/>
        <w:t>expensive than keeping the existing units and $1,288 million CPVRR less expensive than the equivalent amount of firm capacity in Southeast Florida supplied by solar and batteries sited in the Southeast.  However, a review of the testimony and exhibits submitted by FPL demonstrates FPL has not met its burden to show a ne</w:t>
      </w:r>
      <w:r w:rsidR="00406925">
        <w:t>ed for the Dania Unit in 2022.</w:t>
      </w:r>
    </w:p>
    <w:p w:rsidR="00386449" w:rsidRPr="00386449" w:rsidRDefault="00386449" w:rsidP="00386449">
      <w:pPr>
        <w:ind w:left="1440" w:hanging="1440"/>
        <w:jc w:val="both"/>
      </w:pPr>
    </w:p>
    <w:p w:rsidR="00386449" w:rsidRDefault="00386449" w:rsidP="00386449">
      <w:pPr>
        <w:ind w:left="1440" w:hanging="1440"/>
        <w:jc w:val="both"/>
      </w:pPr>
      <w:r w:rsidRPr="00386449">
        <w:tab/>
        <w:t>First, the FPL’s 2016 Ten Year Site plan did not project a need to add new resources to its system until 2024 to meet system reliability.  Moreover, according to the 2017 Projection of FPL’s Resource Needs, FPL’s 2024 Summer Total Reserve Margin will be 19.8%, which is only 54 MW below a full 20% margin reserve.  Furthermore, the addition of the Corbett-Sugar-Quarry (CSQ) 500 kV line in mid-2019 provides a transmission import ability of approximately 1,200 MW which addresses the Southeast regional needs through 2030.  Assuming the retirement of Lauderdale Units 4&amp;5 in late 2018 and the installation of the CSQ line in mid-2019, FPL’s analysis and projections do not show a regional imbalance until 2025.  Thus, FPL’s own supporting documentation demonstrates that there is no ne</w:t>
      </w:r>
      <w:r w:rsidR="00406925">
        <w:t>ed for a new unit before 2024.</w:t>
      </w:r>
    </w:p>
    <w:p w:rsidR="00386449" w:rsidRPr="00386449" w:rsidRDefault="00386449" w:rsidP="00386449">
      <w:pPr>
        <w:ind w:left="1440" w:hanging="1440"/>
        <w:jc w:val="both"/>
      </w:pPr>
    </w:p>
    <w:p w:rsidR="00386449" w:rsidRPr="00386449" w:rsidRDefault="00386449" w:rsidP="00386449">
      <w:pPr>
        <w:ind w:left="1440" w:hanging="1440"/>
        <w:jc w:val="both"/>
        <w:rPr>
          <w:bCs/>
          <w:u w:val="single"/>
        </w:rPr>
      </w:pPr>
      <w:r w:rsidRPr="00386449">
        <w:tab/>
        <w:t>Second, FPL’s analysis to support its proposals relies on the assumption that a 4 year period between the retirement of the Lauderdale Units 4&amp;5 and its replacement power is necessary and that all 1,163 MW of firm capacity must be replaced.   However, FPL has not supported its reliance on either of these assumptions. While FPL supposedly considered scenarios of a one and two year delay, these scenarios included the unsupported “4 year” period between retirement and replacement of its current units to conclude the delays were uneconomic.  Yet, FPL has not demonstrated that retiring the Lauderdale Units 4&amp;5 in late 2018 with a delay in replacement power until 2024 is not more economical than FPL’s proposed Dania replacement in 2022.  Moreover, since FPL’s scenarios rely on matching the replacement of MW with the same timing as the Dania proposal, FPL failed to consider replacing the MW based on the need to meet margin reserv</w:t>
      </w:r>
      <w:r w:rsidR="00406925">
        <w:t>es at the least cost possible.</w:t>
      </w:r>
    </w:p>
    <w:p w:rsidR="002556BF" w:rsidRPr="00701945" w:rsidRDefault="002556BF" w:rsidP="002556BF">
      <w:pPr>
        <w:jc w:val="both"/>
      </w:pPr>
    </w:p>
    <w:p w:rsidR="002556BF" w:rsidRDefault="002556BF" w:rsidP="002556BF">
      <w:pPr>
        <w:ind w:left="1440" w:hanging="1440"/>
        <w:jc w:val="both"/>
      </w:pPr>
      <w:r w:rsidRPr="005D4B47">
        <w:rPr>
          <w:b/>
          <w:bCs/>
        </w:rPr>
        <w:t>STAFF</w:t>
      </w:r>
      <w:r w:rsidRPr="00701945">
        <w:rPr>
          <w:b/>
          <w:bCs/>
        </w:rPr>
        <w:t>:</w:t>
      </w:r>
      <w:r>
        <w:rPr>
          <w:b/>
          <w:bCs/>
        </w:rPr>
        <w:tab/>
      </w:r>
      <w:r w:rsidRPr="00701945">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w:t>
      </w:r>
      <w:r w:rsidR="00406925">
        <w:t>from the preliminary positions.</w:t>
      </w:r>
    </w:p>
    <w:p w:rsidR="002556BF" w:rsidRPr="00701945" w:rsidRDefault="002556BF" w:rsidP="00406925">
      <w:pPr>
        <w:jc w:val="both"/>
      </w:pPr>
    </w:p>
    <w:p w:rsidR="002556BF" w:rsidRPr="00617632" w:rsidRDefault="002556BF" w:rsidP="002556BF">
      <w:pPr>
        <w:jc w:val="both"/>
        <w:rPr>
          <w:b/>
        </w:rPr>
      </w:pPr>
      <w:r w:rsidRPr="00617632">
        <w:rPr>
          <w:b/>
        </w:rPr>
        <w:t>VIII.</w:t>
      </w:r>
      <w:r w:rsidRPr="00617632">
        <w:rPr>
          <w:b/>
        </w:rPr>
        <w:tab/>
      </w:r>
      <w:r w:rsidRPr="00617632">
        <w:rPr>
          <w:b/>
          <w:u w:val="single"/>
        </w:rPr>
        <w:t xml:space="preserve">ISSUES </w:t>
      </w:r>
      <w:smartTag w:uri="urn:schemas-microsoft-com:office:smarttags" w:element="stockticker">
        <w:r w:rsidRPr="00617632">
          <w:rPr>
            <w:b/>
            <w:u w:val="single"/>
          </w:rPr>
          <w:t>AND</w:t>
        </w:r>
      </w:smartTag>
      <w:r w:rsidRPr="00617632">
        <w:rPr>
          <w:b/>
          <w:u w:val="single"/>
        </w:rPr>
        <w:t xml:space="preserve"> POSITIONS</w:t>
      </w:r>
    </w:p>
    <w:p w:rsidR="002556BF" w:rsidRDefault="002556BF" w:rsidP="002556BF">
      <w:pPr>
        <w:jc w:val="both"/>
      </w:pPr>
    </w:p>
    <w:p w:rsidR="002556BF" w:rsidRPr="00701945" w:rsidRDefault="002556BF" w:rsidP="008E698F">
      <w:pPr>
        <w:ind w:left="1440" w:hanging="1440"/>
        <w:jc w:val="both"/>
      </w:pPr>
      <w:r w:rsidRPr="005D4B47">
        <w:rPr>
          <w:b/>
          <w:bCs/>
        </w:rPr>
        <w:t>ISSUE 1</w:t>
      </w:r>
      <w:r w:rsidRPr="00701945">
        <w:rPr>
          <w:b/>
          <w:bCs/>
        </w:rPr>
        <w:t>:</w:t>
      </w:r>
      <w:r w:rsidRPr="00701945">
        <w:tab/>
      </w:r>
      <w:r w:rsidR="008E698F" w:rsidRPr="00706323">
        <w:rPr>
          <w:rFonts w:eastAsia="Calibri"/>
          <w:b/>
        </w:rPr>
        <w:t>Is there a need for the proposed Dania Beach Clean Energy Center Unit 7, taking into account the need for electric system reliability and integrity, as this criterion is used in Section 403.519(3), Florida Statutes?</w:t>
      </w:r>
    </w:p>
    <w:p w:rsidR="002556BF" w:rsidRPr="00701945" w:rsidRDefault="002556BF" w:rsidP="002556BF">
      <w:pPr>
        <w:jc w:val="both"/>
      </w:pPr>
    </w:p>
    <w:p w:rsidR="002556BF" w:rsidRPr="00701945" w:rsidRDefault="008E698F" w:rsidP="0066552E">
      <w:pPr>
        <w:ind w:left="1440" w:hanging="1440"/>
        <w:jc w:val="both"/>
      </w:pPr>
      <w:r>
        <w:rPr>
          <w:b/>
          <w:bCs/>
        </w:rPr>
        <w:t>FPL</w:t>
      </w:r>
      <w:r w:rsidR="002556BF" w:rsidRPr="005D4B47">
        <w:rPr>
          <w:b/>
          <w:bCs/>
        </w:rPr>
        <w:t>:</w:t>
      </w:r>
      <w:r w:rsidR="002556BF" w:rsidRPr="005D4B47">
        <w:tab/>
      </w:r>
      <w:r w:rsidR="0066552E" w:rsidRPr="00474C92">
        <w:t>Yes.</w:t>
      </w:r>
      <w:r w:rsidR="0066552E">
        <w:t xml:space="preserve">  There is a need for DBEC Unit 7, taking into account the need for electric system reliability and integrity.  </w:t>
      </w:r>
      <w:r w:rsidR="0066552E" w:rsidRPr="002135E6">
        <w:t xml:space="preserve">DBEC Unit 7 will enhance FPL’s system </w:t>
      </w:r>
      <w:r w:rsidR="0066552E" w:rsidRPr="002135E6">
        <w:lastRenderedPageBreak/>
        <w:t>reliability and integrity as measured by FPL’s two reserve margin criteria. The additional 279 MW that will result from retiring the 884 MW from existing Lauderdale Units 4 &amp; 5, and adding 1,163 MW from DBEC Unit 7, will increase FPL’s reserve margin values and also defer the need for future capacity additions. The new CC unit will also maintain and enhance the balance between generation and load in the Southeastern Florida region because this increased generation capacity amount will be sited in that region.</w:t>
      </w:r>
      <w:r w:rsidR="0066552E">
        <w:t xml:space="preserve">  (Sim, Feldman, Kingston, Sanchez)</w:t>
      </w:r>
    </w:p>
    <w:p w:rsidR="00386449" w:rsidRDefault="00386449" w:rsidP="002556BF">
      <w:pPr>
        <w:jc w:val="both"/>
        <w:rPr>
          <w:b/>
          <w:bCs/>
        </w:rPr>
      </w:pPr>
    </w:p>
    <w:p w:rsidR="00E523DD" w:rsidRDefault="008E698F" w:rsidP="002556BF">
      <w:pPr>
        <w:jc w:val="both"/>
        <w:rPr>
          <w:b/>
          <w:bCs/>
        </w:rPr>
      </w:pPr>
      <w:r>
        <w:rPr>
          <w:b/>
          <w:bCs/>
        </w:rPr>
        <w:t>SIERRA</w:t>
      </w:r>
    </w:p>
    <w:p w:rsidR="008E698F" w:rsidRDefault="008E698F" w:rsidP="00E523DD">
      <w:pPr>
        <w:ind w:left="1440" w:hanging="1440"/>
        <w:jc w:val="both"/>
        <w:rPr>
          <w:b/>
          <w:bCs/>
        </w:rPr>
      </w:pPr>
      <w:r>
        <w:rPr>
          <w:b/>
          <w:bCs/>
        </w:rPr>
        <w:t>CLUB</w:t>
      </w:r>
      <w:r w:rsidR="002556BF" w:rsidRPr="00701945">
        <w:rPr>
          <w:b/>
          <w:bCs/>
        </w:rPr>
        <w:t>:</w:t>
      </w:r>
      <w:r>
        <w:rPr>
          <w:b/>
          <w:bCs/>
        </w:rPr>
        <w:tab/>
      </w:r>
      <w:r w:rsidR="00E523DD">
        <w:t xml:space="preserve">No.  </w:t>
      </w:r>
      <w:r w:rsidR="00E523DD" w:rsidRPr="00292B90">
        <w:t xml:space="preserve">There is no reliability need for </w:t>
      </w:r>
      <w:r w:rsidR="00E523DD">
        <w:t xml:space="preserve">DBEC to come on line with a June 2022 in-service date </w:t>
      </w:r>
      <w:r w:rsidR="00E523DD" w:rsidRPr="00292B90">
        <w:t>because--even assuming that FPL retires</w:t>
      </w:r>
      <w:r w:rsidR="00E523DD">
        <w:t xml:space="preserve"> the </w:t>
      </w:r>
      <w:r w:rsidR="00E523DD" w:rsidRPr="00292B90">
        <w:t xml:space="preserve">existing </w:t>
      </w:r>
      <w:r w:rsidR="00E523DD">
        <w:t xml:space="preserve">Lauderdale 4 and 5 </w:t>
      </w:r>
      <w:r w:rsidR="00E523DD" w:rsidRPr="00292B90">
        <w:t>units</w:t>
      </w:r>
      <w:r w:rsidR="00E523DD">
        <w:t xml:space="preserve"> in 2018 </w:t>
      </w:r>
      <w:r w:rsidR="00E523DD" w:rsidRPr="00292B90">
        <w:t>--the project comes</w:t>
      </w:r>
      <w:r w:rsidR="00E523DD">
        <w:t xml:space="preserve"> into service</w:t>
      </w:r>
      <w:r w:rsidR="00E523DD" w:rsidRPr="00292B90">
        <w:t xml:space="preserve"> two years before any </w:t>
      </w:r>
      <w:r w:rsidR="00E523DD">
        <w:t xml:space="preserve">projected </w:t>
      </w:r>
      <w:r w:rsidR="00E523DD" w:rsidRPr="00292B90">
        <w:t xml:space="preserve">reserve margin shortfall, three years before any </w:t>
      </w:r>
      <w:r w:rsidR="00E523DD">
        <w:t xml:space="preserve">projected </w:t>
      </w:r>
      <w:r w:rsidR="00E523DD" w:rsidRPr="00292B90">
        <w:t xml:space="preserve">system balance issue, and five years before the full </w:t>
      </w:r>
      <w:r w:rsidR="00E523DD">
        <w:t xml:space="preserve">1,163 MW </w:t>
      </w:r>
      <w:r w:rsidR="00E523DD" w:rsidRPr="00292B90">
        <w:t xml:space="preserve">capacity of the project is </w:t>
      </w:r>
      <w:r w:rsidR="00E523DD">
        <w:t xml:space="preserve">forecast to be </w:t>
      </w:r>
      <w:r w:rsidR="00E523DD" w:rsidRPr="00292B90">
        <w:t>needed for reserve margin</w:t>
      </w:r>
      <w:r w:rsidR="00E523DD">
        <w:t>. (Witness:  Dr. Ezra Hausman)</w:t>
      </w:r>
    </w:p>
    <w:p w:rsidR="008E698F" w:rsidRDefault="008E698F" w:rsidP="002556BF">
      <w:pPr>
        <w:jc w:val="both"/>
        <w:rPr>
          <w:b/>
          <w:bCs/>
        </w:rPr>
      </w:pPr>
    </w:p>
    <w:p w:rsidR="002556BF" w:rsidRPr="00701945" w:rsidRDefault="008E698F" w:rsidP="00C5660C">
      <w:pPr>
        <w:ind w:left="1440" w:hanging="1440"/>
        <w:jc w:val="both"/>
      </w:pPr>
      <w:r>
        <w:rPr>
          <w:b/>
          <w:bCs/>
        </w:rPr>
        <w:t>OPC:</w:t>
      </w:r>
      <w:r w:rsidR="002556BF" w:rsidRPr="00701945">
        <w:tab/>
      </w:r>
      <w:r w:rsidR="00C5660C" w:rsidRPr="00C5660C">
        <w:rPr>
          <w:rFonts w:cs="Arial"/>
          <w:kern w:val="32"/>
          <w:szCs w:val="32"/>
        </w:rPr>
        <w:t>No.  FPL’s own analysis demonstrates that there is no need for a new unit before 2024.</w:t>
      </w:r>
    </w:p>
    <w:p w:rsidR="002556BF" w:rsidRPr="00701945" w:rsidRDefault="002556BF" w:rsidP="002556BF">
      <w:pPr>
        <w:jc w:val="both"/>
      </w:pPr>
    </w:p>
    <w:p w:rsidR="00262A5B" w:rsidRDefault="002556BF" w:rsidP="00406925">
      <w:pPr>
        <w:pStyle w:val="PositionBody"/>
        <w:spacing w:after="0"/>
        <w:ind w:left="0"/>
      </w:pPr>
      <w:r w:rsidRPr="005D4B47">
        <w:rPr>
          <w:b/>
          <w:bCs/>
        </w:rPr>
        <w:t>STAFF:</w:t>
      </w:r>
      <w:r w:rsidRPr="005D4B47">
        <w:rPr>
          <w:b/>
          <w:bCs/>
        </w:rPr>
        <w:tab/>
      </w:r>
      <w:r w:rsidR="00262A5B">
        <w:t xml:space="preserve">No position </w:t>
      </w:r>
      <w:r w:rsidR="008539E9">
        <w:t>pending evidence adduced at hearing.</w:t>
      </w:r>
    </w:p>
    <w:p w:rsidR="00406925" w:rsidRDefault="00406925" w:rsidP="00406925">
      <w:pPr>
        <w:pStyle w:val="PositionBody"/>
        <w:spacing w:after="0"/>
        <w:ind w:left="0"/>
      </w:pPr>
    </w:p>
    <w:p w:rsidR="00406925" w:rsidRDefault="00406925" w:rsidP="00406925">
      <w:pPr>
        <w:pStyle w:val="PositionBody"/>
        <w:spacing w:after="0"/>
        <w:ind w:left="0"/>
      </w:pPr>
    </w:p>
    <w:p w:rsidR="008E698F" w:rsidRPr="00701945" w:rsidRDefault="008E698F" w:rsidP="00262A5B">
      <w:pPr>
        <w:ind w:left="1440" w:hanging="1440"/>
        <w:jc w:val="both"/>
      </w:pPr>
      <w:r w:rsidRPr="005D4B47">
        <w:rPr>
          <w:b/>
          <w:bCs/>
        </w:rPr>
        <w:t xml:space="preserve">ISSUE </w:t>
      </w:r>
      <w:r>
        <w:rPr>
          <w:b/>
          <w:bCs/>
        </w:rPr>
        <w:t>2</w:t>
      </w:r>
      <w:r w:rsidRPr="00701945">
        <w:rPr>
          <w:b/>
          <w:bCs/>
        </w:rPr>
        <w:t>:</w:t>
      </w:r>
      <w:r w:rsidRPr="00701945">
        <w:tab/>
      </w:r>
      <w:r w:rsidR="00262A5B" w:rsidRPr="00706323">
        <w:rPr>
          <w:rFonts w:eastAsia="Calibri"/>
          <w:b/>
        </w:rPr>
        <w:t>Are there any renewable energy sources and technologies or conservation measures taken by or reasonably available to Florida Power &amp; Light, which might mitigate the need for the proposed Dania Beach Clean Energy Center Unit 7?</w:t>
      </w:r>
    </w:p>
    <w:p w:rsidR="008E698F" w:rsidRPr="00701945" w:rsidRDefault="008E698F" w:rsidP="008E698F">
      <w:pPr>
        <w:jc w:val="both"/>
      </w:pPr>
    </w:p>
    <w:p w:rsidR="008E698F" w:rsidRPr="005D4B47" w:rsidRDefault="008E698F" w:rsidP="0066552E">
      <w:pPr>
        <w:ind w:left="1440" w:hanging="1440"/>
        <w:jc w:val="both"/>
      </w:pPr>
      <w:r>
        <w:rPr>
          <w:b/>
          <w:bCs/>
        </w:rPr>
        <w:t>FPL</w:t>
      </w:r>
      <w:r w:rsidRPr="005D4B47">
        <w:rPr>
          <w:b/>
          <w:bCs/>
        </w:rPr>
        <w:t>:</w:t>
      </w:r>
      <w:r w:rsidRPr="005D4B47">
        <w:tab/>
      </w:r>
      <w:r w:rsidR="0066552E" w:rsidRPr="002135E6">
        <w:t>No.</w:t>
      </w:r>
      <w:r w:rsidR="0066552E">
        <w:t xml:space="preserve">  In determining the need for DBEC Unit 7, FPL took account of all FPL-and Commission-identified cost-effective renewable energy and conservation measures reasonably available to FPL that might mitigate the need for the proposed DBEC Unit 7.  </w:t>
      </w:r>
      <w:r w:rsidR="0066552E" w:rsidRPr="00CB0AFE">
        <w:t xml:space="preserve">FPL’s forecast of resource needs takes into account all projected DSM from cost-effective programs approved by the Commission, including all cost-effective energy efficiency (“EE”) programs that might be implemented in the Southeastern Florida region.  FPL’s analyses supporting the need for DBEC Unit 7 accounted for all achievable, cost-effective DSM approved by the FPSC in the DSM Goals set for FPL through the year 2024, plus an assumed continuation of that same level of annual DSM implementation through the year 2030.  FPL’s summer MW Goals for the 2015 – 2024 time period were set at 526 MW or about 53 MW of DSM per year on average.   FPL has not identified additional cost-effective DSM beyond that already reflected in FPL’s analyses. There is no evidence to suggest that additional DSM could provide economic benefits to FPL’s customers that could in any way diminish the unquestionable benefits projected to be provided by DBEC Unit 7 beginning in 2022.  Taking these benefits into consideration, the interests of FPL’s customers </w:t>
      </w:r>
      <w:r w:rsidR="0066552E" w:rsidRPr="00CB0AFE">
        <w:lastRenderedPageBreak/>
        <w:t>are best served by placing DBEC Unit 7 in commercial operation in June of 2022.</w:t>
      </w:r>
      <w:r w:rsidR="0066552E">
        <w:t xml:space="preserve"> (Sim, Kingston)</w:t>
      </w:r>
    </w:p>
    <w:p w:rsidR="008E698F" w:rsidRPr="00701945" w:rsidRDefault="008E698F" w:rsidP="008E698F">
      <w:pPr>
        <w:jc w:val="both"/>
      </w:pPr>
    </w:p>
    <w:p w:rsidR="00E523DD" w:rsidRDefault="008E698F" w:rsidP="008E698F">
      <w:pPr>
        <w:jc w:val="both"/>
        <w:rPr>
          <w:b/>
          <w:bCs/>
        </w:rPr>
      </w:pPr>
      <w:r>
        <w:rPr>
          <w:b/>
          <w:bCs/>
        </w:rPr>
        <w:t>SIERRA</w:t>
      </w:r>
    </w:p>
    <w:p w:rsidR="008E698F" w:rsidRDefault="008E698F" w:rsidP="00E523DD">
      <w:pPr>
        <w:ind w:left="1440" w:hanging="1440"/>
        <w:jc w:val="both"/>
      </w:pPr>
      <w:r>
        <w:rPr>
          <w:b/>
          <w:bCs/>
        </w:rPr>
        <w:t>CLUB</w:t>
      </w:r>
      <w:r w:rsidRPr="00701945">
        <w:rPr>
          <w:b/>
          <w:bCs/>
        </w:rPr>
        <w:t>:</w:t>
      </w:r>
      <w:r>
        <w:rPr>
          <w:b/>
          <w:bCs/>
        </w:rPr>
        <w:tab/>
      </w:r>
      <w:r w:rsidR="00E523DD" w:rsidRPr="002C255E">
        <w:t>Sierra Club objects to the premise that there is any “need” for DBEC in June 2022. That said, the record demonstrates that</w:t>
      </w:r>
      <w:r w:rsidR="00E523DD">
        <w:rPr>
          <w:b/>
        </w:rPr>
        <w:t xml:space="preserve"> </w:t>
      </w:r>
      <w:r w:rsidR="00E523DD">
        <w:t xml:space="preserve">there are renewable energy sources, technologies, and conservation measures that are reasonably available to supply a wide-range of generation and other reliability functions on FPL’s system. However, FPL has not taken those steps needed to evaluate these alternatives to DBEC, nor included them in its proposed project. Utility-scale solar, demand-side programs, and other renewable sources or conservation measure are reasonably available and could supply the same functions as DBEC.  These resources could be deployed incrementally to delay, or potentially entirely forestall, the need for a new large gas burning generation project, and would likely reduce the financial burden on Florida ratepayers.  </w:t>
      </w:r>
    </w:p>
    <w:p w:rsidR="00E523DD" w:rsidRDefault="00E523DD" w:rsidP="00E523DD">
      <w:pPr>
        <w:ind w:left="1440" w:hanging="1440"/>
        <w:jc w:val="both"/>
      </w:pPr>
    </w:p>
    <w:p w:rsidR="00E523DD" w:rsidRDefault="00E523DD" w:rsidP="00A522E5">
      <w:pPr>
        <w:tabs>
          <w:tab w:val="left" w:pos="1440"/>
        </w:tabs>
        <w:ind w:left="1440" w:hanging="1440"/>
        <w:jc w:val="both"/>
      </w:pPr>
      <w:r>
        <w:tab/>
        <w:t>FPL has neither met its burden of proof on this factor nor provided the Commission with sufficient information to readily assess the extent to which such mitigating alternatives are available. FPL’s “Plan 3”, which purportedly evaluates solar and energy storage options, constitutes a single, poorly-conceived alternative that is rife with artificial, cost-inflating constraints.  (Witness: Dr. Ezra Hausman)</w:t>
      </w:r>
    </w:p>
    <w:p w:rsidR="00A522E5" w:rsidRDefault="00A522E5" w:rsidP="00A522E5">
      <w:pPr>
        <w:tabs>
          <w:tab w:val="left" w:pos="1440"/>
        </w:tabs>
        <w:ind w:left="1440" w:hanging="1440"/>
      </w:pPr>
    </w:p>
    <w:p w:rsidR="008E698F" w:rsidRPr="00701945" w:rsidRDefault="008E698F" w:rsidP="00C5660C">
      <w:pPr>
        <w:ind w:left="1440" w:hanging="1440"/>
        <w:jc w:val="both"/>
      </w:pPr>
      <w:r>
        <w:rPr>
          <w:b/>
          <w:bCs/>
        </w:rPr>
        <w:t>OPC:</w:t>
      </w:r>
      <w:r w:rsidRPr="00701945">
        <w:tab/>
      </w:r>
      <w:r w:rsidR="00C5660C" w:rsidRPr="00C5660C">
        <w:rPr>
          <w:rFonts w:cs="Arial"/>
          <w:kern w:val="32"/>
          <w:szCs w:val="32"/>
        </w:rPr>
        <w:t>FPL has not adequately evaluated whether solar and battery storage might be used to meet FPL’s 20% margin reserve needs in 2024.</w:t>
      </w:r>
    </w:p>
    <w:p w:rsidR="008E698F" w:rsidRPr="00701945" w:rsidRDefault="008E698F" w:rsidP="008E698F">
      <w:pPr>
        <w:jc w:val="both"/>
      </w:pPr>
    </w:p>
    <w:p w:rsidR="008E698F" w:rsidRDefault="008E698F" w:rsidP="008E698F">
      <w:pPr>
        <w:jc w:val="both"/>
      </w:pPr>
      <w:r w:rsidRPr="005D4B47">
        <w:rPr>
          <w:b/>
          <w:bCs/>
        </w:rPr>
        <w:t>STAFF:</w:t>
      </w:r>
      <w:r w:rsidRPr="005D4B47">
        <w:rPr>
          <w:b/>
          <w:bCs/>
        </w:rPr>
        <w:tab/>
      </w:r>
      <w:r w:rsidR="008539E9">
        <w:t>No position pending evidence adduced at hearing.</w:t>
      </w:r>
    </w:p>
    <w:p w:rsidR="008539E9" w:rsidRDefault="008539E9" w:rsidP="008E698F">
      <w:pPr>
        <w:jc w:val="both"/>
      </w:pPr>
    </w:p>
    <w:p w:rsidR="00406925" w:rsidRDefault="00406925" w:rsidP="008E698F">
      <w:pPr>
        <w:jc w:val="both"/>
      </w:pPr>
    </w:p>
    <w:p w:rsidR="00262A5B" w:rsidRDefault="008E698F" w:rsidP="00262A5B">
      <w:pPr>
        <w:pStyle w:val="PositionBody"/>
        <w:ind w:hanging="1440"/>
        <w:rPr>
          <w:b/>
        </w:rPr>
      </w:pPr>
      <w:r>
        <w:rPr>
          <w:b/>
          <w:bCs/>
        </w:rPr>
        <w:t>ISSUE 3</w:t>
      </w:r>
      <w:r w:rsidRPr="00701945">
        <w:rPr>
          <w:b/>
          <w:bCs/>
        </w:rPr>
        <w:t>:</w:t>
      </w:r>
      <w:r w:rsidRPr="00701945">
        <w:tab/>
      </w:r>
      <w:r w:rsidR="00262A5B" w:rsidRPr="00706323">
        <w:rPr>
          <w:rFonts w:eastAsia="Calibri"/>
          <w:b/>
        </w:rPr>
        <w:t>Is there a need for the proposed Dania Beach Clean Energy Center Unit 7, taking into account the need for adequate electricity at a reasonable cost, as this criterion is used in Section 403.519(3), Florida Statutes?</w:t>
      </w:r>
    </w:p>
    <w:p w:rsidR="008E698F" w:rsidRPr="005D4B47" w:rsidRDefault="008E698F" w:rsidP="0066552E">
      <w:pPr>
        <w:ind w:left="1440" w:hanging="1440"/>
        <w:jc w:val="both"/>
      </w:pPr>
      <w:r>
        <w:rPr>
          <w:b/>
          <w:bCs/>
        </w:rPr>
        <w:t>FPL</w:t>
      </w:r>
      <w:r w:rsidRPr="005D4B47">
        <w:rPr>
          <w:b/>
          <w:bCs/>
        </w:rPr>
        <w:t>:</w:t>
      </w:r>
      <w:r w:rsidRPr="005D4B47">
        <w:tab/>
      </w:r>
      <w:r w:rsidR="0066552E">
        <w:t xml:space="preserve">Yes.  </w:t>
      </w:r>
      <w:r w:rsidR="0066552E" w:rsidRPr="00CB0AFE">
        <w:t xml:space="preserve">There is a need for DBEC Unit 7, taking into account the need for adequate electricity at a reasonable cost.  DBEC Unit 7 is the best resource available to FPL and its customers to meet the need for adequate electricity at a reasonable cost.  The Lauderdale modernization project, which results in DBEC Unit 7, is projected to be approximately $337 million CPVRR less expensive than continuing to operate the existing Lauderdale Units 4 &amp; 5 in their present form. Further, the new CC unit is projected to result in the lowest system CPVRR cost of all of the numerous resource options and resource plans evaluated by FPL, including CC, CT, solar PV, and energy storage technologies. </w:t>
      </w:r>
      <w:r w:rsidR="0066552E">
        <w:t xml:space="preserve"> </w:t>
      </w:r>
      <w:r w:rsidR="0066552E" w:rsidRPr="00CB0AFE">
        <w:t xml:space="preserve">As such, the unit is also projected to result in the lowest electric rates for FPL’s customers when compared to these alternatives, which is driven in part by the fact that the new </w:t>
      </w:r>
      <w:r w:rsidR="0066552E" w:rsidRPr="00CB0AFE">
        <w:lastRenderedPageBreak/>
        <w:t>unit will not require any new gas pipeline, transmission line, or water supply.</w:t>
      </w:r>
      <w:r w:rsidR="0066552E">
        <w:t xml:space="preserve"> (Sim, Feldman, Kingston, Stubblefield, Sanchez)</w:t>
      </w:r>
    </w:p>
    <w:p w:rsidR="008E698F" w:rsidRPr="00701945" w:rsidRDefault="008E698F" w:rsidP="008E698F">
      <w:pPr>
        <w:jc w:val="both"/>
      </w:pPr>
    </w:p>
    <w:p w:rsidR="00E523DD" w:rsidRDefault="008E698F" w:rsidP="008E698F">
      <w:pPr>
        <w:jc w:val="both"/>
        <w:rPr>
          <w:b/>
          <w:bCs/>
        </w:rPr>
      </w:pPr>
      <w:r>
        <w:rPr>
          <w:b/>
          <w:bCs/>
        </w:rPr>
        <w:t>SIERRA</w:t>
      </w:r>
    </w:p>
    <w:p w:rsidR="008E698F" w:rsidRDefault="008E698F" w:rsidP="00A522E5">
      <w:pPr>
        <w:ind w:left="1440" w:hanging="1440"/>
        <w:jc w:val="both"/>
        <w:rPr>
          <w:b/>
          <w:bCs/>
        </w:rPr>
      </w:pPr>
      <w:r>
        <w:rPr>
          <w:b/>
          <w:bCs/>
        </w:rPr>
        <w:t>CLUB</w:t>
      </w:r>
      <w:r w:rsidRPr="00701945">
        <w:rPr>
          <w:b/>
          <w:bCs/>
        </w:rPr>
        <w:t>:</w:t>
      </w:r>
      <w:r>
        <w:rPr>
          <w:b/>
          <w:bCs/>
        </w:rPr>
        <w:tab/>
      </w:r>
      <w:r w:rsidR="00A522E5">
        <w:t xml:space="preserve">No. Because more cost-effective options exist to meet electricity needs, </w:t>
      </w:r>
      <w:r w:rsidR="00A522E5" w:rsidRPr="00292B90">
        <w:t>the project does not provide adequate electricity at reasonable cost</w:t>
      </w:r>
      <w:r w:rsidR="00A522E5">
        <w:t xml:space="preserve">. </w:t>
      </w:r>
      <w:r w:rsidR="00A522E5" w:rsidRPr="00292B90">
        <w:t xml:space="preserve"> </w:t>
      </w:r>
      <w:r w:rsidR="00A522E5">
        <w:t xml:space="preserve">Ratepayers will save money if FPL retires Lauderdale 4 and 5 in 2018, and defers adding new generation until the time at which it faces a projected reserve margin deficit or Southeastern regional imbalance.  Moreover, it is too early to reliably ascertain what costs are reasonable, when no need for any additional generation, let alone 1,163 MW, is projected to arise for two or more years after DBEC is proposed to be brought into service.  The factors and information that determine what resource should be selected, when they are needed, and how much, are constantly changing.  By locking into DBEC now, before that generation is needed, FPL ratepayers lose out on reasonable opportunities to procure cheaper and less risky renewable alternatives when the actual need arises. Thus, imposing costs on ratepayers from a premature decision now would not be reasonable.  (Witness: Dr. Ezra Hausman)  </w:t>
      </w:r>
    </w:p>
    <w:p w:rsidR="008E698F" w:rsidRDefault="008E698F" w:rsidP="00A522E5">
      <w:pPr>
        <w:ind w:left="1440" w:hanging="1440"/>
        <w:jc w:val="both"/>
        <w:rPr>
          <w:b/>
          <w:bCs/>
        </w:rPr>
      </w:pPr>
    </w:p>
    <w:p w:rsidR="008E698F" w:rsidRPr="00701945" w:rsidRDefault="008E698F" w:rsidP="00C5660C">
      <w:pPr>
        <w:ind w:left="1440" w:hanging="1440"/>
        <w:jc w:val="both"/>
      </w:pPr>
      <w:r>
        <w:rPr>
          <w:b/>
          <w:bCs/>
        </w:rPr>
        <w:t>OPC:</w:t>
      </w:r>
      <w:r w:rsidR="0066552E">
        <w:tab/>
      </w:r>
      <w:r w:rsidR="00C5660C" w:rsidRPr="00C5660C">
        <w:rPr>
          <w:rFonts w:cs="Arial"/>
          <w:kern w:val="32"/>
          <w:szCs w:val="32"/>
        </w:rPr>
        <w:t>No.  FPL’s own analysis demonstrates that there is no need for a new unit before 2024.</w:t>
      </w:r>
    </w:p>
    <w:p w:rsidR="008E698F" w:rsidRPr="00701945" w:rsidRDefault="008E698F" w:rsidP="008E698F">
      <w:pPr>
        <w:jc w:val="both"/>
      </w:pPr>
    </w:p>
    <w:p w:rsidR="008E698F" w:rsidRPr="005D4B47" w:rsidRDefault="008E698F" w:rsidP="008E698F">
      <w:pPr>
        <w:jc w:val="both"/>
        <w:rPr>
          <w:b/>
          <w:bCs/>
        </w:rPr>
      </w:pPr>
      <w:r w:rsidRPr="005D4B47">
        <w:rPr>
          <w:b/>
          <w:bCs/>
        </w:rPr>
        <w:t>STAFF:</w:t>
      </w:r>
      <w:r w:rsidRPr="005D4B47">
        <w:rPr>
          <w:b/>
          <w:bCs/>
        </w:rPr>
        <w:tab/>
      </w:r>
      <w:r w:rsidR="008539E9">
        <w:t>No position pending evidence adduced at hearing.</w:t>
      </w:r>
    </w:p>
    <w:p w:rsidR="008E698F" w:rsidRDefault="008E698F" w:rsidP="008E698F">
      <w:pPr>
        <w:jc w:val="both"/>
      </w:pPr>
    </w:p>
    <w:p w:rsidR="00406925" w:rsidRDefault="00406925" w:rsidP="008E698F">
      <w:pPr>
        <w:jc w:val="both"/>
      </w:pPr>
    </w:p>
    <w:p w:rsidR="008E698F" w:rsidRPr="00701945" w:rsidRDefault="008E698F" w:rsidP="00262A5B">
      <w:pPr>
        <w:ind w:left="1440" w:hanging="1440"/>
        <w:jc w:val="both"/>
      </w:pPr>
      <w:r>
        <w:rPr>
          <w:b/>
          <w:bCs/>
        </w:rPr>
        <w:t>ISSUE 4</w:t>
      </w:r>
      <w:r w:rsidRPr="00701945">
        <w:rPr>
          <w:b/>
          <w:bCs/>
        </w:rPr>
        <w:t>:</w:t>
      </w:r>
      <w:r w:rsidRPr="00701945">
        <w:tab/>
      </w:r>
      <w:r w:rsidR="00262A5B" w:rsidRPr="00706323">
        <w:rPr>
          <w:rFonts w:eastAsia="Calibri"/>
          <w:b/>
        </w:rPr>
        <w:t>Is there a need for the proposed Dania Beach Clean Energy Center Unit 7, taking into account the need for fuel diversity and supply reliability, as this criterion is used in Section 403.519(3), Florida Statutes?</w:t>
      </w:r>
    </w:p>
    <w:p w:rsidR="008E698F" w:rsidRPr="00701945" w:rsidRDefault="008E698F" w:rsidP="008E698F">
      <w:pPr>
        <w:jc w:val="both"/>
      </w:pPr>
    </w:p>
    <w:p w:rsidR="008E698F" w:rsidRPr="005D4B47" w:rsidRDefault="008E698F" w:rsidP="0066552E">
      <w:pPr>
        <w:ind w:left="1440" w:hanging="1440"/>
        <w:jc w:val="both"/>
      </w:pPr>
      <w:r>
        <w:rPr>
          <w:b/>
          <w:bCs/>
        </w:rPr>
        <w:t>FPL</w:t>
      </w:r>
      <w:r w:rsidRPr="005D4B47">
        <w:rPr>
          <w:b/>
          <w:bCs/>
        </w:rPr>
        <w:t>:</w:t>
      </w:r>
      <w:r w:rsidRPr="005D4B47">
        <w:tab/>
      </w:r>
      <w:r w:rsidR="0066552E">
        <w:t>Y</w:t>
      </w:r>
      <w:r w:rsidR="0066552E" w:rsidRPr="00CB0AFE">
        <w:t>es.</w:t>
      </w:r>
      <w:r w:rsidR="0066552E">
        <w:t xml:space="preserve">  There is a need for DBEC Unit 7, taking into account the need for fuel diversity and supply reliability. </w:t>
      </w:r>
      <w:r w:rsidR="0066552E" w:rsidRPr="00CB0AFE">
        <w:t xml:space="preserve">Because of DBEC Unit 7’s high level of fuel efficiency, the unit is projected to lower the total amount of natural gas used by FPL’s generating fleet compared to continuing to operate the existing Lauderdale Units 4 &amp; 5 in a status quo scenario. </w:t>
      </w:r>
      <w:r w:rsidR="0066552E">
        <w:t>(Sim, Stubblefield)</w:t>
      </w:r>
    </w:p>
    <w:p w:rsidR="008E698F" w:rsidRPr="00701945" w:rsidRDefault="008E698F" w:rsidP="008E698F">
      <w:pPr>
        <w:jc w:val="both"/>
      </w:pPr>
    </w:p>
    <w:p w:rsidR="00E523DD" w:rsidRDefault="008E698F" w:rsidP="008E698F">
      <w:pPr>
        <w:jc w:val="both"/>
        <w:rPr>
          <w:b/>
          <w:bCs/>
        </w:rPr>
      </w:pPr>
      <w:r>
        <w:rPr>
          <w:b/>
          <w:bCs/>
        </w:rPr>
        <w:t>SIERRA</w:t>
      </w:r>
    </w:p>
    <w:p w:rsidR="008E698F" w:rsidRDefault="008E698F" w:rsidP="00A522E5">
      <w:pPr>
        <w:ind w:left="1440" w:hanging="1440"/>
        <w:jc w:val="both"/>
        <w:rPr>
          <w:b/>
          <w:bCs/>
        </w:rPr>
      </w:pPr>
      <w:r>
        <w:rPr>
          <w:b/>
          <w:bCs/>
        </w:rPr>
        <w:t>CLUB</w:t>
      </w:r>
      <w:r w:rsidRPr="00701945">
        <w:rPr>
          <w:b/>
          <w:bCs/>
        </w:rPr>
        <w:t>:</w:t>
      </w:r>
      <w:r>
        <w:rPr>
          <w:b/>
          <w:bCs/>
        </w:rPr>
        <w:tab/>
      </w:r>
      <w:r w:rsidR="00A522E5">
        <w:t xml:space="preserve">No. </w:t>
      </w:r>
      <w:r w:rsidR="00A522E5" w:rsidRPr="00292B90">
        <w:t>There is no fuel diversity need for the project</w:t>
      </w:r>
      <w:r w:rsidR="00A522E5">
        <w:t xml:space="preserve"> because the project will not promote fuel diversity.  Burning gas currently accounts for 71% of FPL’s generation. Yet DBEC </w:t>
      </w:r>
      <w:r w:rsidR="00A522E5" w:rsidRPr="00292B90">
        <w:t xml:space="preserve">would supply </w:t>
      </w:r>
      <w:r w:rsidR="00A522E5">
        <w:t xml:space="preserve">even </w:t>
      </w:r>
      <w:r w:rsidR="00A522E5" w:rsidRPr="00292B90">
        <w:t xml:space="preserve">more MWh </w:t>
      </w:r>
      <w:r w:rsidR="00A522E5">
        <w:t xml:space="preserve">from </w:t>
      </w:r>
      <w:r w:rsidR="00A522E5" w:rsidRPr="00292B90">
        <w:t xml:space="preserve">gas than </w:t>
      </w:r>
      <w:r w:rsidR="00A522E5">
        <w:t xml:space="preserve">the existing units it would replace. </w:t>
      </w:r>
      <w:r w:rsidR="00A522E5" w:rsidRPr="00292B90">
        <w:t xml:space="preserve"> </w:t>
      </w:r>
      <w:r w:rsidR="00A522E5">
        <w:t xml:space="preserve">Accordingly, </w:t>
      </w:r>
      <w:r w:rsidR="00A522E5" w:rsidRPr="00292B90">
        <w:t>the project only aggravates th</w:t>
      </w:r>
      <w:r w:rsidR="00A522E5">
        <w:t>e FPL's fuel diversity problem.  Conversely, increasing its portfolio of zero-fuel generation resources would provide much needed fuel diversity benefits to FPL’s ratepayers, including protection from both fuel supply disruptions and higher future fuel and emissions costs.  (Witness:  Dr. Ezra Hausman)</w:t>
      </w:r>
    </w:p>
    <w:p w:rsidR="008E698F" w:rsidRDefault="008E698F" w:rsidP="008E698F">
      <w:pPr>
        <w:jc w:val="both"/>
        <w:rPr>
          <w:b/>
          <w:bCs/>
        </w:rPr>
      </w:pPr>
    </w:p>
    <w:p w:rsidR="008E698F" w:rsidRPr="00701945" w:rsidRDefault="008E698F" w:rsidP="00C5660C">
      <w:pPr>
        <w:ind w:left="1440" w:hanging="1440"/>
        <w:jc w:val="both"/>
      </w:pPr>
      <w:r>
        <w:rPr>
          <w:b/>
          <w:bCs/>
        </w:rPr>
        <w:lastRenderedPageBreak/>
        <w:t>OPC:</w:t>
      </w:r>
      <w:r w:rsidRPr="00701945">
        <w:tab/>
      </w:r>
      <w:r w:rsidR="00C5660C" w:rsidRPr="00C5660C">
        <w:rPr>
          <w:rFonts w:cs="Arial"/>
          <w:kern w:val="32"/>
          <w:szCs w:val="32"/>
        </w:rPr>
        <w:t>No.   FPL’s own analysis demonstrates that there is no need for a new unit before 2024.  Further, the proposed Dania Unit 7 uses natural gas and would replace the Lauderdale Units 4&amp;5 that use natural gas.</w:t>
      </w:r>
    </w:p>
    <w:p w:rsidR="008E698F" w:rsidRPr="00701945" w:rsidRDefault="008E698F" w:rsidP="008E698F">
      <w:pPr>
        <w:jc w:val="both"/>
      </w:pPr>
    </w:p>
    <w:p w:rsidR="008E698F" w:rsidRPr="005D4B47" w:rsidRDefault="008E698F" w:rsidP="008E698F">
      <w:pPr>
        <w:jc w:val="both"/>
        <w:rPr>
          <w:b/>
          <w:bCs/>
        </w:rPr>
      </w:pPr>
      <w:r w:rsidRPr="005D4B47">
        <w:rPr>
          <w:b/>
          <w:bCs/>
        </w:rPr>
        <w:t>STAFF:</w:t>
      </w:r>
      <w:r w:rsidRPr="005D4B47">
        <w:rPr>
          <w:b/>
          <w:bCs/>
        </w:rPr>
        <w:tab/>
      </w:r>
      <w:r w:rsidR="008539E9">
        <w:t>No position pending evidence adduced at hearing.</w:t>
      </w:r>
    </w:p>
    <w:p w:rsidR="008E698F" w:rsidRDefault="008E698F" w:rsidP="008E698F">
      <w:pPr>
        <w:jc w:val="both"/>
      </w:pPr>
    </w:p>
    <w:p w:rsidR="00406925" w:rsidRDefault="00406925" w:rsidP="008E698F">
      <w:pPr>
        <w:jc w:val="both"/>
      </w:pPr>
    </w:p>
    <w:p w:rsidR="008E698F" w:rsidRPr="00701945" w:rsidRDefault="008E698F" w:rsidP="00262A5B">
      <w:pPr>
        <w:ind w:left="1440" w:hanging="1440"/>
        <w:jc w:val="both"/>
      </w:pPr>
      <w:r>
        <w:rPr>
          <w:b/>
          <w:bCs/>
        </w:rPr>
        <w:t>ISSUE 5</w:t>
      </w:r>
      <w:r w:rsidRPr="00701945">
        <w:rPr>
          <w:b/>
          <w:bCs/>
        </w:rPr>
        <w:t>:</w:t>
      </w:r>
      <w:r w:rsidRPr="00701945">
        <w:tab/>
      </w:r>
      <w:r w:rsidR="00262A5B" w:rsidRPr="00706323">
        <w:rPr>
          <w:rFonts w:eastAsia="Calibri"/>
          <w:b/>
        </w:rPr>
        <w:t>Will the proposed Dania Beach Clean Energy Center Unit 7 provide the most cost-effective alternative available, as this criterion is used in Section 403.519(3), Florida Statutes?</w:t>
      </w:r>
    </w:p>
    <w:p w:rsidR="008E698F" w:rsidRPr="00701945" w:rsidRDefault="008E698F" w:rsidP="008E698F">
      <w:pPr>
        <w:jc w:val="both"/>
      </w:pPr>
    </w:p>
    <w:p w:rsidR="008E698F" w:rsidRPr="005D4B47" w:rsidRDefault="008E698F" w:rsidP="0066552E">
      <w:pPr>
        <w:ind w:left="1440" w:hanging="1440"/>
        <w:jc w:val="both"/>
      </w:pPr>
      <w:r>
        <w:rPr>
          <w:b/>
          <w:bCs/>
        </w:rPr>
        <w:t>FPL</w:t>
      </w:r>
      <w:r w:rsidRPr="005D4B47">
        <w:rPr>
          <w:b/>
          <w:bCs/>
        </w:rPr>
        <w:t>:</w:t>
      </w:r>
      <w:r w:rsidRPr="005D4B47">
        <w:tab/>
      </w:r>
      <w:r w:rsidR="0066552E">
        <w:t xml:space="preserve">Yes.  DBEC Unit 7 is the most cost-effective alternative that has been identified to meet the reliability needs of FPL’s customers.  It is the most economic option available to FPL and its customers.  </w:t>
      </w:r>
      <w:r w:rsidR="0066552E" w:rsidRPr="00D75C86">
        <w:t xml:space="preserve">The result of </w:t>
      </w:r>
      <w:r w:rsidR="0066552E">
        <w:t>FPL’s</w:t>
      </w:r>
      <w:r w:rsidR="0066552E" w:rsidRPr="00D75C86">
        <w:t xml:space="preserve"> 2017 analyses was that retiring the existing Lauderdale Units 4 &amp; 5 in late 2018, followed by a modernization of the site by June 1, 2022 with a 2x1 CC unit (DBEC Unit 7), was projected to be the most economic option for FPL’s customers.  It is projected to be approximately $337 million CPVRR less expensive than continuing to operate the existing Lauderdale Units 4 &amp; 5 in a status quo scenario, and $1,288 million CPVRR less expensive than a resource plan in which DBEC Unit 7 is not built and an equivalent amount of firm capacity (approximately 1,163 MW) in Southeastern Florida is assumed to be supplied by solar and batteries sited in that region. </w:t>
      </w:r>
      <w:r w:rsidR="0066552E">
        <w:t xml:space="preserve"> </w:t>
      </w:r>
      <w:r w:rsidR="0066552E" w:rsidRPr="00D75C86">
        <w:t>FPL’s analyses also showed that a delay from the planned 2022 in-service date by one year results in a projected $12 million CPVRR increase and a $38 million CPVRR increase for a two year delay.</w:t>
      </w:r>
      <w:r w:rsidR="0066552E">
        <w:t xml:space="preserve"> (Sim)</w:t>
      </w:r>
    </w:p>
    <w:p w:rsidR="008E698F" w:rsidRPr="00701945" w:rsidRDefault="008E698F" w:rsidP="008E698F">
      <w:pPr>
        <w:jc w:val="both"/>
      </w:pPr>
    </w:p>
    <w:p w:rsidR="00E523DD" w:rsidRDefault="008E698F" w:rsidP="008E698F">
      <w:pPr>
        <w:jc w:val="both"/>
        <w:rPr>
          <w:b/>
          <w:bCs/>
        </w:rPr>
      </w:pPr>
      <w:r>
        <w:rPr>
          <w:b/>
          <w:bCs/>
        </w:rPr>
        <w:t xml:space="preserve">SIERRA </w:t>
      </w:r>
    </w:p>
    <w:p w:rsidR="00A522E5" w:rsidRPr="00A522E5" w:rsidRDefault="008E698F" w:rsidP="00A522E5">
      <w:pPr>
        <w:tabs>
          <w:tab w:val="left" w:pos="1440"/>
        </w:tabs>
        <w:ind w:left="1440" w:hanging="1440"/>
        <w:jc w:val="both"/>
      </w:pPr>
      <w:r>
        <w:rPr>
          <w:b/>
          <w:bCs/>
        </w:rPr>
        <w:t>CLUB</w:t>
      </w:r>
      <w:r w:rsidRPr="00701945">
        <w:rPr>
          <w:b/>
          <w:bCs/>
        </w:rPr>
        <w:t>:</w:t>
      </w:r>
      <w:r>
        <w:rPr>
          <w:b/>
          <w:bCs/>
        </w:rPr>
        <w:tab/>
      </w:r>
      <w:r w:rsidR="00A522E5" w:rsidRPr="00A522E5">
        <w:t xml:space="preserve">No.  FPL’s proposed gas burning project is not the most cost-effective alternative available. Although FPL has provided only limited data--its stated record retention policy is to keep only final reports—Sierra Club’s expert has identified less costly alternatives, including delaying the project until 2024, which is the earliest date at which additional resources are first forecast to be needed in Southeastern Florida. Further, FPL did not adequately consider other potential cost saving alternatives, such as further forestalling the need for a major generation project by adding incremental, renewable or demand-side alternatives.  </w:t>
      </w:r>
    </w:p>
    <w:p w:rsidR="00A522E5" w:rsidRDefault="00A522E5" w:rsidP="00A522E5">
      <w:pPr>
        <w:ind w:left="1440" w:hanging="1440"/>
        <w:jc w:val="both"/>
      </w:pPr>
    </w:p>
    <w:p w:rsidR="00A522E5" w:rsidRPr="00A522E5" w:rsidRDefault="00A522E5" w:rsidP="00A522E5">
      <w:pPr>
        <w:tabs>
          <w:tab w:val="left" w:pos="1440"/>
        </w:tabs>
        <w:ind w:left="1440" w:hanging="1440"/>
        <w:jc w:val="both"/>
      </w:pPr>
      <w:r w:rsidRPr="00A522E5">
        <w:rPr>
          <w:b/>
        </w:rPr>
        <w:tab/>
      </w:r>
      <w:r w:rsidRPr="00A522E5">
        <w:t>Moreover, FPL has not met its burden of proof on this issue.  Its petition only identified and evaluated two alternatives to the status quo—one the DBEC, and the other a single plan hobbled by artificial constraints seemingly tailor made to make renewable resources appear unduly costly to FPL customers.  (Witness: Dr. Ezra Hausman)</w:t>
      </w:r>
    </w:p>
    <w:p w:rsidR="008E698F" w:rsidRDefault="008E698F" w:rsidP="00A522E5">
      <w:pPr>
        <w:ind w:hanging="1440"/>
        <w:jc w:val="both"/>
        <w:rPr>
          <w:b/>
          <w:bCs/>
        </w:rPr>
      </w:pPr>
    </w:p>
    <w:p w:rsidR="008E698F" w:rsidRPr="00701945" w:rsidRDefault="008E698F" w:rsidP="00C5660C">
      <w:pPr>
        <w:ind w:left="1440" w:hanging="1440"/>
        <w:jc w:val="both"/>
      </w:pPr>
      <w:r>
        <w:rPr>
          <w:b/>
          <w:bCs/>
        </w:rPr>
        <w:t>OPC:</w:t>
      </w:r>
      <w:r w:rsidRPr="00701945">
        <w:tab/>
      </w:r>
      <w:r w:rsidR="00C5660C" w:rsidRPr="00C5660C">
        <w:rPr>
          <w:rFonts w:cs="Arial"/>
          <w:kern w:val="32"/>
          <w:szCs w:val="32"/>
        </w:rPr>
        <w:t>No.</w:t>
      </w:r>
      <w:r w:rsidR="00BA3BB5">
        <w:rPr>
          <w:rFonts w:cs="Arial"/>
          <w:kern w:val="32"/>
          <w:szCs w:val="32"/>
        </w:rPr>
        <w:t xml:space="preserve"> </w:t>
      </w:r>
      <w:r w:rsidR="00C5660C" w:rsidRPr="00C5660C">
        <w:rPr>
          <w:rFonts w:cs="Arial"/>
          <w:kern w:val="32"/>
          <w:szCs w:val="32"/>
        </w:rPr>
        <w:t xml:space="preserve"> FPL has not demonstrated that retiring the Lauderdale Units 4&amp;5 in late 2018 with a delay in replacement power until 2024 is not more economical than FPL’s proposed Dania replacement in 2022.</w:t>
      </w:r>
    </w:p>
    <w:p w:rsidR="008E698F" w:rsidRPr="005D4B47" w:rsidRDefault="008E698F" w:rsidP="008E698F">
      <w:pPr>
        <w:jc w:val="both"/>
        <w:rPr>
          <w:b/>
          <w:bCs/>
        </w:rPr>
      </w:pPr>
      <w:r w:rsidRPr="005D4B47">
        <w:rPr>
          <w:b/>
          <w:bCs/>
        </w:rPr>
        <w:lastRenderedPageBreak/>
        <w:t>STAFF:</w:t>
      </w:r>
      <w:r w:rsidRPr="005D4B47">
        <w:rPr>
          <w:b/>
          <w:bCs/>
        </w:rPr>
        <w:tab/>
      </w:r>
      <w:r w:rsidR="008539E9">
        <w:t>No position pending evidence adduced at hearing.</w:t>
      </w:r>
    </w:p>
    <w:p w:rsidR="008E698F" w:rsidRDefault="008E698F" w:rsidP="008E698F">
      <w:pPr>
        <w:jc w:val="both"/>
      </w:pPr>
    </w:p>
    <w:p w:rsidR="00AE369B" w:rsidRDefault="00AE369B">
      <w:pPr>
        <w:rPr>
          <w:b/>
          <w:bCs/>
        </w:rPr>
      </w:pPr>
    </w:p>
    <w:p w:rsidR="008E698F" w:rsidRPr="00701945" w:rsidRDefault="008E698F" w:rsidP="00706323">
      <w:pPr>
        <w:ind w:left="1440" w:hanging="1440"/>
        <w:jc w:val="both"/>
      </w:pPr>
      <w:r>
        <w:rPr>
          <w:b/>
          <w:bCs/>
        </w:rPr>
        <w:t>ISSUE 6</w:t>
      </w:r>
      <w:r w:rsidRPr="00701945">
        <w:rPr>
          <w:b/>
          <w:bCs/>
        </w:rPr>
        <w:t>:</w:t>
      </w:r>
      <w:r w:rsidRPr="00701945">
        <w:tab/>
      </w:r>
      <w:r w:rsidR="00262A5B" w:rsidRPr="00706323">
        <w:rPr>
          <w:rFonts w:eastAsia="Calibri"/>
          <w:b/>
        </w:rPr>
        <w:t>Based on the resolution of the foregoing issues and other matters within its jurisdiction which it deems relevant, should the Commission grant Florida Power &amp; Light’s petition to determine the need for the proposed Dania Beach Clean Energy Center Unit 7?</w:t>
      </w:r>
    </w:p>
    <w:p w:rsidR="008E698F" w:rsidRPr="00701945" w:rsidRDefault="008E698F" w:rsidP="008E698F">
      <w:pPr>
        <w:jc w:val="both"/>
      </w:pPr>
    </w:p>
    <w:p w:rsidR="008E698F" w:rsidRPr="005D4B47" w:rsidRDefault="008E698F" w:rsidP="0066552E">
      <w:pPr>
        <w:ind w:left="1440" w:hanging="1440"/>
        <w:jc w:val="both"/>
      </w:pPr>
      <w:r>
        <w:rPr>
          <w:b/>
          <w:bCs/>
        </w:rPr>
        <w:t>FPL</w:t>
      </w:r>
      <w:r w:rsidRPr="005D4B47">
        <w:rPr>
          <w:b/>
          <w:bCs/>
        </w:rPr>
        <w:t>:</w:t>
      </w:r>
      <w:r w:rsidRPr="005D4B47">
        <w:tab/>
      </w:r>
      <w:r w:rsidR="0066552E">
        <w:t xml:space="preserve">Yes.  Building DBEC Unit 7 with an in-service date of June 1, 2022 is the best, most cost-effective choice for FPL’s customers for maintaining reliable electric service beginning in that year.  This unit was determined to be the most cost-effective choice through extensive analyses that began in 2016 and culminated in 2017, taking into account all reasonably available renewable energy and conservation measures.   </w:t>
      </w:r>
      <w:r w:rsidR="0066552E" w:rsidRPr="00CC1507">
        <w:t xml:space="preserve">DBEC Unit 7 is projected to deliver major cost savings to benefit FPL’s customers, enhance system and regional reliability to serve FPL’s customers, and reduce FPL’s usage of natural gas a as a fuel source for generation. </w:t>
      </w:r>
      <w:r w:rsidR="0066552E">
        <w:t xml:space="preserve">  (Sim)</w:t>
      </w:r>
    </w:p>
    <w:p w:rsidR="008E698F" w:rsidRPr="00701945" w:rsidRDefault="008E698F" w:rsidP="008E698F">
      <w:pPr>
        <w:jc w:val="both"/>
      </w:pPr>
    </w:p>
    <w:p w:rsidR="00E523DD" w:rsidRDefault="008E698F" w:rsidP="008E698F">
      <w:pPr>
        <w:jc w:val="both"/>
        <w:rPr>
          <w:b/>
          <w:bCs/>
        </w:rPr>
      </w:pPr>
      <w:r>
        <w:rPr>
          <w:b/>
          <w:bCs/>
        </w:rPr>
        <w:t xml:space="preserve">SIERRA </w:t>
      </w:r>
    </w:p>
    <w:p w:rsidR="008E698F" w:rsidRDefault="008E698F" w:rsidP="00A522E5">
      <w:pPr>
        <w:ind w:left="1440" w:hanging="1440"/>
        <w:jc w:val="both"/>
        <w:rPr>
          <w:b/>
          <w:bCs/>
        </w:rPr>
      </w:pPr>
      <w:r>
        <w:rPr>
          <w:b/>
          <w:bCs/>
        </w:rPr>
        <w:t>CLUB</w:t>
      </w:r>
      <w:r w:rsidRPr="00701945">
        <w:rPr>
          <w:b/>
          <w:bCs/>
        </w:rPr>
        <w:t>:</w:t>
      </w:r>
      <w:r>
        <w:rPr>
          <w:b/>
          <w:bCs/>
        </w:rPr>
        <w:tab/>
      </w:r>
      <w:r w:rsidR="00A522E5">
        <w:t>No.  FPL has failed to meet its burden to demonstrate that the DBEC is needed in 2022.  Alternatives exist that would satisfy the future needs that FPL identifies at less cost and with more benefits in terms of fuel diversity and utilization of renewable resources.  (Witness:  Dr. Ezra Hausman)</w:t>
      </w:r>
    </w:p>
    <w:p w:rsidR="008E698F" w:rsidRDefault="008E698F" w:rsidP="00A522E5">
      <w:pPr>
        <w:ind w:left="1440" w:hanging="1440"/>
        <w:jc w:val="both"/>
        <w:rPr>
          <w:b/>
          <w:bCs/>
        </w:rPr>
      </w:pPr>
    </w:p>
    <w:p w:rsidR="008E698F" w:rsidRPr="00701945" w:rsidRDefault="008E698F" w:rsidP="008E698F">
      <w:pPr>
        <w:jc w:val="both"/>
      </w:pPr>
      <w:r>
        <w:rPr>
          <w:b/>
          <w:bCs/>
        </w:rPr>
        <w:t>OPC:</w:t>
      </w:r>
      <w:r w:rsidRPr="00701945">
        <w:tab/>
      </w:r>
      <w:r w:rsidRPr="00701945">
        <w:tab/>
      </w:r>
      <w:r w:rsidR="00C5660C">
        <w:rPr>
          <w:rFonts w:cs="Arial"/>
          <w:kern w:val="32"/>
          <w:szCs w:val="32"/>
        </w:rPr>
        <w:t>No, not at this time.</w:t>
      </w:r>
    </w:p>
    <w:p w:rsidR="008E698F" w:rsidRPr="00701945" w:rsidRDefault="008E698F" w:rsidP="008E698F">
      <w:pPr>
        <w:jc w:val="both"/>
      </w:pPr>
    </w:p>
    <w:p w:rsidR="008E698F" w:rsidRPr="005D4B47" w:rsidRDefault="008E698F" w:rsidP="008E698F">
      <w:pPr>
        <w:jc w:val="both"/>
        <w:rPr>
          <w:b/>
          <w:bCs/>
        </w:rPr>
      </w:pPr>
      <w:r w:rsidRPr="005D4B47">
        <w:rPr>
          <w:b/>
          <w:bCs/>
        </w:rPr>
        <w:t>STAFF:</w:t>
      </w:r>
      <w:r w:rsidRPr="005D4B47">
        <w:rPr>
          <w:b/>
          <w:bCs/>
        </w:rPr>
        <w:tab/>
      </w:r>
      <w:r w:rsidR="00262A5B">
        <w:t>No position at this time.</w:t>
      </w:r>
    </w:p>
    <w:p w:rsidR="00406925" w:rsidRDefault="00406925" w:rsidP="008E698F">
      <w:pPr>
        <w:jc w:val="both"/>
        <w:rPr>
          <w:b/>
          <w:bCs/>
        </w:rPr>
      </w:pPr>
    </w:p>
    <w:p w:rsidR="00406925" w:rsidRDefault="00406925" w:rsidP="008E698F">
      <w:pPr>
        <w:jc w:val="both"/>
        <w:rPr>
          <w:b/>
          <w:bCs/>
        </w:rPr>
      </w:pPr>
    </w:p>
    <w:p w:rsidR="008E698F" w:rsidRPr="00701945" w:rsidRDefault="008E698F" w:rsidP="008E698F">
      <w:pPr>
        <w:jc w:val="both"/>
      </w:pPr>
      <w:r>
        <w:rPr>
          <w:b/>
          <w:bCs/>
        </w:rPr>
        <w:t>ISSUE 7</w:t>
      </w:r>
      <w:r w:rsidRPr="00701945">
        <w:rPr>
          <w:b/>
          <w:bCs/>
        </w:rPr>
        <w:t>:</w:t>
      </w:r>
      <w:r w:rsidRPr="00701945">
        <w:tab/>
      </w:r>
      <w:r w:rsidR="00262A5B" w:rsidRPr="00706323">
        <w:rPr>
          <w:rFonts w:eastAsia="Calibri"/>
          <w:b/>
        </w:rPr>
        <w:t>Should this docket be closed?</w:t>
      </w:r>
    </w:p>
    <w:p w:rsidR="008E698F" w:rsidRPr="00701945" w:rsidRDefault="008E698F" w:rsidP="008E698F">
      <w:pPr>
        <w:jc w:val="both"/>
      </w:pPr>
    </w:p>
    <w:p w:rsidR="008E698F" w:rsidRPr="005D4B47" w:rsidRDefault="008E698F" w:rsidP="0066552E">
      <w:pPr>
        <w:ind w:left="1440" w:hanging="1440"/>
        <w:jc w:val="both"/>
      </w:pPr>
      <w:r>
        <w:rPr>
          <w:b/>
          <w:bCs/>
        </w:rPr>
        <w:t>FPL</w:t>
      </w:r>
      <w:r w:rsidRPr="005D4B47">
        <w:rPr>
          <w:b/>
          <w:bCs/>
        </w:rPr>
        <w:t>:</w:t>
      </w:r>
      <w:r w:rsidRPr="005D4B47">
        <w:tab/>
      </w:r>
      <w:r w:rsidR="0066552E">
        <w:t>Yes.  Upon issuance of an order granting FPL’s petition to determine the need for DBEC Unit 7, this docket should be closed.</w:t>
      </w:r>
    </w:p>
    <w:p w:rsidR="008E698F" w:rsidRPr="00701945" w:rsidRDefault="008E698F" w:rsidP="008E698F">
      <w:pPr>
        <w:jc w:val="both"/>
      </w:pPr>
    </w:p>
    <w:p w:rsidR="00E523DD" w:rsidRDefault="008E698F" w:rsidP="008E698F">
      <w:pPr>
        <w:jc w:val="both"/>
        <w:rPr>
          <w:b/>
          <w:bCs/>
        </w:rPr>
      </w:pPr>
      <w:r>
        <w:rPr>
          <w:b/>
          <w:bCs/>
        </w:rPr>
        <w:t xml:space="preserve">SIERRA </w:t>
      </w:r>
    </w:p>
    <w:p w:rsidR="008E698F" w:rsidRPr="00A522E5" w:rsidRDefault="008E698F" w:rsidP="008E698F">
      <w:pPr>
        <w:jc w:val="both"/>
        <w:rPr>
          <w:bCs/>
        </w:rPr>
      </w:pPr>
      <w:r>
        <w:rPr>
          <w:b/>
          <w:bCs/>
        </w:rPr>
        <w:t>CLUB</w:t>
      </w:r>
      <w:r w:rsidRPr="00701945">
        <w:rPr>
          <w:b/>
          <w:bCs/>
        </w:rPr>
        <w:t>:</w:t>
      </w:r>
      <w:r>
        <w:rPr>
          <w:b/>
          <w:bCs/>
        </w:rPr>
        <w:tab/>
      </w:r>
      <w:r w:rsidR="00A522E5">
        <w:rPr>
          <w:bCs/>
        </w:rPr>
        <w:t>Yes.</w:t>
      </w:r>
    </w:p>
    <w:p w:rsidR="008E698F" w:rsidRDefault="008E698F" w:rsidP="008E698F">
      <w:pPr>
        <w:jc w:val="both"/>
        <w:rPr>
          <w:b/>
          <w:bCs/>
        </w:rPr>
      </w:pPr>
    </w:p>
    <w:p w:rsidR="00C5660C" w:rsidRPr="00CC5EAB" w:rsidRDefault="008E698F" w:rsidP="00C5660C">
      <w:pPr>
        <w:spacing w:after="200"/>
        <w:ind w:left="1440" w:hanging="1440"/>
        <w:jc w:val="both"/>
        <w:rPr>
          <w:rFonts w:cs="Arial"/>
          <w:kern w:val="32"/>
          <w:szCs w:val="32"/>
        </w:rPr>
      </w:pPr>
      <w:r>
        <w:rPr>
          <w:b/>
          <w:bCs/>
        </w:rPr>
        <w:t>OPC:</w:t>
      </w:r>
      <w:r w:rsidRPr="00701945">
        <w:tab/>
      </w:r>
      <w:r w:rsidR="00C5660C">
        <w:rPr>
          <w:rFonts w:cs="Arial"/>
          <w:kern w:val="32"/>
          <w:szCs w:val="32"/>
        </w:rPr>
        <w:t>Yes</w:t>
      </w:r>
      <w:r w:rsidR="00BA3BB5">
        <w:rPr>
          <w:rFonts w:cs="Arial"/>
          <w:kern w:val="32"/>
          <w:szCs w:val="32"/>
        </w:rPr>
        <w:t>.</w:t>
      </w:r>
    </w:p>
    <w:p w:rsidR="008E698F" w:rsidRDefault="008E698F" w:rsidP="008E698F">
      <w:pPr>
        <w:jc w:val="both"/>
      </w:pPr>
      <w:r w:rsidRPr="005D4B47">
        <w:rPr>
          <w:b/>
          <w:bCs/>
        </w:rPr>
        <w:t>STAFF:</w:t>
      </w:r>
      <w:r w:rsidRPr="005D4B47">
        <w:rPr>
          <w:b/>
          <w:bCs/>
        </w:rPr>
        <w:tab/>
      </w:r>
      <w:r w:rsidR="008539E9">
        <w:t>No position pending evidence adduced at hearing.</w:t>
      </w:r>
    </w:p>
    <w:p w:rsidR="00AE369B" w:rsidRDefault="00AE369B">
      <w:pPr>
        <w:rPr>
          <w:b/>
        </w:rPr>
      </w:pPr>
      <w:r>
        <w:rPr>
          <w:b/>
        </w:rPr>
        <w:br w:type="page"/>
      </w:r>
    </w:p>
    <w:p w:rsidR="002556BF" w:rsidRPr="00A32DC5" w:rsidRDefault="002556BF" w:rsidP="002556BF">
      <w:pPr>
        <w:jc w:val="both"/>
        <w:rPr>
          <w:b/>
        </w:rPr>
      </w:pPr>
      <w:r w:rsidRPr="00A32DC5">
        <w:rPr>
          <w:b/>
        </w:rPr>
        <w:lastRenderedPageBreak/>
        <w:t>IX.</w:t>
      </w:r>
      <w:r w:rsidRPr="00A32DC5">
        <w:rPr>
          <w:b/>
        </w:rPr>
        <w:tab/>
      </w:r>
      <w:r w:rsidRPr="00A32DC5">
        <w:rPr>
          <w:b/>
          <w:u w:val="single"/>
        </w:rPr>
        <w:t>EXHIBIT LIST</w:t>
      </w:r>
    </w:p>
    <w:p w:rsidR="002556BF" w:rsidRPr="00701945" w:rsidRDefault="002556BF" w:rsidP="002556BF">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2556BF" w:rsidRPr="00701945" w:rsidTr="00D66029">
        <w:trPr>
          <w:cantSplit/>
          <w:trHeight w:val="373"/>
          <w:tblHeader/>
        </w:trPr>
        <w:tc>
          <w:tcPr>
            <w:tcW w:w="3198" w:type="dxa"/>
            <w:tcBorders>
              <w:top w:val="nil"/>
              <w:left w:val="nil"/>
              <w:bottom w:val="nil"/>
              <w:right w:val="nil"/>
            </w:tcBorders>
          </w:tcPr>
          <w:p w:rsidR="002556BF" w:rsidRPr="00701945" w:rsidRDefault="002556BF" w:rsidP="00D66029">
            <w:pPr>
              <w:jc w:val="both"/>
            </w:pPr>
            <w:r w:rsidRPr="00701945">
              <w:rPr>
                <w:u w:val="single"/>
              </w:rPr>
              <w:t>Witness</w:t>
            </w:r>
          </w:p>
        </w:tc>
        <w:tc>
          <w:tcPr>
            <w:tcW w:w="1680" w:type="dxa"/>
            <w:tcBorders>
              <w:top w:val="nil"/>
              <w:left w:val="nil"/>
              <w:bottom w:val="nil"/>
              <w:right w:val="nil"/>
            </w:tcBorders>
          </w:tcPr>
          <w:p w:rsidR="002556BF" w:rsidRPr="00701945" w:rsidRDefault="002556BF" w:rsidP="00D66029">
            <w:pPr>
              <w:jc w:val="center"/>
            </w:pPr>
            <w:r w:rsidRPr="00701945">
              <w:rPr>
                <w:u w:val="single"/>
              </w:rPr>
              <w:t>Proffered By</w:t>
            </w:r>
          </w:p>
        </w:tc>
        <w:tc>
          <w:tcPr>
            <w:tcW w:w="1482" w:type="dxa"/>
            <w:tcBorders>
              <w:top w:val="nil"/>
              <w:left w:val="nil"/>
              <w:bottom w:val="nil"/>
              <w:right w:val="nil"/>
            </w:tcBorders>
          </w:tcPr>
          <w:p w:rsidR="002556BF" w:rsidRPr="004515FB" w:rsidRDefault="002556BF" w:rsidP="00D66029">
            <w:pPr>
              <w:jc w:val="center"/>
            </w:pPr>
          </w:p>
        </w:tc>
        <w:tc>
          <w:tcPr>
            <w:tcW w:w="3205" w:type="dxa"/>
            <w:tcBorders>
              <w:top w:val="nil"/>
              <w:left w:val="nil"/>
              <w:bottom w:val="nil"/>
              <w:right w:val="nil"/>
            </w:tcBorders>
          </w:tcPr>
          <w:p w:rsidR="002556BF" w:rsidRPr="00701945" w:rsidRDefault="002556BF" w:rsidP="00D66029">
            <w:pPr>
              <w:jc w:val="both"/>
            </w:pPr>
            <w:r w:rsidRPr="00701945">
              <w:rPr>
                <w:u w:val="single"/>
              </w:rPr>
              <w:t>Description</w:t>
            </w:r>
          </w:p>
        </w:tc>
      </w:tr>
      <w:tr w:rsidR="002556BF" w:rsidRPr="00701945" w:rsidTr="00D66029">
        <w:trPr>
          <w:cantSplit/>
          <w:trHeight w:val="353"/>
        </w:trPr>
        <w:tc>
          <w:tcPr>
            <w:tcW w:w="3198" w:type="dxa"/>
            <w:tcBorders>
              <w:top w:val="nil"/>
              <w:left w:val="nil"/>
              <w:bottom w:val="nil"/>
              <w:right w:val="nil"/>
            </w:tcBorders>
          </w:tcPr>
          <w:p w:rsidR="002556BF" w:rsidRPr="00701945" w:rsidRDefault="002556BF" w:rsidP="00D66029">
            <w:pPr>
              <w:jc w:val="both"/>
            </w:pPr>
            <w:r w:rsidRPr="00701945">
              <w:tab/>
            </w:r>
            <w:r w:rsidRPr="00701945">
              <w:rPr>
                <w:u w:val="single"/>
              </w:rPr>
              <w:t>Direct</w:t>
            </w:r>
          </w:p>
        </w:tc>
        <w:tc>
          <w:tcPr>
            <w:tcW w:w="1680" w:type="dxa"/>
            <w:tcBorders>
              <w:top w:val="nil"/>
              <w:left w:val="nil"/>
              <w:bottom w:val="nil"/>
              <w:right w:val="nil"/>
            </w:tcBorders>
          </w:tcPr>
          <w:p w:rsidR="002556BF" w:rsidRPr="00701945" w:rsidRDefault="002556BF" w:rsidP="00D66029">
            <w:pPr>
              <w:jc w:val="center"/>
            </w:pPr>
          </w:p>
        </w:tc>
        <w:tc>
          <w:tcPr>
            <w:tcW w:w="1482" w:type="dxa"/>
            <w:tcBorders>
              <w:top w:val="nil"/>
              <w:left w:val="nil"/>
              <w:bottom w:val="nil"/>
              <w:right w:val="nil"/>
            </w:tcBorders>
          </w:tcPr>
          <w:p w:rsidR="002556BF" w:rsidRPr="004515FB" w:rsidRDefault="002556BF" w:rsidP="00D66029">
            <w:pPr>
              <w:jc w:val="center"/>
            </w:pPr>
          </w:p>
        </w:tc>
        <w:tc>
          <w:tcPr>
            <w:tcW w:w="3205" w:type="dxa"/>
            <w:tcBorders>
              <w:top w:val="nil"/>
              <w:left w:val="nil"/>
              <w:bottom w:val="nil"/>
              <w:right w:val="nil"/>
            </w:tcBorders>
          </w:tcPr>
          <w:p w:rsidR="002556BF" w:rsidRPr="00701945" w:rsidRDefault="002556BF" w:rsidP="00D66029"/>
        </w:tc>
      </w:tr>
      <w:tr w:rsidR="002556BF" w:rsidRPr="00701945" w:rsidTr="00D66029">
        <w:trPr>
          <w:cantSplit/>
          <w:trHeight w:val="726"/>
        </w:trPr>
        <w:tc>
          <w:tcPr>
            <w:tcW w:w="3198" w:type="dxa"/>
            <w:tcBorders>
              <w:top w:val="nil"/>
              <w:left w:val="nil"/>
              <w:bottom w:val="nil"/>
              <w:right w:val="nil"/>
            </w:tcBorders>
          </w:tcPr>
          <w:p w:rsidR="002556BF" w:rsidRPr="00701945" w:rsidRDefault="009C7B35" w:rsidP="00D66029">
            <w:pPr>
              <w:jc w:val="both"/>
            </w:pPr>
            <w:r>
              <w:rPr>
                <w:bCs/>
              </w:rPr>
              <w:t>Steven R. Sim</w:t>
            </w:r>
          </w:p>
        </w:tc>
        <w:tc>
          <w:tcPr>
            <w:tcW w:w="1680" w:type="dxa"/>
            <w:tcBorders>
              <w:top w:val="nil"/>
              <w:left w:val="nil"/>
              <w:bottom w:val="nil"/>
              <w:right w:val="nil"/>
            </w:tcBorders>
          </w:tcPr>
          <w:p w:rsidR="002556BF" w:rsidRPr="00701945" w:rsidRDefault="009C7B35" w:rsidP="00D66029">
            <w:pPr>
              <w:jc w:val="center"/>
            </w:pPr>
            <w:r>
              <w:t>FPL</w:t>
            </w:r>
          </w:p>
        </w:tc>
        <w:tc>
          <w:tcPr>
            <w:tcW w:w="1482" w:type="dxa"/>
            <w:tcBorders>
              <w:top w:val="nil"/>
              <w:left w:val="nil"/>
              <w:bottom w:val="nil"/>
              <w:right w:val="nil"/>
            </w:tcBorders>
          </w:tcPr>
          <w:p w:rsidR="002556BF" w:rsidRPr="004515FB" w:rsidRDefault="009C7B35" w:rsidP="00D66029">
            <w:pPr>
              <w:jc w:val="center"/>
            </w:pPr>
            <w:r>
              <w:t>SRS</w:t>
            </w:r>
            <w:r w:rsidR="002556BF">
              <w:t>-1</w:t>
            </w:r>
          </w:p>
        </w:tc>
        <w:tc>
          <w:tcPr>
            <w:tcW w:w="3205" w:type="dxa"/>
            <w:tcBorders>
              <w:top w:val="nil"/>
              <w:left w:val="nil"/>
              <w:bottom w:val="nil"/>
              <w:right w:val="nil"/>
            </w:tcBorders>
          </w:tcPr>
          <w:p w:rsidR="009C7B35" w:rsidRPr="009C7B35" w:rsidRDefault="009C7B35" w:rsidP="009C7B35">
            <w:pPr>
              <w:rPr>
                <w:sz w:val="20"/>
                <w:szCs w:val="20"/>
                <w:vertAlign w:val="subscript"/>
              </w:rPr>
            </w:pPr>
            <w:r w:rsidRPr="009C7B35">
              <w:t>2017 Projection of Environmental Compliance Costs for CO</w:t>
            </w:r>
            <w:r w:rsidRPr="009C7B35">
              <w:rPr>
                <w:sz w:val="20"/>
                <w:szCs w:val="20"/>
                <w:vertAlign w:val="subscript"/>
              </w:rPr>
              <w:t>2</w:t>
            </w:r>
          </w:p>
          <w:p w:rsidR="002556BF" w:rsidRPr="00701945" w:rsidRDefault="002556BF" w:rsidP="00D66029"/>
        </w:tc>
      </w:tr>
      <w:tr w:rsidR="002556BF" w:rsidRPr="00701945" w:rsidTr="00D66029">
        <w:trPr>
          <w:cantSplit/>
          <w:trHeight w:val="353"/>
        </w:trPr>
        <w:tc>
          <w:tcPr>
            <w:tcW w:w="3198" w:type="dxa"/>
            <w:tcBorders>
              <w:top w:val="nil"/>
              <w:left w:val="nil"/>
              <w:bottom w:val="nil"/>
              <w:right w:val="nil"/>
            </w:tcBorders>
          </w:tcPr>
          <w:p w:rsidR="002556BF" w:rsidRPr="00701945" w:rsidRDefault="002556BF" w:rsidP="00AE369B">
            <w:pPr>
              <w:jc w:val="both"/>
            </w:pPr>
          </w:p>
        </w:tc>
        <w:tc>
          <w:tcPr>
            <w:tcW w:w="1680" w:type="dxa"/>
            <w:tcBorders>
              <w:top w:val="nil"/>
              <w:left w:val="nil"/>
              <w:bottom w:val="nil"/>
              <w:right w:val="nil"/>
            </w:tcBorders>
          </w:tcPr>
          <w:p w:rsidR="002556BF" w:rsidRPr="00701945" w:rsidRDefault="009C7B35" w:rsidP="00D66029">
            <w:pPr>
              <w:jc w:val="center"/>
            </w:pPr>
            <w:r>
              <w:t>FPL</w:t>
            </w:r>
          </w:p>
        </w:tc>
        <w:tc>
          <w:tcPr>
            <w:tcW w:w="1482" w:type="dxa"/>
            <w:tcBorders>
              <w:top w:val="nil"/>
              <w:left w:val="nil"/>
              <w:bottom w:val="nil"/>
              <w:right w:val="nil"/>
            </w:tcBorders>
          </w:tcPr>
          <w:p w:rsidR="002556BF" w:rsidRPr="004515FB" w:rsidRDefault="009C7B35" w:rsidP="00D66029">
            <w:pPr>
              <w:jc w:val="center"/>
            </w:pPr>
            <w:r>
              <w:t>SRS-2</w:t>
            </w:r>
          </w:p>
        </w:tc>
        <w:tc>
          <w:tcPr>
            <w:tcW w:w="3205" w:type="dxa"/>
            <w:tcBorders>
              <w:top w:val="nil"/>
              <w:left w:val="nil"/>
              <w:bottom w:val="nil"/>
              <w:right w:val="nil"/>
            </w:tcBorders>
          </w:tcPr>
          <w:p w:rsidR="002556BF" w:rsidRPr="00701945" w:rsidRDefault="009C7B35" w:rsidP="00D66029">
            <w:r>
              <w:t>2017 Projection of FPL’s Resource Needs Utilizing FPL’s Two Reserve Margin Criteria</w:t>
            </w:r>
          </w:p>
        </w:tc>
      </w:tr>
      <w:tr w:rsidR="002556BF" w:rsidRPr="00701945" w:rsidTr="00D66029">
        <w:trPr>
          <w:cantSplit/>
          <w:trHeight w:val="373"/>
        </w:trPr>
        <w:tc>
          <w:tcPr>
            <w:tcW w:w="3198" w:type="dxa"/>
            <w:tcBorders>
              <w:top w:val="nil"/>
              <w:left w:val="nil"/>
              <w:bottom w:val="nil"/>
              <w:right w:val="nil"/>
            </w:tcBorders>
          </w:tcPr>
          <w:p w:rsidR="002556BF" w:rsidRPr="00701945" w:rsidRDefault="002556BF" w:rsidP="00D66029">
            <w:pPr>
              <w:jc w:val="both"/>
            </w:pP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SRS-3</w:t>
            </w:r>
          </w:p>
        </w:tc>
        <w:tc>
          <w:tcPr>
            <w:tcW w:w="3205" w:type="dxa"/>
            <w:tcBorders>
              <w:top w:val="nil"/>
              <w:left w:val="nil"/>
              <w:bottom w:val="nil"/>
              <w:right w:val="nil"/>
            </w:tcBorders>
          </w:tcPr>
          <w:p w:rsidR="002556BF" w:rsidRPr="00701945" w:rsidRDefault="006A48B9" w:rsidP="00D66029">
            <w:r>
              <w:t>The Three Resource Plans Analyzed in 2017</w:t>
            </w:r>
          </w:p>
        </w:tc>
      </w:tr>
      <w:tr w:rsidR="002556BF" w:rsidRPr="00701945" w:rsidTr="00D66029">
        <w:trPr>
          <w:cantSplit/>
          <w:trHeight w:val="353"/>
        </w:trPr>
        <w:tc>
          <w:tcPr>
            <w:tcW w:w="3198" w:type="dxa"/>
            <w:tcBorders>
              <w:top w:val="nil"/>
              <w:left w:val="nil"/>
              <w:bottom w:val="nil"/>
              <w:right w:val="nil"/>
            </w:tcBorders>
          </w:tcPr>
          <w:p w:rsidR="002556BF" w:rsidRPr="00701945" w:rsidRDefault="002556BF" w:rsidP="00D66029">
            <w:pPr>
              <w:jc w:val="both"/>
            </w:pP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SRS-4</w:t>
            </w:r>
          </w:p>
        </w:tc>
        <w:tc>
          <w:tcPr>
            <w:tcW w:w="3205" w:type="dxa"/>
            <w:tcBorders>
              <w:top w:val="nil"/>
              <w:left w:val="nil"/>
              <w:bottom w:val="nil"/>
              <w:right w:val="nil"/>
            </w:tcBorders>
          </w:tcPr>
          <w:p w:rsidR="002556BF" w:rsidRPr="00701945" w:rsidRDefault="006A48B9" w:rsidP="00D66029">
            <w:r>
              <w:t>The Economic Results for the Three Resource Plans Analyzed in 2017</w:t>
            </w:r>
          </w:p>
        </w:tc>
      </w:tr>
      <w:tr w:rsidR="002556BF" w:rsidRPr="00701945" w:rsidTr="00D66029">
        <w:trPr>
          <w:cantSplit/>
          <w:trHeight w:val="353"/>
        </w:trPr>
        <w:tc>
          <w:tcPr>
            <w:tcW w:w="3198" w:type="dxa"/>
            <w:tcBorders>
              <w:top w:val="nil"/>
              <w:left w:val="nil"/>
              <w:bottom w:val="nil"/>
              <w:right w:val="nil"/>
            </w:tcBorders>
          </w:tcPr>
          <w:p w:rsidR="002556BF" w:rsidRPr="00701945" w:rsidRDefault="002556BF" w:rsidP="00D66029">
            <w:pPr>
              <w:jc w:val="both"/>
            </w:pP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SRS-5</w:t>
            </w:r>
          </w:p>
        </w:tc>
        <w:tc>
          <w:tcPr>
            <w:tcW w:w="3205" w:type="dxa"/>
            <w:tcBorders>
              <w:top w:val="nil"/>
              <w:left w:val="nil"/>
              <w:bottom w:val="nil"/>
              <w:right w:val="nil"/>
            </w:tcBorders>
          </w:tcPr>
          <w:p w:rsidR="006A48B9" w:rsidRPr="006A48B9" w:rsidRDefault="006A48B9" w:rsidP="006A48B9">
            <w:r w:rsidRPr="006A48B9">
              <w:t>Incorrect and/or Misleading Statements Made in the</w:t>
            </w:r>
          </w:p>
          <w:p w:rsidR="002556BF" w:rsidRPr="00701945" w:rsidRDefault="006A48B9" w:rsidP="006A48B9">
            <w:r w:rsidRPr="006A48B9">
              <w:t>Testimony of Sierra Club Witness Dr. Hausman</w:t>
            </w:r>
          </w:p>
        </w:tc>
      </w:tr>
      <w:tr w:rsidR="002556BF" w:rsidRPr="00701945" w:rsidTr="00D66029">
        <w:trPr>
          <w:cantSplit/>
          <w:trHeight w:val="373"/>
        </w:trPr>
        <w:tc>
          <w:tcPr>
            <w:tcW w:w="3198" w:type="dxa"/>
            <w:tcBorders>
              <w:top w:val="nil"/>
              <w:left w:val="nil"/>
              <w:bottom w:val="nil"/>
              <w:right w:val="nil"/>
            </w:tcBorders>
          </w:tcPr>
          <w:p w:rsidR="002556BF" w:rsidRPr="00701945" w:rsidRDefault="002556BF" w:rsidP="00D66029">
            <w:pPr>
              <w:jc w:val="both"/>
            </w:pP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SRS-6</w:t>
            </w:r>
          </w:p>
        </w:tc>
        <w:tc>
          <w:tcPr>
            <w:tcW w:w="3205" w:type="dxa"/>
            <w:tcBorders>
              <w:top w:val="nil"/>
              <w:left w:val="nil"/>
              <w:bottom w:val="nil"/>
              <w:right w:val="nil"/>
            </w:tcBorders>
          </w:tcPr>
          <w:p w:rsidR="006A48B9" w:rsidRPr="006A48B9" w:rsidRDefault="006A48B9" w:rsidP="006A48B9">
            <w:r w:rsidRPr="006A48B9">
              <w:t>Commission Proceedings Approving or Applying</w:t>
            </w:r>
          </w:p>
          <w:p w:rsidR="002556BF" w:rsidRPr="00701945" w:rsidRDefault="006A48B9" w:rsidP="006A48B9">
            <w:r w:rsidRPr="006A48B9">
              <w:t>20% Reserve Margin</w:t>
            </w:r>
          </w:p>
        </w:tc>
      </w:tr>
      <w:tr w:rsidR="002556BF" w:rsidRPr="00701945" w:rsidTr="00D66029">
        <w:trPr>
          <w:cantSplit/>
          <w:trHeight w:val="353"/>
        </w:trPr>
        <w:tc>
          <w:tcPr>
            <w:tcW w:w="3198" w:type="dxa"/>
            <w:tcBorders>
              <w:top w:val="nil"/>
              <w:left w:val="nil"/>
              <w:bottom w:val="nil"/>
              <w:right w:val="nil"/>
            </w:tcBorders>
          </w:tcPr>
          <w:p w:rsidR="002556BF" w:rsidRPr="00701945" w:rsidRDefault="002556BF" w:rsidP="00D66029">
            <w:pPr>
              <w:jc w:val="both"/>
            </w:pP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SRS-7</w:t>
            </w:r>
          </w:p>
        </w:tc>
        <w:tc>
          <w:tcPr>
            <w:tcW w:w="3205" w:type="dxa"/>
            <w:tcBorders>
              <w:top w:val="nil"/>
              <w:left w:val="nil"/>
              <w:bottom w:val="nil"/>
              <w:right w:val="nil"/>
            </w:tcBorders>
          </w:tcPr>
          <w:p w:rsidR="006A48B9" w:rsidRPr="006A48B9" w:rsidRDefault="006A48B9" w:rsidP="006A48B9">
            <w:r w:rsidRPr="006A48B9">
              <w:t>Comparison of FPL System NOx Emissions for</w:t>
            </w:r>
          </w:p>
          <w:p w:rsidR="002556BF" w:rsidRPr="00701945" w:rsidRDefault="006A48B9" w:rsidP="006A48B9">
            <w:r w:rsidRPr="006A48B9">
              <w:t>Resource Plans 2 and 3</w:t>
            </w:r>
          </w:p>
        </w:tc>
      </w:tr>
      <w:tr w:rsidR="002556BF" w:rsidRPr="00701945" w:rsidTr="00D66029">
        <w:trPr>
          <w:cantSplit/>
          <w:trHeight w:val="373"/>
        </w:trPr>
        <w:tc>
          <w:tcPr>
            <w:tcW w:w="3198" w:type="dxa"/>
            <w:tcBorders>
              <w:top w:val="nil"/>
              <w:left w:val="nil"/>
              <w:bottom w:val="nil"/>
              <w:right w:val="nil"/>
            </w:tcBorders>
          </w:tcPr>
          <w:p w:rsidR="002556BF" w:rsidRPr="00701945" w:rsidRDefault="002556BF" w:rsidP="00D66029">
            <w:pPr>
              <w:jc w:val="both"/>
            </w:pP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SRS-8</w:t>
            </w:r>
          </w:p>
        </w:tc>
        <w:tc>
          <w:tcPr>
            <w:tcW w:w="3205" w:type="dxa"/>
            <w:tcBorders>
              <w:top w:val="nil"/>
              <w:left w:val="nil"/>
              <w:bottom w:val="nil"/>
              <w:right w:val="nil"/>
            </w:tcBorders>
          </w:tcPr>
          <w:p w:rsidR="006A48B9" w:rsidRPr="006A48B9" w:rsidRDefault="006A48B9" w:rsidP="006A48B9">
            <w:r w:rsidRPr="006A48B9">
              <w:t>Comparison of Major Drivers in DSM Cost-</w:t>
            </w:r>
          </w:p>
          <w:p w:rsidR="006A48B9" w:rsidRPr="006A48B9" w:rsidRDefault="006A48B9" w:rsidP="006A48B9">
            <w:r w:rsidRPr="006A48B9">
              <w:t>Effectiveness: 2014 DSM Goals Docket Inputs and</w:t>
            </w:r>
          </w:p>
          <w:p w:rsidR="002556BF" w:rsidRPr="00701945" w:rsidRDefault="006A48B9" w:rsidP="006A48B9">
            <w:r w:rsidRPr="006A48B9">
              <w:t>Forecasts versus 2017 Inputs and Forecasts</w:t>
            </w:r>
          </w:p>
        </w:tc>
      </w:tr>
      <w:tr w:rsidR="002556BF" w:rsidRPr="00701945" w:rsidTr="00D66029">
        <w:trPr>
          <w:cantSplit/>
          <w:trHeight w:val="353"/>
        </w:trPr>
        <w:tc>
          <w:tcPr>
            <w:tcW w:w="3198" w:type="dxa"/>
            <w:tcBorders>
              <w:top w:val="nil"/>
              <w:left w:val="nil"/>
              <w:bottom w:val="nil"/>
              <w:right w:val="nil"/>
            </w:tcBorders>
          </w:tcPr>
          <w:p w:rsidR="002556BF" w:rsidRPr="00701945" w:rsidRDefault="00AE369B" w:rsidP="00D66029">
            <w:pPr>
              <w:jc w:val="both"/>
            </w:pPr>
            <w:r>
              <w:rPr>
                <w:bCs/>
              </w:rPr>
              <w:lastRenderedPageBreak/>
              <w:t>Steven R. Sim (continued)</w:t>
            </w:r>
          </w:p>
        </w:tc>
        <w:tc>
          <w:tcPr>
            <w:tcW w:w="1680" w:type="dxa"/>
            <w:tcBorders>
              <w:top w:val="nil"/>
              <w:left w:val="nil"/>
              <w:bottom w:val="nil"/>
              <w:right w:val="nil"/>
            </w:tcBorders>
          </w:tcPr>
          <w:p w:rsidR="002556BF" w:rsidRPr="00701945" w:rsidRDefault="006A48B9" w:rsidP="00D66029">
            <w:pPr>
              <w:jc w:val="center"/>
            </w:pPr>
            <w:r>
              <w:t>FPL</w:t>
            </w:r>
          </w:p>
        </w:tc>
        <w:tc>
          <w:tcPr>
            <w:tcW w:w="1482" w:type="dxa"/>
            <w:tcBorders>
              <w:top w:val="nil"/>
              <w:left w:val="nil"/>
              <w:bottom w:val="nil"/>
              <w:right w:val="nil"/>
            </w:tcBorders>
          </w:tcPr>
          <w:p w:rsidR="002556BF" w:rsidRPr="004515FB" w:rsidRDefault="006A48B9" w:rsidP="00D66029">
            <w:pPr>
              <w:jc w:val="center"/>
            </w:pPr>
            <w:r>
              <w:t>SRS-9</w:t>
            </w:r>
          </w:p>
        </w:tc>
        <w:tc>
          <w:tcPr>
            <w:tcW w:w="3205" w:type="dxa"/>
            <w:tcBorders>
              <w:top w:val="nil"/>
              <w:left w:val="nil"/>
              <w:bottom w:val="nil"/>
              <w:right w:val="nil"/>
            </w:tcBorders>
          </w:tcPr>
          <w:p w:rsidR="006A48B9" w:rsidRPr="006A48B9" w:rsidRDefault="006A48B9" w:rsidP="006A48B9">
            <w:r w:rsidRPr="006A48B9">
              <w:t>Excerpt from Prior FPL Testimony in Docket No.</w:t>
            </w:r>
          </w:p>
          <w:p w:rsidR="006A48B9" w:rsidRPr="006A48B9" w:rsidRDefault="006A48B9" w:rsidP="006A48B9">
            <w:r w:rsidRPr="006A48B9">
              <w:t>20080407-EG Regarding the Flaws in Using a</w:t>
            </w:r>
          </w:p>
          <w:p w:rsidR="002556BF" w:rsidRPr="00701945" w:rsidRDefault="006A48B9" w:rsidP="006A48B9">
            <w:r w:rsidRPr="006A48B9">
              <w:t>Levelized Cost of Electricity Approach</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6A48B9" w:rsidP="00D66029">
            <w:pPr>
              <w:jc w:val="center"/>
            </w:pPr>
            <w:r>
              <w:t>SRS-10</w:t>
            </w:r>
          </w:p>
        </w:tc>
        <w:tc>
          <w:tcPr>
            <w:tcW w:w="3205" w:type="dxa"/>
            <w:tcBorders>
              <w:top w:val="nil"/>
              <w:left w:val="nil"/>
              <w:bottom w:val="nil"/>
              <w:right w:val="nil"/>
            </w:tcBorders>
          </w:tcPr>
          <w:p w:rsidR="006A48B9" w:rsidRPr="006A48B9" w:rsidRDefault="006A48B9" w:rsidP="006A48B9">
            <w:r w:rsidRPr="006A48B9">
              <w:t>FPL Fossil Fuel Generation Fleet Performance</w:t>
            </w:r>
          </w:p>
          <w:p w:rsidR="006A48B9" w:rsidRPr="006A48B9" w:rsidRDefault="006A48B9" w:rsidP="006A48B9">
            <w:r w:rsidRPr="006A48B9">
              <w:t>Improvements (1990-2016)</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r>
              <w:rPr>
                <w:bCs/>
              </w:rPr>
              <w:t>Richard Feldman</w:t>
            </w: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6A48B9" w:rsidP="00D66029">
            <w:pPr>
              <w:jc w:val="center"/>
            </w:pPr>
            <w:r>
              <w:t>RF-1</w:t>
            </w:r>
          </w:p>
        </w:tc>
        <w:tc>
          <w:tcPr>
            <w:tcW w:w="3205" w:type="dxa"/>
            <w:tcBorders>
              <w:top w:val="nil"/>
              <w:left w:val="nil"/>
              <w:bottom w:val="nil"/>
              <w:right w:val="nil"/>
            </w:tcBorders>
          </w:tcPr>
          <w:p w:rsidR="006A48B9" w:rsidRPr="006A48B9" w:rsidRDefault="006A48B9" w:rsidP="006A48B9">
            <w:r>
              <w:t>Total Average Customers</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6A48B9" w:rsidP="00D66029">
            <w:pPr>
              <w:jc w:val="center"/>
            </w:pPr>
            <w:r>
              <w:t>RF-2</w:t>
            </w:r>
          </w:p>
        </w:tc>
        <w:tc>
          <w:tcPr>
            <w:tcW w:w="3205" w:type="dxa"/>
            <w:tcBorders>
              <w:top w:val="nil"/>
              <w:left w:val="nil"/>
              <w:bottom w:val="nil"/>
              <w:right w:val="nil"/>
            </w:tcBorders>
          </w:tcPr>
          <w:p w:rsidR="006A48B9" w:rsidRPr="006A48B9" w:rsidRDefault="006A48B9" w:rsidP="006A48B9">
            <w:r>
              <w:t>Summer Peak Load (MW)</w:t>
            </w:r>
          </w:p>
        </w:tc>
      </w:tr>
      <w:tr w:rsidR="006A48B9" w:rsidRPr="00701945" w:rsidTr="00D66029">
        <w:trPr>
          <w:cantSplit/>
          <w:trHeight w:val="353"/>
        </w:trPr>
        <w:tc>
          <w:tcPr>
            <w:tcW w:w="3198" w:type="dxa"/>
            <w:tcBorders>
              <w:top w:val="nil"/>
              <w:left w:val="nil"/>
              <w:bottom w:val="nil"/>
              <w:right w:val="nil"/>
            </w:tcBorders>
          </w:tcPr>
          <w:p w:rsidR="006A48B9" w:rsidRDefault="006A48B9" w:rsidP="00AE369B">
            <w:pPr>
              <w:jc w:val="both"/>
              <w:rPr>
                <w:bCs/>
              </w:rPr>
            </w:pP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6A48B9" w:rsidP="00D66029">
            <w:pPr>
              <w:jc w:val="center"/>
            </w:pPr>
            <w:r>
              <w:t>RF-3</w:t>
            </w:r>
          </w:p>
        </w:tc>
        <w:tc>
          <w:tcPr>
            <w:tcW w:w="3205" w:type="dxa"/>
            <w:tcBorders>
              <w:top w:val="nil"/>
              <w:left w:val="nil"/>
              <w:bottom w:val="nil"/>
              <w:right w:val="nil"/>
            </w:tcBorders>
          </w:tcPr>
          <w:p w:rsidR="006A48B9" w:rsidRPr="006A48B9" w:rsidRDefault="006A48B9" w:rsidP="006A48B9">
            <w:r>
              <w:t>Calendar Net Energy for Load (GWh)</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r>
              <w:rPr>
                <w:bCs/>
              </w:rPr>
              <w:t>Jacquelyn K. Kingston</w:t>
            </w: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6A48B9" w:rsidP="00D66029">
            <w:pPr>
              <w:jc w:val="center"/>
            </w:pPr>
            <w:r>
              <w:t>JKK-1</w:t>
            </w:r>
          </w:p>
        </w:tc>
        <w:tc>
          <w:tcPr>
            <w:tcW w:w="3205" w:type="dxa"/>
            <w:tcBorders>
              <w:top w:val="nil"/>
              <w:left w:val="nil"/>
              <w:bottom w:val="nil"/>
              <w:right w:val="nil"/>
            </w:tcBorders>
          </w:tcPr>
          <w:p w:rsidR="006A48B9" w:rsidRPr="006A48B9" w:rsidRDefault="006A48B9" w:rsidP="006A48B9">
            <w:r>
              <w:t>Typical 2x1 Combined Cycle Unit Schematic</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6A48B9" w:rsidP="00D66029">
            <w:pPr>
              <w:jc w:val="center"/>
            </w:pPr>
            <w:r>
              <w:t>JKK-2</w:t>
            </w:r>
          </w:p>
        </w:tc>
        <w:tc>
          <w:tcPr>
            <w:tcW w:w="3205" w:type="dxa"/>
            <w:tcBorders>
              <w:top w:val="nil"/>
              <w:left w:val="nil"/>
              <w:bottom w:val="nil"/>
              <w:right w:val="nil"/>
            </w:tcBorders>
          </w:tcPr>
          <w:p w:rsidR="006A48B9" w:rsidRPr="006A48B9" w:rsidRDefault="00F17C21" w:rsidP="006A48B9">
            <w:r>
              <w:t>FPL Combined Cycle Power Plants</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6A48B9" w:rsidP="00D66029">
            <w:pPr>
              <w:jc w:val="center"/>
            </w:pPr>
            <w:r>
              <w:t>FPL</w:t>
            </w:r>
          </w:p>
        </w:tc>
        <w:tc>
          <w:tcPr>
            <w:tcW w:w="1482" w:type="dxa"/>
            <w:tcBorders>
              <w:top w:val="nil"/>
              <w:left w:val="nil"/>
              <w:bottom w:val="nil"/>
              <w:right w:val="nil"/>
            </w:tcBorders>
          </w:tcPr>
          <w:p w:rsidR="006A48B9" w:rsidRDefault="00F17C21" w:rsidP="00D66029">
            <w:pPr>
              <w:jc w:val="center"/>
            </w:pPr>
            <w:r>
              <w:t>JKK-3</w:t>
            </w:r>
          </w:p>
        </w:tc>
        <w:tc>
          <w:tcPr>
            <w:tcW w:w="3205" w:type="dxa"/>
            <w:tcBorders>
              <w:top w:val="nil"/>
              <w:left w:val="nil"/>
              <w:bottom w:val="nil"/>
              <w:right w:val="nil"/>
            </w:tcBorders>
          </w:tcPr>
          <w:p w:rsidR="006A48B9" w:rsidRPr="006A48B9" w:rsidRDefault="00F17C21" w:rsidP="006A48B9">
            <w:r>
              <w:t>History of FPL Combined Cycle Capital Construction Costs</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JKK-4</w:t>
            </w:r>
          </w:p>
        </w:tc>
        <w:tc>
          <w:tcPr>
            <w:tcW w:w="3205" w:type="dxa"/>
            <w:tcBorders>
              <w:top w:val="nil"/>
              <w:left w:val="nil"/>
              <w:bottom w:val="nil"/>
              <w:right w:val="nil"/>
            </w:tcBorders>
          </w:tcPr>
          <w:p w:rsidR="006A48B9" w:rsidRPr="006A48B9" w:rsidRDefault="00F17C21" w:rsidP="006A48B9">
            <w:r>
              <w:t>DBEC Unit 7 Site Regional Map</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JKK-5</w:t>
            </w:r>
          </w:p>
        </w:tc>
        <w:tc>
          <w:tcPr>
            <w:tcW w:w="3205" w:type="dxa"/>
            <w:tcBorders>
              <w:top w:val="nil"/>
              <w:left w:val="nil"/>
              <w:bottom w:val="nil"/>
              <w:right w:val="nil"/>
            </w:tcBorders>
          </w:tcPr>
          <w:p w:rsidR="006A48B9" w:rsidRPr="006A48B9" w:rsidRDefault="00F17C21" w:rsidP="006A48B9">
            <w:r>
              <w:t>DBEC Unit 7 Site Property Delineation</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JKK-6</w:t>
            </w:r>
          </w:p>
        </w:tc>
        <w:tc>
          <w:tcPr>
            <w:tcW w:w="3205" w:type="dxa"/>
            <w:tcBorders>
              <w:top w:val="nil"/>
              <w:left w:val="nil"/>
              <w:bottom w:val="nil"/>
              <w:right w:val="nil"/>
            </w:tcBorders>
          </w:tcPr>
          <w:p w:rsidR="006A48B9" w:rsidRPr="006A48B9" w:rsidRDefault="00F17C21" w:rsidP="006A48B9">
            <w:r>
              <w:t>Rendering of Existing FPL Power Plant Site</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JKK-7</w:t>
            </w:r>
          </w:p>
        </w:tc>
        <w:tc>
          <w:tcPr>
            <w:tcW w:w="3205" w:type="dxa"/>
            <w:tcBorders>
              <w:top w:val="nil"/>
              <w:left w:val="nil"/>
              <w:bottom w:val="nil"/>
              <w:right w:val="nil"/>
            </w:tcBorders>
          </w:tcPr>
          <w:p w:rsidR="006A48B9" w:rsidRPr="006A48B9" w:rsidRDefault="00F17C21" w:rsidP="006A48B9">
            <w:r>
              <w:t>DBEC Unit 7 Proposed Site Plan Rendering</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JKK-8</w:t>
            </w:r>
          </w:p>
        </w:tc>
        <w:tc>
          <w:tcPr>
            <w:tcW w:w="3205" w:type="dxa"/>
            <w:tcBorders>
              <w:top w:val="nil"/>
              <w:left w:val="nil"/>
              <w:bottom w:val="nil"/>
              <w:right w:val="nil"/>
            </w:tcBorders>
          </w:tcPr>
          <w:p w:rsidR="006A48B9" w:rsidRPr="006A48B9" w:rsidRDefault="00F17C21" w:rsidP="006A48B9">
            <w:r>
              <w:t>DBEC Unit 7 Plant Specifications</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JKK-9</w:t>
            </w:r>
          </w:p>
        </w:tc>
        <w:tc>
          <w:tcPr>
            <w:tcW w:w="3205" w:type="dxa"/>
            <w:tcBorders>
              <w:top w:val="nil"/>
              <w:left w:val="nil"/>
              <w:bottom w:val="nil"/>
              <w:right w:val="nil"/>
            </w:tcBorders>
          </w:tcPr>
          <w:p w:rsidR="006A48B9" w:rsidRPr="006A48B9" w:rsidRDefault="00F17C21" w:rsidP="006A48B9">
            <w:r>
              <w:t>Emissions Comparison of Lauderdale Units 4 &amp; 5 versus Dania Beach Unit 7</w:t>
            </w:r>
          </w:p>
        </w:tc>
      </w:tr>
      <w:tr w:rsidR="006A48B9" w:rsidRPr="00701945" w:rsidTr="00D66029">
        <w:trPr>
          <w:cantSplit/>
          <w:trHeight w:val="353"/>
        </w:trPr>
        <w:tc>
          <w:tcPr>
            <w:tcW w:w="3198" w:type="dxa"/>
            <w:tcBorders>
              <w:top w:val="nil"/>
              <w:left w:val="nil"/>
              <w:bottom w:val="nil"/>
              <w:right w:val="nil"/>
            </w:tcBorders>
          </w:tcPr>
          <w:p w:rsidR="00AE369B" w:rsidRDefault="00AE369B" w:rsidP="00D66029">
            <w:pPr>
              <w:jc w:val="both"/>
              <w:rPr>
                <w:bCs/>
              </w:rPr>
            </w:pPr>
            <w:r>
              <w:rPr>
                <w:bCs/>
              </w:rPr>
              <w:lastRenderedPageBreak/>
              <w:t>Jacquelyn K. Kingston</w:t>
            </w:r>
          </w:p>
          <w:p w:rsidR="006A48B9" w:rsidRDefault="00AE369B" w:rsidP="00D66029">
            <w:pPr>
              <w:jc w:val="both"/>
              <w:rPr>
                <w:bCs/>
              </w:rPr>
            </w:pPr>
            <w:r>
              <w:rPr>
                <w:bCs/>
              </w:rPr>
              <w:t>(continued)</w:t>
            </w: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JKK-10</w:t>
            </w:r>
          </w:p>
        </w:tc>
        <w:tc>
          <w:tcPr>
            <w:tcW w:w="3205" w:type="dxa"/>
            <w:tcBorders>
              <w:top w:val="nil"/>
              <w:left w:val="nil"/>
              <w:bottom w:val="nil"/>
              <w:right w:val="nil"/>
            </w:tcBorders>
          </w:tcPr>
          <w:p w:rsidR="006A48B9" w:rsidRPr="006A48B9" w:rsidRDefault="00F17C21" w:rsidP="006A48B9">
            <w:r>
              <w:t>DBEC Unit 7 Expected Construction Schedule</w:t>
            </w:r>
          </w:p>
        </w:tc>
      </w:tr>
      <w:tr w:rsidR="006A48B9" w:rsidRPr="00701945" w:rsidTr="00D66029">
        <w:trPr>
          <w:cantSplit/>
          <w:trHeight w:val="353"/>
        </w:trPr>
        <w:tc>
          <w:tcPr>
            <w:tcW w:w="3198" w:type="dxa"/>
            <w:tcBorders>
              <w:top w:val="nil"/>
              <w:left w:val="nil"/>
              <w:bottom w:val="nil"/>
              <w:right w:val="nil"/>
            </w:tcBorders>
          </w:tcPr>
          <w:p w:rsidR="006A48B9" w:rsidRDefault="006A48B9" w:rsidP="00D66029">
            <w:pPr>
              <w:jc w:val="both"/>
              <w:rPr>
                <w:bCs/>
              </w:rPr>
            </w:pP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t>JKK-11</w:t>
            </w:r>
          </w:p>
        </w:tc>
        <w:tc>
          <w:tcPr>
            <w:tcW w:w="3205" w:type="dxa"/>
            <w:tcBorders>
              <w:top w:val="nil"/>
              <w:left w:val="nil"/>
              <w:bottom w:val="nil"/>
              <w:right w:val="nil"/>
            </w:tcBorders>
          </w:tcPr>
          <w:p w:rsidR="006A48B9" w:rsidRPr="006A48B9" w:rsidRDefault="00F17C21" w:rsidP="006A48B9">
            <w:r>
              <w:t>DBEC Unit 7 Plant Construction Cost Components</w:t>
            </w:r>
          </w:p>
        </w:tc>
      </w:tr>
      <w:tr w:rsidR="006A48B9" w:rsidRPr="00701945" w:rsidTr="00D66029">
        <w:trPr>
          <w:cantSplit/>
          <w:trHeight w:val="353"/>
        </w:trPr>
        <w:tc>
          <w:tcPr>
            <w:tcW w:w="3198" w:type="dxa"/>
            <w:tcBorders>
              <w:top w:val="nil"/>
              <w:left w:val="nil"/>
              <w:bottom w:val="nil"/>
              <w:right w:val="nil"/>
            </w:tcBorders>
          </w:tcPr>
          <w:p w:rsidR="006A48B9" w:rsidRDefault="00F17C21" w:rsidP="00D66029">
            <w:pPr>
              <w:jc w:val="both"/>
              <w:rPr>
                <w:bCs/>
              </w:rPr>
            </w:pPr>
            <w:r w:rsidRPr="00DF41D0">
              <w:rPr>
                <w:bCs/>
              </w:rPr>
              <w:t>Heather C. Stubblefield</w:t>
            </w:r>
          </w:p>
        </w:tc>
        <w:tc>
          <w:tcPr>
            <w:tcW w:w="1680" w:type="dxa"/>
            <w:tcBorders>
              <w:top w:val="nil"/>
              <w:left w:val="nil"/>
              <w:bottom w:val="nil"/>
              <w:right w:val="nil"/>
            </w:tcBorders>
          </w:tcPr>
          <w:p w:rsidR="006A48B9" w:rsidRDefault="00F17C21" w:rsidP="00D66029">
            <w:pPr>
              <w:jc w:val="center"/>
            </w:pPr>
            <w:r>
              <w:t>FPL</w:t>
            </w:r>
          </w:p>
        </w:tc>
        <w:tc>
          <w:tcPr>
            <w:tcW w:w="1482" w:type="dxa"/>
            <w:tcBorders>
              <w:top w:val="nil"/>
              <w:left w:val="nil"/>
              <w:bottom w:val="nil"/>
              <w:right w:val="nil"/>
            </w:tcBorders>
          </w:tcPr>
          <w:p w:rsidR="006A48B9" w:rsidRDefault="00F17C21" w:rsidP="00D66029">
            <w:pPr>
              <w:jc w:val="center"/>
            </w:pPr>
            <w:r>
              <w:rPr>
                <w:bCs/>
              </w:rPr>
              <w:t>HCS</w:t>
            </w:r>
            <w:r w:rsidRPr="00A51FF9">
              <w:rPr>
                <w:bCs/>
              </w:rPr>
              <w:t>-1</w:t>
            </w:r>
          </w:p>
        </w:tc>
        <w:tc>
          <w:tcPr>
            <w:tcW w:w="3205" w:type="dxa"/>
            <w:tcBorders>
              <w:top w:val="nil"/>
              <w:left w:val="nil"/>
              <w:bottom w:val="nil"/>
              <w:right w:val="nil"/>
            </w:tcBorders>
          </w:tcPr>
          <w:p w:rsidR="006A48B9" w:rsidRPr="006A48B9" w:rsidRDefault="00F17C21" w:rsidP="006A48B9">
            <w:r>
              <w:t>FPL’s November 7, 2016 Fuel Price Forecast</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r w:rsidRPr="006740F2">
              <w:rPr>
                <w:bCs/>
              </w:rPr>
              <w:t>Dr. Ezra Hausman</w:t>
            </w: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EDH-1</w:t>
            </w:r>
          </w:p>
        </w:tc>
        <w:tc>
          <w:tcPr>
            <w:tcW w:w="3205" w:type="dxa"/>
            <w:tcBorders>
              <w:top w:val="nil"/>
              <w:left w:val="nil"/>
              <w:bottom w:val="nil"/>
              <w:right w:val="nil"/>
            </w:tcBorders>
          </w:tcPr>
          <w:p w:rsidR="006740F2" w:rsidRPr="006740F2" w:rsidRDefault="006740F2" w:rsidP="006740F2">
            <w:r w:rsidRPr="00602A09">
              <w:t>Resume of Ezra D. Hausman, Ph.D.</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EDH-2</w:t>
            </w:r>
          </w:p>
        </w:tc>
        <w:tc>
          <w:tcPr>
            <w:tcW w:w="3205" w:type="dxa"/>
            <w:tcBorders>
              <w:top w:val="nil"/>
              <w:left w:val="nil"/>
              <w:bottom w:val="nil"/>
              <w:right w:val="nil"/>
            </w:tcBorders>
          </w:tcPr>
          <w:p w:rsidR="006740F2" w:rsidRPr="006740F2" w:rsidRDefault="006740F2" w:rsidP="006740F2">
            <w:r w:rsidRPr="006740F2">
              <w:t>Gavin Bade &amp; Peter Maloney, Utility Dive, Updated: Tucson Electric Signs Solar + Storage PPA for ‘Less Than 4.5¢/kWh' (May 2017), available at https://www.utilitydive.com/news/updated-tucson-electric-signs-solar-storage-ppa-for-less-than-45kwh/443293/</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EDH-3</w:t>
            </w:r>
          </w:p>
        </w:tc>
        <w:tc>
          <w:tcPr>
            <w:tcW w:w="3205" w:type="dxa"/>
            <w:tcBorders>
              <w:top w:val="nil"/>
              <w:left w:val="nil"/>
              <w:bottom w:val="nil"/>
              <w:right w:val="nil"/>
            </w:tcBorders>
          </w:tcPr>
          <w:p w:rsidR="006740F2" w:rsidRPr="006740F2" w:rsidRDefault="006740F2" w:rsidP="006740F2">
            <w:r w:rsidRPr="006740F2">
              <w:t>JEA, Agenda Item Summary: Universal Solar Expansion and Land Acquisition (Oct. 2017)</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EDH-4</w:t>
            </w:r>
          </w:p>
        </w:tc>
        <w:tc>
          <w:tcPr>
            <w:tcW w:w="3205" w:type="dxa"/>
            <w:tcBorders>
              <w:top w:val="nil"/>
              <w:left w:val="nil"/>
              <w:bottom w:val="nil"/>
              <w:right w:val="nil"/>
            </w:tcBorders>
          </w:tcPr>
          <w:p w:rsidR="006740F2" w:rsidRPr="006740F2" w:rsidRDefault="006740F2" w:rsidP="006740F2">
            <w:r w:rsidRPr="00602A09">
              <w:t xml:space="preserve">Pierce Schuessler, Solar Energy Industries Association, </w:t>
            </w:r>
            <w:r w:rsidRPr="006740F2">
              <w:t>Comment on Proposed 2017 Second Revised and Restated Stipulation and Settlement Agreement in Docket No. 20170183</w:t>
            </w:r>
            <w:r w:rsidRPr="00602A09">
              <w:t xml:space="preserve"> (Oct. 2017)</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EDH-5</w:t>
            </w:r>
          </w:p>
        </w:tc>
        <w:tc>
          <w:tcPr>
            <w:tcW w:w="3205" w:type="dxa"/>
            <w:tcBorders>
              <w:top w:val="nil"/>
              <w:left w:val="nil"/>
              <w:bottom w:val="nil"/>
              <w:right w:val="nil"/>
            </w:tcBorders>
          </w:tcPr>
          <w:p w:rsidR="006740F2" w:rsidRPr="006740F2" w:rsidRDefault="006740F2" w:rsidP="006740F2">
            <w:r w:rsidRPr="00602A09">
              <w:t xml:space="preserve">EnerNOC, Inc., </w:t>
            </w:r>
            <w:r w:rsidRPr="006740F2">
              <w:t>ISO-New England Awards EnerNOC Landmark Contract to Improve Grid Reliability in Southwest Connecticut</w:t>
            </w:r>
            <w:r w:rsidRPr="00602A09">
              <w:t xml:space="preserve"> (Apr. 2004)</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8773C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EDH-6</w:t>
            </w:r>
          </w:p>
        </w:tc>
        <w:tc>
          <w:tcPr>
            <w:tcW w:w="3205" w:type="dxa"/>
            <w:tcBorders>
              <w:top w:val="nil"/>
              <w:left w:val="nil"/>
              <w:bottom w:val="nil"/>
              <w:right w:val="nil"/>
            </w:tcBorders>
          </w:tcPr>
          <w:p w:rsidR="006740F2" w:rsidRPr="006740F2" w:rsidRDefault="006740F2" w:rsidP="006740F2">
            <w:r w:rsidRPr="00602A09">
              <w:t xml:space="preserve">Moody’s, </w:t>
            </w:r>
            <w:r w:rsidRPr="006740F2">
              <w:t xml:space="preserve">Global Renewables Focus </w:t>
            </w:r>
            <w:r w:rsidRPr="00602A09">
              <w:t>(Sep. 2017)</w:t>
            </w:r>
          </w:p>
        </w:tc>
      </w:tr>
      <w:tr w:rsidR="006740F2" w:rsidTr="006740F2">
        <w:trPr>
          <w:cantSplit/>
          <w:trHeight w:val="353"/>
        </w:trPr>
        <w:tc>
          <w:tcPr>
            <w:tcW w:w="3198" w:type="dxa"/>
            <w:tcBorders>
              <w:top w:val="nil"/>
              <w:left w:val="nil"/>
              <w:bottom w:val="nil"/>
              <w:right w:val="nil"/>
            </w:tcBorders>
          </w:tcPr>
          <w:p w:rsidR="006740F2" w:rsidRPr="006740F2" w:rsidRDefault="00AE369B" w:rsidP="006740F2">
            <w:pPr>
              <w:jc w:val="both"/>
              <w:rPr>
                <w:bCs/>
              </w:rPr>
            </w:pPr>
            <w:r w:rsidRPr="006740F2">
              <w:rPr>
                <w:bCs/>
              </w:rPr>
              <w:lastRenderedPageBreak/>
              <w:t>Dr. Ezra Hausman</w:t>
            </w:r>
            <w:r>
              <w:rPr>
                <w:bCs/>
              </w:rPr>
              <w:t xml:space="preserve"> (continued)</w:t>
            </w: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EDH-7</w:t>
            </w:r>
          </w:p>
        </w:tc>
        <w:tc>
          <w:tcPr>
            <w:tcW w:w="3205" w:type="dxa"/>
            <w:tcBorders>
              <w:top w:val="nil"/>
              <w:left w:val="nil"/>
              <w:bottom w:val="nil"/>
              <w:right w:val="nil"/>
            </w:tcBorders>
          </w:tcPr>
          <w:p w:rsidR="006740F2" w:rsidRPr="006740F2" w:rsidRDefault="006740F2" w:rsidP="006740F2">
            <w:r w:rsidRPr="00602A09">
              <w:t xml:space="preserve">Mark Bolinger et al., Lawrence Berkeley National Laboratory, </w:t>
            </w:r>
            <w:r w:rsidRPr="006740F2">
              <w:t>Utility-Scale Solar 2016: An Empirical Analysis of Project Cost, Performance, and Pricing Trends in the United States</w:t>
            </w:r>
            <w:r w:rsidRPr="00602A09">
              <w:t xml:space="preserve"> (Sep. 2017), </w:t>
            </w:r>
            <w:r w:rsidRPr="006740F2">
              <w:t>available at</w:t>
            </w:r>
            <w:r w:rsidRPr="00602A09">
              <w:t xml:space="preserve"> https://emp.lbl.gov/sites/default/files/utility-scale_solar_2016_report.pdf</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EDH-8</w:t>
            </w:r>
          </w:p>
        </w:tc>
        <w:tc>
          <w:tcPr>
            <w:tcW w:w="3205" w:type="dxa"/>
            <w:tcBorders>
              <w:top w:val="nil"/>
              <w:left w:val="nil"/>
              <w:bottom w:val="nil"/>
              <w:right w:val="nil"/>
            </w:tcBorders>
          </w:tcPr>
          <w:p w:rsidR="006740F2" w:rsidRPr="006740F2" w:rsidRDefault="006740F2" w:rsidP="006740F2">
            <w:r w:rsidRPr="00602A09">
              <w:t xml:space="preserve">Chris Neme &amp; Jim Grevatt, Energy Futures Group, </w:t>
            </w:r>
            <w:r w:rsidRPr="006740F2">
              <w:t>Energy Efficiency as a T&amp;D Resource: Lessons from Recent U.S. Efforts to Use Geographically Targeted Efficiency Programs to Defer T&amp;D Investments</w:t>
            </w:r>
            <w:r w:rsidRPr="00602A09">
              <w:t xml:space="preserve"> (Jan. 2015), </w:t>
            </w:r>
            <w:r w:rsidRPr="006740F2">
              <w:t>available at</w:t>
            </w:r>
            <w:r w:rsidRPr="00602A09">
              <w:t xml:space="preserve"> http://www.neep.org/sites/default/files/products/EMV-Forum-Geo-Targeting_Final_2015-01-20.pdf</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EDH-9</w:t>
            </w:r>
          </w:p>
        </w:tc>
        <w:tc>
          <w:tcPr>
            <w:tcW w:w="3205" w:type="dxa"/>
            <w:tcBorders>
              <w:top w:val="nil"/>
              <w:left w:val="nil"/>
              <w:bottom w:val="nil"/>
              <w:right w:val="nil"/>
            </w:tcBorders>
          </w:tcPr>
          <w:p w:rsidR="006740F2" w:rsidRPr="006740F2" w:rsidRDefault="006740F2" w:rsidP="006740F2">
            <w:r w:rsidRPr="00602A09">
              <w:t xml:space="preserve">Rachel Wilson &amp; Bruce Biewald, Synapse Energy Economics, </w:t>
            </w:r>
            <w:r w:rsidRPr="006740F2">
              <w:t>Best Practices in Electric Utility Integrated Resource Planning: Examples of State Regulations and Recent Utility Plans</w:t>
            </w:r>
            <w:r w:rsidRPr="00602A09">
              <w:t xml:space="preserve"> (June 2013), </w:t>
            </w:r>
            <w:r w:rsidRPr="006740F2">
              <w:t xml:space="preserve">available at </w:t>
            </w:r>
            <w:r w:rsidRPr="00602A09">
              <w:t>http://www.raponline.org/wp-content/uploads/2016/05/rapsynapse-wilsonbiewald-bestpracticesinirp-2013-jun-21.pdf</w:t>
            </w:r>
          </w:p>
        </w:tc>
      </w:tr>
      <w:tr w:rsidR="006740F2" w:rsidTr="006740F2">
        <w:trPr>
          <w:cantSplit/>
          <w:trHeight w:val="353"/>
        </w:trPr>
        <w:tc>
          <w:tcPr>
            <w:tcW w:w="3198" w:type="dxa"/>
            <w:tcBorders>
              <w:top w:val="nil"/>
              <w:left w:val="nil"/>
              <w:bottom w:val="nil"/>
              <w:right w:val="nil"/>
            </w:tcBorders>
          </w:tcPr>
          <w:p w:rsidR="006740F2" w:rsidRPr="006740F2" w:rsidRDefault="00AE369B" w:rsidP="006740F2">
            <w:pPr>
              <w:jc w:val="both"/>
              <w:rPr>
                <w:bCs/>
              </w:rPr>
            </w:pPr>
            <w:r w:rsidRPr="006740F2">
              <w:rPr>
                <w:bCs/>
              </w:rPr>
              <w:lastRenderedPageBreak/>
              <w:t>Dr. Ezra Hausman</w:t>
            </w:r>
            <w:r>
              <w:rPr>
                <w:bCs/>
              </w:rPr>
              <w:t xml:space="preserve"> (continued)</w:t>
            </w: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EDH-10</w:t>
            </w:r>
          </w:p>
        </w:tc>
        <w:tc>
          <w:tcPr>
            <w:tcW w:w="3205" w:type="dxa"/>
            <w:tcBorders>
              <w:top w:val="nil"/>
              <w:left w:val="nil"/>
              <w:bottom w:val="nil"/>
              <w:right w:val="nil"/>
            </w:tcBorders>
          </w:tcPr>
          <w:p w:rsidR="006740F2" w:rsidRPr="006740F2" w:rsidRDefault="006740F2" w:rsidP="006740F2">
            <w:r w:rsidRPr="00602A09">
              <w:t xml:space="preserve">Navigant Consulting, Inc., for Eastern Interconnection States’ Planning Council and National Association of Regulatory Utility Commissioners, </w:t>
            </w:r>
            <w:r w:rsidRPr="006740F2">
              <w:t>Transmission Planning White Paper</w:t>
            </w:r>
            <w:r w:rsidRPr="00602A09">
              <w:t xml:space="preserve"> (2014), available at https://pubs.naruc.org/pub.cfm?id=53A151F2-2354-D714-519F-53E0785A966A</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EDH-11</w:t>
            </w:r>
          </w:p>
        </w:tc>
        <w:tc>
          <w:tcPr>
            <w:tcW w:w="3205" w:type="dxa"/>
            <w:tcBorders>
              <w:top w:val="nil"/>
              <w:left w:val="nil"/>
              <w:bottom w:val="nil"/>
              <w:right w:val="nil"/>
            </w:tcBorders>
          </w:tcPr>
          <w:p w:rsidR="006740F2" w:rsidRPr="006740F2" w:rsidRDefault="006740F2" w:rsidP="006740F2">
            <w:r w:rsidRPr="00602A09">
              <w:t xml:space="preserve">New England Power Pool, </w:t>
            </w:r>
            <w:r w:rsidRPr="006740F2">
              <w:t>Order on Rehearing and Accepting Compliance Filing</w:t>
            </w:r>
            <w:r w:rsidRPr="00602A09">
              <w:t xml:space="preserve">, FERC Docket Nos. ER04-335-001 and ER04-335-002 (May 2004), </w:t>
            </w:r>
            <w:r w:rsidRPr="006740F2">
              <w:t>available at</w:t>
            </w:r>
            <w:r w:rsidRPr="00602A09">
              <w:t xml:space="preserve"> https://www.ferc.gov/eventcalendar/Files/20040528153559-er04-335-001.pdf</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EDH-12</w:t>
            </w:r>
          </w:p>
        </w:tc>
        <w:tc>
          <w:tcPr>
            <w:tcW w:w="3205" w:type="dxa"/>
            <w:tcBorders>
              <w:top w:val="nil"/>
              <w:left w:val="nil"/>
              <w:bottom w:val="nil"/>
              <w:right w:val="nil"/>
            </w:tcBorders>
          </w:tcPr>
          <w:p w:rsidR="006740F2" w:rsidRPr="006740F2" w:rsidRDefault="006740F2" w:rsidP="006740F2">
            <w:r w:rsidRPr="00602A09">
              <w:t xml:space="preserve">PJM Interconnection, LLC, </w:t>
            </w:r>
            <w:r w:rsidRPr="006740F2">
              <w:t>Load Management Performance Report</w:t>
            </w:r>
            <w:r w:rsidRPr="00602A09">
              <w:t xml:space="preserve"> 2015/2016 (Aug. 2016), </w:t>
            </w:r>
            <w:r w:rsidRPr="006740F2">
              <w:t xml:space="preserve">available at </w:t>
            </w:r>
            <w:r w:rsidRPr="00602A09">
              <w:t>http://www.pjm.com/~/media/markets-ops/dsr/2015-2016-dsr-activity-report-20151221.ashx</w:t>
            </w:r>
          </w:p>
        </w:tc>
      </w:tr>
      <w:tr w:rsidR="006740F2" w:rsidTr="006740F2">
        <w:trPr>
          <w:cantSplit/>
          <w:trHeight w:val="353"/>
        </w:trPr>
        <w:tc>
          <w:tcPr>
            <w:tcW w:w="3198" w:type="dxa"/>
            <w:tcBorders>
              <w:top w:val="nil"/>
              <w:left w:val="nil"/>
              <w:bottom w:val="nil"/>
              <w:right w:val="nil"/>
            </w:tcBorders>
          </w:tcPr>
          <w:p w:rsidR="006740F2" w:rsidRPr="006740F2" w:rsidRDefault="006740F2" w:rsidP="006740F2">
            <w:pPr>
              <w:jc w:val="both"/>
              <w:rPr>
                <w:bCs/>
              </w:rPr>
            </w:pPr>
          </w:p>
        </w:tc>
        <w:tc>
          <w:tcPr>
            <w:tcW w:w="1680" w:type="dxa"/>
            <w:tcBorders>
              <w:top w:val="nil"/>
              <w:left w:val="nil"/>
              <w:bottom w:val="nil"/>
              <w:right w:val="nil"/>
            </w:tcBorders>
          </w:tcPr>
          <w:p w:rsidR="006740F2" w:rsidRPr="00602A09" w:rsidRDefault="006740F2" w:rsidP="006740F2">
            <w:pPr>
              <w:jc w:val="center"/>
            </w:pPr>
            <w:r>
              <w:t>Sierra Club</w:t>
            </w:r>
          </w:p>
        </w:tc>
        <w:tc>
          <w:tcPr>
            <w:tcW w:w="1482" w:type="dxa"/>
            <w:tcBorders>
              <w:top w:val="nil"/>
              <w:left w:val="nil"/>
              <w:bottom w:val="nil"/>
              <w:right w:val="nil"/>
            </w:tcBorders>
          </w:tcPr>
          <w:p w:rsidR="006740F2" w:rsidRPr="006740F2" w:rsidRDefault="006740F2" w:rsidP="006740F2">
            <w:pPr>
              <w:jc w:val="center"/>
              <w:rPr>
                <w:bCs/>
              </w:rPr>
            </w:pPr>
            <w:r w:rsidRPr="006740F2">
              <w:rPr>
                <w:bCs/>
              </w:rPr>
              <w:t>EDH-13</w:t>
            </w:r>
          </w:p>
        </w:tc>
        <w:tc>
          <w:tcPr>
            <w:tcW w:w="3205" w:type="dxa"/>
            <w:tcBorders>
              <w:top w:val="nil"/>
              <w:left w:val="nil"/>
              <w:bottom w:val="nil"/>
              <w:right w:val="nil"/>
            </w:tcBorders>
          </w:tcPr>
          <w:p w:rsidR="006740F2" w:rsidRPr="006740F2" w:rsidRDefault="006740F2" w:rsidP="006740F2">
            <w:r w:rsidRPr="00602A09">
              <w:t xml:space="preserve">PJM Interconnection, LLC, </w:t>
            </w:r>
            <w:r w:rsidRPr="006740F2">
              <w:t>RPM 101: Overview of Reliability Pricing Model</w:t>
            </w:r>
            <w:r w:rsidRPr="00602A09">
              <w:t xml:space="preserve"> (Apr. 2017), </w:t>
            </w:r>
            <w:r w:rsidRPr="006740F2">
              <w:t>available at</w:t>
            </w:r>
            <w:r w:rsidRPr="00602A09">
              <w:t xml:space="preserve"> </w:t>
            </w:r>
            <w:hyperlink r:id="rId9" w:history="1">
              <w:r w:rsidR="00187CE3" w:rsidRPr="004D1F6F">
                <w:rPr>
                  <w:rStyle w:val="Hyperlink"/>
                </w:rPr>
                <w:t>http://pjm.com/~/media/training/nerc-certifications/markets-exam-materials/rpm/rpm-101-overview-of-reliability-pricing-model.ashx</w:t>
              </w:r>
            </w:hyperlink>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r w:rsidRPr="006740F2">
              <w:rPr>
                <w:bCs/>
              </w:rPr>
              <w:lastRenderedPageBreak/>
              <w:t>Dr. Ezra Hausman</w:t>
            </w:r>
            <w:r>
              <w:rPr>
                <w:bCs/>
              </w:rPr>
              <w:t xml:space="preserve"> (continued)</w:t>
            </w: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Pr="006740F2" w:rsidRDefault="00187CE3" w:rsidP="006740F2">
            <w:pPr>
              <w:jc w:val="center"/>
              <w:rPr>
                <w:bCs/>
              </w:rPr>
            </w:pPr>
            <w:r>
              <w:rPr>
                <w:bCs/>
              </w:rPr>
              <w:t>EDH-14</w:t>
            </w:r>
          </w:p>
        </w:tc>
        <w:tc>
          <w:tcPr>
            <w:tcW w:w="3205" w:type="dxa"/>
            <w:tcBorders>
              <w:top w:val="nil"/>
              <w:left w:val="nil"/>
              <w:bottom w:val="nil"/>
              <w:right w:val="nil"/>
            </w:tcBorders>
          </w:tcPr>
          <w:p w:rsidR="00187CE3" w:rsidRPr="00602A09" w:rsidRDefault="00187CE3" w:rsidP="006740F2">
            <w:r w:rsidRPr="00F96782">
              <w:t>Excerpts of Deposition of Dr. Steven R. Sim on November 29, 2017</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EDH-15</w:t>
            </w:r>
          </w:p>
        </w:tc>
        <w:tc>
          <w:tcPr>
            <w:tcW w:w="3205" w:type="dxa"/>
            <w:tcBorders>
              <w:top w:val="nil"/>
              <w:left w:val="nil"/>
              <w:bottom w:val="nil"/>
              <w:right w:val="nil"/>
            </w:tcBorders>
          </w:tcPr>
          <w:p w:rsidR="00187CE3" w:rsidRPr="00F96782" w:rsidRDefault="00187CE3" w:rsidP="006740F2">
            <w:r w:rsidRPr="00F96782">
              <w:t>Excerpts of Deposition of Dr. Steven R. Sim on December 4, 2017</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EDH-16</w:t>
            </w:r>
          </w:p>
        </w:tc>
        <w:tc>
          <w:tcPr>
            <w:tcW w:w="3205" w:type="dxa"/>
            <w:tcBorders>
              <w:top w:val="nil"/>
              <w:left w:val="nil"/>
              <w:bottom w:val="nil"/>
              <w:right w:val="nil"/>
            </w:tcBorders>
          </w:tcPr>
          <w:p w:rsidR="00187CE3" w:rsidRPr="00F96782" w:rsidRDefault="00187CE3" w:rsidP="00F668BD">
            <w:pPr>
              <w:spacing w:line="0" w:lineRule="atLeast"/>
            </w:pPr>
            <w:r w:rsidRPr="00F96782">
              <w:rPr>
                <w:shd w:val="clear" w:color="auto" w:fill="FFFFFF"/>
              </w:rPr>
              <w:t xml:space="preserve">Florida Power &amp; Light Company, </w:t>
            </w:r>
            <w:r w:rsidRPr="00F96782">
              <w:rPr>
                <w:i/>
                <w:iCs/>
                <w:shd w:val="clear" w:color="auto" w:fill="FFFFFF"/>
              </w:rPr>
              <w:t>Response to Sierra Club Interrogatory Number 16 in Docket No. 20170225-EI</w:t>
            </w:r>
            <w:r w:rsidRPr="00F96782">
              <w:rPr>
                <w:shd w:val="clear" w:color="auto" w:fill="FFFFFF"/>
              </w:rPr>
              <w:t xml:space="preserve"> (Nov. 2017)</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EDH-17</w:t>
            </w:r>
          </w:p>
        </w:tc>
        <w:tc>
          <w:tcPr>
            <w:tcW w:w="3205" w:type="dxa"/>
            <w:tcBorders>
              <w:top w:val="nil"/>
              <w:left w:val="nil"/>
              <w:bottom w:val="nil"/>
              <w:right w:val="nil"/>
            </w:tcBorders>
          </w:tcPr>
          <w:p w:rsidR="00187CE3" w:rsidRPr="00F96782" w:rsidRDefault="00187CE3" w:rsidP="00F668BD">
            <w:pPr>
              <w:spacing w:line="0" w:lineRule="atLeast"/>
            </w:pPr>
            <w:r w:rsidRPr="00F96782">
              <w:rPr>
                <w:shd w:val="clear" w:color="auto" w:fill="FFFFFF"/>
              </w:rPr>
              <w:t xml:space="preserve">Florida Power &amp; Light Company, </w:t>
            </w:r>
            <w:r w:rsidRPr="00F96782">
              <w:rPr>
                <w:i/>
                <w:iCs/>
                <w:shd w:val="clear" w:color="auto" w:fill="FFFFFF"/>
              </w:rPr>
              <w:t>2016 Southeastern Florida Study: Results To-Date</w:t>
            </w:r>
            <w:r>
              <w:rPr>
                <w:shd w:val="clear" w:color="auto" w:fill="FFFFFF"/>
              </w:rPr>
              <w:t xml:space="preserve"> (Dec. 2016)</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EDH-18</w:t>
            </w:r>
          </w:p>
        </w:tc>
        <w:tc>
          <w:tcPr>
            <w:tcW w:w="3205" w:type="dxa"/>
            <w:tcBorders>
              <w:top w:val="nil"/>
              <w:left w:val="nil"/>
              <w:bottom w:val="nil"/>
              <w:right w:val="nil"/>
            </w:tcBorders>
          </w:tcPr>
          <w:p w:rsidR="00187CE3" w:rsidRPr="00F96782" w:rsidRDefault="00187CE3" w:rsidP="00F668BD">
            <w:pPr>
              <w:spacing w:line="0" w:lineRule="atLeast"/>
            </w:pPr>
            <w:r w:rsidRPr="00F96782">
              <w:rPr>
                <w:shd w:val="clear" w:color="auto" w:fill="FFFFFF"/>
              </w:rPr>
              <w:t xml:space="preserve">Florida Power &amp; Light Company, </w:t>
            </w:r>
            <w:r w:rsidRPr="00F96782">
              <w:rPr>
                <w:i/>
                <w:iCs/>
                <w:shd w:val="clear" w:color="auto" w:fill="FFFFFF"/>
              </w:rPr>
              <w:t>2016 SE Florida Study CPVRR Ranking of All Resource Plans</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EDH-19</w:t>
            </w:r>
          </w:p>
        </w:tc>
        <w:tc>
          <w:tcPr>
            <w:tcW w:w="3205" w:type="dxa"/>
            <w:tcBorders>
              <w:top w:val="nil"/>
              <w:left w:val="nil"/>
              <w:bottom w:val="nil"/>
              <w:right w:val="nil"/>
            </w:tcBorders>
          </w:tcPr>
          <w:p w:rsidR="00187CE3" w:rsidRDefault="00187CE3" w:rsidP="00F668BD">
            <w:pPr>
              <w:spacing w:line="0" w:lineRule="atLeast"/>
              <w:rPr>
                <w:sz w:val="22"/>
                <w:szCs w:val="22"/>
              </w:rPr>
            </w:pPr>
            <w:r>
              <w:rPr>
                <w:sz w:val="22"/>
                <w:szCs w:val="22"/>
              </w:rPr>
              <w:t>F</w:t>
            </w:r>
            <w:r w:rsidRPr="00A73251">
              <w:rPr>
                <w:sz w:val="22"/>
                <w:szCs w:val="22"/>
              </w:rPr>
              <w:t xml:space="preserve">lorida Power &amp; Light Company, </w:t>
            </w:r>
            <w:r w:rsidRPr="0034334D">
              <w:rPr>
                <w:i/>
                <w:sz w:val="22"/>
                <w:szCs w:val="22"/>
              </w:rPr>
              <w:t xml:space="preserve">2017 FCSS 3- DBEC - Plan 3 - Solar+Batt </w:t>
            </w:r>
            <w:r>
              <w:rPr>
                <w:i/>
                <w:sz w:val="22"/>
                <w:szCs w:val="22"/>
              </w:rPr>
              <w:t xml:space="preserve">- </w:t>
            </w:r>
            <w:r w:rsidRPr="0034334D">
              <w:rPr>
                <w:i/>
                <w:sz w:val="22"/>
                <w:szCs w:val="22"/>
              </w:rPr>
              <w:t>Worksheet</w:t>
            </w:r>
            <w:r>
              <w:rPr>
                <w:i/>
                <w:sz w:val="22"/>
                <w:szCs w:val="22"/>
              </w:rPr>
              <w:t xml:space="preserve"> “Summary”</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EDH-20</w:t>
            </w:r>
          </w:p>
        </w:tc>
        <w:tc>
          <w:tcPr>
            <w:tcW w:w="3205" w:type="dxa"/>
            <w:tcBorders>
              <w:top w:val="nil"/>
              <w:left w:val="nil"/>
              <w:bottom w:val="nil"/>
              <w:right w:val="nil"/>
            </w:tcBorders>
          </w:tcPr>
          <w:p w:rsidR="00187CE3" w:rsidRPr="00F96782" w:rsidRDefault="00187CE3" w:rsidP="00F668BD">
            <w:pPr>
              <w:spacing w:line="0" w:lineRule="atLeast"/>
            </w:pPr>
            <w:r>
              <w:rPr>
                <w:sz w:val="22"/>
                <w:szCs w:val="22"/>
              </w:rPr>
              <w:t>F</w:t>
            </w:r>
            <w:r w:rsidRPr="00A73251">
              <w:rPr>
                <w:sz w:val="22"/>
                <w:szCs w:val="22"/>
              </w:rPr>
              <w:t xml:space="preserve">lorida Power &amp; Light Company, </w:t>
            </w:r>
            <w:r w:rsidRPr="0034334D">
              <w:rPr>
                <w:i/>
                <w:sz w:val="22"/>
                <w:szCs w:val="22"/>
              </w:rPr>
              <w:t xml:space="preserve">2017 FCSS 3- DBEC - Plan 3 - Solar+Batt </w:t>
            </w:r>
            <w:r>
              <w:rPr>
                <w:i/>
                <w:sz w:val="22"/>
                <w:szCs w:val="22"/>
              </w:rPr>
              <w:t>-</w:t>
            </w:r>
            <w:r w:rsidRPr="0034334D">
              <w:rPr>
                <w:i/>
                <w:sz w:val="22"/>
                <w:szCs w:val="22"/>
              </w:rPr>
              <w:t>Worksheet “Gen”</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EDH-21</w:t>
            </w:r>
          </w:p>
        </w:tc>
        <w:tc>
          <w:tcPr>
            <w:tcW w:w="3205" w:type="dxa"/>
            <w:tcBorders>
              <w:top w:val="nil"/>
              <w:left w:val="nil"/>
              <w:bottom w:val="nil"/>
              <w:right w:val="nil"/>
            </w:tcBorders>
          </w:tcPr>
          <w:p w:rsidR="00187CE3" w:rsidRPr="00F96782" w:rsidRDefault="00187CE3" w:rsidP="00F668BD">
            <w:pPr>
              <w:spacing w:line="0" w:lineRule="atLeast"/>
            </w:pPr>
            <w:r>
              <w:t xml:space="preserve">Florida Power &amp; Light Company, </w:t>
            </w:r>
            <w:r w:rsidRPr="00DC0B59">
              <w:rPr>
                <w:i/>
              </w:rPr>
              <w:t xml:space="preserve">Solar Revenue Requirement for Plan 3 - Worksheet </w:t>
            </w:r>
            <w:r>
              <w:rPr>
                <w:i/>
              </w:rPr>
              <w:t>“Cap Rev Req for FCSS”</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EDH-22</w:t>
            </w:r>
          </w:p>
        </w:tc>
        <w:tc>
          <w:tcPr>
            <w:tcW w:w="3205" w:type="dxa"/>
            <w:tcBorders>
              <w:top w:val="nil"/>
              <w:left w:val="nil"/>
              <w:bottom w:val="nil"/>
              <w:right w:val="nil"/>
            </w:tcBorders>
          </w:tcPr>
          <w:p w:rsidR="00187CE3" w:rsidRPr="00F96782" w:rsidRDefault="00187CE3" w:rsidP="00F668BD">
            <w:pPr>
              <w:spacing w:line="0" w:lineRule="atLeast"/>
            </w:pPr>
            <w:r w:rsidRPr="00F96782">
              <w:t xml:space="preserve">Excerpts of Florida Power &amp; Light Company, </w:t>
            </w:r>
            <w:r w:rsidRPr="00DC0B59">
              <w:rPr>
                <w:i/>
              </w:rPr>
              <w:t>Ten Year Power Plant Site Plan 2017-2026</w:t>
            </w:r>
            <w:r w:rsidRPr="00F96782">
              <w:t xml:space="preserve"> (Apr. 2017)</w:t>
            </w:r>
          </w:p>
        </w:tc>
      </w:tr>
      <w:tr w:rsidR="00187CE3" w:rsidTr="006740F2">
        <w:trPr>
          <w:cantSplit/>
          <w:trHeight w:val="353"/>
        </w:trPr>
        <w:tc>
          <w:tcPr>
            <w:tcW w:w="3198" w:type="dxa"/>
            <w:tcBorders>
              <w:top w:val="nil"/>
              <w:left w:val="nil"/>
              <w:bottom w:val="nil"/>
              <w:right w:val="nil"/>
            </w:tcBorders>
          </w:tcPr>
          <w:p w:rsidR="00187CE3" w:rsidRPr="006740F2" w:rsidRDefault="00187CE3" w:rsidP="006740F2">
            <w:pPr>
              <w:jc w:val="both"/>
              <w:rPr>
                <w:bCs/>
              </w:rPr>
            </w:pPr>
          </w:p>
        </w:tc>
        <w:tc>
          <w:tcPr>
            <w:tcW w:w="1680" w:type="dxa"/>
            <w:tcBorders>
              <w:top w:val="nil"/>
              <w:left w:val="nil"/>
              <w:bottom w:val="nil"/>
              <w:right w:val="nil"/>
            </w:tcBorders>
          </w:tcPr>
          <w:p w:rsidR="00187CE3" w:rsidRDefault="00187CE3" w:rsidP="006740F2">
            <w:pPr>
              <w:jc w:val="center"/>
            </w:pPr>
            <w:r>
              <w:t>Sierra Club</w:t>
            </w:r>
          </w:p>
        </w:tc>
        <w:tc>
          <w:tcPr>
            <w:tcW w:w="1482" w:type="dxa"/>
            <w:tcBorders>
              <w:top w:val="nil"/>
              <w:left w:val="nil"/>
              <w:bottom w:val="nil"/>
              <w:right w:val="nil"/>
            </w:tcBorders>
          </w:tcPr>
          <w:p w:rsidR="00187CE3" w:rsidRDefault="00187CE3" w:rsidP="006740F2">
            <w:pPr>
              <w:jc w:val="center"/>
              <w:rPr>
                <w:bCs/>
              </w:rPr>
            </w:pPr>
            <w:r>
              <w:rPr>
                <w:bCs/>
              </w:rPr>
              <w:t>EDH-23</w:t>
            </w:r>
          </w:p>
        </w:tc>
        <w:tc>
          <w:tcPr>
            <w:tcW w:w="3205" w:type="dxa"/>
            <w:tcBorders>
              <w:top w:val="nil"/>
              <w:left w:val="nil"/>
              <w:bottom w:val="nil"/>
              <w:right w:val="nil"/>
            </w:tcBorders>
          </w:tcPr>
          <w:p w:rsidR="00187CE3" w:rsidRPr="00F96782" w:rsidRDefault="00187CE3" w:rsidP="00F668BD">
            <w:pPr>
              <w:spacing w:line="0" w:lineRule="atLeast"/>
            </w:pPr>
            <w:r w:rsidRPr="00F96782">
              <w:t xml:space="preserve">Excerpts of Florida Public Service Commission, </w:t>
            </w:r>
            <w:r w:rsidRPr="00F96782">
              <w:rPr>
                <w:i/>
                <w:iCs/>
              </w:rPr>
              <w:t>Review of the 2017 Ten-Year Site Plans of Florida’s Electric Utilities</w:t>
            </w:r>
            <w:r w:rsidRPr="00F96782">
              <w:t xml:space="preserve"> (Nov. 2017), </w:t>
            </w:r>
            <w:r w:rsidRPr="00F96782">
              <w:rPr>
                <w:i/>
                <w:iCs/>
              </w:rPr>
              <w:t>available at</w:t>
            </w:r>
            <w:r w:rsidRPr="00F96782">
              <w:t xml:space="preserve"> http://www.psc.state.fl.us/Files/PDF/Utilities/Electricgas/TenYearSitePlans/2017/Review.pdf</w:t>
            </w:r>
          </w:p>
        </w:tc>
      </w:tr>
    </w:tbl>
    <w:p w:rsidR="00187CE3" w:rsidRDefault="00187CE3"/>
    <w:p w:rsidR="002556BF" w:rsidRDefault="002556BF" w:rsidP="002556BF">
      <w:pPr>
        <w:jc w:val="both"/>
      </w:pPr>
      <w:r w:rsidRPr="00701945">
        <w:tab/>
        <w:t>Parties and Staff reserve the right to identify additional exhibits for the purpose of cross-examination.</w:t>
      </w:r>
    </w:p>
    <w:p w:rsidR="006C073F" w:rsidRDefault="006C073F" w:rsidP="002556BF">
      <w:pPr>
        <w:jc w:val="both"/>
      </w:pPr>
    </w:p>
    <w:p w:rsidR="006C073F" w:rsidRPr="00701945" w:rsidRDefault="006C073F" w:rsidP="002556BF">
      <w:pPr>
        <w:jc w:val="both"/>
      </w:pPr>
      <w:r>
        <w:tab/>
        <w:t xml:space="preserve">Staff intends to use demonstrative exhibits at hearing. </w:t>
      </w:r>
    </w:p>
    <w:p w:rsidR="002556BF" w:rsidRPr="00701945" w:rsidRDefault="002556BF" w:rsidP="002556BF">
      <w:pPr>
        <w:jc w:val="both"/>
      </w:pPr>
    </w:p>
    <w:p w:rsidR="002556BF" w:rsidRPr="00A32DC5" w:rsidRDefault="002556BF" w:rsidP="002556BF">
      <w:pPr>
        <w:jc w:val="both"/>
        <w:rPr>
          <w:b/>
        </w:rPr>
      </w:pPr>
      <w:r w:rsidRPr="00A32DC5">
        <w:rPr>
          <w:b/>
        </w:rPr>
        <w:t>X.</w:t>
      </w:r>
      <w:r w:rsidRPr="00A32DC5">
        <w:rPr>
          <w:b/>
        </w:rPr>
        <w:tab/>
      </w:r>
      <w:r w:rsidRPr="00A32DC5">
        <w:rPr>
          <w:b/>
          <w:u w:val="single"/>
        </w:rPr>
        <w:t>PROPOSED STIPULATIONS</w:t>
      </w:r>
    </w:p>
    <w:p w:rsidR="002556BF" w:rsidRDefault="002556BF" w:rsidP="002556BF">
      <w:pPr>
        <w:jc w:val="both"/>
      </w:pPr>
    </w:p>
    <w:p w:rsidR="002556BF" w:rsidRPr="0066552E" w:rsidRDefault="002556BF" w:rsidP="002556BF">
      <w:pPr>
        <w:ind w:firstLine="720"/>
        <w:jc w:val="both"/>
      </w:pPr>
      <w:r w:rsidRPr="0066552E">
        <w:t>There are no proposed stipulations at this time.</w:t>
      </w:r>
    </w:p>
    <w:p w:rsidR="002556BF" w:rsidRPr="0066552E" w:rsidRDefault="002556BF" w:rsidP="00617632">
      <w:pPr>
        <w:jc w:val="both"/>
        <w:rPr>
          <w:bCs/>
        </w:rPr>
      </w:pPr>
      <w:r w:rsidRPr="0066552E">
        <w:tab/>
      </w:r>
    </w:p>
    <w:p w:rsidR="002556BF" w:rsidRPr="0066552E" w:rsidRDefault="002556BF" w:rsidP="002556BF">
      <w:pPr>
        <w:jc w:val="both"/>
        <w:rPr>
          <w:b/>
        </w:rPr>
      </w:pPr>
      <w:r w:rsidRPr="0066552E">
        <w:rPr>
          <w:b/>
        </w:rPr>
        <w:t>XI.</w:t>
      </w:r>
      <w:r w:rsidRPr="0066552E">
        <w:rPr>
          <w:b/>
        </w:rPr>
        <w:tab/>
      </w:r>
      <w:r w:rsidRPr="0066552E">
        <w:rPr>
          <w:b/>
          <w:u w:val="single"/>
        </w:rPr>
        <w:t>PENDING MOTIONS</w:t>
      </w:r>
    </w:p>
    <w:p w:rsidR="002556BF" w:rsidRPr="0066552E" w:rsidRDefault="002556BF" w:rsidP="002556BF">
      <w:pPr>
        <w:jc w:val="both"/>
      </w:pPr>
    </w:p>
    <w:p w:rsidR="002556BF" w:rsidRPr="0066552E" w:rsidRDefault="006C073F" w:rsidP="002556BF">
      <w:pPr>
        <w:ind w:firstLine="720"/>
        <w:jc w:val="both"/>
      </w:pPr>
      <w:r>
        <w:t>Sierra Club has a pending Motion to Strike the Rebuttal Testimony of witness Hector J. Sanchez</w:t>
      </w:r>
      <w:r w:rsidR="002556BF" w:rsidRPr="0066552E">
        <w:t>.</w:t>
      </w:r>
      <w:r w:rsidR="008E0B1E">
        <w:t xml:space="preserve"> This motion will be addressed separately. </w:t>
      </w:r>
    </w:p>
    <w:p w:rsidR="002556BF" w:rsidRPr="0066552E" w:rsidRDefault="002556BF" w:rsidP="002556BF">
      <w:pPr>
        <w:jc w:val="both"/>
      </w:pPr>
    </w:p>
    <w:p w:rsidR="002556BF" w:rsidRPr="00A32DC5" w:rsidRDefault="002556BF" w:rsidP="002556BF">
      <w:pPr>
        <w:jc w:val="both"/>
        <w:rPr>
          <w:b/>
        </w:rPr>
      </w:pPr>
      <w:r w:rsidRPr="00A32DC5">
        <w:rPr>
          <w:b/>
        </w:rPr>
        <w:t>XII.</w:t>
      </w:r>
      <w:r w:rsidRPr="00A32DC5">
        <w:rPr>
          <w:b/>
        </w:rPr>
        <w:tab/>
      </w:r>
      <w:r w:rsidRPr="00A32DC5">
        <w:rPr>
          <w:b/>
          <w:u w:val="single"/>
        </w:rPr>
        <w:t>PENDING CONFIDENTIALITY MATTERS</w:t>
      </w:r>
    </w:p>
    <w:p w:rsidR="002556BF" w:rsidRDefault="002556BF" w:rsidP="002556BF">
      <w:pPr>
        <w:jc w:val="both"/>
      </w:pPr>
    </w:p>
    <w:p w:rsidR="00A522E5" w:rsidRPr="0066552E" w:rsidRDefault="00A522E5" w:rsidP="00A522E5">
      <w:pPr>
        <w:pStyle w:val="ListParagraph"/>
        <w:ind w:left="1440"/>
        <w:jc w:val="both"/>
      </w:pPr>
    </w:p>
    <w:p w:rsidR="007E6004" w:rsidRDefault="00A522E5" w:rsidP="00A522E5">
      <w:pPr>
        <w:pStyle w:val="ListParagraph"/>
        <w:numPr>
          <w:ilvl w:val="0"/>
          <w:numId w:val="2"/>
        </w:numPr>
        <w:tabs>
          <w:tab w:val="left" w:pos="720"/>
          <w:tab w:val="left" w:pos="1440"/>
        </w:tabs>
        <w:ind w:left="1440" w:hanging="720"/>
        <w:jc w:val="both"/>
      </w:pPr>
      <w:r>
        <w:t>Sierra Club</w:t>
      </w:r>
      <w:r w:rsidR="008539E9">
        <w:t>’s</w:t>
      </w:r>
      <w:r>
        <w:t xml:space="preserve"> request for confidential treatment </w:t>
      </w:r>
      <w:r w:rsidR="002D0BDD">
        <w:t xml:space="preserve"> </w:t>
      </w:r>
      <w:r>
        <w:t xml:space="preserve">of certain information </w:t>
      </w:r>
      <w:r w:rsidR="006200B4">
        <w:t xml:space="preserve">[DN 00098-2018] </w:t>
      </w:r>
      <w:r>
        <w:t>contained in documents provided to FPL</w:t>
      </w:r>
      <w:r w:rsidR="00364E60">
        <w:t xml:space="preserve">’S Second Request for PODs and Subpoena </w:t>
      </w:r>
      <w:r w:rsidR="002D0BDD">
        <w:t>D</w:t>
      </w:r>
      <w:r w:rsidR="00364E60">
        <w:t xml:space="preserve">uces </w:t>
      </w:r>
      <w:r w:rsidR="002D0BDD">
        <w:t>T</w:t>
      </w:r>
      <w:r w:rsidR="00364E60">
        <w:t xml:space="preserve">ecum of Dr. Ezra Hausman </w:t>
      </w:r>
      <w:r>
        <w:t>served on January 2, 2018</w:t>
      </w:r>
      <w:r w:rsidR="002D0BDD">
        <w:t xml:space="preserve"> [D</w:t>
      </w:r>
      <w:r w:rsidR="002D0BDD">
        <w:rPr>
          <w:sz w:val="22"/>
        </w:rPr>
        <w:t>N 00099-2018]</w:t>
      </w:r>
      <w:r>
        <w:t>.</w:t>
      </w:r>
    </w:p>
    <w:p w:rsidR="007E6004" w:rsidRDefault="007E6004" w:rsidP="007E6004">
      <w:pPr>
        <w:tabs>
          <w:tab w:val="left" w:pos="720"/>
          <w:tab w:val="left" w:pos="1440"/>
        </w:tabs>
        <w:jc w:val="both"/>
      </w:pPr>
    </w:p>
    <w:p w:rsidR="007E6004" w:rsidRPr="006200B4" w:rsidRDefault="007E6004" w:rsidP="001901A2">
      <w:pPr>
        <w:pStyle w:val="ListParagraph"/>
        <w:numPr>
          <w:ilvl w:val="0"/>
          <w:numId w:val="2"/>
        </w:numPr>
        <w:tabs>
          <w:tab w:val="left" w:pos="720"/>
          <w:tab w:val="left" w:pos="1440"/>
        </w:tabs>
        <w:ind w:left="1440" w:hanging="720"/>
        <w:jc w:val="both"/>
        <w:rPr>
          <w:b/>
        </w:rPr>
      </w:pPr>
      <w:r>
        <w:t xml:space="preserve">Florida Power &amp; Light Company’s request for confidential classification of information [DN </w:t>
      </w:r>
      <w:r w:rsidR="00495F7D">
        <w:t>0013</w:t>
      </w:r>
      <w:r w:rsidR="006200B4">
        <w:t>7</w:t>
      </w:r>
      <w:r w:rsidR="00495F7D">
        <w:t>-201</w:t>
      </w:r>
      <w:r w:rsidR="006200B4">
        <w:t>8</w:t>
      </w:r>
      <w:r>
        <w:t xml:space="preserve">] provided in response to Staff’s Third Request for Production of Documents (No. 16) dated </w:t>
      </w:r>
      <w:r w:rsidR="000F17D7">
        <w:t>December 22, 2017</w:t>
      </w:r>
      <w:r>
        <w:t xml:space="preserve"> </w:t>
      </w:r>
      <w:r w:rsidR="006200B4">
        <w:t>.</w:t>
      </w:r>
    </w:p>
    <w:p w:rsidR="006200B4" w:rsidRPr="006200B4" w:rsidRDefault="006200B4" w:rsidP="006200B4">
      <w:pPr>
        <w:pStyle w:val="ListParagraph"/>
        <w:tabs>
          <w:tab w:val="left" w:pos="720"/>
          <w:tab w:val="left" w:pos="1440"/>
        </w:tabs>
        <w:ind w:left="1440"/>
        <w:jc w:val="both"/>
        <w:rPr>
          <w:b/>
        </w:rPr>
      </w:pPr>
    </w:p>
    <w:p w:rsidR="006200B4" w:rsidRDefault="006200B4" w:rsidP="006200B4">
      <w:pPr>
        <w:pStyle w:val="ListParagraph"/>
        <w:tabs>
          <w:tab w:val="left" w:pos="720"/>
          <w:tab w:val="left" w:pos="1440"/>
        </w:tabs>
        <w:ind w:left="1440"/>
        <w:jc w:val="both"/>
        <w:rPr>
          <w:b/>
        </w:rPr>
      </w:pPr>
    </w:p>
    <w:p w:rsidR="002556BF" w:rsidRPr="00A32DC5" w:rsidRDefault="00A522E5" w:rsidP="006C073F">
      <w:pPr>
        <w:tabs>
          <w:tab w:val="left" w:pos="720"/>
        </w:tabs>
        <w:rPr>
          <w:b/>
        </w:rPr>
      </w:pPr>
      <w:r>
        <w:rPr>
          <w:b/>
        </w:rPr>
        <w:t>XIII.</w:t>
      </w:r>
      <w:r>
        <w:rPr>
          <w:b/>
        </w:rPr>
        <w:tab/>
      </w:r>
      <w:r w:rsidR="002556BF" w:rsidRPr="00A32DC5">
        <w:rPr>
          <w:b/>
          <w:u w:val="single"/>
        </w:rPr>
        <w:t>POST-HEARING PROCEDURES</w:t>
      </w:r>
    </w:p>
    <w:p w:rsidR="002556BF" w:rsidRPr="00701945" w:rsidRDefault="002556BF" w:rsidP="002556BF">
      <w:pPr>
        <w:jc w:val="both"/>
      </w:pPr>
    </w:p>
    <w:p w:rsidR="002556BF" w:rsidRPr="00701945" w:rsidRDefault="002556BF" w:rsidP="002556BF">
      <w:pPr>
        <w:jc w:val="both"/>
      </w:pPr>
      <w:r w:rsidRPr="00701945">
        <w:tab/>
      </w:r>
      <w:r>
        <w:t>If no bench decision is made, e</w:t>
      </w:r>
      <w:r w:rsidRPr="00701945">
        <w:t>ach party shall file a post-hearing statement of issues and positions.  A summary of</w:t>
      </w:r>
      <w:r>
        <w:t xml:space="preserve"> each position of no more than </w:t>
      </w:r>
      <w:r w:rsidR="006C073F">
        <w:t>75</w:t>
      </w:r>
      <w:r w:rsidRPr="00701945">
        <w:t xml:space="preserve"> words, set off with asterisks, shall be included in that statement.  If a party's position has not cha</w:t>
      </w:r>
      <w:r>
        <w:t xml:space="preserve">nged since the issuance of this </w:t>
      </w:r>
      <w:r>
        <w:lastRenderedPageBreak/>
        <w:t>Prehearing O</w:t>
      </w:r>
      <w:r w:rsidRPr="00701945">
        <w:t xml:space="preserve">rder, the post-hearing statement may simply restate the prehearing position; however, if the prehearing position is longer than </w:t>
      </w:r>
      <w:r w:rsidR="006C073F">
        <w:t>75</w:t>
      </w:r>
      <w:r w:rsidRPr="00701945">
        <w:t xml:space="preserve"> words, it must be reduced to no more than </w:t>
      </w:r>
      <w:r w:rsidR="006C073F">
        <w:t>75</w:t>
      </w:r>
      <w:r w:rsidRPr="00701945">
        <w:t xml:space="preserve"> words.  If a party fails to file a post-hearing statement, that party shall have waived all issues and may be dismissed from the proceeding.</w:t>
      </w:r>
    </w:p>
    <w:p w:rsidR="002556BF" w:rsidRPr="00701945" w:rsidRDefault="002556BF" w:rsidP="002556BF">
      <w:pPr>
        <w:jc w:val="both"/>
      </w:pPr>
    </w:p>
    <w:p w:rsidR="002556BF" w:rsidRPr="00701945" w:rsidRDefault="002556BF" w:rsidP="002556BF">
      <w:pPr>
        <w:jc w:val="both"/>
      </w:pPr>
      <w:r w:rsidRPr="00701945">
        <w:tab/>
        <w:t xml:space="preserve">Pursuant to Rule 28-106.215, </w:t>
      </w:r>
      <w:r>
        <w:t>F.A.C.</w:t>
      </w:r>
      <w:r w:rsidRPr="00701945">
        <w:t>, a party's</w:t>
      </w:r>
      <w:r w:rsidR="008773C2">
        <w:t xml:space="preserve"> brief,</w:t>
      </w:r>
      <w:r w:rsidRPr="00701945">
        <w:t xml:space="preserve"> proposed findings of fact and conclusions of law, if any, </w:t>
      </w:r>
      <w:r w:rsidR="008773C2">
        <w:t xml:space="preserve">and </w:t>
      </w:r>
      <w:r w:rsidRPr="00701945">
        <w:t xml:space="preserve">statement of issues and positions, shall together total no more than </w:t>
      </w:r>
      <w:r>
        <w:t>40</w:t>
      </w:r>
      <w:r w:rsidRPr="00701945">
        <w:t xml:space="preserve"> pages and shall be filed at the same time.</w:t>
      </w:r>
    </w:p>
    <w:p w:rsidR="002556BF" w:rsidRDefault="002556BF" w:rsidP="002556BF">
      <w:pPr>
        <w:jc w:val="both"/>
      </w:pPr>
    </w:p>
    <w:p w:rsidR="002556BF" w:rsidRPr="00A32DC5" w:rsidRDefault="002556BF" w:rsidP="002556BF">
      <w:pPr>
        <w:jc w:val="both"/>
        <w:rPr>
          <w:b/>
        </w:rPr>
      </w:pPr>
      <w:r w:rsidRPr="00A32DC5">
        <w:rPr>
          <w:b/>
        </w:rPr>
        <w:t>X</w:t>
      </w:r>
      <w:r w:rsidR="006C073F">
        <w:rPr>
          <w:b/>
        </w:rPr>
        <w:t>I</w:t>
      </w:r>
      <w:r w:rsidRPr="00A32DC5">
        <w:rPr>
          <w:b/>
        </w:rPr>
        <w:t>V.</w:t>
      </w:r>
      <w:r w:rsidRPr="00A32DC5">
        <w:rPr>
          <w:b/>
        </w:rPr>
        <w:tab/>
      </w:r>
      <w:r w:rsidRPr="00A32DC5">
        <w:rPr>
          <w:b/>
          <w:u w:val="single"/>
        </w:rPr>
        <w:t>RULINGS</w:t>
      </w:r>
    </w:p>
    <w:p w:rsidR="002556BF" w:rsidRPr="00701945" w:rsidRDefault="002556BF" w:rsidP="002556BF">
      <w:pPr>
        <w:jc w:val="both"/>
      </w:pPr>
    </w:p>
    <w:p w:rsidR="002556BF" w:rsidRPr="00701945" w:rsidRDefault="002556BF" w:rsidP="002556BF">
      <w:pPr>
        <w:ind w:firstLine="720"/>
        <w:jc w:val="both"/>
      </w:pPr>
      <w:r w:rsidRPr="00701945">
        <w:t xml:space="preserve">Opening statements, if any, shall not exceed </w:t>
      </w:r>
      <w:r w:rsidR="002B0BAE">
        <w:t>5</w:t>
      </w:r>
      <w:r w:rsidRPr="00701945">
        <w:t xml:space="preserve"> minutes per party.</w:t>
      </w:r>
      <w:r>
        <w:t xml:space="preserve"> </w:t>
      </w:r>
      <w:r w:rsidR="00360282">
        <w:t>E</w:t>
      </w:r>
      <w:r w:rsidR="00702A6B">
        <w:t xml:space="preserve">xpedited </w:t>
      </w:r>
      <w:r w:rsidR="00360282">
        <w:t xml:space="preserve">hearing transcripts with </w:t>
      </w:r>
      <w:r w:rsidR="00702A6B">
        <w:t>a 48</w:t>
      </w:r>
      <w:r w:rsidR="008773C2">
        <w:t>-</w:t>
      </w:r>
      <w:r w:rsidR="00702A6B">
        <w:t>hour turnaround</w:t>
      </w:r>
      <w:r w:rsidR="00360282">
        <w:t xml:space="preserve"> have been requested</w:t>
      </w:r>
      <w:r w:rsidR="00702A6B">
        <w:t>. Post hearing filings a</w:t>
      </w:r>
      <w:r w:rsidR="002B0BAE">
        <w:t>re due by January 29, 2018.</w:t>
      </w:r>
    </w:p>
    <w:p w:rsidR="002556BF" w:rsidRDefault="002556BF" w:rsidP="002556BF">
      <w:pPr>
        <w:jc w:val="both"/>
      </w:pPr>
    </w:p>
    <w:p w:rsidR="002556BF" w:rsidRPr="00701945" w:rsidRDefault="002556BF" w:rsidP="002556BF">
      <w:pPr>
        <w:jc w:val="both"/>
      </w:pPr>
      <w:r w:rsidRPr="00701945">
        <w:tab/>
        <w:t>It is therefore,</w:t>
      </w:r>
    </w:p>
    <w:p w:rsidR="002556BF" w:rsidRPr="00701945" w:rsidRDefault="002556BF" w:rsidP="002556BF">
      <w:pPr>
        <w:jc w:val="both"/>
      </w:pPr>
    </w:p>
    <w:p w:rsidR="002556BF" w:rsidRDefault="002556BF" w:rsidP="002556BF">
      <w:pPr>
        <w:jc w:val="both"/>
      </w:pPr>
      <w:r w:rsidRPr="00701945">
        <w:tab/>
        <w:t xml:space="preserve">ORDERED by Commissioner </w:t>
      </w:r>
      <w:r w:rsidR="00D308C3" w:rsidRPr="00BA3BB5">
        <w:t>Gary F. Clark</w:t>
      </w:r>
      <w:r w:rsidRPr="00701945">
        <w:t>, as Prehearing Officer, that this Prehearing Order shall govern the conduct of these proceedings as set forth above unless modified by the Commission.</w:t>
      </w:r>
    </w:p>
    <w:p w:rsidR="00406925" w:rsidRPr="00701945" w:rsidRDefault="00406925" w:rsidP="002556BF">
      <w:pPr>
        <w:jc w:val="both"/>
      </w:pPr>
    </w:p>
    <w:p w:rsidR="00D308C3" w:rsidRDefault="00D308C3" w:rsidP="00D308C3">
      <w:pPr>
        <w:keepNext/>
        <w:keepLines/>
        <w:jc w:val="both"/>
      </w:pPr>
      <w:r w:rsidRPr="00ED11E7">
        <w:rPr>
          <w:color w:val="FF0000"/>
        </w:rPr>
        <w:tab/>
      </w:r>
      <w:r w:rsidRPr="00ED11E7">
        <w:t xml:space="preserve">By ORDER of Commissioner Gary F. Clark, as Prehearing Officer, this </w:t>
      </w:r>
      <w:bookmarkStart w:id="7" w:name="replaceDate"/>
      <w:bookmarkEnd w:id="7"/>
      <w:r w:rsidR="0022067C">
        <w:rPr>
          <w:u w:val="single"/>
        </w:rPr>
        <w:t>12th</w:t>
      </w:r>
      <w:r w:rsidR="0022067C">
        <w:t xml:space="preserve"> day of </w:t>
      </w:r>
      <w:r w:rsidR="0022067C">
        <w:rPr>
          <w:u w:val="single"/>
        </w:rPr>
        <w:t>January</w:t>
      </w:r>
      <w:r w:rsidR="0022067C">
        <w:t xml:space="preserve">, </w:t>
      </w:r>
      <w:r w:rsidR="0022067C">
        <w:rPr>
          <w:u w:val="single"/>
        </w:rPr>
        <w:t>2018</w:t>
      </w:r>
      <w:r w:rsidR="0022067C">
        <w:t>.</w:t>
      </w:r>
    </w:p>
    <w:p w:rsidR="0022067C" w:rsidRPr="0022067C" w:rsidRDefault="0022067C" w:rsidP="00D308C3">
      <w:pPr>
        <w:keepNext/>
        <w:keepLines/>
        <w:jc w:val="both"/>
      </w:pPr>
    </w:p>
    <w:p w:rsidR="00D308C3" w:rsidRPr="00D308C3" w:rsidRDefault="00D308C3" w:rsidP="00D308C3">
      <w:pPr>
        <w:keepNext/>
        <w:keepLines/>
        <w:jc w:val="both"/>
        <w:rPr>
          <w:b/>
        </w:rPr>
      </w:pPr>
    </w:p>
    <w:p w:rsidR="00D308C3" w:rsidRPr="00D308C3" w:rsidRDefault="00D308C3" w:rsidP="00D308C3">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D308C3" w:rsidRPr="00D308C3" w:rsidTr="00D308C3">
        <w:tc>
          <w:tcPr>
            <w:tcW w:w="720" w:type="dxa"/>
            <w:shd w:val="clear" w:color="auto" w:fill="auto"/>
          </w:tcPr>
          <w:p w:rsidR="00D308C3" w:rsidRPr="00D308C3" w:rsidRDefault="00D308C3" w:rsidP="00D308C3">
            <w:pPr>
              <w:keepNext/>
              <w:keepLines/>
              <w:jc w:val="both"/>
              <w:rPr>
                <w:b/>
              </w:rPr>
            </w:pPr>
            <w:bookmarkStart w:id="8" w:name="bkmrkSignature" w:colFirst="0" w:colLast="0"/>
          </w:p>
        </w:tc>
        <w:tc>
          <w:tcPr>
            <w:tcW w:w="4320" w:type="dxa"/>
            <w:tcBorders>
              <w:bottom w:val="single" w:sz="4" w:space="0" w:color="auto"/>
            </w:tcBorders>
            <w:shd w:val="clear" w:color="auto" w:fill="auto"/>
          </w:tcPr>
          <w:p w:rsidR="00D308C3" w:rsidRPr="00D308C3" w:rsidRDefault="0022067C" w:rsidP="00D308C3">
            <w:pPr>
              <w:keepNext/>
              <w:keepLines/>
              <w:jc w:val="both"/>
              <w:rPr>
                <w:b/>
              </w:rPr>
            </w:pPr>
            <w:r>
              <w:rPr>
                <w:b/>
              </w:rPr>
              <w:t>/s/ Gary F. Clark</w:t>
            </w:r>
          </w:p>
        </w:tc>
      </w:tr>
      <w:bookmarkEnd w:id="8"/>
      <w:tr w:rsidR="00D308C3" w:rsidRPr="00D308C3" w:rsidTr="00D308C3">
        <w:tc>
          <w:tcPr>
            <w:tcW w:w="720" w:type="dxa"/>
            <w:shd w:val="clear" w:color="auto" w:fill="auto"/>
          </w:tcPr>
          <w:p w:rsidR="00D308C3" w:rsidRPr="00D308C3" w:rsidRDefault="00D308C3" w:rsidP="00D308C3">
            <w:pPr>
              <w:keepNext/>
              <w:keepLines/>
              <w:jc w:val="both"/>
              <w:rPr>
                <w:b/>
              </w:rPr>
            </w:pPr>
          </w:p>
        </w:tc>
        <w:tc>
          <w:tcPr>
            <w:tcW w:w="4320" w:type="dxa"/>
            <w:tcBorders>
              <w:top w:val="single" w:sz="4" w:space="0" w:color="auto"/>
            </w:tcBorders>
            <w:shd w:val="clear" w:color="auto" w:fill="auto"/>
          </w:tcPr>
          <w:p w:rsidR="00D308C3" w:rsidRPr="009C7B35" w:rsidRDefault="00D308C3" w:rsidP="00D308C3">
            <w:pPr>
              <w:keepNext/>
              <w:keepLines/>
              <w:jc w:val="both"/>
            </w:pPr>
            <w:r w:rsidRPr="009C7B35">
              <w:t>GARY F. CLARK</w:t>
            </w:r>
          </w:p>
          <w:p w:rsidR="00D308C3" w:rsidRPr="00D308C3" w:rsidRDefault="00D308C3" w:rsidP="00D308C3">
            <w:pPr>
              <w:keepNext/>
              <w:keepLines/>
              <w:jc w:val="both"/>
              <w:rPr>
                <w:b/>
              </w:rPr>
            </w:pPr>
            <w:r w:rsidRPr="009C7B35">
              <w:t>Commissioner and Prehearing Officer</w:t>
            </w:r>
          </w:p>
        </w:tc>
      </w:tr>
    </w:tbl>
    <w:p w:rsidR="00D308C3" w:rsidRDefault="00D308C3" w:rsidP="00D308C3">
      <w:pPr>
        <w:pStyle w:val="OrderSigInfo"/>
        <w:keepNext/>
        <w:keepLines/>
      </w:pPr>
      <w:r>
        <w:t>Florida Public Service Commission</w:t>
      </w:r>
    </w:p>
    <w:p w:rsidR="00D308C3" w:rsidRDefault="00D308C3" w:rsidP="00D308C3">
      <w:pPr>
        <w:pStyle w:val="OrderSigInfo"/>
        <w:keepNext/>
        <w:keepLines/>
      </w:pPr>
      <w:r>
        <w:t>2540 Shumard Oak Boulevard</w:t>
      </w:r>
    </w:p>
    <w:p w:rsidR="00D308C3" w:rsidRDefault="00D308C3" w:rsidP="00D308C3">
      <w:pPr>
        <w:pStyle w:val="OrderSigInfo"/>
        <w:keepNext/>
        <w:keepLines/>
      </w:pPr>
      <w:r>
        <w:t>Tallahassee, Florida  32399</w:t>
      </w:r>
    </w:p>
    <w:p w:rsidR="00D308C3" w:rsidRDefault="00D308C3" w:rsidP="00D308C3">
      <w:pPr>
        <w:pStyle w:val="OrderSigInfo"/>
        <w:keepNext/>
        <w:keepLines/>
      </w:pPr>
      <w:r>
        <w:t>(850) 413</w:t>
      </w:r>
      <w:r>
        <w:noBreakHyphen/>
        <w:t>6770</w:t>
      </w:r>
    </w:p>
    <w:p w:rsidR="00D308C3" w:rsidRDefault="00D308C3" w:rsidP="00D308C3">
      <w:pPr>
        <w:pStyle w:val="OrderSigInfo"/>
        <w:keepNext/>
        <w:keepLines/>
      </w:pPr>
      <w:r>
        <w:t>www.floridapsc.com</w:t>
      </w:r>
    </w:p>
    <w:p w:rsidR="00D308C3" w:rsidRDefault="00D308C3" w:rsidP="00D308C3">
      <w:pPr>
        <w:pStyle w:val="OrderSigInfo"/>
        <w:keepNext/>
        <w:keepLines/>
      </w:pPr>
    </w:p>
    <w:p w:rsidR="00D308C3" w:rsidRDefault="00D308C3" w:rsidP="00D308C3">
      <w:pPr>
        <w:pStyle w:val="OrderSigInfo"/>
        <w:keepNext/>
        <w:keepLines/>
      </w:pPr>
      <w:r>
        <w:t>Copies furnished:  A copy of this document is provided to the parties of record at the time of issuance and, if applicable, interested persons.</w:t>
      </w:r>
    </w:p>
    <w:p w:rsidR="00D308C3" w:rsidRPr="00D308C3" w:rsidRDefault="00D308C3" w:rsidP="00D308C3">
      <w:pPr>
        <w:keepNext/>
        <w:keepLines/>
        <w:jc w:val="both"/>
        <w:rPr>
          <w:b/>
        </w:rPr>
      </w:pPr>
    </w:p>
    <w:p w:rsidR="00D308C3" w:rsidRPr="009C7B35" w:rsidRDefault="00C77A4B" w:rsidP="00D308C3">
      <w:pPr>
        <w:keepNext/>
        <w:keepLines/>
        <w:jc w:val="both"/>
      </w:pPr>
      <w:r w:rsidRPr="009C7B35">
        <w:t>CWM</w:t>
      </w:r>
    </w:p>
    <w:p w:rsidR="00D308C3" w:rsidRPr="00D308C3" w:rsidRDefault="00D308C3" w:rsidP="002556BF">
      <w:pPr>
        <w:jc w:val="both"/>
        <w:rPr>
          <w:b/>
        </w:rPr>
      </w:pPr>
    </w:p>
    <w:p w:rsidR="00702A6B" w:rsidRDefault="00702A6B">
      <w:pPr>
        <w:rPr>
          <w:u w:val="single"/>
        </w:rPr>
      </w:pPr>
      <w:r>
        <w:br w:type="page"/>
      </w:r>
    </w:p>
    <w:p w:rsidR="00D308C3" w:rsidRDefault="00D308C3" w:rsidP="00D308C3">
      <w:pPr>
        <w:pStyle w:val="CenterUnderline"/>
      </w:pPr>
      <w:r>
        <w:lastRenderedPageBreak/>
        <w:t>NOTICE OF FURTHER PROCEEDINGS OR JUDICIAL REVIEW</w:t>
      </w:r>
    </w:p>
    <w:p w:rsidR="002556BF" w:rsidRDefault="002556BF" w:rsidP="00D308C3">
      <w:pPr>
        <w:pStyle w:val="CenterUnderline"/>
      </w:pPr>
    </w:p>
    <w:p w:rsidR="00D308C3" w:rsidRDefault="00D308C3" w:rsidP="00D308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08C3" w:rsidRDefault="00D308C3" w:rsidP="00D308C3">
      <w:pPr>
        <w:pStyle w:val="OrderBody"/>
      </w:pPr>
    </w:p>
    <w:p w:rsidR="00D308C3" w:rsidRDefault="00D308C3" w:rsidP="00D308C3">
      <w:pPr>
        <w:pStyle w:val="OrderBody"/>
      </w:pPr>
      <w:r>
        <w:tab/>
        <w:t>Mediation may be available on a case-by-case basis.  If mediation is conducted, it does not affect a substantially interested person's right to a hearing.</w:t>
      </w:r>
    </w:p>
    <w:p w:rsidR="00D308C3" w:rsidRDefault="00D308C3" w:rsidP="00D308C3">
      <w:pPr>
        <w:pStyle w:val="OrderBody"/>
      </w:pPr>
    </w:p>
    <w:p w:rsidR="00D57E57" w:rsidRPr="00D57E57" w:rsidRDefault="00D308C3" w:rsidP="00D308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D57E57">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029" w:rsidRDefault="00D66029">
      <w:r>
        <w:separator/>
      </w:r>
    </w:p>
  </w:endnote>
  <w:endnote w:type="continuationSeparator" w:id="0">
    <w:p w:rsidR="00D66029" w:rsidRDefault="00D6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29" w:rsidRDefault="00D66029">
    <w:pPr>
      <w:pStyle w:val="Footer"/>
    </w:pPr>
  </w:p>
  <w:p w:rsidR="00D66029" w:rsidRDefault="00D660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029" w:rsidRDefault="00D66029">
      <w:r>
        <w:separator/>
      </w:r>
    </w:p>
  </w:footnote>
  <w:footnote w:type="continuationSeparator" w:id="0">
    <w:p w:rsidR="00D66029" w:rsidRDefault="00D66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029" w:rsidRDefault="00D66029">
    <w:pPr>
      <w:pStyle w:val="OrderHeader"/>
    </w:pPr>
    <w:r>
      <w:t xml:space="preserve">ORDER NO. </w:t>
    </w:r>
    <w:r w:rsidR="003552E1">
      <w:fldChar w:fldCharType="begin"/>
    </w:r>
    <w:r w:rsidR="003552E1">
      <w:instrText xml:space="preserve"> REF OrderNo0037 </w:instrText>
    </w:r>
    <w:r w:rsidR="003552E1">
      <w:fldChar w:fldCharType="separate"/>
    </w:r>
    <w:r w:rsidR="003552E1">
      <w:t>PSC-2018-0037-PHO-EI</w:t>
    </w:r>
    <w:r w:rsidR="003552E1">
      <w:fldChar w:fldCharType="end"/>
    </w:r>
  </w:p>
  <w:p w:rsidR="00D66029" w:rsidRDefault="00D66029">
    <w:pPr>
      <w:pStyle w:val="OrderHeader"/>
    </w:pPr>
    <w:bookmarkStart w:id="9" w:name="HeaderDocketNo"/>
    <w:bookmarkEnd w:id="9"/>
    <w:r>
      <w:t>DOCKET NO. 20170225-EI</w:t>
    </w:r>
  </w:p>
  <w:p w:rsidR="00D66029" w:rsidRDefault="00D6602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52E1">
      <w:rPr>
        <w:rStyle w:val="PageNumber"/>
        <w:noProof/>
      </w:rPr>
      <w:t>21</w:t>
    </w:r>
    <w:r>
      <w:rPr>
        <w:rStyle w:val="PageNumber"/>
      </w:rPr>
      <w:fldChar w:fldCharType="end"/>
    </w:r>
  </w:p>
  <w:p w:rsidR="00D66029" w:rsidRDefault="00D66029">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nsid w:val="67B42A25"/>
    <w:multiLevelType w:val="hybridMultilevel"/>
    <w:tmpl w:val="8D4C3C3C"/>
    <w:lvl w:ilvl="0" w:tplc="6E985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5-EI"/>
  </w:docVars>
  <w:rsids>
    <w:rsidRoot w:val="002556BF"/>
    <w:rsid w:val="000022B8"/>
    <w:rsid w:val="00053AB9"/>
    <w:rsid w:val="00056229"/>
    <w:rsid w:val="00057AF1"/>
    <w:rsid w:val="00065FC2"/>
    <w:rsid w:val="00067685"/>
    <w:rsid w:val="00076E6B"/>
    <w:rsid w:val="0008247D"/>
    <w:rsid w:val="00090AFC"/>
    <w:rsid w:val="00094D74"/>
    <w:rsid w:val="000D02B8"/>
    <w:rsid w:val="000D06E8"/>
    <w:rsid w:val="000D1B36"/>
    <w:rsid w:val="000E20F0"/>
    <w:rsid w:val="000E344D"/>
    <w:rsid w:val="000E743D"/>
    <w:rsid w:val="000F17D7"/>
    <w:rsid w:val="000F3B2C"/>
    <w:rsid w:val="000F63EB"/>
    <w:rsid w:val="000F648A"/>
    <w:rsid w:val="000F7BE3"/>
    <w:rsid w:val="001052BA"/>
    <w:rsid w:val="001107B3"/>
    <w:rsid w:val="001114B1"/>
    <w:rsid w:val="001139D8"/>
    <w:rsid w:val="00116AD3"/>
    <w:rsid w:val="00121957"/>
    <w:rsid w:val="00126593"/>
    <w:rsid w:val="00142A96"/>
    <w:rsid w:val="001513DE"/>
    <w:rsid w:val="00187CE3"/>
    <w:rsid w:val="00187E32"/>
    <w:rsid w:val="00194E81"/>
    <w:rsid w:val="001A15E7"/>
    <w:rsid w:val="001A33C9"/>
    <w:rsid w:val="001A58F3"/>
    <w:rsid w:val="001D008A"/>
    <w:rsid w:val="001E0152"/>
    <w:rsid w:val="001E0FF5"/>
    <w:rsid w:val="001F40AE"/>
    <w:rsid w:val="002002ED"/>
    <w:rsid w:val="00200443"/>
    <w:rsid w:val="002170E5"/>
    <w:rsid w:val="0022067C"/>
    <w:rsid w:val="00220D57"/>
    <w:rsid w:val="0022721A"/>
    <w:rsid w:val="00230BB9"/>
    <w:rsid w:val="00241CEF"/>
    <w:rsid w:val="00252B30"/>
    <w:rsid w:val="002556BF"/>
    <w:rsid w:val="00262A5B"/>
    <w:rsid w:val="0026544B"/>
    <w:rsid w:val="00277655"/>
    <w:rsid w:val="002824B7"/>
    <w:rsid w:val="002A11AC"/>
    <w:rsid w:val="002A6F30"/>
    <w:rsid w:val="002B0BAE"/>
    <w:rsid w:val="002B3111"/>
    <w:rsid w:val="002C7908"/>
    <w:rsid w:val="002D0BDD"/>
    <w:rsid w:val="002D391B"/>
    <w:rsid w:val="002D4B1F"/>
    <w:rsid w:val="002D6E24"/>
    <w:rsid w:val="002D7D15"/>
    <w:rsid w:val="002E1B2E"/>
    <w:rsid w:val="002E27EB"/>
    <w:rsid w:val="002F2A9D"/>
    <w:rsid w:val="00303FDE"/>
    <w:rsid w:val="003140E8"/>
    <w:rsid w:val="003231C7"/>
    <w:rsid w:val="003270C4"/>
    <w:rsid w:val="00331ED0"/>
    <w:rsid w:val="00332B0A"/>
    <w:rsid w:val="00333A41"/>
    <w:rsid w:val="0035035C"/>
    <w:rsid w:val="0035495B"/>
    <w:rsid w:val="003552E1"/>
    <w:rsid w:val="00360282"/>
    <w:rsid w:val="00361522"/>
    <w:rsid w:val="00364E60"/>
    <w:rsid w:val="0037196E"/>
    <w:rsid w:val="003744F5"/>
    <w:rsid w:val="00386449"/>
    <w:rsid w:val="00390DD8"/>
    <w:rsid w:val="00394DC6"/>
    <w:rsid w:val="00397C3E"/>
    <w:rsid w:val="003D1922"/>
    <w:rsid w:val="003D4CCA"/>
    <w:rsid w:val="003D52A6"/>
    <w:rsid w:val="003D6416"/>
    <w:rsid w:val="003E1D48"/>
    <w:rsid w:val="00406925"/>
    <w:rsid w:val="00411DF2"/>
    <w:rsid w:val="0042527B"/>
    <w:rsid w:val="00457DC7"/>
    <w:rsid w:val="00472BCC"/>
    <w:rsid w:val="00495F7D"/>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378A4"/>
    <w:rsid w:val="00556A10"/>
    <w:rsid w:val="00572601"/>
    <w:rsid w:val="00590845"/>
    <w:rsid w:val="005963C2"/>
    <w:rsid w:val="005A0D69"/>
    <w:rsid w:val="005A31F4"/>
    <w:rsid w:val="005B45F7"/>
    <w:rsid w:val="005B63EA"/>
    <w:rsid w:val="005C1A88"/>
    <w:rsid w:val="005C5033"/>
    <w:rsid w:val="005E751B"/>
    <w:rsid w:val="00610E73"/>
    <w:rsid w:val="00617632"/>
    <w:rsid w:val="006200B4"/>
    <w:rsid w:val="0063168D"/>
    <w:rsid w:val="00660774"/>
    <w:rsid w:val="0066389A"/>
    <w:rsid w:val="0066495C"/>
    <w:rsid w:val="0066552E"/>
    <w:rsid w:val="00665CC7"/>
    <w:rsid w:val="00672612"/>
    <w:rsid w:val="006740F2"/>
    <w:rsid w:val="00677F18"/>
    <w:rsid w:val="006A0BF3"/>
    <w:rsid w:val="006A48B9"/>
    <w:rsid w:val="006B0DA6"/>
    <w:rsid w:val="006C073F"/>
    <w:rsid w:val="006C547E"/>
    <w:rsid w:val="00702A6B"/>
    <w:rsid w:val="00704C5D"/>
    <w:rsid w:val="00706323"/>
    <w:rsid w:val="007072BC"/>
    <w:rsid w:val="00715275"/>
    <w:rsid w:val="00733B6B"/>
    <w:rsid w:val="007467C4"/>
    <w:rsid w:val="0076170F"/>
    <w:rsid w:val="0076669C"/>
    <w:rsid w:val="00766E46"/>
    <w:rsid w:val="00774310"/>
    <w:rsid w:val="00777727"/>
    <w:rsid w:val="007865E9"/>
    <w:rsid w:val="00792383"/>
    <w:rsid w:val="007A060F"/>
    <w:rsid w:val="007C36E3"/>
    <w:rsid w:val="007C7134"/>
    <w:rsid w:val="007D3D20"/>
    <w:rsid w:val="007E3AFD"/>
    <w:rsid w:val="007E6004"/>
    <w:rsid w:val="00801DAD"/>
    <w:rsid w:val="00803189"/>
    <w:rsid w:val="00804E7A"/>
    <w:rsid w:val="00805FBB"/>
    <w:rsid w:val="008169A4"/>
    <w:rsid w:val="008278FE"/>
    <w:rsid w:val="00832598"/>
    <w:rsid w:val="0083397E"/>
    <w:rsid w:val="0083534B"/>
    <w:rsid w:val="00842602"/>
    <w:rsid w:val="00847B45"/>
    <w:rsid w:val="008539E9"/>
    <w:rsid w:val="00863A66"/>
    <w:rsid w:val="008703D7"/>
    <w:rsid w:val="00874429"/>
    <w:rsid w:val="008773C2"/>
    <w:rsid w:val="00883D9A"/>
    <w:rsid w:val="008919EF"/>
    <w:rsid w:val="00892B20"/>
    <w:rsid w:val="008A12EC"/>
    <w:rsid w:val="008C21C8"/>
    <w:rsid w:val="008C6375"/>
    <w:rsid w:val="008C6A5B"/>
    <w:rsid w:val="008E0B1E"/>
    <w:rsid w:val="008E26A5"/>
    <w:rsid w:val="008E42D2"/>
    <w:rsid w:val="008E698F"/>
    <w:rsid w:val="009040EE"/>
    <w:rsid w:val="009057FD"/>
    <w:rsid w:val="00906FBA"/>
    <w:rsid w:val="009228C7"/>
    <w:rsid w:val="00922A7F"/>
    <w:rsid w:val="00923A5E"/>
    <w:rsid w:val="00926E27"/>
    <w:rsid w:val="00931C8C"/>
    <w:rsid w:val="0094504B"/>
    <w:rsid w:val="00962950"/>
    <w:rsid w:val="0096742B"/>
    <w:rsid w:val="00981786"/>
    <w:rsid w:val="009924CF"/>
    <w:rsid w:val="00994100"/>
    <w:rsid w:val="009A6B17"/>
    <w:rsid w:val="009C27CF"/>
    <w:rsid w:val="009C7B35"/>
    <w:rsid w:val="009D4C29"/>
    <w:rsid w:val="00A00D8D"/>
    <w:rsid w:val="00A4303C"/>
    <w:rsid w:val="00A522E5"/>
    <w:rsid w:val="00A62DAB"/>
    <w:rsid w:val="00A726A6"/>
    <w:rsid w:val="00A97535"/>
    <w:rsid w:val="00AA2BAA"/>
    <w:rsid w:val="00AA54F8"/>
    <w:rsid w:val="00AA73F1"/>
    <w:rsid w:val="00AB0E1A"/>
    <w:rsid w:val="00AB1A30"/>
    <w:rsid w:val="00AD10EB"/>
    <w:rsid w:val="00AD1ED3"/>
    <w:rsid w:val="00AE369B"/>
    <w:rsid w:val="00AF0DFE"/>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3BB5"/>
    <w:rsid w:val="00BA44A8"/>
    <w:rsid w:val="00BC7638"/>
    <w:rsid w:val="00BD3803"/>
    <w:rsid w:val="00BF6691"/>
    <w:rsid w:val="00C028FC"/>
    <w:rsid w:val="00C10ED5"/>
    <w:rsid w:val="00C151A6"/>
    <w:rsid w:val="00C24098"/>
    <w:rsid w:val="00C30A4E"/>
    <w:rsid w:val="00C411F3"/>
    <w:rsid w:val="00C44105"/>
    <w:rsid w:val="00C52186"/>
    <w:rsid w:val="00C55A33"/>
    <w:rsid w:val="00C5660C"/>
    <w:rsid w:val="00C66692"/>
    <w:rsid w:val="00C77A4B"/>
    <w:rsid w:val="00C91123"/>
    <w:rsid w:val="00CA55A5"/>
    <w:rsid w:val="00CA71FF"/>
    <w:rsid w:val="00CB5276"/>
    <w:rsid w:val="00CB68D7"/>
    <w:rsid w:val="00CC7E68"/>
    <w:rsid w:val="00CD7132"/>
    <w:rsid w:val="00CE0E6F"/>
    <w:rsid w:val="00CE56FC"/>
    <w:rsid w:val="00CF4CFE"/>
    <w:rsid w:val="00D02E0F"/>
    <w:rsid w:val="00D13535"/>
    <w:rsid w:val="00D17B79"/>
    <w:rsid w:val="00D23FEA"/>
    <w:rsid w:val="00D269CA"/>
    <w:rsid w:val="00D308C3"/>
    <w:rsid w:val="00D30B48"/>
    <w:rsid w:val="00D46FAA"/>
    <w:rsid w:val="00D47A40"/>
    <w:rsid w:val="00D51D33"/>
    <w:rsid w:val="00D57BB2"/>
    <w:rsid w:val="00D57E57"/>
    <w:rsid w:val="00D66029"/>
    <w:rsid w:val="00D70752"/>
    <w:rsid w:val="00D8560E"/>
    <w:rsid w:val="00D8758F"/>
    <w:rsid w:val="00DA6B78"/>
    <w:rsid w:val="00DC1D94"/>
    <w:rsid w:val="00DC42CF"/>
    <w:rsid w:val="00DE057F"/>
    <w:rsid w:val="00DE2082"/>
    <w:rsid w:val="00DE2289"/>
    <w:rsid w:val="00DE5E42"/>
    <w:rsid w:val="00E03A76"/>
    <w:rsid w:val="00E04410"/>
    <w:rsid w:val="00E11351"/>
    <w:rsid w:val="00E523DD"/>
    <w:rsid w:val="00E54DFA"/>
    <w:rsid w:val="00E75AE0"/>
    <w:rsid w:val="00E806AF"/>
    <w:rsid w:val="00E83C1F"/>
    <w:rsid w:val="00EA172C"/>
    <w:rsid w:val="00EA259B"/>
    <w:rsid w:val="00EA35A3"/>
    <w:rsid w:val="00EA3E6A"/>
    <w:rsid w:val="00EA76D4"/>
    <w:rsid w:val="00EB18EF"/>
    <w:rsid w:val="00EB7951"/>
    <w:rsid w:val="00ED11E7"/>
    <w:rsid w:val="00EE17DF"/>
    <w:rsid w:val="00EF4621"/>
    <w:rsid w:val="00EF6312"/>
    <w:rsid w:val="00F17C21"/>
    <w:rsid w:val="00F234A7"/>
    <w:rsid w:val="00F277B6"/>
    <w:rsid w:val="00F54380"/>
    <w:rsid w:val="00F54B47"/>
    <w:rsid w:val="00F6702E"/>
    <w:rsid w:val="00F70E84"/>
    <w:rsid w:val="00FA092B"/>
    <w:rsid w:val="00FA645B"/>
    <w:rsid w:val="00FA6EFD"/>
    <w:rsid w:val="00FB74EA"/>
    <w:rsid w:val="00FD2C9E"/>
    <w:rsid w:val="00FD4786"/>
    <w:rsid w:val="00FD616C"/>
    <w:rsid w:val="00FE3D14"/>
    <w:rsid w:val="00FE53F2"/>
    <w:rsid w:val="00FF0A00"/>
    <w:rsid w:val="00FF1C57"/>
    <w:rsid w:val="00FF2581"/>
    <w:rsid w:val="00FF7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556BF"/>
    <w:pPr>
      <w:autoSpaceDE w:val="0"/>
      <w:autoSpaceDN w:val="0"/>
      <w:adjustRightInd w:val="0"/>
      <w:ind w:left="1440"/>
    </w:pPr>
    <w:rPr>
      <w:sz w:val="24"/>
      <w:szCs w:val="24"/>
    </w:rPr>
  </w:style>
  <w:style w:type="paragraph" w:customStyle="1" w:styleId="PositionBody">
    <w:name w:val="Position Body"/>
    <w:basedOn w:val="Normal"/>
    <w:rsid w:val="00262A5B"/>
    <w:pPr>
      <w:spacing w:after="240"/>
      <w:ind w:left="1440"/>
      <w:jc w:val="both"/>
    </w:pPr>
    <w:rPr>
      <w:szCs w:val="20"/>
    </w:rPr>
  </w:style>
  <w:style w:type="paragraph" w:styleId="ListParagraph">
    <w:name w:val="List Paragraph"/>
    <w:basedOn w:val="Normal"/>
    <w:uiPriority w:val="34"/>
    <w:qFormat/>
    <w:rsid w:val="0066552E"/>
    <w:pPr>
      <w:ind w:left="720"/>
      <w:contextualSpacing/>
    </w:pPr>
  </w:style>
  <w:style w:type="paragraph" w:styleId="BalloonText">
    <w:name w:val="Balloon Text"/>
    <w:basedOn w:val="Normal"/>
    <w:link w:val="BalloonTextChar"/>
    <w:rsid w:val="00E523DD"/>
    <w:rPr>
      <w:rFonts w:ascii="Tahoma" w:hAnsi="Tahoma" w:cs="Tahoma"/>
      <w:sz w:val="16"/>
      <w:szCs w:val="16"/>
    </w:rPr>
  </w:style>
  <w:style w:type="character" w:customStyle="1" w:styleId="BalloonTextChar">
    <w:name w:val="Balloon Text Char"/>
    <w:basedOn w:val="DefaultParagraphFont"/>
    <w:link w:val="BalloonText"/>
    <w:rsid w:val="00E523DD"/>
    <w:rPr>
      <w:rFonts w:ascii="Tahoma" w:hAnsi="Tahoma" w:cs="Tahoma"/>
      <w:sz w:val="16"/>
      <w:szCs w:val="16"/>
    </w:rPr>
  </w:style>
  <w:style w:type="character" w:styleId="Hyperlink">
    <w:name w:val="Hyperlink"/>
    <w:basedOn w:val="DefaultParagraphFont"/>
    <w:rsid w:val="00187C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556BF"/>
    <w:pPr>
      <w:autoSpaceDE w:val="0"/>
      <w:autoSpaceDN w:val="0"/>
      <w:adjustRightInd w:val="0"/>
      <w:ind w:left="1440"/>
    </w:pPr>
    <w:rPr>
      <w:sz w:val="24"/>
      <w:szCs w:val="24"/>
    </w:rPr>
  </w:style>
  <w:style w:type="paragraph" w:customStyle="1" w:styleId="PositionBody">
    <w:name w:val="Position Body"/>
    <w:basedOn w:val="Normal"/>
    <w:rsid w:val="00262A5B"/>
    <w:pPr>
      <w:spacing w:after="240"/>
      <w:ind w:left="1440"/>
      <w:jc w:val="both"/>
    </w:pPr>
    <w:rPr>
      <w:szCs w:val="20"/>
    </w:rPr>
  </w:style>
  <w:style w:type="paragraph" w:styleId="ListParagraph">
    <w:name w:val="List Paragraph"/>
    <w:basedOn w:val="Normal"/>
    <w:uiPriority w:val="34"/>
    <w:qFormat/>
    <w:rsid w:val="0066552E"/>
    <w:pPr>
      <w:ind w:left="720"/>
      <w:contextualSpacing/>
    </w:pPr>
  </w:style>
  <w:style w:type="paragraph" w:styleId="BalloonText">
    <w:name w:val="Balloon Text"/>
    <w:basedOn w:val="Normal"/>
    <w:link w:val="BalloonTextChar"/>
    <w:rsid w:val="00E523DD"/>
    <w:rPr>
      <w:rFonts w:ascii="Tahoma" w:hAnsi="Tahoma" w:cs="Tahoma"/>
      <w:sz w:val="16"/>
      <w:szCs w:val="16"/>
    </w:rPr>
  </w:style>
  <w:style w:type="character" w:customStyle="1" w:styleId="BalloonTextChar">
    <w:name w:val="Balloon Text Char"/>
    <w:basedOn w:val="DefaultParagraphFont"/>
    <w:link w:val="BalloonText"/>
    <w:rsid w:val="00E523DD"/>
    <w:rPr>
      <w:rFonts w:ascii="Tahoma" w:hAnsi="Tahoma" w:cs="Tahoma"/>
      <w:sz w:val="16"/>
      <w:szCs w:val="16"/>
    </w:rPr>
  </w:style>
  <w:style w:type="character" w:styleId="Hyperlink">
    <w:name w:val="Hyperlink"/>
    <w:basedOn w:val="DefaultParagraphFont"/>
    <w:rsid w:val="00187C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jm.com/~/media/training/nerc-certifications/markets-exam-materials/rpm/rpm-101-overview-of-reliability-pricing-model.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476FE-B4CA-45B3-936D-5341D817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21</Pages>
  <Words>6128</Words>
  <Characters>34015</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2018-01-12T16:30:00Z</dcterms:created>
  <dcterms:modified xsi:type="dcterms:W3CDTF">2018-01-12T17:04:00Z</dcterms:modified>
</cp:coreProperties>
</file>