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BAEF9" w14:textId="77777777" w:rsidR="00CB5276" w:rsidRDefault="00035651" w:rsidP="00035651">
      <w:pPr>
        <w:pStyle w:val="OrderHeading"/>
      </w:pPr>
      <w:bookmarkStart w:id="0" w:name="_GoBack"/>
      <w:bookmarkEnd w:id="0"/>
      <w:r>
        <w:t>BEFORE THE FLORIDA PUBLIC SERVICE COMMISSION</w:t>
      </w:r>
    </w:p>
    <w:p w14:paraId="3664611F" w14:textId="77777777" w:rsidR="00035651" w:rsidRDefault="00035651" w:rsidP="00035651">
      <w:pPr>
        <w:pStyle w:val="OrderHeading"/>
      </w:pPr>
    </w:p>
    <w:p w14:paraId="43EEB3DC" w14:textId="77777777" w:rsidR="00035651" w:rsidRDefault="00035651" w:rsidP="000356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5651" w:rsidRPr="00C63FCF" w14:paraId="6B3E715D" w14:textId="77777777" w:rsidTr="00165EAF">
        <w:trPr>
          <w:trHeight w:val="828"/>
        </w:trPr>
        <w:tc>
          <w:tcPr>
            <w:tcW w:w="4788" w:type="dxa"/>
            <w:tcBorders>
              <w:bottom w:val="single" w:sz="8" w:space="0" w:color="auto"/>
              <w:right w:val="double" w:sz="6" w:space="0" w:color="auto"/>
            </w:tcBorders>
            <w:shd w:val="clear" w:color="auto" w:fill="auto"/>
          </w:tcPr>
          <w:p w14:paraId="3776D158" w14:textId="77777777" w:rsidR="00035651" w:rsidRDefault="00035651" w:rsidP="00165EAF">
            <w:pPr>
              <w:pStyle w:val="OrderBody"/>
              <w:tabs>
                <w:tab w:val="center" w:pos="4320"/>
                <w:tab w:val="right" w:pos="8640"/>
              </w:tabs>
              <w:jc w:val="left"/>
            </w:pPr>
            <w:r>
              <w:t xml:space="preserve">In re: </w:t>
            </w:r>
            <w:bookmarkStart w:id="1" w:name="SSInRe"/>
            <w:bookmarkEnd w:id="1"/>
            <w:r>
              <w:t>Petition to determine need for Seminole combined cycle facility, by Seminole Electric Cooperative, Inc.</w:t>
            </w:r>
          </w:p>
        </w:tc>
        <w:tc>
          <w:tcPr>
            <w:tcW w:w="4788" w:type="dxa"/>
            <w:tcBorders>
              <w:left w:val="double" w:sz="6" w:space="0" w:color="auto"/>
            </w:tcBorders>
            <w:shd w:val="clear" w:color="auto" w:fill="auto"/>
          </w:tcPr>
          <w:p w14:paraId="6449EF50" w14:textId="77777777" w:rsidR="00035651" w:rsidRDefault="00035651" w:rsidP="00035651">
            <w:pPr>
              <w:pStyle w:val="OrderBody"/>
            </w:pPr>
            <w:r>
              <w:t xml:space="preserve">DOCKET NO. </w:t>
            </w:r>
            <w:bookmarkStart w:id="2" w:name="SSDocketNo"/>
            <w:bookmarkEnd w:id="2"/>
            <w:r>
              <w:t xml:space="preserve">20170266-EC </w:t>
            </w:r>
          </w:p>
          <w:p w14:paraId="4B0DCB56" w14:textId="7910E945" w:rsidR="00035651" w:rsidRDefault="00035651" w:rsidP="00165EAF">
            <w:pPr>
              <w:pStyle w:val="OrderBody"/>
              <w:tabs>
                <w:tab w:val="center" w:pos="4320"/>
                <w:tab w:val="right" w:pos="8640"/>
              </w:tabs>
              <w:jc w:val="left"/>
            </w:pPr>
          </w:p>
        </w:tc>
      </w:tr>
      <w:tr w:rsidR="00C4200C" w:rsidRPr="00C63FCF" w14:paraId="46C73107" w14:textId="77777777" w:rsidTr="00165EAF">
        <w:trPr>
          <w:trHeight w:val="828"/>
        </w:trPr>
        <w:tc>
          <w:tcPr>
            <w:tcW w:w="4788" w:type="dxa"/>
            <w:tcBorders>
              <w:bottom w:val="single" w:sz="8" w:space="0" w:color="auto"/>
              <w:right w:val="double" w:sz="6" w:space="0" w:color="auto"/>
            </w:tcBorders>
            <w:shd w:val="clear" w:color="auto" w:fill="auto"/>
          </w:tcPr>
          <w:p w14:paraId="558FF5CB" w14:textId="77777777" w:rsidR="00C4200C" w:rsidRDefault="00C4200C" w:rsidP="00165EAF">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14:paraId="0ED55413" w14:textId="77777777" w:rsidR="00C4200C" w:rsidRDefault="00C4200C" w:rsidP="00165EAF">
            <w:pPr>
              <w:pStyle w:val="OrderBody"/>
            </w:pPr>
            <w:r>
              <w:t>DOCKET NO. 20170267-EC</w:t>
            </w:r>
          </w:p>
          <w:p w14:paraId="290722E3" w14:textId="75A6AF59" w:rsidR="00C4200C" w:rsidRDefault="00C4200C" w:rsidP="00165EAF">
            <w:pPr>
              <w:pStyle w:val="OrderBody"/>
              <w:tabs>
                <w:tab w:val="center" w:pos="4320"/>
                <w:tab w:val="right" w:pos="8640"/>
              </w:tabs>
              <w:jc w:val="left"/>
            </w:pPr>
            <w:r>
              <w:t xml:space="preserve">ORDER NO. </w:t>
            </w:r>
            <w:r w:rsidR="00DC2C35">
              <w:t>PSC-2018-0063-PCO-EC</w:t>
            </w:r>
          </w:p>
          <w:p w14:paraId="11D22AF8" w14:textId="010A77A7" w:rsidR="00C4200C" w:rsidRDefault="00C4200C" w:rsidP="00165EAF">
            <w:pPr>
              <w:pStyle w:val="OrderBody"/>
              <w:tabs>
                <w:tab w:val="center" w:pos="4320"/>
                <w:tab w:val="right" w:pos="8640"/>
              </w:tabs>
              <w:jc w:val="left"/>
            </w:pPr>
            <w:r>
              <w:t xml:space="preserve">ISSUED: </w:t>
            </w:r>
            <w:r w:rsidR="00DC2C35">
              <w:t>January 24, 2018</w:t>
            </w:r>
          </w:p>
        </w:tc>
      </w:tr>
    </w:tbl>
    <w:p w14:paraId="62B0B794" w14:textId="77777777" w:rsidR="00035651" w:rsidRDefault="00035651" w:rsidP="00035651"/>
    <w:p w14:paraId="307F8108" w14:textId="77777777" w:rsidR="00035651" w:rsidRDefault="00035651" w:rsidP="00035651"/>
    <w:p w14:paraId="2685E8B3" w14:textId="77777777" w:rsidR="00CB5276" w:rsidRDefault="00035651" w:rsidP="00035651">
      <w:pPr>
        <w:pStyle w:val="CenterUnderline"/>
      </w:pPr>
      <w:bookmarkStart w:id="3" w:name="Commissioners"/>
      <w:bookmarkEnd w:id="3"/>
      <w:r>
        <w:t>ORDER</w:t>
      </w:r>
      <w:bookmarkStart w:id="4" w:name="OrderTitle"/>
      <w:r>
        <w:t xml:space="preserve"> </w:t>
      </w:r>
      <w:bookmarkEnd w:id="4"/>
      <w:r w:rsidR="00CA1580">
        <w:t>GRANTING INTERVENTION TO QUANTUM PASCO POWER, L.P.</w:t>
      </w:r>
    </w:p>
    <w:p w14:paraId="7A3CD7DE" w14:textId="77777777" w:rsidR="00035651" w:rsidRDefault="00035651" w:rsidP="00035651">
      <w:pPr>
        <w:pStyle w:val="CenterUnderline"/>
      </w:pPr>
    </w:p>
    <w:p w14:paraId="0B324C5F" w14:textId="77777777" w:rsidR="00035651" w:rsidRDefault="00035651" w:rsidP="00035651">
      <w:pPr>
        <w:pStyle w:val="OrderBody"/>
      </w:pPr>
    </w:p>
    <w:p w14:paraId="585D9985" w14:textId="77777777" w:rsidR="009E796B" w:rsidRDefault="00CA1580" w:rsidP="009E7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sidR="009E796B">
        <w:t>On December 21, 2017, the above referenced dockets were opened for this Commission’s review of</w:t>
      </w:r>
      <w:r w:rsidR="009E796B" w:rsidRPr="0051738F">
        <w:t xml:space="preserve"> the</w:t>
      </w:r>
      <w:r w:rsidR="009E796B">
        <w:t xml:space="preserve"> Petition for Determination of Need for Seminole Combined Cycle Facility (Seminole Facility), filed by Seminole Electric Cooperative, Inc. (Seminole) and the Joint Petition for Determination of Need for Shady Hills Combined Cycle Facility (Shady Hills Facility) in Pasco County, filed by Seminole and Shady Hills Energy Center, LLC (Shady Hills). Docket Nos. 20170266-EC and 20170267-EC were consolidated for hearing purposes by Order No. PSC-2018-0018-PCO-EC (Order Establishing Procedure), filed on January 5, 2018. The consolidated dockets have been set for hearing on March  21 and 22, 2018.  </w:t>
      </w:r>
      <w:r w:rsidR="009E796B" w:rsidRPr="00EB5771">
        <w:t xml:space="preserve">  </w:t>
      </w:r>
    </w:p>
    <w:p w14:paraId="174B1557" w14:textId="536B59B7" w:rsidR="00CA1580" w:rsidRDefault="00CA1580" w:rsidP="009E7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367E6008" w14:textId="0DDBD30D" w:rsidR="00CA1580" w:rsidRDefault="0018012C" w:rsidP="00CA1580">
      <w:pPr>
        <w:pStyle w:val="OrderBody"/>
        <w:rPr>
          <w:u w:val="single"/>
        </w:rPr>
      </w:pPr>
      <w:r>
        <w:rPr>
          <w:u w:val="single"/>
        </w:rPr>
        <w:t>Motion</w:t>
      </w:r>
      <w:r w:rsidR="00CA1580">
        <w:rPr>
          <w:u w:val="single"/>
        </w:rPr>
        <w:t xml:space="preserve"> for Intervention</w:t>
      </w:r>
    </w:p>
    <w:p w14:paraId="2936D9F1" w14:textId="77777777" w:rsidR="00CA1580" w:rsidRPr="004B0509" w:rsidRDefault="00CA1580" w:rsidP="00CA1580">
      <w:pPr>
        <w:pStyle w:val="OrderBody"/>
        <w:rPr>
          <w:u w:val="single"/>
        </w:rPr>
      </w:pPr>
      <w:r>
        <w:rPr>
          <w:u w:val="single"/>
        </w:rPr>
        <w:t xml:space="preserve"> </w:t>
      </w:r>
    </w:p>
    <w:p w14:paraId="4AEC196B" w14:textId="19D76D91" w:rsidR="00B17D38" w:rsidRDefault="00CA1580" w:rsidP="00CA1580">
      <w:pPr>
        <w:pStyle w:val="OrderBody"/>
      </w:pPr>
      <w:r>
        <w:tab/>
      </w:r>
      <w:r w:rsidRPr="00EB5771">
        <w:t xml:space="preserve">By </w:t>
      </w:r>
      <w:r w:rsidR="003B33A0">
        <w:t>motion</w:t>
      </w:r>
      <w:r w:rsidRPr="00EB5771">
        <w:t xml:space="preserve"> dated </w:t>
      </w:r>
      <w:r w:rsidR="00C6124A">
        <w:t>January 17, 2018</w:t>
      </w:r>
      <w:r w:rsidRPr="00EB5771">
        <w:t>,</w:t>
      </w:r>
      <w:r w:rsidR="00C6124A">
        <w:t xml:space="preserve"> Quantum Pasco Power, L.P. (Quantum) has requested</w:t>
      </w:r>
      <w:r w:rsidR="002A4E22">
        <w:t xml:space="preserve"> permission to intervene in the P</w:t>
      </w:r>
      <w:r w:rsidR="00C6124A">
        <w:t>roceeding</w:t>
      </w:r>
      <w:r w:rsidR="002A4E22">
        <w:t>s</w:t>
      </w:r>
      <w:r w:rsidR="00C6124A">
        <w:t xml:space="preserve"> (</w:t>
      </w:r>
      <w:r w:rsidR="0018012C">
        <w:t>Motion</w:t>
      </w:r>
      <w:r w:rsidR="00C6124A">
        <w:t>). Quantum states that it is the owner of the Pasco Power Plant, a dual-fueled combined cycle electrical power plant</w:t>
      </w:r>
      <w:r w:rsidR="00A117A9">
        <w:t xml:space="preserve"> located in Dade City, Florida. Quantum </w:t>
      </w:r>
      <w:r w:rsidR="00C17840">
        <w:t>also states</w:t>
      </w:r>
      <w:r w:rsidR="00A117A9">
        <w:t xml:space="preserve"> that the company participated in Seminole’s March 1, 2016 Request for Proposal (RFP)</w:t>
      </w:r>
      <w:r w:rsidRPr="00EB5771">
        <w:t xml:space="preserve"> </w:t>
      </w:r>
      <w:r w:rsidR="00A117A9">
        <w:t>process, in which Seminole sought up to 1</w:t>
      </w:r>
      <w:r w:rsidR="007C3077">
        <w:t>,</w:t>
      </w:r>
      <w:r w:rsidR="00A117A9">
        <w:t>000 meg</w:t>
      </w:r>
      <w:r w:rsidR="00C17840">
        <w:t xml:space="preserve">awatts of firm capacity. At the conclusion of the RFP process, Quantum was not selected as a winning bidder. </w:t>
      </w:r>
    </w:p>
    <w:p w14:paraId="08CCFE5C" w14:textId="77777777" w:rsidR="00B17D38" w:rsidRDefault="00B17D38" w:rsidP="00CA1580">
      <w:pPr>
        <w:pStyle w:val="OrderBody"/>
      </w:pPr>
    </w:p>
    <w:p w14:paraId="3B46C37F" w14:textId="2EE5CE23" w:rsidR="00B17D38" w:rsidRDefault="00C17840" w:rsidP="00CA1580">
      <w:pPr>
        <w:pStyle w:val="OrderBody"/>
      </w:pPr>
      <w:r>
        <w:tab/>
      </w:r>
      <w:r w:rsidR="00165EAF">
        <w:t xml:space="preserve">Quantum avers that </w:t>
      </w:r>
      <w:r w:rsidR="00063608">
        <w:t>i</w:t>
      </w:r>
      <w:r w:rsidR="00E42806">
        <w:t>t should be granted intervention because it will suffer an immediate injury</w:t>
      </w:r>
      <w:r w:rsidR="003E04FF">
        <w:t xml:space="preserve"> </w:t>
      </w:r>
      <w:r w:rsidR="009E796B">
        <w:t>if the petition and joint petition</w:t>
      </w:r>
      <w:r w:rsidR="00E42806">
        <w:t xml:space="preserve"> are granted by the Commission</w:t>
      </w:r>
      <w:r w:rsidR="003E04FF">
        <w:t>. Quantum argues</w:t>
      </w:r>
      <w:r w:rsidR="00E42806">
        <w:t xml:space="preserve"> </w:t>
      </w:r>
      <w:r w:rsidR="003E04FF">
        <w:t xml:space="preserve">that if the requests are granted, </w:t>
      </w:r>
      <w:r w:rsidR="004D6916">
        <w:t>it</w:t>
      </w:r>
      <w:r w:rsidR="00E5063D">
        <w:t xml:space="preserve"> will be foreclosed from providing firm capacity to Seminole</w:t>
      </w:r>
      <w:r w:rsidR="00E42806">
        <w:t>,</w:t>
      </w:r>
      <w:r w:rsidR="00E5063D">
        <w:t xml:space="preserve"> and the capacity of its existing Pasco Power Plant will be duplicated. </w:t>
      </w:r>
      <w:r w:rsidR="00E667EA">
        <w:t xml:space="preserve">Quantum </w:t>
      </w:r>
      <w:r w:rsidR="003E04FF">
        <w:t>states</w:t>
      </w:r>
      <w:r w:rsidR="00E667EA">
        <w:t xml:space="preserve"> that if it is not able to enter into a feasible power supply contract or asset sale arrangement with a vi</w:t>
      </w:r>
      <w:r w:rsidR="00E42806">
        <w:t xml:space="preserve">able counter-party, then it </w:t>
      </w:r>
      <w:r w:rsidR="00DB375B">
        <w:t>will likely have to close</w:t>
      </w:r>
      <w:r w:rsidR="00E667EA">
        <w:t xml:space="preserve"> the Pasco </w:t>
      </w:r>
      <w:r w:rsidR="00DB375B">
        <w:t xml:space="preserve">Power Plant </w:t>
      </w:r>
      <w:r w:rsidR="00E667EA">
        <w:t>and attempt to use its components elsewhere to minimize losses.</w:t>
      </w:r>
      <w:r w:rsidR="007C3077">
        <w:t xml:space="preserve"> </w:t>
      </w:r>
    </w:p>
    <w:p w14:paraId="22341B37" w14:textId="77777777" w:rsidR="00E42806" w:rsidRDefault="00E42806" w:rsidP="00CA1580">
      <w:pPr>
        <w:pStyle w:val="OrderBody"/>
      </w:pPr>
    </w:p>
    <w:p w14:paraId="4404D656" w14:textId="7D4A5F67" w:rsidR="00E42806" w:rsidRDefault="003933D5" w:rsidP="009B631F">
      <w:pPr>
        <w:pStyle w:val="OrderBody"/>
      </w:pPr>
      <w:r>
        <w:tab/>
      </w:r>
      <w:r w:rsidR="00E42806">
        <w:t xml:space="preserve">Quantum </w:t>
      </w:r>
      <w:r w:rsidR="006F41B6">
        <w:t>further</w:t>
      </w:r>
      <w:r w:rsidR="00E42806">
        <w:t xml:space="preserve"> contends that as an established power supplier within the Florida grid, </w:t>
      </w:r>
      <w:r w:rsidR="003E04FF">
        <w:t>it</w:t>
      </w:r>
      <w:r w:rsidR="00E42806">
        <w:t xml:space="preserve"> has a substantial interest in </w:t>
      </w:r>
      <w:r w:rsidR="009B631F">
        <w:t>having the Commission enforce its jurisdiction under Section 366.04(5), Florida Statutes (F.S.), to avoid</w:t>
      </w:r>
      <w:r w:rsidR="00E42806">
        <w:t xml:space="preserve"> the uneconomic duplication of generation facilities. Quantum </w:t>
      </w:r>
      <w:r w:rsidR="009B631F">
        <w:t>argues</w:t>
      </w:r>
      <w:r w:rsidR="00432950">
        <w:t xml:space="preserve"> that the s</w:t>
      </w:r>
      <w:r w:rsidR="00E42806">
        <w:t>tate of Florida</w:t>
      </w:r>
      <w:r w:rsidR="009B631F">
        <w:t xml:space="preserve">’s policy is to strongly discourage construction of </w:t>
      </w:r>
      <w:r w:rsidR="009B631F">
        <w:lastRenderedPageBreak/>
        <w:t>unnecessary generating facilities, and that the avoidance of unnecessary construction is a relevant factor to be considered in the Com</w:t>
      </w:r>
      <w:r w:rsidR="002B2A2B">
        <w:t>mission’s determination of the p</w:t>
      </w:r>
      <w:r w:rsidR="009B631F">
        <w:t xml:space="preserve">roceedings. </w:t>
      </w:r>
      <w:r w:rsidR="00B60E49">
        <w:t xml:space="preserve">Quantum also states that its proposal to Seminole is more cost-effective than the construction of the Shady Hills Facility. Quantum asserts that because its facility is already built, the pricing is already known, and thus </w:t>
      </w:r>
      <w:r w:rsidR="00672255">
        <w:t>Quantum can avoid</w:t>
      </w:r>
      <w:r w:rsidR="00B60E49">
        <w:t xml:space="preserve"> the risk of construction costs exceeding budget when compared to the Shady Hills Facility.  </w:t>
      </w:r>
      <w:r w:rsidR="009B631F">
        <w:t xml:space="preserve"> </w:t>
      </w:r>
    </w:p>
    <w:p w14:paraId="6B16A882" w14:textId="77777777" w:rsidR="006F41B6" w:rsidRDefault="006F41B6" w:rsidP="009B631F">
      <w:pPr>
        <w:pStyle w:val="OrderBody"/>
      </w:pPr>
    </w:p>
    <w:p w14:paraId="5F4B841A" w14:textId="79CFFA46" w:rsidR="006F41B6" w:rsidRDefault="006F41B6" w:rsidP="009B631F">
      <w:pPr>
        <w:pStyle w:val="OrderBody"/>
      </w:pPr>
      <w:r>
        <w:tab/>
        <w:t>Quantum also notes that although Seminole is not subject to Rule 25-22.082</w:t>
      </w:r>
      <w:r w:rsidR="0077180F">
        <w:t xml:space="preserve"> (“Bid Rule”)</w:t>
      </w:r>
      <w:r>
        <w:t xml:space="preserve">, Florida Administrative Code (F.A.C.), </w:t>
      </w:r>
      <w:r w:rsidR="009E796B">
        <w:t>Seminole</w:t>
      </w:r>
      <w:r>
        <w:t xml:space="preserve"> did issue an RFP</w:t>
      </w:r>
      <w:r w:rsidR="0077180F">
        <w:t>,</w:t>
      </w:r>
      <w:r>
        <w:t xml:space="preserve"> </w:t>
      </w:r>
      <w:r w:rsidR="0077180F">
        <w:t>and the</w:t>
      </w:r>
      <w:r>
        <w:t xml:space="preserve"> same public policy reasons </w:t>
      </w:r>
      <w:r w:rsidR="0077180F">
        <w:t xml:space="preserve">that underlie the Bid Rule’s granting of </w:t>
      </w:r>
      <w:r>
        <w:t xml:space="preserve">standing to competitors in </w:t>
      </w:r>
      <w:r w:rsidR="0077180F">
        <w:t>an RFP process should be applicable in this case. Quantum advises that even before the Bid Rule was promulgated, the Commission granted intervention</w:t>
      </w:r>
      <w:r w:rsidR="00EE5C3E">
        <w:t xml:space="preserve"> in a need proceeding</w:t>
      </w:r>
      <w:r w:rsidR="0077180F">
        <w:t xml:space="preserve"> to competitors </w:t>
      </w:r>
      <w:r w:rsidR="00EE5C3E">
        <w:t xml:space="preserve">who participated </w:t>
      </w:r>
      <w:r w:rsidR="0077180F">
        <w:t>in an RFP</w:t>
      </w:r>
      <w:r w:rsidR="008C0CBF">
        <w:t xml:space="preserve"> process.</w:t>
      </w:r>
      <w:r w:rsidR="008C0CBF">
        <w:rPr>
          <w:rStyle w:val="FootnoteReference"/>
        </w:rPr>
        <w:footnoteReference w:id="1"/>
      </w:r>
      <w:r w:rsidR="00EE5C3E">
        <w:t xml:space="preserve"> According to Quantum, in Order No. PSC-92-1355-FOF-EQ</w:t>
      </w:r>
      <w:r w:rsidR="003E04FF">
        <w:t xml:space="preserve"> the Commission</w:t>
      </w:r>
      <w:r w:rsidR="0077180F">
        <w:t xml:space="preserve"> noted that </w:t>
      </w:r>
      <w:r w:rsidR="00432950">
        <w:t xml:space="preserve">there is a “limited need for additional capacity and energy in the state of Florida” and that the competitors had shown their substantial interests were adversely affected in a proceeding where the competitors would not be able to construct their proposed projects if the need determination were granted to the </w:t>
      </w:r>
      <w:r w:rsidR="003E04FF">
        <w:t xml:space="preserve">original </w:t>
      </w:r>
      <w:r w:rsidR="00432950">
        <w:t>winning bidder.</w:t>
      </w:r>
      <w:r w:rsidR="008C0CBF">
        <w:rPr>
          <w:rStyle w:val="FootnoteReference"/>
        </w:rPr>
        <w:footnoteReference w:id="2"/>
      </w:r>
      <w:r w:rsidR="00432950">
        <w:t xml:space="preserve"> </w:t>
      </w:r>
    </w:p>
    <w:p w14:paraId="7D349F47" w14:textId="77777777" w:rsidR="00CA1580" w:rsidRDefault="00CA1580" w:rsidP="00CA1580">
      <w:pPr>
        <w:jc w:val="both"/>
        <w:rPr>
          <w:u w:val="single"/>
        </w:rPr>
      </w:pPr>
    </w:p>
    <w:p w14:paraId="109EA80E" w14:textId="50E658B1" w:rsidR="00355754" w:rsidRDefault="00355754" w:rsidP="00355754">
      <w:pPr>
        <w:ind w:firstLine="720"/>
        <w:jc w:val="both"/>
      </w:pPr>
      <w:r>
        <w:t xml:space="preserve">On January 19, 2018, Seminole filed a response to the Motion. Seminole stated they take no position on the Motion, subject to proof of standing at the hearing. By taking no position on the Motion, Seminole does not agree with or concede to any of the allegations asserted therein. Furthermore, Seminole disputes </w:t>
      </w:r>
      <w:r w:rsidR="00952F16">
        <w:t>the appropriateness of</w:t>
      </w:r>
      <w:r>
        <w:t xml:space="preserve"> the iss</w:t>
      </w:r>
      <w:r w:rsidR="00952F16">
        <w:t>ues proposed by the Intervenors that are</w:t>
      </w:r>
      <w:r>
        <w:t xml:space="preserve"> in addition to the issues listed in Attachment A of the Order Establishing Pro</w:t>
      </w:r>
      <w:r w:rsidR="00E93B91">
        <w:t>cedure</w:t>
      </w:r>
      <w:r w:rsidR="00952F16">
        <w:t>.</w:t>
      </w:r>
    </w:p>
    <w:p w14:paraId="423AC901" w14:textId="77777777" w:rsidR="00355754" w:rsidRDefault="00355754" w:rsidP="00355754">
      <w:pPr>
        <w:ind w:firstLine="720"/>
        <w:jc w:val="both"/>
        <w:rPr>
          <w:u w:val="single"/>
        </w:rPr>
      </w:pPr>
    </w:p>
    <w:p w14:paraId="1D2810D8" w14:textId="77777777" w:rsidR="00CD25AC" w:rsidRDefault="00CD25AC" w:rsidP="00CD25AC">
      <w:pPr>
        <w:jc w:val="both"/>
        <w:rPr>
          <w:u w:val="single"/>
        </w:rPr>
      </w:pPr>
      <w:r>
        <w:rPr>
          <w:u w:val="single"/>
        </w:rPr>
        <w:t>Standards for Intervention</w:t>
      </w:r>
    </w:p>
    <w:p w14:paraId="251AFFFE" w14:textId="77777777" w:rsidR="00CD25AC" w:rsidRDefault="00CD25AC" w:rsidP="00CD25AC">
      <w:pPr>
        <w:jc w:val="both"/>
        <w:rPr>
          <w:u w:val="single"/>
        </w:rPr>
      </w:pPr>
    </w:p>
    <w:p w14:paraId="17DB7EBB" w14:textId="13E701EE" w:rsidR="00CD25AC" w:rsidRDefault="00CD25AC" w:rsidP="00CD25AC">
      <w:pPr>
        <w:jc w:val="both"/>
      </w:pPr>
      <w:r>
        <w:tab/>
      </w:r>
      <w:r w:rsidRPr="008B6327">
        <w:t>Pursuant to Rule 28-106.205</w:t>
      </w:r>
      <w:r w:rsidR="008E3D65">
        <w:t>,</w:t>
      </w:r>
      <w:r w:rsidRPr="008B6327">
        <w:t xml:space="preserve"> F.A.C.,</w:t>
      </w:r>
    </w:p>
    <w:p w14:paraId="5A997C09" w14:textId="77777777" w:rsidR="00CD25AC" w:rsidRDefault="00CD25AC" w:rsidP="00CD25AC">
      <w:pPr>
        <w:jc w:val="both"/>
      </w:pPr>
    </w:p>
    <w:p w14:paraId="4D3856A3" w14:textId="77777777" w:rsidR="00CD25AC" w:rsidRDefault="00CD25AC" w:rsidP="00CD25AC">
      <w:pPr>
        <w:ind w:left="720" w:right="720"/>
        <w:jc w:val="both"/>
        <w:rPr>
          <w:noProof/>
          <w:color w:val="000000"/>
        </w:rPr>
      </w:pPr>
      <w:r>
        <w:rPr>
          <w:noProof/>
          <w:color w:val="000000"/>
        </w:rPr>
        <w:t xml:space="preserve">Persons other than the original parties to a pending proceeding whose substantial interest will be affected by the proceeding and who desire to become parties may move the presiding officer for leave to intervene. Except for good casue shown, motions for leave to intervene must be filed at least 20 days before the final hearing unless otherwise provided by law. The parties may, within 7 days of service of the motion, file a response in opposition. The presiding officer may impose terms and conditions on the intervenor to limit prejudice to other parties. </w:t>
      </w:r>
    </w:p>
    <w:p w14:paraId="05607E3D" w14:textId="77777777" w:rsidR="00CD25AC" w:rsidRDefault="00CD25AC" w:rsidP="00CD25AC">
      <w:pPr>
        <w:jc w:val="both"/>
        <w:rPr>
          <w:u w:val="single"/>
        </w:rPr>
      </w:pPr>
    </w:p>
    <w:p w14:paraId="7A97A27A" w14:textId="717CE4CA" w:rsidR="00CD25AC" w:rsidRPr="00863A1D" w:rsidRDefault="00CD25AC" w:rsidP="00226FC9">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that (1) he will suffer injury in fact which is of sufficient immediacy to entitle him to a Section 120.57, F.S., hearing, and (2) this substantial injury is of a type or nature which the proceeding is designed to protect.  The first prong of the </w:t>
      </w:r>
      <w:r>
        <w:lastRenderedPageBreak/>
        <w:t xml:space="preserve">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14:paraId="21ADE251" w14:textId="77777777" w:rsidR="00740EE3" w:rsidRDefault="00740EE3" w:rsidP="00CA1580">
      <w:pPr>
        <w:jc w:val="both"/>
      </w:pPr>
    </w:p>
    <w:p w14:paraId="460231AD" w14:textId="77777777" w:rsidR="00CA1580" w:rsidRDefault="00CA1580" w:rsidP="00CA1580">
      <w:pPr>
        <w:jc w:val="both"/>
      </w:pPr>
      <w:r>
        <w:rPr>
          <w:u w:val="single"/>
        </w:rPr>
        <w:t>Analysis &amp; Ruling</w:t>
      </w:r>
    </w:p>
    <w:p w14:paraId="5D389230" w14:textId="77777777" w:rsidR="00CA1580" w:rsidRDefault="00CA1580" w:rsidP="00CA1580">
      <w:pPr>
        <w:jc w:val="both"/>
      </w:pPr>
    </w:p>
    <w:p w14:paraId="07C73385" w14:textId="5B8AE0E5" w:rsidR="00EE5C3E" w:rsidRDefault="00CA1580" w:rsidP="00F03355">
      <w:pPr>
        <w:ind w:firstLine="720"/>
        <w:jc w:val="both"/>
      </w:pPr>
      <w:r>
        <w:t xml:space="preserve">Based upon a review of the materials provided, </w:t>
      </w:r>
      <w:r w:rsidR="00E5063D">
        <w:t>Quantum</w:t>
      </w:r>
      <w:r>
        <w:t xml:space="preserve"> meets the two-prong standing test in </w:t>
      </w:r>
      <w:r>
        <w:rPr>
          <w:u w:val="single"/>
        </w:rPr>
        <w:t>Agrico</w:t>
      </w:r>
      <w:r>
        <w:t xml:space="preserve">. </w:t>
      </w:r>
      <w:r w:rsidR="000B4978">
        <w:t xml:space="preserve">Quantum meets the first prong of </w:t>
      </w:r>
      <w:r w:rsidR="000B4978">
        <w:rPr>
          <w:u w:val="single"/>
        </w:rPr>
        <w:t>Agrico</w:t>
      </w:r>
      <w:r w:rsidR="000B4978" w:rsidRPr="000B4978">
        <w:t xml:space="preserve"> because</w:t>
      </w:r>
      <w:r w:rsidR="000B4978">
        <w:t xml:space="preserve"> </w:t>
      </w:r>
      <w:r w:rsidR="008E3D65">
        <w:t xml:space="preserve">as an unsuccessful bidder, its </w:t>
      </w:r>
      <w:r w:rsidR="00436C25">
        <w:t xml:space="preserve">injury in fact is that </w:t>
      </w:r>
      <w:r w:rsidR="008E3D65">
        <w:t xml:space="preserve">it </w:t>
      </w:r>
      <w:r w:rsidR="00436C25">
        <w:t>could have been selected as the bidder to partner with Seminole, but instead w</w:t>
      </w:r>
      <w:r w:rsidR="008E3D65">
        <w:t xml:space="preserve">as </w:t>
      </w:r>
      <w:r w:rsidR="00F03355">
        <w:t>not even though Quantum contends that its proposal was more cost-effective.</w:t>
      </w:r>
      <w:r w:rsidR="00436C25">
        <w:t xml:space="preserve"> Thus, if the need determination is granted, Shady Hills will provide Seminole’s firm capacity and Quantum will be precluded from</w:t>
      </w:r>
      <w:r w:rsidR="00F03355">
        <w:t xml:space="preserve"> this opportunity. </w:t>
      </w:r>
    </w:p>
    <w:p w14:paraId="08D13036" w14:textId="77777777" w:rsidR="00EE5C3E" w:rsidRDefault="00EE5C3E" w:rsidP="00D04135">
      <w:pPr>
        <w:ind w:firstLine="720"/>
        <w:jc w:val="both"/>
      </w:pPr>
    </w:p>
    <w:p w14:paraId="485FDE01" w14:textId="59A5DC6D" w:rsidR="00CA1580" w:rsidRDefault="00F03355" w:rsidP="007E1919">
      <w:pPr>
        <w:ind w:firstLine="720"/>
        <w:jc w:val="both"/>
      </w:pPr>
      <w:r>
        <w:t xml:space="preserve">Quantum meets the second prong of </w:t>
      </w:r>
      <w:r>
        <w:rPr>
          <w:u w:val="single"/>
        </w:rPr>
        <w:t>Agrico</w:t>
      </w:r>
      <w:r w:rsidRPr="000B4978">
        <w:t xml:space="preserve"> because</w:t>
      </w:r>
      <w:r>
        <w:t xml:space="preserve"> Section 403.519(3), F.S., provides that, among other things, in a need determination proceeding the Commission must take into account “</w:t>
      </w:r>
      <w:r w:rsidRPr="006D3F8F">
        <w:t>whether the proposed plant is the most cost-effective alternative available</w:t>
      </w:r>
      <w:r>
        <w:t xml:space="preserve">.” </w:t>
      </w:r>
      <w:r w:rsidR="007E1919">
        <w:t>As a competitor and participant in the RFP process, Quantum has the ability to provide testimony regarding the cost-effectiveness of alternate proposals in these proceedings. Thus, per Section 403.519(3), F.S., need determinations are</w:t>
      </w:r>
      <w:r w:rsidR="00EE5C3E">
        <w:t xml:space="preserve"> the appropriate </w:t>
      </w:r>
      <w:r w:rsidR="007E1919">
        <w:t xml:space="preserve">forum </w:t>
      </w:r>
      <w:r w:rsidR="00EE5C3E">
        <w:t>for Quantum to argue</w:t>
      </w:r>
      <w:r w:rsidR="007E1919">
        <w:t xml:space="preserve"> that</w:t>
      </w:r>
      <w:r w:rsidR="00EE5C3E">
        <w:t xml:space="preserve"> there are more cost-effective alternatives available to the Seminole Facility and Shady Hills Facility. </w:t>
      </w:r>
    </w:p>
    <w:p w14:paraId="12456EE0" w14:textId="77777777" w:rsidR="00C1025E" w:rsidRDefault="00C1025E" w:rsidP="00C1025E">
      <w:pPr>
        <w:ind w:firstLine="720"/>
        <w:jc w:val="both"/>
      </w:pPr>
    </w:p>
    <w:p w14:paraId="04D1778C" w14:textId="2B2D7EEB" w:rsidR="007E1919" w:rsidRDefault="00F03355" w:rsidP="00624077">
      <w:pPr>
        <w:ind w:firstLine="720"/>
        <w:jc w:val="both"/>
      </w:pPr>
      <w:r>
        <w:t>Furthermore, even though Seminole</w:t>
      </w:r>
      <w:r w:rsidR="007E1919">
        <w:t xml:space="preserve"> is not a public utility and</w:t>
      </w:r>
      <w:r>
        <w:t xml:space="preserve"> is not required to follow Rule 25-22.082 (“Bid Rule”), F.A.C., Seminole chose to issue an RFP in this instance, and under the Bid Rule an unsuccessful bidder that participated in the RFP process can </w:t>
      </w:r>
      <w:r w:rsidR="008E3D65">
        <w:t>seek intervention</w:t>
      </w:r>
      <w:r>
        <w:t xml:space="preserve"> in a need determination proceeding related to the RFP. As a participant in the RFP process, Quantum would have standing to intervene if the Bid Rule were applicable. A</w:t>
      </w:r>
      <w:r w:rsidR="007E1919">
        <w:t>l</w:t>
      </w:r>
      <w:r>
        <w:t>s</w:t>
      </w:r>
      <w:r w:rsidR="007E1919">
        <w:t>o, as</w:t>
      </w:r>
      <w:r>
        <w:t xml:space="preserve"> noted in Intervenors’ Motion, the Commission has previously granted standing to an unsuccessful competitor prior to the promulgation of the Bid Rule.</w:t>
      </w:r>
      <w:r>
        <w:rPr>
          <w:rStyle w:val="FootnoteReference"/>
        </w:rPr>
        <w:footnoteReference w:id="3"/>
      </w:r>
      <w:r>
        <w:t xml:space="preserve"> </w:t>
      </w:r>
      <w:r w:rsidR="00624077">
        <w:t xml:space="preserve">Thus it is appropriate to grant intervention, in </w:t>
      </w:r>
      <w:r w:rsidR="008E3D65">
        <w:t>following the spirit of the Bid R</w:t>
      </w:r>
      <w:r w:rsidR="007E1919">
        <w:t>ule</w:t>
      </w:r>
      <w:r w:rsidR="00624077">
        <w:t xml:space="preserve"> </w:t>
      </w:r>
      <w:r w:rsidR="007E1919">
        <w:t xml:space="preserve">and given the Commission’s historic record of allowing competitors that were outbid to intervene in a need proceeding. It is also worth noting that it is in the best interest of Seminole’s cooperative members and their member-consumers for Quantum to intervene in these proceedings, to ensure that Seminole did in fact choose the most cost-effective </w:t>
      </w:r>
      <w:r w:rsidR="008E3D65">
        <w:t>alternative to provide</w:t>
      </w:r>
      <w:r w:rsidR="00624077">
        <w:t xml:space="preserve"> firm capacity</w:t>
      </w:r>
      <w:r w:rsidR="007E1919">
        <w:t>.</w:t>
      </w:r>
      <w:r w:rsidR="00624077">
        <w:t xml:space="preserve"> </w:t>
      </w:r>
    </w:p>
    <w:p w14:paraId="523FD8DE" w14:textId="77777777" w:rsidR="00F03355" w:rsidRPr="00C1025E" w:rsidRDefault="00F03355" w:rsidP="00F03355">
      <w:pPr>
        <w:jc w:val="both"/>
      </w:pPr>
    </w:p>
    <w:p w14:paraId="20D4B4D1" w14:textId="55C0F8C4" w:rsidR="00CA1580" w:rsidRPr="00B63CE3" w:rsidRDefault="00CA1580" w:rsidP="00CA1580">
      <w:pPr>
        <w:jc w:val="both"/>
      </w:pPr>
      <w:r w:rsidRPr="00E667EA">
        <w:rPr>
          <w:color w:val="008000"/>
        </w:rPr>
        <w:tab/>
      </w:r>
      <w:r w:rsidRPr="00B63CE3">
        <w:t xml:space="preserve">Because </w:t>
      </w:r>
      <w:r w:rsidR="00B63CE3" w:rsidRPr="00B63CE3">
        <w:t>Quantum</w:t>
      </w:r>
      <w:r w:rsidRPr="00B63CE3">
        <w:t xml:space="preserve"> meets the two-prong standing test established in </w:t>
      </w:r>
      <w:r w:rsidRPr="00B63CE3">
        <w:rPr>
          <w:u w:val="single"/>
        </w:rPr>
        <w:t>Agrico</w:t>
      </w:r>
      <w:r w:rsidR="00B63CE3" w:rsidRPr="00B63CE3">
        <w:t>,</w:t>
      </w:r>
      <w:r w:rsidRPr="00B63CE3">
        <w:t xml:space="preserve"> it appears that </w:t>
      </w:r>
      <w:r w:rsidR="00B63CE3" w:rsidRPr="00B63CE3">
        <w:t>Quantum’s</w:t>
      </w:r>
      <w:r w:rsidRPr="00B63CE3">
        <w:t xml:space="preserve"> substantial interests may be affected by this proceeding. </w:t>
      </w:r>
      <w:r w:rsidR="00355754">
        <w:t>As stated above, o</w:t>
      </w:r>
      <w:r w:rsidR="00B63CE3" w:rsidRPr="00B63CE3">
        <w:t xml:space="preserve">pposing counsel took no position on </w:t>
      </w:r>
      <w:r w:rsidR="00B63CE3">
        <w:t xml:space="preserve">the </w:t>
      </w:r>
      <w:r w:rsidR="0018012C">
        <w:t>Motion</w:t>
      </w:r>
      <w:r w:rsidR="00B63CE3" w:rsidRPr="00B63CE3">
        <w:t xml:space="preserve">, subject to proof of standing at hearing. </w:t>
      </w:r>
      <w:r w:rsidRPr="00B63CE3">
        <w:t xml:space="preserve">Therefore, the </w:t>
      </w:r>
      <w:r w:rsidR="0018012C">
        <w:t>Motion</w:t>
      </w:r>
      <w:r w:rsidRPr="00B63CE3">
        <w:t xml:space="preserve"> </w:t>
      </w:r>
      <w:r w:rsidR="0018012C">
        <w:t xml:space="preserve">to Intervene </w:t>
      </w:r>
      <w:r w:rsidRPr="00B63CE3">
        <w:t>shall be granted</w:t>
      </w:r>
      <w:r w:rsidR="0018012C">
        <w:t xml:space="preserve"> for Docket Nos. 20170266-EC and 20170267-EC.</w:t>
      </w:r>
      <w:r w:rsidRPr="00B63CE3">
        <w:t xml:space="preserve"> Notwithstanding granting intervention, I remind </w:t>
      </w:r>
      <w:r w:rsidR="00B63CE3" w:rsidRPr="00B63CE3">
        <w:t>Quantum</w:t>
      </w:r>
      <w:r w:rsidRPr="00B63CE3">
        <w:t xml:space="preserve"> that issues shall be limited to those appropriate to the sc</w:t>
      </w:r>
      <w:r w:rsidR="00EE5C3E">
        <w:t>ope of a determination of need.</w:t>
      </w:r>
      <w:r w:rsidRPr="00B63CE3">
        <w:t xml:space="preserve"> </w:t>
      </w:r>
      <w:r w:rsidR="00B63CE3" w:rsidRPr="00B63CE3">
        <w:t>Quantum</w:t>
      </w:r>
      <w:r w:rsidRPr="00B63CE3">
        <w:t xml:space="preserve"> takes the case as it finds it.</w:t>
      </w:r>
    </w:p>
    <w:p w14:paraId="6ADE1DFD" w14:textId="77777777" w:rsidR="004A6690" w:rsidRPr="00826D5E" w:rsidRDefault="004A6690" w:rsidP="00CA1580">
      <w:pPr>
        <w:jc w:val="both"/>
      </w:pPr>
    </w:p>
    <w:p w14:paraId="1FEE1862" w14:textId="77777777" w:rsidR="00CA1580" w:rsidRPr="00826D5E" w:rsidRDefault="00CA1580" w:rsidP="00CA1580">
      <w:pPr>
        <w:jc w:val="both"/>
      </w:pPr>
      <w:r w:rsidRPr="00826D5E">
        <w:tab/>
        <w:t>Therefore, it is</w:t>
      </w:r>
    </w:p>
    <w:p w14:paraId="0C2A3229" w14:textId="77777777" w:rsidR="00CA1580" w:rsidRPr="00826D5E" w:rsidRDefault="00CA1580" w:rsidP="00CA1580">
      <w:pPr>
        <w:jc w:val="both"/>
      </w:pPr>
    </w:p>
    <w:p w14:paraId="49D2F81B" w14:textId="2C87FB62" w:rsidR="00CA1580" w:rsidRDefault="00CA1580" w:rsidP="00CA1580">
      <w:pPr>
        <w:jc w:val="both"/>
      </w:pPr>
      <w:r w:rsidRPr="00826D5E">
        <w:tab/>
        <w:t xml:space="preserve">ORDERED by </w:t>
      </w:r>
      <w:r>
        <w:t xml:space="preserve">Commissioner Gary F. Clark, as Prehearing Officer, </w:t>
      </w:r>
      <w:r w:rsidRPr="00826D5E">
        <w:t xml:space="preserve">that the </w:t>
      </w:r>
      <w:r w:rsidR="00B63CE3">
        <w:t xml:space="preserve">Motion to Intervene </w:t>
      </w:r>
      <w:r w:rsidRPr="00826D5E">
        <w:t xml:space="preserve">filed by </w:t>
      </w:r>
      <w:r w:rsidR="00B63CE3">
        <w:t>Quantum</w:t>
      </w:r>
      <w:r w:rsidRPr="004F3364">
        <w:t xml:space="preserve"> </w:t>
      </w:r>
      <w:r w:rsidRPr="00826D5E">
        <w:t>is hereby granted.  It is further</w:t>
      </w:r>
    </w:p>
    <w:p w14:paraId="2EEF65A4" w14:textId="77777777" w:rsidR="003E04FF" w:rsidRDefault="003E04FF" w:rsidP="00CA1580">
      <w:pPr>
        <w:jc w:val="both"/>
      </w:pPr>
    </w:p>
    <w:p w14:paraId="311B0E02" w14:textId="2D961158" w:rsidR="003E04FF" w:rsidRPr="00826D5E" w:rsidRDefault="003E04FF" w:rsidP="00CA1580">
      <w:pPr>
        <w:jc w:val="both"/>
      </w:pPr>
      <w:r>
        <w:tab/>
      </w:r>
      <w:r w:rsidRPr="00826D5E">
        <w:t xml:space="preserve">ORDERED </w:t>
      </w:r>
      <w:r>
        <w:t>that Quantum</w:t>
      </w:r>
      <w:r w:rsidR="00EE5C3E">
        <w:t xml:space="preserve"> Pasco Power, L.P.</w:t>
      </w:r>
      <w:r>
        <w:t xml:space="preserve"> will be granted intervention in both Docket Nos. 20170266-EC and 20170267-EC.  </w:t>
      </w:r>
      <w:r w:rsidRPr="00826D5E">
        <w:t>It is further</w:t>
      </w:r>
    </w:p>
    <w:p w14:paraId="3E5E0A70" w14:textId="77777777" w:rsidR="000263E5" w:rsidRPr="00826D5E" w:rsidRDefault="000263E5" w:rsidP="00CA1580">
      <w:pPr>
        <w:jc w:val="both"/>
      </w:pPr>
    </w:p>
    <w:p w14:paraId="3173E172" w14:textId="77777777" w:rsidR="00CA1580" w:rsidRPr="00826D5E" w:rsidRDefault="00CA1580" w:rsidP="00CA1580">
      <w:pPr>
        <w:jc w:val="both"/>
      </w:pPr>
      <w:r w:rsidRPr="00826D5E">
        <w:tab/>
        <w:t>ORDERED that all parties to this proceeding shall furnish copies of all testimony, exhibits, pleadings and other documents which may hereinafter be filed in this proceeding, to:</w:t>
      </w:r>
    </w:p>
    <w:p w14:paraId="459C93AD" w14:textId="77777777" w:rsidR="00CA1580" w:rsidRPr="00826D5E" w:rsidRDefault="00CA1580" w:rsidP="00CA1580"/>
    <w:tbl>
      <w:tblPr>
        <w:tblW w:w="0" w:type="auto"/>
        <w:tblInd w:w="129" w:type="dxa"/>
        <w:tblLayout w:type="fixed"/>
        <w:tblCellMar>
          <w:left w:w="129" w:type="dxa"/>
          <w:right w:w="129" w:type="dxa"/>
        </w:tblCellMar>
        <w:tblLook w:val="0000" w:firstRow="0" w:lastRow="0" w:firstColumn="0" w:lastColumn="0" w:noHBand="0" w:noVBand="0"/>
      </w:tblPr>
      <w:tblGrid>
        <w:gridCol w:w="4680"/>
        <w:gridCol w:w="4684"/>
      </w:tblGrid>
      <w:tr w:rsidR="00A117A9" w:rsidRPr="00826D5E" w14:paraId="0F227D64" w14:textId="77777777" w:rsidTr="00A117A9">
        <w:trPr>
          <w:cantSplit/>
          <w:trHeight w:val="375"/>
        </w:trPr>
        <w:tc>
          <w:tcPr>
            <w:tcW w:w="4680" w:type="dxa"/>
            <w:tcBorders>
              <w:top w:val="nil"/>
              <w:left w:val="nil"/>
              <w:bottom w:val="nil"/>
              <w:right w:val="nil"/>
            </w:tcBorders>
          </w:tcPr>
          <w:p w14:paraId="22DA35B5" w14:textId="551EBE51" w:rsidR="00CA1580" w:rsidRDefault="00A117A9" w:rsidP="00165EAF">
            <w:r>
              <w:t>Robert Scheffel Wright</w:t>
            </w:r>
          </w:p>
          <w:p w14:paraId="284B1CC6" w14:textId="36DACC9C" w:rsidR="00CA1580" w:rsidRDefault="00A117A9" w:rsidP="00165EAF">
            <w:r>
              <w:t>Gardner, Bist, Bowden, Bush, Dee, LaVia &amp; Wright, P.A.</w:t>
            </w:r>
          </w:p>
          <w:p w14:paraId="649B9E5C" w14:textId="24E7414D" w:rsidR="00CA1580" w:rsidRDefault="00A117A9" w:rsidP="00165EAF">
            <w:r>
              <w:t>1300 Thomaswood Drive</w:t>
            </w:r>
          </w:p>
          <w:p w14:paraId="411725BC" w14:textId="6AEED451" w:rsidR="00CA1580" w:rsidRDefault="00A117A9" w:rsidP="00165EAF">
            <w:r>
              <w:t>Tallahassee, FL 32308</w:t>
            </w:r>
          </w:p>
          <w:p w14:paraId="465CCEF6" w14:textId="1CA731EE" w:rsidR="00CA1580" w:rsidRPr="00826D5E" w:rsidRDefault="00A117A9" w:rsidP="00A117A9">
            <w:r>
              <w:t>850-385-0070</w:t>
            </w:r>
          </w:p>
        </w:tc>
        <w:tc>
          <w:tcPr>
            <w:tcW w:w="4684" w:type="dxa"/>
            <w:tcBorders>
              <w:top w:val="nil"/>
              <w:left w:val="nil"/>
              <w:bottom w:val="nil"/>
              <w:right w:val="nil"/>
            </w:tcBorders>
          </w:tcPr>
          <w:p w14:paraId="1BEDFA86" w14:textId="1194782E" w:rsidR="00A117A9" w:rsidRDefault="00A117A9" w:rsidP="00A117A9">
            <w:r>
              <w:t>John T. LaVia, III</w:t>
            </w:r>
          </w:p>
          <w:p w14:paraId="13B0955E" w14:textId="77777777" w:rsidR="00A117A9" w:rsidRDefault="00A117A9" w:rsidP="00A117A9">
            <w:r>
              <w:t>Gardner, Bist, Bowden, Bush, Dee, LaVia &amp; Wright, P.A.</w:t>
            </w:r>
          </w:p>
          <w:p w14:paraId="785EE17B" w14:textId="77777777" w:rsidR="00A117A9" w:rsidRDefault="00A117A9" w:rsidP="00A117A9">
            <w:r>
              <w:t>1300 Thomaswood Drive</w:t>
            </w:r>
          </w:p>
          <w:p w14:paraId="6AFD1D93" w14:textId="77777777" w:rsidR="00A117A9" w:rsidRDefault="00A117A9" w:rsidP="00A117A9">
            <w:r>
              <w:t>Tallahassee, FL 32308</w:t>
            </w:r>
          </w:p>
          <w:p w14:paraId="27DAC774" w14:textId="0B646DD7" w:rsidR="00CA1580" w:rsidRPr="00826D5E" w:rsidRDefault="00A117A9" w:rsidP="00A117A9">
            <w:r>
              <w:t>850-385-0070</w:t>
            </w:r>
          </w:p>
        </w:tc>
      </w:tr>
      <w:tr w:rsidR="00B579D7" w:rsidRPr="00826D5E" w14:paraId="2451A5E8" w14:textId="77777777" w:rsidTr="00A117A9">
        <w:trPr>
          <w:cantSplit/>
          <w:trHeight w:val="375"/>
        </w:trPr>
        <w:tc>
          <w:tcPr>
            <w:tcW w:w="4680" w:type="dxa"/>
            <w:tcBorders>
              <w:top w:val="nil"/>
              <w:left w:val="nil"/>
              <w:bottom w:val="nil"/>
              <w:right w:val="nil"/>
            </w:tcBorders>
          </w:tcPr>
          <w:p w14:paraId="5EF64A35" w14:textId="26526AF8" w:rsidR="00B579D7" w:rsidRDefault="004F7E7F" w:rsidP="00165EAF">
            <w:hyperlink r:id="rId8" w:history="1">
              <w:r w:rsidR="00B579D7" w:rsidRPr="00E87575">
                <w:rPr>
                  <w:rStyle w:val="Hyperlink"/>
                  <w:iCs/>
                </w:rPr>
                <w:t>schef@gbwlegal.com</w:t>
              </w:r>
            </w:hyperlink>
            <w:r w:rsidR="00B579D7">
              <w:rPr>
                <w:iCs/>
                <w:color w:val="212121"/>
              </w:rPr>
              <w:t xml:space="preserve">  </w:t>
            </w:r>
          </w:p>
        </w:tc>
        <w:tc>
          <w:tcPr>
            <w:tcW w:w="4684" w:type="dxa"/>
            <w:tcBorders>
              <w:top w:val="nil"/>
              <w:left w:val="nil"/>
              <w:bottom w:val="nil"/>
              <w:right w:val="nil"/>
            </w:tcBorders>
          </w:tcPr>
          <w:p w14:paraId="2989BE2E" w14:textId="6B567BC9" w:rsidR="00B579D7" w:rsidRDefault="004F7E7F" w:rsidP="00A117A9">
            <w:hyperlink r:id="rId9" w:history="1">
              <w:r w:rsidR="00B579D7" w:rsidRPr="00E87575">
                <w:rPr>
                  <w:rStyle w:val="Hyperlink"/>
                  <w:iCs/>
                </w:rPr>
                <w:t>jlavia@gbwlegal.com</w:t>
              </w:r>
            </w:hyperlink>
          </w:p>
        </w:tc>
      </w:tr>
    </w:tbl>
    <w:p w14:paraId="39312D69" w14:textId="42DE72AD" w:rsidR="00035651" w:rsidRPr="00F23F40" w:rsidRDefault="00B579D7" w:rsidP="00035651">
      <w:pPr>
        <w:pStyle w:val="CenterUnderline"/>
        <w:jc w:val="left"/>
        <w:rPr>
          <w:b/>
          <w:u w:val="none"/>
        </w:rPr>
      </w:pPr>
      <w:r w:rsidRPr="00B579D7">
        <w:rPr>
          <w:iCs/>
          <w:color w:val="212121"/>
          <w:u w:val="none"/>
        </w:rPr>
        <w:t xml:space="preserve">  </w:t>
      </w:r>
    </w:p>
    <w:tbl>
      <w:tblPr>
        <w:tblW w:w="0" w:type="auto"/>
        <w:tblInd w:w="129" w:type="dxa"/>
        <w:tblLayout w:type="fixed"/>
        <w:tblCellMar>
          <w:left w:w="129" w:type="dxa"/>
          <w:right w:w="129" w:type="dxa"/>
        </w:tblCellMar>
        <w:tblLook w:val="0000" w:firstRow="0" w:lastRow="0" w:firstColumn="0" w:lastColumn="0" w:noHBand="0" w:noVBand="0"/>
      </w:tblPr>
      <w:tblGrid>
        <w:gridCol w:w="4680"/>
        <w:gridCol w:w="4684"/>
      </w:tblGrid>
      <w:tr w:rsidR="00485573" w:rsidRPr="00826D5E" w14:paraId="06525BCD" w14:textId="77777777" w:rsidTr="00165EAF">
        <w:trPr>
          <w:cantSplit/>
          <w:trHeight w:val="375"/>
        </w:trPr>
        <w:tc>
          <w:tcPr>
            <w:tcW w:w="4680" w:type="dxa"/>
            <w:tcBorders>
              <w:top w:val="nil"/>
              <w:left w:val="nil"/>
              <w:bottom w:val="nil"/>
              <w:right w:val="nil"/>
            </w:tcBorders>
          </w:tcPr>
          <w:p w14:paraId="41681945" w14:textId="36A3095B" w:rsidR="00485573" w:rsidRDefault="00485573" w:rsidP="00165EAF">
            <w:r>
              <w:t>James Maiz, President</w:t>
            </w:r>
          </w:p>
          <w:p w14:paraId="519E4D9F" w14:textId="407CF617" w:rsidR="00485573" w:rsidRDefault="00485573" w:rsidP="00165EAF">
            <w:r>
              <w:t>Quantum Pasco Power, L.P.</w:t>
            </w:r>
          </w:p>
          <w:p w14:paraId="14F99D92" w14:textId="77777777" w:rsidR="00485573" w:rsidRDefault="00485573" w:rsidP="00165EAF">
            <w:r>
              <w:t>24 Waterway Avenue, Suite 800</w:t>
            </w:r>
          </w:p>
          <w:p w14:paraId="0078D57F" w14:textId="27AAC5F2" w:rsidR="00485573" w:rsidRDefault="00485573" w:rsidP="00165EAF">
            <w:r>
              <w:t>The Woodlands, TX 77002</w:t>
            </w:r>
          </w:p>
          <w:p w14:paraId="66CE1E04" w14:textId="4F4A4DB4" w:rsidR="00485573" w:rsidRPr="00826D5E" w:rsidRDefault="00485573" w:rsidP="00165EAF">
            <w:r>
              <w:t>281-863-9006</w:t>
            </w:r>
          </w:p>
        </w:tc>
        <w:tc>
          <w:tcPr>
            <w:tcW w:w="4684" w:type="dxa"/>
            <w:tcBorders>
              <w:top w:val="nil"/>
              <w:left w:val="nil"/>
              <w:bottom w:val="nil"/>
              <w:right w:val="nil"/>
            </w:tcBorders>
          </w:tcPr>
          <w:p w14:paraId="0098F096" w14:textId="20986885" w:rsidR="00485573" w:rsidRPr="00826D5E" w:rsidRDefault="00485573" w:rsidP="00165EAF"/>
        </w:tc>
      </w:tr>
      <w:tr w:rsidR="00B827AE" w:rsidRPr="00826D5E" w14:paraId="42C7858B" w14:textId="77777777" w:rsidTr="00165EAF">
        <w:trPr>
          <w:cantSplit/>
          <w:trHeight w:val="375"/>
        </w:trPr>
        <w:tc>
          <w:tcPr>
            <w:tcW w:w="4680" w:type="dxa"/>
            <w:tcBorders>
              <w:top w:val="nil"/>
              <w:left w:val="nil"/>
              <w:bottom w:val="nil"/>
              <w:right w:val="nil"/>
            </w:tcBorders>
          </w:tcPr>
          <w:p w14:paraId="6F657E86" w14:textId="28E2EF7B" w:rsidR="00B827AE" w:rsidRDefault="004F7E7F" w:rsidP="00165EAF">
            <w:hyperlink r:id="rId10" w:history="1">
              <w:r w:rsidR="00B827AE" w:rsidRPr="00F56AFF">
                <w:rPr>
                  <w:rStyle w:val="Hyperlink"/>
                </w:rPr>
                <w:t>james.maiz@rocklandcapital.com</w:t>
              </w:r>
            </w:hyperlink>
            <w:r w:rsidR="00B827AE">
              <w:t xml:space="preserve"> </w:t>
            </w:r>
          </w:p>
        </w:tc>
        <w:tc>
          <w:tcPr>
            <w:tcW w:w="4684" w:type="dxa"/>
            <w:tcBorders>
              <w:top w:val="nil"/>
              <w:left w:val="nil"/>
              <w:bottom w:val="nil"/>
              <w:right w:val="nil"/>
            </w:tcBorders>
          </w:tcPr>
          <w:p w14:paraId="23B3C634" w14:textId="77777777" w:rsidR="00B827AE" w:rsidRPr="00826D5E" w:rsidRDefault="00B827AE" w:rsidP="00165EAF"/>
        </w:tc>
      </w:tr>
    </w:tbl>
    <w:p w14:paraId="5DC07EB5" w14:textId="270F60B0" w:rsidR="00035651" w:rsidRPr="00817318" w:rsidRDefault="00035651" w:rsidP="00B63CE3">
      <w:pPr>
        <w:pStyle w:val="ListParagraph"/>
        <w:ind w:left="0"/>
        <w:jc w:val="both"/>
        <w:rPr>
          <w:rFonts w:ascii="Times New Roman" w:hAnsi="Times New Roman"/>
          <w:iCs/>
          <w:color w:val="212121"/>
        </w:rPr>
      </w:pPr>
    </w:p>
    <w:p w14:paraId="62AE8426" w14:textId="6B212F05" w:rsidR="00035651" w:rsidRDefault="00035651" w:rsidP="00035651">
      <w:pPr>
        <w:pStyle w:val="ListParagraph"/>
        <w:ind w:left="0"/>
        <w:jc w:val="both"/>
        <w:rPr>
          <w:rFonts w:ascii="Times New Roman" w:hAnsi="Times New Roman"/>
          <w:iCs/>
          <w:color w:val="212121"/>
        </w:rPr>
      </w:pPr>
    </w:p>
    <w:p w14:paraId="5C108D47" w14:textId="61EE3F74"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t xml:space="preserve">By ORDER of Commissioner Gary F. Clark, as Prehearing Officer, this </w:t>
      </w:r>
      <w:bookmarkStart w:id="6" w:name="replaceDate"/>
      <w:bookmarkEnd w:id="6"/>
      <w:r w:rsidR="00DC2C35">
        <w:rPr>
          <w:rFonts w:ascii="Times New Roman" w:hAnsi="Times New Roman"/>
          <w:iCs/>
          <w:color w:val="212121"/>
          <w:u w:val="single"/>
        </w:rPr>
        <w:t>24th</w:t>
      </w:r>
      <w:r w:rsidR="00DC2C35">
        <w:rPr>
          <w:rFonts w:ascii="Times New Roman" w:hAnsi="Times New Roman"/>
          <w:iCs/>
          <w:color w:val="212121"/>
        </w:rPr>
        <w:t xml:space="preserve"> day of </w:t>
      </w:r>
      <w:r w:rsidR="00DC2C35">
        <w:rPr>
          <w:rFonts w:ascii="Times New Roman" w:hAnsi="Times New Roman"/>
          <w:iCs/>
          <w:color w:val="212121"/>
          <w:u w:val="single"/>
        </w:rPr>
        <w:t>January</w:t>
      </w:r>
      <w:r w:rsidR="00DC2C35">
        <w:rPr>
          <w:rFonts w:ascii="Times New Roman" w:hAnsi="Times New Roman"/>
          <w:iCs/>
          <w:color w:val="212121"/>
        </w:rPr>
        <w:t xml:space="preserve">, </w:t>
      </w:r>
      <w:r w:rsidR="00DC2C35">
        <w:rPr>
          <w:rFonts w:ascii="Times New Roman" w:hAnsi="Times New Roman"/>
          <w:iCs/>
          <w:color w:val="212121"/>
          <w:u w:val="single"/>
        </w:rPr>
        <w:t>2018</w:t>
      </w:r>
      <w:r w:rsidR="00DC2C35">
        <w:rPr>
          <w:rFonts w:ascii="Times New Roman" w:hAnsi="Times New Roman"/>
          <w:iCs/>
          <w:color w:val="212121"/>
        </w:rPr>
        <w:t>.</w:t>
      </w:r>
    </w:p>
    <w:p w14:paraId="0C052B1F" w14:textId="77777777" w:rsidR="00DC2C35" w:rsidRPr="00DC2C35" w:rsidRDefault="00DC2C35" w:rsidP="00035651">
      <w:pPr>
        <w:pStyle w:val="ListParagraph"/>
        <w:keepNext/>
        <w:keepLines/>
        <w:ind w:left="0"/>
        <w:jc w:val="both"/>
        <w:rPr>
          <w:rFonts w:ascii="Times New Roman" w:hAnsi="Times New Roman"/>
          <w:iCs/>
          <w:color w:val="212121"/>
        </w:rPr>
      </w:pPr>
    </w:p>
    <w:p w14:paraId="0208D714" w14:textId="77777777" w:rsidR="00035651" w:rsidRDefault="00035651" w:rsidP="00035651">
      <w:pPr>
        <w:pStyle w:val="ListParagraph"/>
        <w:keepNext/>
        <w:keepLines/>
        <w:ind w:left="0"/>
        <w:jc w:val="both"/>
        <w:rPr>
          <w:rFonts w:ascii="Times New Roman" w:hAnsi="Times New Roman"/>
          <w:iCs/>
          <w:color w:val="212121"/>
        </w:rPr>
      </w:pPr>
    </w:p>
    <w:p w14:paraId="282FDE87" w14:textId="77777777" w:rsidR="00035651" w:rsidRDefault="00035651" w:rsidP="00035651">
      <w:pPr>
        <w:pStyle w:val="ListParagraph"/>
        <w:keepNext/>
        <w:keepLines/>
        <w:ind w:left="0"/>
        <w:jc w:val="both"/>
        <w:rPr>
          <w:rFonts w:ascii="Times New Roman" w:hAnsi="Times New Roman"/>
          <w:iCs/>
          <w:color w:val="212121"/>
        </w:rPr>
      </w:pPr>
    </w:p>
    <w:p w14:paraId="4F78A6BA" w14:textId="77777777" w:rsidR="00035651" w:rsidRDefault="00035651" w:rsidP="00035651">
      <w:pPr>
        <w:pStyle w:val="ListParagraph"/>
        <w:keepNext/>
        <w:keepLines/>
        <w:ind w:left="0"/>
        <w:jc w:val="both"/>
        <w:rPr>
          <w:rFonts w:ascii="Times New Roman" w:hAnsi="Times New Roman"/>
          <w:iCs/>
          <w:color w:val="212121"/>
        </w:rPr>
      </w:pPr>
    </w:p>
    <w:p w14:paraId="62A11B90" w14:textId="77777777" w:rsidR="00035651" w:rsidRDefault="00035651" w:rsidP="00035651">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035651" w14:paraId="0FD7AF33" w14:textId="77777777" w:rsidTr="00035651">
        <w:tc>
          <w:tcPr>
            <w:tcW w:w="720" w:type="dxa"/>
            <w:shd w:val="clear" w:color="auto" w:fill="auto"/>
          </w:tcPr>
          <w:p w14:paraId="59AB5607" w14:textId="77777777" w:rsidR="00035651" w:rsidRDefault="00035651" w:rsidP="00035651">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14:paraId="1D1027E8" w14:textId="099D046F" w:rsidR="00035651" w:rsidRDefault="00DC2C35" w:rsidP="00035651">
            <w:pPr>
              <w:pStyle w:val="ListParagraph"/>
              <w:keepNext/>
              <w:keepLines/>
              <w:ind w:left="0"/>
              <w:jc w:val="both"/>
              <w:rPr>
                <w:rFonts w:ascii="Times New Roman" w:hAnsi="Times New Roman"/>
                <w:iCs/>
                <w:color w:val="212121"/>
              </w:rPr>
            </w:pPr>
            <w:r>
              <w:rPr>
                <w:rFonts w:ascii="Times New Roman" w:hAnsi="Times New Roman"/>
                <w:iCs/>
                <w:color w:val="212121"/>
              </w:rPr>
              <w:t>/s/ Gary F. Clark</w:t>
            </w:r>
          </w:p>
        </w:tc>
      </w:tr>
      <w:bookmarkEnd w:id="7"/>
      <w:tr w:rsidR="00035651" w14:paraId="0767E456" w14:textId="77777777" w:rsidTr="00035651">
        <w:tc>
          <w:tcPr>
            <w:tcW w:w="720" w:type="dxa"/>
            <w:shd w:val="clear" w:color="auto" w:fill="auto"/>
          </w:tcPr>
          <w:p w14:paraId="6068E8AE" w14:textId="77777777" w:rsidR="00035651" w:rsidRDefault="00035651" w:rsidP="00035651">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33B33B0C" w14:textId="77777777"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GARY F. CLARK</w:t>
            </w:r>
          </w:p>
          <w:p w14:paraId="7DECFB0C" w14:textId="77777777"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14:paraId="37AF7D27" w14:textId="77777777" w:rsidR="00035651" w:rsidRDefault="00035651" w:rsidP="00035651">
      <w:pPr>
        <w:pStyle w:val="OrderSigInfo"/>
        <w:keepNext/>
        <w:keepLines/>
      </w:pPr>
      <w:r>
        <w:t>Florida Public Service Commission</w:t>
      </w:r>
    </w:p>
    <w:p w14:paraId="626106B3" w14:textId="77777777" w:rsidR="00035651" w:rsidRDefault="00035651" w:rsidP="00035651">
      <w:pPr>
        <w:pStyle w:val="OrderSigInfo"/>
        <w:keepNext/>
        <w:keepLines/>
      </w:pPr>
      <w:r>
        <w:t>2540 Shumard Oak Boulevard</w:t>
      </w:r>
    </w:p>
    <w:p w14:paraId="3F4AF072" w14:textId="77777777" w:rsidR="00035651" w:rsidRDefault="00035651" w:rsidP="00035651">
      <w:pPr>
        <w:pStyle w:val="OrderSigInfo"/>
        <w:keepNext/>
        <w:keepLines/>
      </w:pPr>
      <w:r>
        <w:t>Tallahassee, Florida  32399</w:t>
      </w:r>
    </w:p>
    <w:p w14:paraId="38F72313" w14:textId="77777777" w:rsidR="00035651" w:rsidRDefault="00035651" w:rsidP="00035651">
      <w:pPr>
        <w:pStyle w:val="OrderSigInfo"/>
        <w:keepNext/>
        <w:keepLines/>
      </w:pPr>
      <w:r>
        <w:t>(850) 413</w:t>
      </w:r>
      <w:r>
        <w:noBreakHyphen/>
        <w:t>6770</w:t>
      </w:r>
    </w:p>
    <w:p w14:paraId="7C096BB0" w14:textId="77777777" w:rsidR="00035651" w:rsidRDefault="00035651" w:rsidP="00035651">
      <w:pPr>
        <w:pStyle w:val="OrderSigInfo"/>
        <w:keepNext/>
        <w:keepLines/>
      </w:pPr>
      <w:r>
        <w:t>www.floridapsc.com</w:t>
      </w:r>
    </w:p>
    <w:p w14:paraId="10752C56" w14:textId="77777777" w:rsidR="00035651" w:rsidRDefault="00035651" w:rsidP="00035651">
      <w:pPr>
        <w:pStyle w:val="OrderSigInfo"/>
        <w:keepNext/>
        <w:keepLines/>
      </w:pPr>
    </w:p>
    <w:p w14:paraId="7A329A35" w14:textId="77777777" w:rsidR="00035651" w:rsidRDefault="00035651" w:rsidP="00035651">
      <w:pPr>
        <w:pStyle w:val="OrderSigInfo"/>
        <w:keepNext/>
        <w:keepLines/>
      </w:pPr>
      <w:r>
        <w:t>Copies furnished:  A copy of this document is provided to the parties of record at the time of issuance and, if applicable, interested persons.</w:t>
      </w:r>
    </w:p>
    <w:p w14:paraId="0252E196" w14:textId="77777777" w:rsidR="00035651" w:rsidRDefault="00035651" w:rsidP="00035651">
      <w:pPr>
        <w:pStyle w:val="OrderBody"/>
        <w:keepNext/>
        <w:keepLines/>
      </w:pPr>
    </w:p>
    <w:p w14:paraId="40A4F48F" w14:textId="77777777" w:rsidR="00035651" w:rsidRDefault="00035651" w:rsidP="00035651">
      <w:pPr>
        <w:pStyle w:val="ListParagraph"/>
        <w:keepNext/>
        <w:keepLines/>
        <w:ind w:left="0"/>
        <w:jc w:val="both"/>
        <w:rPr>
          <w:rFonts w:ascii="Times New Roman" w:hAnsi="Times New Roman"/>
          <w:iCs/>
          <w:color w:val="212121"/>
        </w:rPr>
      </w:pPr>
    </w:p>
    <w:p w14:paraId="1346ED38" w14:textId="77777777"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RD</w:t>
      </w:r>
    </w:p>
    <w:p w14:paraId="23072A9A" w14:textId="77777777" w:rsidR="00035651" w:rsidRDefault="00035651" w:rsidP="00035651">
      <w:pPr>
        <w:pStyle w:val="ListParagraph"/>
        <w:ind w:left="0"/>
        <w:jc w:val="both"/>
        <w:rPr>
          <w:rFonts w:ascii="Times New Roman" w:hAnsi="Times New Roman"/>
          <w:iCs/>
          <w:color w:val="212121"/>
        </w:rPr>
      </w:pPr>
    </w:p>
    <w:p w14:paraId="64FA24B1" w14:textId="77777777" w:rsidR="00035651" w:rsidRDefault="00035651" w:rsidP="00035651">
      <w:pPr>
        <w:pStyle w:val="ListParagraph"/>
        <w:ind w:left="0"/>
        <w:jc w:val="both"/>
        <w:rPr>
          <w:rFonts w:ascii="Times New Roman" w:hAnsi="Times New Roman"/>
          <w:iCs/>
          <w:color w:val="212121"/>
        </w:rPr>
      </w:pPr>
    </w:p>
    <w:p w14:paraId="6B5E96D4" w14:textId="77777777" w:rsidR="00035651" w:rsidRDefault="00035651" w:rsidP="00035651">
      <w:pPr>
        <w:pStyle w:val="CenterUnderline"/>
      </w:pPr>
      <w:r>
        <w:t>NOTICE OF FURTHER PROCEEDINGS OR JUDICIAL REVIEW</w:t>
      </w:r>
    </w:p>
    <w:p w14:paraId="26CD3EE0" w14:textId="77777777" w:rsidR="00035651" w:rsidRDefault="00035651" w:rsidP="00035651">
      <w:pPr>
        <w:pStyle w:val="CenterUnderline"/>
      </w:pPr>
    </w:p>
    <w:p w14:paraId="2AF1D498" w14:textId="77777777" w:rsidR="00035651" w:rsidRDefault="00035651" w:rsidP="000356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A758E0F" w14:textId="77777777" w:rsidR="00035651" w:rsidRDefault="00035651" w:rsidP="00035651">
      <w:pPr>
        <w:pStyle w:val="OrderBody"/>
      </w:pPr>
    </w:p>
    <w:p w14:paraId="2AD789D3" w14:textId="77777777" w:rsidR="00035651" w:rsidRDefault="00035651" w:rsidP="00035651">
      <w:pPr>
        <w:pStyle w:val="OrderBody"/>
      </w:pPr>
      <w:r>
        <w:tab/>
        <w:t>Mediation may be available on a case-by-case basis.  If mediation is conducted, it does not affect a substantially interested person's right to a hearing.</w:t>
      </w:r>
    </w:p>
    <w:p w14:paraId="29CF3C38" w14:textId="77777777" w:rsidR="00035651" w:rsidRDefault="00035651" w:rsidP="00035651">
      <w:pPr>
        <w:pStyle w:val="OrderBody"/>
      </w:pPr>
    </w:p>
    <w:p w14:paraId="2E46D2AA" w14:textId="67BFC3BB" w:rsidR="00035651" w:rsidRDefault="00035651" w:rsidP="0003565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35651">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F52B4" w14:textId="77777777" w:rsidR="002A4E22" w:rsidRDefault="002A4E22">
      <w:r>
        <w:separator/>
      </w:r>
    </w:p>
  </w:endnote>
  <w:endnote w:type="continuationSeparator" w:id="0">
    <w:p w14:paraId="24B1960F" w14:textId="77777777" w:rsidR="002A4E22" w:rsidRDefault="002A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B0988" w14:textId="77777777" w:rsidR="002A4E22" w:rsidRDefault="002A4E22">
    <w:pPr>
      <w:pStyle w:val="Footer"/>
    </w:pPr>
  </w:p>
  <w:p w14:paraId="37697143" w14:textId="77777777" w:rsidR="002A4E22" w:rsidRDefault="002A4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C8B9D" w14:textId="77777777" w:rsidR="002A4E22" w:rsidRDefault="002A4E22">
      <w:r>
        <w:separator/>
      </w:r>
    </w:p>
  </w:footnote>
  <w:footnote w:type="continuationSeparator" w:id="0">
    <w:p w14:paraId="3E39F965" w14:textId="77777777" w:rsidR="002A4E22" w:rsidRDefault="002A4E22">
      <w:r>
        <w:continuationSeparator/>
      </w:r>
    </w:p>
  </w:footnote>
  <w:footnote w:id="1">
    <w:p w14:paraId="4C33BA76" w14:textId="451F14C7" w:rsidR="002A4E22" w:rsidRDefault="002A4E22">
      <w:pPr>
        <w:pStyle w:val="FootnoteText"/>
      </w:pPr>
      <w:r>
        <w:rPr>
          <w:rStyle w:val="FootnoteReference"/>
        </w:rPr>
        <w:footnoteRef/>
      </w:r>
      <w:r>
        <w:t xml:space="preserve"> Order No. PSC-92-1355-FOF-EQ, issued on November 23, 1992, in Docket No. 920520-EQ, </w:t>
      </w:r>
      <w:r w:rsidRPr="008C0CBF">
        <w:rPr>
          <w:u w:val="single"/>
        </w:rPr>
        <w:t>In re:  Joint Petition to determine need for electric power plant to be located in Okeechobee County by Florida Power &amp; Light Company and Cypress Energy Partners, Limited Partnership</w:t>
      </w:r>
      <w:r>
        <w:t>.</w:t>
      </w:r>
    </w:p>
  </w:footnote>
  <w:footnote w:id="2">
    <w:p w14:paraId="0B477611" w14:textId="11DBDBD2" w:rsidR="002A4E22" w:rsidRDefault="002A4E22">
      <w:pPr>
        <w:pStyle w:val="FootnoteText"/>
      </w:pPr>
      <w:r>
        <w:rPr>
          <w:rStyle w:val="FootnoteReference"/>
        </w:rPr>
        <w:footnoteRef/>
      </w:r>
      <w:r>
        <w:t xml:space="preserve"> </w:t>
      </w:r>
      <w:r w:rsidRPr="008C0CBF">
        <w:rPr>
          <w:u w:val="single"/>
        </w:rPr>
        <w:t>Id.</w:t>
      </w:r>
      <w:r>
        <w:t xml:space="preserve"> at</w:t>
      </w:r>
      <w:r w:rsidRPr="00226FC9">
        <w:t xml:space="preserve"> 3-4.</w:t>
      </w:r>
      <w:r>
        <w:t xml:space="preserve">  </w:t>
      </w:r>
    </w:p>
  </w:footnote>
  <w:footnote w:id="3">
    <w:p w14:paraId="3251A68F" w14:textId="77777777" w:rsidR="00F03355" w:rsidRPr="004B13FE" w:rsidRDefault="00F03355" w:rsidP="00F03355">
      <w:pPr>
        <w:pStyle w:val="FootnoteText"/>
      </w:pPr>
      <w:r w:rsidRPr="00C1025E">
        <w:rPr>
          <w:rStyle w:val="FootnoteReference"/>
        </w:rPr>
        <w:footnoteRef/>
      </w:r>
      <w:r w:rsidRPr="00C1025E">
        <w:t xml:space="preserve"> See Document No. 00375-2018, </w:t>
      </w:r>
      <w:r>
        <w:t xml:space="preserve">submitted on January 17, 2018, </w:t>
      </w:r>
      <w:r w:rsidRPr="00C1025E">
        <w:t>in Docket No. 20170266-EC</w:t>
      </w:r>
      <w:r>
        <w:t>,</w:t>
      </w:r>
      <w:r w:rsidRPr="00C1025E">
        <w:t xml:space="preserve"> at pages 10-11.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0A3" w14:textId="2FCB35BB" w:rsidR="002A4E22" w:rsidRDefault="002A4E22">
    <w:pPr>
      <w:pStyle w:val="OrderHeader"/>
    </w:pPr>
    <w:r>
      <w:t xml:space="preserve">ORDER NO. </w:t>
    </w:r>
    <w:r w:rsidR="004F7E7F">
      <w:t>PSC-2018-0063-PCO-EC</w:t>
    </w:r>
  </w:p>
  <w:p w14:paraId="67E4B388" w14:textId="02E55E71" w:rsidR="002A4E22" w:rsidRDefault="002A4E22">
    <w:pPr>
      <w:pStyle w:val="OrderHeader"/>
    </w:pPr>
    <w:bookmarkStart w:id="8" w:name="HeaderDocketNo"/>
    <w:bookmarkEnd w:id="8"/>
    <w:r>
      <w:t>DOCKET NO. 20170266-EC</w:t>
    </w:r>
    <w:r w:rsidR="007E6A1E">
      <w:t xml:space="preserve">, </w:t>
    </w:r>
    <w:r w:rsidR="007E6A1E" w:rsidRPr="007E6A1E">
      <w:t>20170267-EC</w:t>
    </w:r>
  </w:p>
  <w:p w14:paraId="4BC84BD6" w14:textId="77777777" w:rsidR="002A4E22" w:rsidRDefault="002A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7E7F">
      <w:rPr>
        <w:rStyle w:val="PageNumber"/>
        <w:noProof/>
      </w:rPr>
      <w:t>2</w:t>
    </w:r>
    <w:r>
      <w:rPr>
        <w:rStyle w:val="PageNumber"/>
      </w:rPr>
      <w:fldChar w:fldCharType="end"/>
    </w:r>
  </w:p>
  <w:p w14:paraId="5E122C01" w14:textId="77777777" w:rsidR="002A4E22" w:rsidRDefault="002A4E22">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w:docVars>
  <w:rsids>
    <w:rsidRoot w:val="00035651"/>
    <w:rsid w:val="000022B8"/>
    <w:rsid w:val="000263E5"/>
    <w:rsid w:val="00035651"/>
    <w:rsid w:val="00053AB9"/>
    <w:rsid w:val="00056229"/>
    <w:rsid w:val="00057AF1"/>
    <w:rsid w:val="00063608"/>
    <w:rsid w:val="00065FC2"/>
    <w:rsid w:val="00067685"/>
    <w:rsid w:val="00076E6B"/>
    <w:rsid w:val="0008247D"/>
    <w:rsid w:val="00090AFC"/>
    <w:rsid w:val="000B4978"/>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65EAF"/>
    <w:rsid w:val="0018012C"/>
    <w:rsid w:val="00187E32"/>
    <w:rsid w:val="00194E81"/>
    <w:rsid w:val="001A15E7"/>
    <w:rsid w:val="001A33C9"/>
    <w:rsid w:val="001A58F3"/>
    <w:rsid w:val="001A777C"/>
    <w:rsid w:val="001C2847"/>
    <w:rsid w:val="001C3F8C"/>
    <w:rsid w:val="001D008A"/>
    <w:rsid w:val="001D0A79"/>
    <w:rsid w:val="001E0152"/>
    <w:rsid w:val="001E0FF5"/>
    <w:rsid w:val="002002ED"/>
    <w:rsid w:val="002170E5"/>
    <w:rsid w:val="00220D57"/>
    <w:rsid w:val="00226FC9"/>
    <w:rsid w:val="0022721A"/>
    <w:rsid w:val="00230BB9"/>
    <w:rsid w:val="00236974"/>
    <w:rsid w:val="00241CEF"/>
    <w:rsid w:val="00252B30"/>
    <w:rsid w:val="0026544B"/>
    <w:rsid w:val="00270CA5"/>
    <w:rsid w:val="00277655"/>
    <w:rsid w:val="002824B7"/>
    <w:rsid w:val="002A11AC"/>
    <w:rsid w:val="002A4E22"/>
    <w:rsid w:val="002A6F30"/>
    <w:rsid w:val="002B1149"/>
    <w:rsid w:val="002B2A2B"/>
    <w:rsid w:val="002B3111"/>
    <w:rsid w:val="002C7908"/>
    <w:rsid w:val="002D391B"/>
    <w:rsid w:val="002D4B1F"/>
    <w:rsid w:val="002D5015"/>
    <w:rsid w:val="002D56C3"/>
    <w:rsid w:val="002D7D15"/>
    <w:rsid w:val="002E1B2E"/>
    <w:rsid w:val="002E27EB"/>
    <w:rsid w:val="002F2A9D"/>
    <w:rsid w:val="00303FDE"/>
    <w:rsid w:val="003140E8"/>
    <w:rsid w:val="003231C7"/>
    <w:rsid w:val="003270C4"/>
    <w:rsid w:val="00331ED0"/>
    <w:rsid w:val="00332B0A"/>
    <w:rsid w:val="00333A41"/>
    <w:rsid w:val="0035495B"/>
    <w:rsid w:val="00355754"/>
    <w:rsid w:val="00361522"/>
    <w:rsid w:val="0037196E"/>
    <w:rsid w:val="003744F5"/>
    <w:rsid w:val="00387BDE"/>
    <w:rsid w:val="00390DD8"/>
    <w:rsid w:val="003917DF"/>
    <w:rsid w:val="003933D5"/>
    <w:rsid w:val="00394DC6"/>
    <w:rsid w:val="00397C3E"/>
    <w:rsid w:val="003B1A09"/>
    <w:rsid w:val="003B33A0"/>
    <w:rsid w:val="003C5AE3"/>
    <w:rsid w:val="003D4CCA"/>
    <w:rsid w:val="003D52A6"/>
    <w:rsid w:val="003D6416"/>
    <w:rsid w:val="003E04FF"/>
    <w:rsid w:val="003E1D48"/>
    <w:rsid w:val="003F5592"/>
    <w:rsid w:val="00411DF2"/>
    <w:rsid w:val="00411E8F"/>
    <w:rsid w:val="0042527B"/>
    <w:rsid w:val="00432950"/>
    <w:rsid w:val="00436C25"/>
    <w:rsid w:val="0045537F"/>
    <w:rsid w:val="00457DC7"/>
    <w:rsid w:val="00472BCC"/>
    <w:rsid w:val="00485573"/>
    <w:rsid w:val="004A25CD"/>
    <w:rsid w:val="004A26CC"/>
    <w:rsid w:val="004A6690"/>
    <w:rsid w:val="004B13FE"/>
    <w:rsid w:val="004B2108"/>
    <w:rsid w:val="004B3A2B"/>
    <w:rsid w:val="004B70D3"/>
    <w:rsid w:val="004C312D"/>
    <w:rsid w:val="004D2D1B"/>
    <w:rsid w:val="004D5067"/>
    <w:rsid w:val="004D6838"/>
    <w:rsid w:val="004D6916"/>
    <w:rsid w:val="004D72BC"/>
    <w:rsid w:val="004E469D"/>
    <w:rsid w:val="004F2DDE"/>
    <w:rsid w:val="004F7826"/>
    <w:rsid w:val="004F7E7F"/>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A3C"/>
    <w:rsid w:val="00610E73"/>
    <w:rsid w:val="00624077"/>
    <w:rsid w:val="0063168D"/>
    <w:rsid w:val="00660774"/>
    <w:rsid w:val="0066389A"/>
    <w:rsid w:val="0066495C"/>
    <w:rsid w:val="00665CC7"/>
    <w:rsid w:val="00672255"/>
    <w:rsid w:val="00672612"/>
    <w:rsid w:val="00677F18"/>
    <w:rsid w:val="006A0BF3"/>
    <w:rsid w:val="006B0DA6"/>
    <w:rsid w:val="006C547E"/>
    <w:rsid w:val="006D3F8F"/>
    <w:rsid w:val="006D5575"/>
    <w:rsid w:val="006F41B6"/>
    <w:rsid w:val="00704C5D"/>
    <w:rsid w:val="007072BC"/>
    <w:rsid w:val="00715275"/>
    <w:rsid w:val="007219B6"/>
    <w:rsid w:val="007232A2"/>
    <w:rsid w:val="00726366"/>
    <w:rsid w:val="00733B6B"/>
    <w:rsid w:val="00740EE3"/>
    <w:rsid w:val="007467C4"/>
    <w:rsid w:val="0076170F"/>
    <w:rsid w:val="0076669C"/>
    <w:rsid w:val="00766E46"/>
    <w:rsid w:val="0077180F"/>
    <w:rsid w:val="00777727"/>
    <w:rsid w:val="00782B79"/>
    <w:rsid w:val="007865E9"/>
    <w:rsid w:val="00792383"/>
    <w:rsid w:val="00794D5A"/>
    <w:rsid w:val="007A060F"/>
    <w:rsid w:val="007C0FBC"/>
    <w:rsid w:val="007C3077"/>
    <w:rsid w:val="007C36E3"/>
    <w:rsid w:val="007C7134"/>
    <w:rsid w:val="007D3D20"/>
    <w:rsid w:val="007D742E"/>
    <w:rsid w:val="007E1919"/>
    <w:rsid w:val="007E3AFD"/>
    <w:rsid w:val="007E6A1E"/>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5CA"/>
    <w:rsid w:val="00883D9A"/>
    <w:rsid w:val="008919EF"/>
    <w:rsid w:val="00892B20"/>
    <w:rsid w:val="008A12EC"/>
    <w:rsid w:val="008B4BB9"/>
    <w:rsid w:val="008C0CBF"/>
    <w:rsid w:val="008C21C8"/>
    <w:rsid w:val="008C6375"/>
    <w:rsid w:val="008C6A5B"/>
    <w:rsid w:val="008E26A5"/>
    <w:rsid w:val="008E3D65"/>
    <w:rsid w:val="008E42D2"/>
    <w:rsid w:val="009040EE"/>
    <w:rsid w:val="009057FD"/>
    <w:rsid w:val="00906FBA"/>
    <w:rsid w:val="009228C7"/>
    <w:rsid w:val="00922A7F"/>
    <w:rsid w:val="00922D1C"/>
    <w:rsid w:val="00923A5E"/>
    <w:rsid w:val="00926E27"/>
    <w:rsid w:val="00931C8C"/>
    <w:rsid w:val="0094504B"/>
    <w:rsid w:val="00952F16"/>
    <w:rsid w:val="009658A7"/>
    <w:rsid w:val="00966A9D"/>
    <w:rsid w:val="0096742B"/>
    <w:rsid w:val="009924CF"/>
    <w:rsid w:val="00994100"/>
    <w:rsid w:val="009A6B17"/>
    <w:rsid w:val="009B631F"/>
    <w:rsid w:val="009D4C29"/>
    <w:rsid w:val="009E796B"/>
    <w:rsid w:val="009F2EBA"/>
    <w:rsid w:val="009F6AD2"/>
    <w:rsid w:val="00A00D8D"/>
    <w:rsid w:val="00A01BB6"/>
    <w:rsid w:val="00A02AA3"/>
    <w:rsid w:val="00A04309"/>
    <w:rsid w:val="00A117A9"/>
    <w:rsid w:val="00A4303C"/>
    <w:rsid w:val="00A470FD"/>
    <w:rsid w:val="00A62DAB"/>
    <w:rsid w:val="00A726A6"/>
    <w:rsid w:val="00A96815"/>
    <w:rsid w:val="00A97535"/>
    <w:rsid w:val="00AA2BAA"/>
    <w:rsid w:val="00AA73F1"/>
    <w:rsid w:val="00AB0E1A"/>
    <w:rsid w:val="00AB1A30"/>
    <w:rsid w:val="00AB3C36"/>
    <w:rsid w:val="00AD10EB"/>
    <w:rsid w:val="00AD1ED3"/>
    <w:rsid w:val="00B03C50"/>
    <w:rsid w:val="00B0777D"/>
    <w:rsid w:val="00B1195F"/>
    <w:rsid w:val="00B17D38"/>
    <w:rsid w:val="00B209C7"/>
    <w:rsid w:val="00B25929"/>
    <w:rsid w:val="00B3644F"/>
    <w:rsid w:val="00B4057A"/>
    <w:rsid w:val="00B40894"/>
    <w:rsid w:val="00B444AE"/>
    <w:rsid w:val="00B45E75"/>
    <w:rsid w:val="00B50876"/>
    <w:rsid w:val="00B55AB0"/>
    <w:rsid w:val="00B55EE5"/>
    <w:rsid w:val="00B579D7"/>
    <w:rsid w:val="00B60E49"/>
    <w:rsid w:val="00B63CE3"/>
    <w:rsid w:val="00B7105B"/>
    <w:rsid w:val="00B71645"/>
    <w:rsid w:val="00B71D1F"/>
    <w:rsid w:val="00B73DE6"/>
    <w:rsid w:val="00B827AE"/>
    <w:rsid w:val="00B86EF0"/>
    <w:rsid w:val="00B96969"/>
    <w:rsid w:val="00B97900"/>
    <w:rsid w:val="00BA1229"/>
    <w:rsid w:val="00BA44A8"/>
    <w:rsid w:val="00BF25AC"/>
    <w:rsid w:val="00BF6691"/>
    <w:rsid w:val="00C028FC"/>
    <w:rsid w:val="00C0386D"/>
    <w:rsid w:val="00C065A1"/>
    <w:rsid w:val="00C1025E"/>
    <w:rsid w:val="00C10ED5"/>
    <w:rsid w:val="00C151A6"/>
    <w:rsid w:val="00C17840"/>
    <w:rsid w:val="00C24098"/>
    <w:rsid w:val="00C30A4E"/>
    <w:rsid w:val="00C411F3"/>
    <w:rsid w:val="00C4200C"/>
    <w:rsid w:val="00C44105"/>
    <w:rsid w:val="00C55A33"/>
    <w:rsid w:val="00C6124A"/>
    <w:rsid w:val="00C66692"/>
    <w:rsid w:val="00C673B5"/>
    <w:rsid w:val="00C8524D"/>
    <w:rsid w:val="00C91123"/>
    <w:rsid w:val="00CA1580"/>
    <w:rsid w:val="00CA71FF"/>
    <w:rsid w:val="00CB5276"/>
    <w:rsid w:val="00CB5BFC"/>
    <w:rsid w:val="00CB68D7"/>
    <w:rsid w:val="00CC7E68"/>
    <w:rsid w:val="00CD25AC"/>
    <w:rsid w:val="00CD7132"/>
    <w:rsid w:val="00CE0E6F"/>
    <w:rsid w:val="00CE3B21"/>
    <w:rsid w:val="00CE56FC"/>
    <w:rsid w:val="00CF4CFE"/>
    <w:rsid w:val="00D02E0F"/>
    <w:rsid w:val="00D03EE8"/>
    <w:rsid w:val="00D04135"/>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B375B"/>
    <w:rsid w:val="00DC1D94"/>
    <w:rsid w:val="00DC2C35"/>
    <w:rsid w:val="00DC42CF"/>
    <w:rsid w:val="00DE057F"/>
    <w:rsid w:val="00DE2082"/>
    <w:rsid w:val="00DE2289"/>
    <w:rsid w:val="00DF09A7"/>
    <w:rsid w:val="00E001D6"/>
    <w:rsid w:val="00E005A2"/>
    <w:rsid w:val="00E03A76"/>
    <w:rsid w:val="00E04410"/>
    <w:rsid w:val="00E11351"/>
    <w:rsid w:val="00E11EDF"/>
    <w:rsid w:val="00E42806"/>
    <w:rsid w:val="00E44879"/>
    <w:rsid w:val="00E5063D"/>
    <w:rsid w:val="00E667EA"/>
    <w:rsid w:val="00E75AE0"/>
    <w:rsid w:val="00E77D05"/>
    <w:rsid w:val="00E83C1F"/>
    <w:rsid w:val="00E93B91"/>
    <w:rsid w:val="00EA172C"/>
    <w:rsid w:val="00EA259B"/>
    <w:rsid w:val="00EA35A3"/>
    <w:rsid w:val="00EA3E6A"/>
    <w:rsid w:val="00EB18EF"/>
    <w:rsid w:val="00EB7951"/>
    <w:rsid w:val="00ED6A79"/>
    <w:rsid w:val="00EE17DF"/>
    <w:rsid w:val="00EE2A44"/>
    <w:rsid w:val="00EE5C3E"/>
    <w:rsid w:val="00EF2B78"/>
    <w:rsid w:val="00EF4621"/>
    <w:rsid w:val="00EF6312"/>
    <w:rsid w:val="00F03355"/>
    <w:rsid w:val="00F22B27"/>
    <w:rsid w:val="00F234A7"/>
    <w:rsid w:val="00F261DA"/>
    <w:rsid w:val="00F277B6"/>
    <w:rsid w:val="00F37E07"/>
    <w:rsid w:val="00F54380"/>
    <w:rsid w:val="00F54B47"/>
    <w:rsid w:val="00F61247"/>
    <w:rsid w:val="00F6702E"/>
    <w:rsid w:val="00F70E84"/>
    <w:rsid w:val="00F950CC"/>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31C7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35651"/>
    <w:pPr>
      <w:ind w:left="720"/>
      <w:contextualSpacing/>
    </w:pPr>
    <w:rPr>
      <w:rFonts w:ascii="Calibri" w:eastAsia="Calibri" w:hAnsi="Calibri"/>
    </w:rPr>
  </w:style>
  <w:style w:type="character" w:styleId="Hyperlink">
    <w:name w:val="Hyperlink"/>
    <w:basedOn w:val="DefaultParagraphFont"/>
    <w:rsid w:val="00CA1580"/>
    <w:rPr>
      <w:color w:val="0000FF" w:themeColor="hyperlink"/>
      <w:u w:val="single"/>
    </w:rPr>
  </w:style>
  <w:style w:type="character" w:styleId="FollowedHyperlink">
    <w:name w:val="FollowedHyperlink"/>
    <w:basedOn w:val="DefaultParagraphFont"/>
    <w:rsid w:val="00B579D7"/>
    <w:rPr>
      <w:color w:val="800080" w:themeColor="followedHyperlink"/>
      <w:u w:val="single"/>
    </w:rPr>
  </w:style>
  <w:style w:type="paragraph" w:styleId="BalloonText">
    <w:name w:val="Balloon Text"/>
    <w:basedOn w:val="Normal"/>
    <w:link w:val="BalloonTextChar"/>
    <w:rsid w:val="002D5015"/>
    <w:rPr>
      <w:rFonts w:ascii="Tahoma" w:hAnsi="Tahoma" w:cs="Tahoma"/>
      <w:sz w:val="16"/>
      <w:szCs w:val="16"/>
    </w:rPr>
  </w:style>
  <w:style w:type="character" w:customStyle="1" w:styleId="BalloonTextChar">
    <w:name w:val="Balloon Text Char"/>
    <w:basedOn w:val="DefaultParagraphFont"/>
    <w:link w:val="BalloonText"/>
    <w:rsid w:val="002D5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35651"/>
    <w:pPr>
      <w:ind w:left="720"/>
      <w:contextualSpacing/>
    </w:pPr>
    <w:rPr>
      <w:rFonts w:ascii="Calibri" w:eastAsia="Calibri" w:hAnsi="Calibri"/>
    </w:rPr>
  </w:style>
  <w:style w:type="character" w:styleId="Hyperlink">
    <w:name w:val="Hyperlink"/>
    <w:basedOn w:val="DefaultParagraphFont"/>
    <w:rsid w:val="00CA1580"/>
    <w:rPr>
      <w:color w:val="0000FF" w:themeColor="hyperlink"/>
      <w:u w:val="single"/>
    </w:rPr>
  </w:style>
  <w:style w:type="character" w:styleId="FollowedHyperlink">
    <w:name w:val="FollowedHyperlink"/>
    <w:basedOn w:val="DefaultParagraphFont"/>
    <w:rsid w:val="00B579D7"/>
    <w:rPr>
      <w:color w:val="800080" w:themeColor="followedHyperlink"/>
      <w:u w:val="single"/>
    </w:rPr>
  </w:style>
  <w:style w:type="paragraph" w:styleId="BalloonText">
    <w:name w:val="Balloon Text"/>
    <w:basedOn w:val="Normal"/>
    <w:link w:val="BalloonTextChar"/>
    <w:rsid w:val="002D5015"/>
    <w:rPr>
      <w:rFonts w:ascii="Tahoma" w:hAnsi="Tahoma" w:cs="Tahoma"/>
      <w:sz w:val="16"/>
      <w:szCs w:val="16"/>
    </w:rPr>
  </w:style>
  <w:style w:type="character" w:customStyle="1" w:styleId="BalloonTextChar">
    <w:name w:val="Balloon Text Char"/>
    <w:basedOn w:val="DefaultParagraphFont"/>
    <w:link w:val="BalloonText"/>
    <w:rsid w:val="002D5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46894758">
      <w:bodyDiv w:val="1"/>
      <w:marLeft w:val="0"/>
      <w:marRight w:val="0"/>
      <w:marTop w:val="0"/>
      <w:marBottom w:val="0"/>
      <w:divBdr>
        <w:top w:val="none" w:sz="0" w:space="0" w:color="auto"/>
        <w:left w:val="none" w:sz="0" w:space="0" w:color="auto"/>
        <w:bottom w:val="none" w:sz="0" w:space="0" w:color="auto"/>
        <w:right w:val="none" w:sz="0" w:space="0" w:color="auto"/>
      </w:divBdr>
    </w:div>
    <w:div w:id="16844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ef@gbwlega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mes.maiz@rocklandcapital.com" TargetMode="External"/><Relationship Id="rId4" Type="http://schemas.openxmlformats.org/officeDocument/2006/relationships/settings" Target="settings.xml"/><Relationship Id="rId9" Type="http://schemas.openxmlformats.org/officeDocument/2006/relationships/hyperlink" Target="mailto:jlavia@gbwlega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0030-E27B-42CC-A941-A5BDBD4A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5</Pages>
  <Words>1845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2018-01-24T20:45:00Z</dcterms:created>
  <dcterms:modified xsi:type="dcterms:W3CDTF">2018-01-24T22:09:00Z</dcterms:modified>
</cp:coreProperties>
</file>