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6D3CC1">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D3CC1">
            <w:pPr>
              <w:pStyle w:val="MemoHeading"/>
            </w:pPr>
            <w:bookmarkStart w:id="1" w:name="FilingDate"/>
            <w:r>
              <w:t>February 16,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D3CC1" w:rsidRDefault="006D3CC1">
            <w:pPr>
              <w:pStyle w:val="MemoHeading"/>
            </w:pPr>
            <w:bookmarkStart w:id="2" w:name="From"/>
            <w:r>
              <w:t>Office of the General Counsel (Cowdery)</w:t>
            </w:r>
          </w:p>
          <w:p w:rsidR="006D3CC1" w:rsidRDefault="006D3CC1">
            <w:pPr>
              <w:pStyle w:val="MemoHeading"/>
            </w:pPr>
            <w:r>
              <w:t>Division of Economics (Draper, Guffey)</w:t>
            </w:r>
          </w:p>
          <w:p w:rsidR="007C0528" w:rsidRDefault="006D3CC1">
            <w:pPr>
              <w:pStyle w:val="MemoHeading"/>
            </w:pPr>
            <w:r>
              <w:t>Division of Engineering (King</w:t>
            </w:r>
            <w:r w:rsidR="0038223B">
              <w:t>, Graves</w:t>
            </w:r>
            <w:r>
              <w:t>)</w:t>
            </w:r>
            <w:bookmarkEnd w:id="2"/>
          </w:p>
          <w:p w:rsidR="0038223B" w:rsidRPr="0038223B" w:rsidRDefault="0038223B" w:rsidP="0038223B">
            <w:r>
              <w:t>Division of Accounting and Finance (Fletcher)</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D3CC1">
            <w:pPr>
              <w:pStyle w:val="MemoHeadingRe"/>
            </w:pPr>
            <w:bookmarkStart w:id="3" w:name="Re"/>
            <w:r>
              <w:t>Docket No. 20180029-WS – Proposed amendment of Rule 25-30.433, F.A.C., Rate Case Proceedings.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D3CC1">
            <w:pPr>
              <w:pStyle w:val="MemoHeading"/>
            </w:pPr>
            <w:bookmarkStart w:id="4" w:name="AgendaDate"/>
            <w:r>
              <w:t>03/01/18</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D3CC1">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64447">
            <w:pPr>
              <w:pStyle w:val="MemoHeading"/>
            </w:pPr>
            <w:r>
              <w:t>Brown</w:t>
            </w:r>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6D3CC1"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rsidR="007C0528" w:rsidRDefault="006D3CC1">
            <w:pPr>
              <w:pStyle w:val="MemoHeading"/>
            </w:pPr>
            <w:bookmarkStart w:id="8" w:name="CriticalDates"/>
            <w:bookmarkEnd w:id="8"/>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D3CC1">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AE42DB" w:rsidRDefault="006D3CC1">
      <w:pPr>
        <w:pStyle w:val="BodyText"/>
      </w:pPr>
      <w:r>
        <w:t xml:space="preserve">Rule 25-30.433, Florida Administrative Code (F.A.C), addresses the </w:t>
      </w:r>
      <w:r w:rsidR="00146353">
        <w:t xml:space="preserve">procedures that apply in </w:t>
      </w:r>
      <w:r w:rsidR="00D71257">
        <w:t xml:space="preserve">water and wastewater </w:t>
      </w:r>
      <w:r w:rsidR="00146353">
        <w:t>rate case proceedin</w:t>
      </w:r>
      <w:r w:rsidR="00AE42DB">
        <w:t>gs. Pursuant to Rule 25-30.433(1), F.A.C., t</w:t>
      </w:r>
      <w:r w:rsidR="00146353">
        <w:t xml:space="preserve">he Commission </w:t>
      </w:r>
      <w:r w:rsidR="00971290">
        <w:t>shall</w:t>
      </w:r>
      <w:r w:rsidR="00AE42DB">
        <w:t xml:space="preserve"> make</w:t>
      </w:r>
      <w:r w:rsidR="00146353">
        <w:t xml:space="preserve"> a determination on the quality of service provided by the utility in every rate case proceeding. </w:t>
      </w:r>
      <w:r w:rsidR="00AE42DB">
        <w:t xml:space="preserve">In </w:t>
      </w:r>
      <w:r w:rsidR="00971290">
        <w:t>making its determination, t</w:t>
      </w:r>
      <w:r w:rsidR="00AE42DB">
        <w:t xml:space="preserve">he Commission </w:t>
      </w:r>
      <w:r w:rsidR="00971290">
        <w:t>evaluates</w:t>
      </w:r>
      <w:r w:rsidR="00AE42DB">
        <w:t xml:space="preserve"> three components of water and wastewater utility operations: (1) the quality of the utility’s product (water and wastewater); (2) the operational conditions of the utility’s plant and facilities; and (3) the utility’s attempt to address customer satisfaction.</w:t>
      </w:r>
    </w:p>
    <w:p w:rsidR="0068481F" w:rsidRDefault="00971290">
      <w:pPr>
        <w:pStyle w:val="BodyText"/>
      </w:pPr>
      <w:r>
        <w:t>Following discussion a</w:t>
      </w:r>
      <w:r w:rsidR="00146353">
        <w:t xml:space="preserve">t the </w:t>
      </w:r>
      <w:r w:rsidR="00D23C8C">
        <w:t>September</w:t>
      </w:r>
      <w:r w:rsidR="00146353" w:rsidRPr="00D23C8C">
        <w:t xml:space="preserve"> </w:t>
      </w:r>
      <w:r w:rsidR="00B3454E" w:rsidRPr="00D23C8C">
        <w:t>7, 2017</w:t>
      </w:r>
      <w:r w:rsidR="00EB2B55">
        <w:t>, Internal Affairs Meeting</w:t>
      </w:r>
      <w:r w:rsidR="00733AA5">
        <w:t xml:space="preserve">, </w:t>
      </w:r>
      <w:r>
        <w:t>the Commission directed staff to</w:t>
      </w:r>
      <w:r w:rsidR="00D23C8C">
        <w:t xml:space="preserve"> </w:t>
      </w:r>
      <w:r w:rsidR="00A9035A">
        <w:t>explore</w:t>
      </w:r>
      <w:r w:rsidR="00D23C8C">
        <w:t xml:space="preserve"> whether Rule 25-30.433, F.A.C., </w:t>
      </w:r>
      <w:r w:rsidR="00B3454E">
        <w:t xml:space="preserve">should be amended to </w:t>
      </w:r>
      <w:r w:rsidR="00D31921">
        <w:t xml:space="preserve">move </w:t>
      </w:r>
      <w:r w:rsidR="00B45250">
        <w:t xml:space="preserve">the </w:t>
      </w:r>
      <w:r w:rsidR="00D23C8C">
        <w:t xml:space="preserve">second component used to evaluate the utility’s quality of service – the </w:t>
      </w:r>
      <w:r w:rsidR="00B45250">
        <w:t xml:space="preserve">infrastructure and operational </w:t>
      </w:r>
      <w:r w:rsidR="00B45250">
        <w:lastRenderedPageBreak/>
        <w:t>conditi</w:t>
      </w:r>
      <w:r w:rsidR="00D23C8C">
        <w:t xml:space="preserve">ons of the plant and facilities – to </w:t>
      </w:r>
      <w:r w:rsidR="00B45250">
        <w:t>a separate section of the rule.</w:t>
      </w:r>
      <w:r w:rsidR="00D23C8C">
        <w:t xml:space="preserve"> </w:t>
      </w:r>
      <w:r>
        <w:t>The</w:t>
      </w:r>
      <w:r w:rsidR="00D23C8C">
        <w:t xml:space="preserve"> rationale for this amendment to the rule was that operating conditions of the plant do not always affect the quality of service provided by the utility, so it should not be a required component in the Commission’s evaluation of quality of service.</w:t>
      </w:r>
    </w:p>
    <w:p w:rsidR="00C52067" w:rsidRDefault="00B45250">
      <w:pPr>
        <w:pStyle w:val="BodyText"/>
      </w:pPr>
      <w:r>
        <w:t>The notice of rule development for Rule 25-30.433</w:t>
      </w:r>
      <w:r w:rsidR="00B92E29">
        <w:t>, F.A.C.,</w:t>
      </w:r>
      <w:r>
        <w:t xml:space="preserve"> appeared in the November 30, 2017, edition of the Fl</w:t>
      </w:r>
      <w:r w:rsidR="00D71257">
        <w:t>orida Administrative Register, V</w:t>
      </w:r>
      <w:r>
        <w:t>ol</w:t>
      </w:r>
      <w:r w:rsidR="00D71257">
        <w:t xml:space="preserve">ume 43, </w:t>
      </w:r>
      <w:proofErr w:type="gramStart"/>
      <w:r w:rsidR="00D71257">
        <w:t>N</w:t>
      </w:r>
      <w:r>
        <w:t>umber</w:t>
      </w:r>
      <w:proofErr w:type="gramEnd"/>
      <w:r>
        <w:t xml:space="preserve"> 230. A staff rule development workshop was held on December 14, 2017. The Office of Public Counsel</w:t>
      </w:r>
      <w:r w:rsidR="00C52067">
        <w:t xml:space="preserve">, </w:t>
      </w:r>
      <w:r>
        <w:t xml:space="preserve">Utilities, Inc. of Florida, </w:t>
      </w:r>
      <w:r w:rsidR="0038223B">
        <w:t xml:space="preserve">U.S. Water Services Corp., </w:t>
      </w:r>
      <w:r w:rsidR="00C52067">
        <w:t xml:space="preserve">and </w:t>
      </w:r>
      <w:r>
        <w:t xml:space="preserve">Black Bear Waterworks, Inc., Brendenwood Waterworks, Inc., Brevard Waterworks, Inc., Country Walk Utilities, Inc., Harbor Waterworks, Inc. </w:t>
      </w:r>
      <w:r w:rsidR="00C52067">
        <w:t>HC Waterworks, Inc., Jumper Creek Utility Company, Lake Idlewild Utility Company, Lakeside Waterworks, Inc. LP Waterworks, Inc., Merritt Island Utility Company, North Charlotte Waterworks, Inc., Pine Harbour Waterworks, Inc., Raintree Waterworks, Inc., Seminole Waterworks, Inc., Sunny Hills Utility Company, and the Woods Utili</w:t>
      </w:r>
      <w:r w:rsidR="00733AA5">
        <w:t>ty Company (hereafter referred to</w:t>
      </w:r>
      <w:r w:rsidR="00C52067">
        <w:t xml:space="preserve"> as the “</w:t>
      </w:r>
      <w:r w:rsidR="00351753">
        <w:t>Coll</w:t>
      </w:r>
      <w:r w:rsidR="00C52067">
        <w:t>ective Utilities”</w:t>
      </w:r>
      <w:r w:rsidR="00351753">
        <w:t>)</w:t>
      </w:r>
      <w:r w:rsidR="00C52067">
        <w:t xml:space="preserve"> </w:t>
      </w:r>
      <w:r>
        <w:t>participated</w:t>
      </w:r>
      <w:r w:rsidR="00C52067">
        <w:t xml:space="preserve"> in the workshop and filed written post-workshop comments.</w:t>
      </w:r>
    </w:p>
    <w:p w:rsidR="00B45250" w:rsidRDefault="00C52067">
      <w:pPr>
        <w:pStyle w:val="BodyText"/>
      </w:pPr>
      <w:r>
        <w:t>This recommendation addresses whether the Commission should propose the amendment of Rule 25-30.433, F.A.C. The Commission has jurisdiction pursuant to Sections 120.54, 350.127(2), 367.0812(5), 367.0814, 367.121, and 367.1213, Florida Statutes (F.S.)</w:t>
      </w:r>
      <w:r w:rsidR="00484437">
        <w:t>.</w:t>
      </w:r>
      <w:r w:rsidR="00B45250">
        <w:t xml:space="preserve"> </w:t>
      </w: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351753" w:rsidRDefault="00351753">
      <w:pPr>
        <w:pStyle w:val="IssueHeading"/>
        <w:rPr>
          <w:vanish/>
          <w:specVanish/>
        </w:rPr>
      </w:pPr>
      <w:r w:rsidRPr="004C3641">
        <w:t xml:space="preserve">Issue </w:t>
      </w:r>
      <w:r w:rsidR="00371CB6">
        <w:fldChar w:fldCharType="begin"/>
      </w:r>
      <w:r w:rsidR="00371CB6">
        <w:instrText xml:space="preserve"> SEQ Issue \* MERGEFORMAT </w:instrText>
      </w:r>
      <w:r w:rsidR="00371CB6">
        <w:fldChar w:fldCharType="separate"/>
      </w:r>
      <w:r w:rsidR="00484437">
        <w:rPr>
          <w:noProof/>
        </w:rPr>
        <w:t>1</w:t>
      </w:r>
      <w:r w:rsidR="00371CB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84437">
        <w:rPr>
          <w:noProof/>
        </w:rPr>
        <w:instrText>1</w:instrText>
      </w:r>
      <w:r>
        <w:fldChar w:fldCharType="end"/>
      </w:r>
      <w:r>
        <w:tab/>
        <w:instrText xml:space="preserve">" \l 1 </w:instrText>
      </w:r>
      <w:r>
        <w:fldChar w:fldCharType="end"/>
      </w:r>
      <w:r>
        <w:t> </w:t>
      </w:r>
    </w:p>
    <w:p w:rsidR="00351753" w:rsidRDefault="00351753">
      <w:pPr>
        <w:pStyle w:val="BodyText"/>
      </w:pPr>
      <w:r>
        <w:t xml:space="preserve"> Should the Commission propose the amendment of Rule 25-30.433, Rate Case Proceedings, </w:t>
      </w:r>
      <w:proofErr w:type="gramStart"/>
      <w:r>
        <w:t>F.A.C</w:t>
      </w:r>
      <w:proofErr w:type="gramEnd"/>
      <w:r>
        <w:t>?</w:t>
      </w:r>
    </w:p>
    <w:p w:rsidR="00351753" w:rsidRPr="004C3641" w:rsidRDefault="00351753">
      <w:pPr>
        <w:pStyle w:val="IssueSubsectionHeading"/>
        <w:rPr>
          <w:vanish/>
          <w:specVanish/>
        </w:rPr>
      </w:pPr>
      <w:r w:rsidRPr="004C3641">
        <w:t>Recommendation: </w:t>
      </w:r>
    </w:p>
    <w:p w:rsidR="00351753" w:rsidRDefault="00351753">
      <w:pPr>
        <w:pStyle w:val="BodyText"/>
      </w:pPr>
      <w:r>
        <w:t xml:space="preserve"> Yes, the Commission should propose the amendment of Rule 25-30.433, </w:t>
      </w:r>
      <w:r w:rsidR="00D71257">
        <w:t xml:space="preserve">F.A.C., </w:t>
      </w:r>
      <w:r>
        <w:t>as set forth in Attachment A. Staff recommends that the Commission certify proposed amended Rule 25-</w:t>
      </w:r>
      <w:r w:rsidR="00D71257">
        <w:t xml:space="preserve">30.433, </w:t>
      </w:r>
      <w:r w:rsidR="00B92E29">
        <w:t xml:space="preserve">F.A.C., </w:t>
      </w:r>
      <w:r w:rsidR="00D71257">
        <w:t xml:space="preserve">as </w:t>
      </w:r>
      <w:r w:rsidR="00971290">
        <w:t xml:space="preserve">a </w:t>
      </w:r>
      <w:r w:rsidR="00D71257">
        <w:t>minor violation rule</w:t>
      </w:r>
      <w:r>
        <w:t xml:space="preserve">. (Cowdery, King, Graves, </w:t>
      </w:r>
      <w:r w:rsidR="0038223B">
        <w:t xml:space="preserve">Fletcher, </w:t>
      </w:r>
      <w:r>
        <w:t>Draper, Guffey)</w:t>
      </w:r>
    </w:p>
    <w:p w:rsidR="00351753" w:rsidRPr="004C3641" w:rsidRDefault="00351753">
      <w:pPr>
        <w:pStyle w:val="IssueSubsectionHeading"/>
        <w:rPr>
          <w:vanish/>
          <w:specVanish/>
        </w:rPr>
      </w:pPr>
      <w:r w:rsidRPr="004C3641">
        <w:t>Staff Analysis: </w:t>
      </w:r>
    </w:p>
    <w:p w:rsidR="00351753" w:rsidRDefault="00351753">
      <w:pPr>
        <w:pStyle w:val="BodyText"/>
      </w:pPr>
      <w:r>
        <w:t xml:space="preserve"> Staff recommends that the Commission propose the amendment of Rule 25-30.433, </w:t>
      </w:r>
      <w:r w:rsidR="00B92E29">
        <w:t xml:space="preserve">F.A.C., </w:t>
      </w:r>
      <w:r>
        <w:t xml:space="preserve">as set forth in Attachment A. </w:t>
      </w:r>
      <w:r w:rsidR="00D71257">
        <w:t>Staff is recommending amendments to the rule for three reasons: (1)</w:t>
      </w:r>
      <w:r w:rsidR="00D64F31">
        <w:t xml:space="preserve"> </w:t>
      </w:r>
      <w:r w:rsidR="00D71257">
        <w:t xml:space="preserve">to </w:t>
      </w:r>
      <w:r w:rsidR="00D64F31">
        <w:t>move the Commission’s consideration of the infrastructure and operational conditions of the plant and facilities</w:t>
      </w:r>
      <w:r w:rsidR="00733AA5">
        <w:t xml:space="preserve"> from the Commission’s evaluation of quality of service </w:t>
      </w:r>
      <w:r w:rsidR="00D64F31">
        <w:t xml:space="preserve">to a separate </w:t>
      </w:r>
      <w:r w:rsidR="00D71257">
        <w:t xml:space="preserve">section of the rule; (2) to </w:t>
      </w:r>
      <w:r w:rsidR="00B41C64">
        <w:t xml:space="preserve">codify the information the Commission considers when evaluating the utility’s quality of service and the infrastructure and operational conditions of the utility’s plant and facilities; and </w:t>
      </w:r>
      <w:r w:rsidR="00D71257">
        <w:t xml:space="preserve">(3) </w:t>
      </w:r>
      <w:r w:rsidR="00B41C64">
        <w:t xml:space="preserve">to delete language from the rule that conflicts with statutory requirements. </w:t>
      </w:r>
    </w:p>
    <w:p w:rsidR="00D71257" w:rsidRDefault="008261E6" w:rsidP="00D71257">
      <w:pPr>
        <w:pStyle w:val="BodyText"/>
        <w:spacing w:after="0"/>
        <w:rPr>
          <w:rFonts w:ascii="Arial" w:hAnsi="Arial" w:cs="Arial"/>
        </w:rPr>
      </w:pPr>
      <w:r>
        <w:rPr>
          <w:rFonts w:ascii="Arial" w:hAnsi="Arial" w:cs="Arial"/>
          <w:b/>
        </w:rPr>
        <w:t>Introductory Paragraph</w:t>
      </w:r>
      <w:r w:rsidR="003022FC">
        <w:rPr>
          <w:rFonts w:ascii="Arial" w:hAnsi="Arial" w:cs="Arial"/>
          <w:b/>
        </w:rPr>
        <w:t xml:space="preserve"> – Deletion of Rule Waiver Language</w:t>
      </w:r>
    </w:p>
    <w:p w:rsidR="00111A90" w:rsidRDefault="00B92E29" w:rsidP="00D71257">
      <w:pPr>
        <w:pStyle w:val="BodyText"/>
        <w:spacing w:after="0"/>
      </w:pPr>
      <w:r>
        <w:t>The first unnumbered paragraph</w:t>
      </w:r>
      <w:r w:rsidR="008261E6">
        <w:t xml:space="preserve"> of Rule 25-30.433</w:t>
      </w:r>
      <w:r w:rsidR="00111A90">
        <w:t>, F.A.C.,</w:t>
      </w:r>
      <w:r w:rsidR="008261E6">
        <w:t xml:space="preserve"> contains a general statement that the rule applies to rate case proceedings unless the applicant or any intervenor demonstrates that the rule requirements create an unreasonable burden. If the a</w:t>
      </w:r>
      <w:r>
        <w:t xml:space="preserve">pplicant </w:t>
      </w:r>
      <w:r w:rsidR="008261E6">
        <w:t>demonstrates an unreasonable burden, the rule states that the Commission will conside</w:t>
      </w:r>
      <w:r w:rsidR="00D71257">
        <w:t>r alternatives</w:t>
      </w:r>
      <w:r w:rsidR="008261E6">
        <w:t xml:space="preserve"> </w:t>
      </w:r>
      <w:r w:rsidR="00D71257">
        <w:t xml:space="preserve">to the rule requirements </w:t>
      </w:r>
      <w:r w:rsidR="008261E6">
        <w:t xml:space="preserve">and that any proposed alternatives must be filed with the minimum filing requirements. </w:t>
      </w:r>
    </w:p>
    <w:p w:rsidR="00D71257" w:rsidRPr="00D71257" w:rsidRDefault="00D71257" w:rsidP="00D71257">
      <w:pPr>
        <w:pStyle w:val="BodyText"/>
        <w:spacing w:after="0"/>
        <w:rPr>
          <w:rFonts w:ascii="Arial" w:hAnsi="Arial" w:cs="Arial"/>
        </w:rPr>
      </w:pPr>
    </w:p>
    <w:p w:rsidR="00111A90" w:rsidRDefault="008261E6">
      <w:pPr>
        <w:pStyle w:val="BodyText"/>
      </w:pPr>
      <w:r>
        <w:t>Staff r</w:t>
      </w:r>
      <w:r w:rsidR="00111A90">
        <w:t>ecommends that the</w:t>
      </w:r>
      <w:r>
        <w:t xml:space="preserve"> language allowing an applicant to propose </w:t>
      </w:r>
      <w:r w:rsidR="00D71257">
        <w:t>an alternative</w:t>
      </w:r>
      <w:r w:rsidR="00111A90">
        <w:t xml:space="preserve"> to the rule requirements</w:t>
      </w:r>
      <w:r>
        <w:t xml:space="preserve"> </w:t>
      </w:r>
      <w:r w:rsidR="00111A90">
        <w:t>i</w:t>
      </w:r>
      <w:r>
        <w:t xml:space="preserve">f the applicant demonstrates </w:t>
      </w:r>
      <w:r w:rsidR="00111A90">
        <w:t xml:space="preserve">that the </w:t>
      </w:r>
      <w:r>
        <w:t>requirement</w:t>
      </w:r>
      <w:r w:rsidR="00D71257">
        <w:t>s are</w:t>
      </w:r>
      <w:r>
        <w:t xml:space="preserve"> unreasonably burdensome should be deleted from the rule. Section 120.5</w:t>
      </w:r>
      <w:r w:rsidR="00111A90">
        <w:t>42, F.S., governs the procedure by which a person subject to an agency rule may</w:t>
      </w:r>
      <w:r w:rsidR="00D71257">
        <w:t xml:space="preserve"> obtain a variance or waiver from a</w:t>
      </w:r>
      <w:r w:rsidR="00733AA5">
        <w:t xml:space="preserve"> rule. Th</w:t>
      </w:r>
      <w:r w:rsidR="00111A90">
        <w:t>e procedure currently set fort</w:t>
      </w:r>
      <w:r w:rsidR="00733AA5">
        <w:t xml:space="preserve">h in Rule 25-30.433, F.A.C., </w:t>
      </w:r>
      <w:r w:rsidR="00D71257">
        <w:t>conflicts with Section 120.542, F.S.,</w:t>
      </w:r>
      <w:r w:rsidR="00111A90">
        <w:t xml:space="preserve"> and sho</w:t>
      </w:r>
      <w:r w:rsidR="00D71257">
        <w:t>uld be deleted</w:t>
      </w:r>
      <w:r w:rsidR="00111A90">
        <w:t>.</w:t>
      </w:r>
    </w:p>
    <w:p w:rsidR="00111A90" w:rsidRDefault="00D64F31">
      <w:pPr>
        <w:pStyle w:val="BodyText"/>
        <w:rPr>
          <w:rFonts w:ascii="Arial" w:hAnsi="Arial" w:cs="Arial"/>
          <w:b/>
        </w:rPr>
      </w:pPr>
      <w:r>
        <w:rPr>
          <w:rFonts w:ascii="Arial" w:hAnsi="Arial" w:cs="Arial"/>
          <w:b/>
        </w:rPr>
        <w:t xml:space="preserve">Amendment of Subsection (1) - </w:t>
      </w:r>
      <w:r w:rsidR="00111A90">
        <w:rPr>
          <w:rFonts w:ascii="Arial" w:hAnsi="Arial" w:cs="Arial"/>
          <w:b/>
        </w:rPr>
        <w:t>Quality of Service</w:t>
      </w:r>
    </w:p>
    <w:p w:rsidR="00BC660D" w:rsidRPr="00895C8D" w:rsidRDefault="00895C8D" w:rsidP="0067196F">
      <w:pPr>
        <w:pStyle w:val="BodyText"/>
        <w:spacing w:after="0"/>
        <w:ind w:left="720"/>
        <w:rPr>
          <w:rFonts w:ascii="Arial" w:hAnsi="Arial" w:cs="Arial"/>
          <w:b/>
          <w:i/>
        </w:rPr>
      </w:pPr>
      <w:r>
        <w:rPr>
          <w:rFonts w:ascii="Arial" w:hAnsi="Arial" w:cs="Arial"/>
          <w:b/>
          <w:i/>
        </w:rPr>
        <w:t xml:space="preserve">Removal of Operational </w:t>
      </w:r>
      <w:r w:rsidR="0067196F">
        <w:rPr>
          <w:rFonts w:ascii="Arial" w:hAnsi="Arial" w:cs="Arial"/>
          <w:b/>
          <w:i/>
        </w:rPr>
        <w:t xml:space="preserve">Conditions of the Utility’s Plant and Facilities </w:t>
      </w:r>
      <w:proofErr w:type="gramStart"/>
      <w:r w:rsidR="0067196F">
        <w:rPr>
          <w:rFonts w:ascii="Arial" w:hAnsi="Arial" w:cs="Arial"/>
          <w:b/>
          <w:i/>
        </w:rPr>
        <w:t>From</w:t>
      </w:r>
      <w:proofErr w:type="gramEnd"/>
      <w:r w:rsidR="0067196F">
        <w:rPr>
          <w:rFonts w:ascii="Arial" w:hAnsi="Arial" w:cs="Arial"/>
          <w:b/>
          <w:i/>
        </w:rPr>
        <w:t xml:space="preserve"> Quality of Service Evaluation</w:t>
      </w:r>
    </w:p>
    <w:p w:rsidR="0000489B" w:rsidRDefault="00111A90">
      <w:pPr>
        <w:pStyle w:val="BodyText"/>
      </w:pPr>
      <w:r>
        <w:t>Subsection (1) of Rule 25-30.433, F.A.C., states that the Commiss</w:t>
      </w:r>
      <w:r w:rsidR="003022FC">
        <w:t>ion will make a determination on</w:t>
      </w:r>
      <w:r>
        <w:t xml:space="preserve"> the quality of service provided by the utility in every rate case. The rule states that this determination </w:t>
      </w:r>
      <w:r w:rsidR="0000489B">
        <w:t xml:space="preserve">will be based on an evaluation of three separate components of water and wastewater utility operations: </w:t>
      </w:r>
      <w:r w:rsidR="00D71257">
        <w:t xml:space="preserve">(1) </w:t>
      </w:r>
      <w:r w:rsidR="0000489B">
        <w:t xml:space="preserve">quality of the utility’s product (water and wastewater); </w:t>
      </w:r>
      <w:r w:rsidR="00D71257">
        <w:t xml:space="preserve">(2) </w:t>
      </w:r>
      <w:r w:rsidR="0000489B">
        <w:t xml:space="preserve">operational conditions of the utility’s plant and facilities; and </w:t>
      </w:r>
      <w:r w:rsidR="00D71257">
        <w:t xml:space="preserve">(3) </w:t>
      </w:r>
      <w:r w:rsidR="0000489B">
        <w:t>the utility’s attempt to address customer satisfaction.</w:t>
      </w:r>
    </w:p>
    <w:p w:rsidR="0000489B" w:rsidRDefault="0000489B">
      <w:pPr>
        <w:pStyle w:val="BodyText"/>
      </w:pPr>
      <w:r>
        <w:t>Staff recommends that the operational conditions of the utility’s plant and facilities</w:t>
      </w:r>
      <w:r w:rsidR="00733AA5">
        <w:t xml:space="preserve"> component </w:t>
      </w:r>
      <w:r>
        <w:t xml:space="preserve">should be removed </w:t>
      </w:r>
      <w:r w:rsidR="003022FC">
        <w:t xml:space="preserve">from this section of the rule </w:t>
      </w:r>
      <w:r w:rsidR="00733AA5">
        <w:t>as one of the factors the Commission considers in its</w:t>
      </w:r>
      <w:r w:rsidR="00C91ABD">
        <w:t xml:space="preserve"> evaluation of a</w:t>
      </w:r>
      <w:r>
        <w:t xml:space="preserve"> utility’s quality of service. Staff believes that this f</w:t>
      </w:r>
      <w:r w:rsidR="00C91ABD">
        <w:t xml:space="preserve">actor should be moved to </w:t>
      </w:r>
      <w:r w:rsidR="00733AA5">
        <w:t xml:space="preserve">a </w:t>
      </w:r>
      <w:r w:rsidR="00C91ABD">
        <w:t>separate</w:t>
      </w:r>
      <w:r w:rsidR="00D31DD0">
        <w:t xml:space="preserve"> section of the rule, new S</w:t>
      </w:r>
      <w:r>
        <w:t xml:space="preserve">ubsection (2), because operating conditions of the plant do not always affect the quality of service provided </w:t>
      </w:r>
      <w:r w:rsidR="00733AA5">
        <w:t xml:space="preserve">to customers </w:t>
      </w:r>
      <w:r>
        <w:t xml:space="preserve">by the utility. In those instances where it does affect </w:t>
      </w:r>
      <w:r w:rsidR="00733AA5">
        <w:t xml:space="preserve">the </w:t>
      </w:r>
      <w:r>
        <w:t>quality of service provided to customers, it will be reflected in the quality of the utility’s product (water) or in the utility’s attempt to address customer satisfaction (w</w:t>
      </w:r>
      <w:r w:rsidR="001E609A">
        <w:t xml:space="preserve">ater and wastewater), </w:t>
      </w:r>
      <w:r>
        <w:t xml:space="preserve">both </w:t>
      </w:r>
      <w:r w:rsidR="00BC660D">
        <w:t xml:space="preserve">of which </w:t>
      </w:r>
      <w:r>
        <w:t xml:space="preserve">will remain </w:t>
      </w:r>
      <w:r w:rsidR="00BC660D">
        <w:t xml:space="preserve">components </w:t>
      </w:r>
      <w:r>
        <w:t>in the Commission’s quality of service evaluation under the amended rule.</w:t>
      </w:r>
    </w:p>
    <w:p w:rsidR="0067196F" w:rsidRPr="0067196F" w:rsidRDefault="0067196F" w:rsidP="0067196F">
      <w:pPr>
        <w:pStyle w:val="BodyText"/>
        <w:spacing w:after="0"/>
        <w:rPr>
          <w:rFonts w:ascii="Arial" w:hAnsi="Arial" w:cs="Arial"/>
          <w:b/>
          <w:i/>
        </w:rPr>
      </w:pPr>
      <w:r>
        <w:rPr>
          <w:rFonts w:ascii="Arial" w:hAnsi="Arial" w:cs="Arial"/>
          <w:b/>
          <w:i/>
        </w:rPr>
        <w:tab/>
        <w:t>Cod</w:t>
      </w:r>
      <w:r w:rsidR="005D7626">
        <w:rPr>
          <w:rFonts w:ascii="Arial" w:hAnsi="Arial" w:cs="Arial"/>
          <w:b/>
          <w:i/>
        </w:rPr>
        <w:t xml:space="preserve">ification of Information Used To Evaluate </w:t>
      </w:r>
      <w:r>
        <w:rPr>
          <w:rFonts w:ascii="Arial" w:hAnsi="Arial" w:cs="Arial"/>
          <w:b/>
          <w:i/>
        </w:rPr>
        <w:t>Quality of Service</w:t>
      </w:r>
    </w:p>
    <w:p w:rsidR="007B35F8" w:rsidRDefault="00C91ABD" w:rsidP="0067196F">
      <w:pPr>
        <w:pStyle w:val="BodyText"/>
        <w:spacing w:after="0"/>
      </w:pPr>
      <w:r>
        <w:t xml:space="preserve">Staff </w:t>
      </w:r>
      <w:r w:rsidR="002120E3">
        <w:t>a</w:t>
      </w:r>
      <w:r>
        <w:t xml:space="preserve">lso recommends </w:t>
      </w:r>
      <w:r w:rsidR="007B35F8">
        <w:t>that new paragraphs</w:t>
      </w:r>
      <w:r w:rsidR="002120E3">
        <w:t xml:space="preserve"> (1)</w:t>
      </w:r>
      <w:r w:rsidR="007B35F8">
        <w:t>(a) through (e)</w:t>
      </w:r>
      <w:r w:rsidR="002120E3">
        <w:t xml:space="preserve"> of Rule 25-30.433</w:t>
      </w:r>
      <w:r w:rsidR="007B35F8">
        <w:t xml:space="preserve">, F.A.C., </w:t>
      </w:r>
      <w:r>
        <w:t xml:space="preserve">be </w:t>
      </w:r>
      <w:r w:rsidR="007B35F8">
        <w:t>added to the rule to codify</w:t>
      </w:r>
      <w:r>
        <w:t xml:space="preserve"> </w:t>
      </w:r>
      <w:r w:rsidR="003022FC">
        <w:t xml:space="preserve">the </w:t>
      </w:r>
      <w:r w:rsidR="007B35F8">
        <w:t xml:space="preserve">information that the Commission </w:t>
      </w:r>
      <w:r>
        <w:t xml:space="preserve">currently </w:t>
      </w:r>
      <w:r w:rsidR="003022FC">
        <w:t>consider</w:t>
      </w:r>
      <w:r w:rsidR="007B35F8">
        <w:t>s</w:t>
      </w:r>
      <w:r w:rsidR="003022FC">
        <w:t xml:space="preserve"> when evaluating the quality of the utility’s product (water) and the utility’s attempt to address customer satisfa</w:t>
      </w:r>
      <w:r w:rsidR="007B35F8">
        <w:t>ction (water and wastewater). This information ranges from the most recent chemical analyses for each water system to any testimony, complaints, and comments from the utility’s customers and others with knowledge of quality of service.</w:t>
      </w:r>
      <w:r w:rsidR="001E609A">
        <w:t xml:space="preserve"> </w:t>
      </w:r>
    </w:p>
    <w:p w:rsidR="0067196F" w:rsidRDefault="0067196F" w:rsidP="0067196F">
      <w:pPr>
        <w:pStyle w:val="BodyText"/>
        <w:spacing w:after="0"/>
      </w:pPr>
    </w:p>
    <w:p w:rsidR="00A01C56" w:rsidRDefault="0067196F" w:rsidP="0067196F">
      <w:pPr>
        <w:pStyle w:val="BodyText"/>
        <w:spacing w:after="0"/>
      </w:pPr>
      <w:r>
        <w:t>The rule currently states that the Commission will consider sanitary surveys, outstanding citations, violations and consent orders on file with the Department of Environmental Protection (DEP) and county health departme</w:t>
      </w:r>
      <w:r w:rsidR="002972FE">
        <w:t>nts or lack thereof over the pre</w:t>
      </w:r>
      <w:r>
        <w:t>cedi</w:t>
      </w:r>
      <w:r w:rsidR="005D7626">
        <w:t xml:space="preserve">ng three year period. Staff </w:t>
      </w:r>
      <w:r>
        <w:t>r</w:t>
      </w:r>
      <w:r w:rsidR="005D7626">
        <w:t>ecommends</w:t>
      </w:r>
      <w:r>
        <w:t xml:space="preserve"> that th</w:t>
      </w:r>
      <w:r w:rsidR="005D7626">
        <w:t>e three year</w:t>
      </w:r>
      <w:r>
        <w:t xml:space="preserve"> time period be removed from the rule. </w:t>
      </w:r>
      <w:r w:rsidR="00047675">
        <w:t>In evaluating quality of service, t</w:t>
      </w:r>
      <w:r w:rsidR="00101AF7">
        <w:t>he Commission</w:t>
      </w:r>
      <w:r w:rsidR="00047675">
        <w:t xml:space="preserve"> </w:t>
      </w:r>
      <w:r w:rsidR="00101AF7">
        <w:t>consi</w:t>
      </w:r>
      <w:r w:rsidR="00144925">
        <w:t>ders all information properly presented to it up until the close</w:t>
      </w:r>
      <w:r w:rsidR="00733AA5">
        <w:t xml:space="preserve"> of the record of</w:t>
      </w:r>
      <w:r w:rsidR="00101AF7">
        <w:t xml:space="preserve"> the hearing, </w:t>
      </w:r>
      <w:r w:rsidR="00047675">
        <w:t xml:space="preserve">not just information from the preceding three years.  </w:t>
      </w:r>
      <w:r w:rsidR="00A01C56">
        <w:t>The amended rule language would codify existing agency practice.</w:t>
      </w:r>
    </w:p>
    <w:p w:rsidR="00A01C56" w:rsidRDefault="00A01C56" w:rsidP="0067196F">
      <w:pPr>
        <w:pStyle w:val="BodyText"/>
        <w:spacing w:after="0"/>
      </w:pPr>
    </w:p>
    <w:p w:rsidR="00144925" w:rsidRDefault="00144925" w:rsidP="00484437">
      <w:pPr>
        <w:pStyle w:val="BodyText"/>
        <w:spacing w:after="0"/>
      </w:pPr>
      <w:r>
        <w:t xml:space="preserve">In its post-workshop comments, OPC </w:t>
      </w:r>
      <w:r w:rsidR="00953732">
        <w:t xml:space="preserve">stated </w:t>
      </w:r>
      <w:r w:rsidR="00733AA5">
        <w:t xml:space="preserve">the </w:t>
      </w:r>
      <w:r w:rsidR="00953732">
        <w:t>rule should be “implemented with the customers’ interests in mind.” It expressed a concern that the rule language should capture both the oral and written methods that customers communicate with the Commission. Staff believes that the recommended rule language in paragraph (1)(d) – that the Commission will consider any testimony, complaints and comments of the utility’s customers and others with knowledge of quality service – is broad enough to sufficiently cover the many ways that customer complaints and comments are provided to the Commission (e.g., both oral and written statements directly from customers, OPC testimony in its representation of customers, Commission staff testimony regarding customer complaints).</w:t>
      </w:r>
    </w:p>
    <w:p w:rsidR="002E6B2F" w:rsidRPr="00101AF7" w:rsidRDefault="002E6B2F" w:rsidP="0067196F">
      <w:pPr>
        <w:pStyle w:val="BodyText"/>
        <w:spacing w:after="0"/>
      </w:pPr>
    </w:p>
    <w:p w:rsidR="0067196F" w:rsidRPr="002E6B2F" w:rsidRDefault="002E6B2F" w:rsidP="0067196F">
      <w:pPr>
        <w:pStyle w:val="BodyText"/>
        <w:spacing w:after="0"/>
        <w:rPr>
          <w:rFonts w:ascii="Arial" w:hAnsi="Arial" w:cs="Arial"/>
          <w:b/>
          <w:i/>
        </w:rPr>
      </w:pPr>
      <w:r>
        <w:tab/>
      </w:r>
      <w:r>
        <w:rPr>
          <w:rFonts w:ascii="Arial" w:hAnsi="Arial" w:cs="Arial"/>
          <w:b/>
          <w:i/>
        </w:rPr>
        <w:t>Definition of Rate Case Proceeding Under the Rule</w:t>
      </w:r>
    </w:p>
    <w:p w:rsidR="00E27BAD" w:rsidRDefault="00C91ABD">
      <w:pPr>
        <w:pStyle w:val="BodyText"/>
      </w:pPr>
      <w:r>
        <w:t>In its post-workshop comments, OPC suggested that the terms “rate case” and “rate case proceeding” are not defined in the rule and should apply to all docketed proceedings in which the Commission sets a utility’</w:t>
      </w:r>
      <w:r w:rsidR="001E609A">
        <w:t xml:space="preserve">s rates, including grandfather certificate proceedings and original certificate proceedings with existing rates. In response to OPC’s comments, the Collective Utilities </w:t>
      </w:r>
      <w:r w:rsidR="006D1B57">
        <w:t>state that the rule should not apply to grandfather certificate proceedings or original certificate proceedings with existing rates</w:t>
      </w:r>
      <w:r w:rsidR="002E6B2F">
        <w:t xml:space="preserve"> for three reasons: (1) </w:t>
      </w:r>
      <w:r w:rsidR="006D1B57">
        <w:t xml:space="preserve">the Commission typically approves the existing rates for such utilities unless there is a concern or finding of potential overearnings; </w:t>
      </w:r>
      <w:r w:rsidR="002E6B2F">
        <w:t xml:space="preserve">(2) </w:t>
      </w:r>
      <w:r w:rsidR="006D1B57">
        <w:t xml:space="preserve">the Commission typically does not establish rate base and/or audit the operating expenses of the utilities during certificate dockets; and </w:t>
      </w:r>
      <w:r w:rsidR="002E6B2F">
        <w:t xml:space="preserve">(3) </w:t>
      </w:r>
      <w:r w:rsidR="006D1B57">
        <w:t>certificate cases are under different statutory authority than ra</w:t>
      </w:r>
      <w:r w:rsidR="00E27BAD">
        <w:t xml:space="preserve">te cases. </w:t>
      </w:r>
    </w:p>
    <w:p w:rsidR="002E6B2F" w:rsidRDefault="00E27BAD">
      <w:pPr>
        <w:pStyle w:val="BodyText"/>
      </w:pPr>
      <w:r>
        <w:t xml:space="preserve">Staff </w:t>
      </w:r>
      <w:r w:rsidR="006D1B57">
        <w:t xml:space="preserve">believes that expanding the rule to certificate </w:t>
      </w:r>
      <w:r>
        <w:t>dockets</w:t>
      </w:r>
      <w:r w:rsidR="002E6B2F">
        <w:t xml:space="preserve"> could create confusion and result in </w:t>
      </w:r>
      <w:r w:rsidR="006D1B57">
        <w:t>unintended conseque</w:t>
      </w:r>
      <w:r w:rsidR="002E6B2F">
        <w:t xml:space="preserve">nces.  For instance, it may mean that </w:t>
      </w:r>
      <w:r>
        <w:t xml:space="preserve">customer service hearings would need to be held </w:t>
      </w:r>
      <w:r w:rsidR="002E6B2F">
        <w:t xml:space="preserve">in certificate dockets </w:t>
      </w:r>
      <w:r>
        <w:t xml:space="preserve">and MFRs would need to be filed with certificate applications. </w:t>
      </w:r>
      <w:r w:rsidR="002E6B2F">
        <w:t>Thus, staff does not recommend that the rule be expanded to grandfather certificate proceedings and original certificate proceedings with existing rates</w:t>
      </w:r>
      <w:r w:rsidR="00EC3CB2">
        <w:t>,</w:t>
      </w:r>
      <w:r w:rsidR="002E6B2F">
        <w:t xml:space="preserve"> as suggested by OPC.</w:t>
      </w:r>
    </w:p>
    <w:p w:rsidR="00C91ABD" w:rsidRDefault="00E27BAD">
      <w:pPr>
        <w:pStyle w:val="BodyText"/>
      </w:pPr>
      <w:r>
        <w:t>S</w:t>
      </w:r>
      <w:r w:rsidR="00C91ABD">
        <w:t>taff</w:t>
      </w:r>
      <w:r w:rsidR="002E6B2F">
        <w:t>, however,</w:t>
      </w:r>
      <w:r w:rsidR="00C91ABD">
        <w:t xml:space="preserve"> </w:t>
      </w:r>
      <w:r>
        <w:t xml:space="preserve">agrees with OPC to the extent that the rule is currently unclear as to whether it applies to staff assisted rate cases and limited proceeding rate cases and </w:t>
      </w:r>
      <w:r w:rsidR="00C91ABD">
        <w:t>recommends that the Commission amend the Law Implemented section of the rule t</w:t>
      </w:r>
      <w:r w:rsidR="001E609A">
        <w:t>o include</w:t>
      </w:r>
      <w:r w:rsidR="00C91ABD">
        <w:t xml:space="preserve"> </w:t>
      </w:r>
      <w:r w:rsidR="0092449C">
        <w:t xml:space="preserve">Section </w:t>
      </w:r>
      <w:r w:rsidR="00C91ABD">
        <w:t>367.0814</w:t>
      </w:r>
      <w:r w:rsidR="0092449C">
        <w:t>, F.S.,</w:t>
      </w:r>
      <w:r w:rsidR="00C91ABD">
        <w:t xml:space="preserve"> (staff assisted rate cases) and </w:t>
      </w:r>
      <w:r w:rsidR="0092449C">
        <w:t xml:space="preserve">Section </w:t>
      </w:r>
      <w:r w:rsidR="00C91ABD">
        <w:t>367.0822</w:t>
      </w:r>
      <w:r w:rsidR="0092449C">
        <w:t>, F.S.,</w:t>
      </w:r>
      <w:r w:rsidR="00C91ABD">
        <w:t xml:space="preserve"> (limite</w:t>
      </w:r>
      <w:r w:rsidR="0092449C">
        <w:t xml:space="preserve">d proceeding rate cases) </w:t>
      </w:r>
      <w:r w:rsidR="00C91ABD">
        <w:t>to reflect tha</w:t>
      </w:r>
      <w:r w:rsidR="002E6B2F">
        <w:t xml:space="preserve">t the rule applies to these </w:t>
      </w:r>
      <w:r w:rsidR="00C91ABD">
        <w:t xml:space="preserve">rate case </w:t>
      </w:r>
      <w:r w:rsidR="001E609A">
        <w:t>p</w:t>
      </w:r>
      <w:r w:rsidR="002E6B2F">
        <w:t>roceedings in addition to</w:t>
      </w:r>
      <w:r w:rsidR="001E609A">
        <w:t xml:space="preserve"> general rate cases </w:t>
      </w:r>
      <w:r w:rsidR="00EC3CB2">
        <w:t xml:space="preserve">filed </w:t>
      </w:r>
      <w:r w:rsidR="001E609A">
        <w:t>under Section 367.0812</w:t>
      </w:r>
      <w:r>
        <w:t>, F.S.</w:t>
      </w:r>
    </w:p>
    <w:p w:rsidR="00B41C64" w:rsidRDefault="00B41C64" w:rsidP="001E609A">
      <w:pPr>
        <w:pStyle w:val="BodyText"/>
        <w:spacing w:after="0"/>
        <w:rPr>
          <w:rFonts w:ascii="Arial" w:hAnsi="Arial" w:cs="Arial"/>
        </w:rPr>
      </w:pPr>
      <w:r>
        <w:rPr>
          <w:rFonts w:ascii="Arial" w:hAnsi="Arial" w:cs="Arial"/>
          <w:b/>
        </w:rPr>
        <w:t xml:space="preserve">New Subsection (2) – The Commission’s Evaluation of the Infrastructure and Operational Conditions of the </w:t>
      </w:r>
      <w:r w:rsidR="0092449C">
        <w:rPr>
          <w:rFonts w:ascii="Arial" w:hAnsi="Arial" w:cs="Arial"/>
          <w:b/>
        </w:rPr>
        <w:t xml:space="preserve">Utility’s </w:t>
      </w:r>
      <w:r>
        <w:rPr>
          <w:rFonts w:ascii="Arial" w:hAnsi="Arial" w:cs="Arial"/>
          <w:b/>
        </w:rPr>
        <w:t>Plant and Facilities</w:t>
      </w:r>
    </w:p>
    <w:p w:rsidR="001E609A" w:rsidRDefault="00B41C64" w:rsidP="001E609A">
      <w:pPr>
        <w:pStyle w:val="BodyText"/>
        <w:spacing w:after="0"/>
      </w:pPr>
      <w:r>
        <w:t>As discussed above, staff recommends that the Commission’s evaluation of the operational conditions of the utility’s plant and facilities should be deleted from Su</w:t>
      </w:r>
      <w:r w:rsidR="00A40490">
        <w:t>bsection (1) of Rule 25-30.433, F.A.C., and a new Subsection (2) should be created to address this aspect of utility service. Staff recommends this amendment to the rule b</w:t>
      </w:r>
      <w:r>
        <w:t>ecause</w:t>
      </w:r>
      <w:r w:rsidR="00A40490">
        <w:t>, as discussed above,</w:t>
      </w:r>
      <w:r>
        <w:t xml:space="preserve"> operating conditions of the plant do not always affect the quality of service provided by the utility. </w:t>
      </w:r>
    </w:p>
    <w:p w:rsidR="00EC3CB2" w:rsidRDefault="00EC3CB2" w:rsidP="001E609A">
      <w:pPr>
        <w:pStyle w:val="BodyText"/>
        <w:spacing w:after="0"/>
      </w:pPr>
    </w:p>
    <w:p w:rsidR="00BC660D" w:rsidRDefault="00996500" w:rsidP="00B41C64">
      <w:pPr>
        <w:pStyle w:val="BodyText"/>
      </w:pPr>
      <w:r>
        <w:t xml:space="preserve">At the workshop, OPC initially expressed concern with moving the operational conditions of the utility’s plant and facilities to a separate section of the rule, stating that it is a component of the utility’s quality of service. OPC did not address this concern in its post-workshop comments. </w:t>
      </w:r>
    </w:p>
    <w:p w:rsidR="00BC660D" w:rsidRDefault="00BC660D" w:rsidP="00B41C64">
      <w:pPr>
        <w:pStyle w:val="BodyText"/>
      </w:pPr>
      <w:r>
        <w:t>S</w:t>
      </w:r>
      <w:r w:rsidR="00996500">
        <w:t>taff does not believe that moving this component to a separate section of the rule will impact the Commission</w:t>
      </w:r>
      <w:r w:rsidR="00A86BEA">
        <w:t>’s</w:t>
      </w:r>
      <w:r w:rsidR="00996500">
        <w:t xml:space="preserve"> ability </w:t>
      </w:r>
      <w:r w:rsidR="00A40490">
        <w:t>to review the infrastructure and operational conditions of the plant and facilities to ensure the safe, efficient, and sufficient service to utility customers, as mandated by Section 36</w:t>
      </w:r>
      <w:r w:rsidR="00996500">
        <w:t xml:space="preserve">7.111, F.S. As discussed above, in those instances where the operational condition of the utility’s plant and facilities affects quality of service provided to customers, it will be reflected in the quality of the utility’s product (water) or in the utility’s attempt to address customer satisfaction (water and wastewater), both </w:t>
      </w:r>
      <w:r>
        <w:t xml:space="preserve">of which </w:t>
      </w:r>
      <w:r w:rsidR="00996500">
        <w:t xml:space="preserve">will remain </w:t>
      </w:r>
      <w:r>
        <w:t xml:space="preserve">components </w:t>
      </w:r>
      <w:r w:rsidR="00996500">
        <w:t>in the Commission’s quality of service evaluation under the amended rule.</w:t>
      </w:r>
      <w:r>
        <w:t xml:space="preserve"> </w:t>
      </w:r>
      <w:r w:rsidR="00996500">
        <w:t>I</w:t>
      </w:r>
      <w:r w:rsidR="00A40490">
        <w:t>f the operati</w:t>
      </w:r>
      <w:r w:rsidR="00C96835">
        <w:t>onal conditions of the plant have</w:t>
      </w:r>
      <w:r w:rsidR="00A40490">
        <w:t xml:space="preserve"> not resulted in customer complaints </w:t>
      </w:r>
      <w:r w:rsidR="00D40FE2">
        <w:t>or adversely affected the quality of the utility’s product, it will not impact the Commission’s evaluation of the quality of service pro</w:t>
      </w:r>
      <w:r>
        <w:t>vided by the utility.</w:t>
      </w:r>
    </w:p>
    <w:p w:rsidR="001E609A" w:rsidRDefault="0092449C" w:rsidP="00B41C64">
      <w:pPr>
        <w:pStyle w:val="BodyText"/>
      </w:pPr>
      <w:r>
        <w:t>Nonetheless, t</w:t>
      </w:r>
      <w:r w:rsidR="00BC660D">
        <w:t>he Commission will continue to have the authority under new Subsection (2) of the rule to evaluate the utility’s management of the utility’s operations and facilities. If t</w:t>
      </w:r>
      <w:r w:rsidR="00D40FE2">
        <w:t>he Commission finds that the utility’s infrastructure and operational conditions of the plant and facilities do not meet the requirements with Commission Rule 25-30.225, F.A.C., which set</w:t>
      </w:r>
      <w:r w:rsidR="00C96835">
        <w:t>s forth the standard</w:t>
      </w:r>
      <w:r w:rsidR="00D40FE2">
        <w:t xml:space="preserve"> for a utility’s plant and facilities, the Commission could, pursuant to Section 367.11</w:t>
      </w:r>
      <w:r w:rsidR="00C96835">
        <w:t>1</w:t>
      </w:r>
      <w:r w:rsidR="00D40FE2">
        <w:t>, F.S., reduce the utility’s return on equi</w:t>
      </w:r>
      <w:r w:rsidR="00C96835">
        <w:t xml:space="preserve">ty until the standards are met </w:t>
      </w:r>
      <w:r w:rsidR="00D40FE2">
        <w:t>o</w:t>
      </w:r>
      <w:r w:rsidR="00C96835">
        <w:t>r institute other remedial measures</w:t>
      </w:r>
      <w:r w:rsidR="00D40FE2">
        <w:t>, such as reducing the utility president’</w:t>
      </w:r>
      <w:r w:rsidR="00391935">
        <w:t>s salary or imposing a fine on the utility, pursuant to Section 367.161, F.S., to bring the utility into compliance with Commission statute</w:t>
      </w:r>
      <w:r w:rsidR="00C96835">
        <w:t>s</w:t>
      </w:r>
      <w:r w:rsidR="00391935">
        <w:t>, rules, and orders.</w:t>
      </w:r>
    </w:p>
    <w:p w:rsidR="00A01C56" w:rsidRDefault="00A01C56" w:rsidP="00B41C64">
      <w:pPr>
        <w:pStyle w:val="BodyText"/>
      </w:pPr>
    </w:p>
    <w:p w:rsidR="001E609A" w:rsidRDefault="001E609A" w:rsidP="001E609A">
      <w:pPr>
        <w:pStyle w:val="BodyText"/>
        <w:spacing w:after="0"/>
        <w:rPr>
          <w:rFonts w:ascii="Arial" w:hAnsi="Arial" w:cs="Arial"/>
        </w:rPr>
      </w:pPr>
      <w:r>
        <w:rPr>
          <w:rFonts w:ascii="Arial" w:hAnsi="Arial" w:cs="Arial"/>
          <w:b/>
        </w:rPr>
        <w:t>Renumbered Subsection (</w:t>
      </w:r>
      <w:r w:rsidR="00BE6E8C">
        <w:rPr>
          <w:rFonts w:ascii="Arial" w:hAnsi="Arial" w:cs="Arial"/>
          <w:b/>
        </w:rPr>
        <w:t>3</w:t>
      </w:r>
      <w:r>
        <w:rPr>
          <w:rFonts w:ascii="Arial" w:hAnsi="Arial" w:cs="Arial"/>
          <w:b/>
        </w:rPr>
        <w:t xml:space="preserve">) – </w:t>
      </w:r>
      <w:r w:rsidR="00BE6E8C">
        <w:rPr>
          <w:rFonts w:ascii="Arial" w:hAnsi="Arial" w:cs="Arial"/>
          <w:b/>
        </w:rPr>
        <w:t>Working Capital</w:t>
      </w:r>
    </w:p>
    <w:p w:rsidR="00E27BAD" w:rsidRDefault="009354A2" w:rsidP="001E609A">
      <w:pPr>
        <w:pStyle w:val="BodyText"/>
        <w:spacing w:after="0"/>
      </w:pPr>
      <w:r>
        <w:t xml:space="preserve">This subsection addresses working capital. OPC commented that this subsection should be amended to exclude deferred rate case expense in the balance sheet method of working capital </w:t>
      </w:r>
      <w:r w:rsidR="00BB6576">
        <w:t xml:space="preserve">and </w:t>
      </w:r>
      <w:r>
        <w:t xml:space="preserve">to exclude rate case expense amortization from O&amp;M expenses for purposes of calculating the formula method of working capital for Class B and C utilities. </w:t>
      </w:r>
      <w:r w:rsidR="00BB6576">
        <w:t xml:space="preserve">OPC noted that the Commission follows Section 367.081(9), F.S., which stated:  “A utility may not earn a return on the unamortized balance of the rate case expense.  Any unamortized balance of rate case expense shall be excluded in calculating the utility’s rate base.”  OPC believes that the rule should be amended accordingly to be in compliance with this statute and Commission practice and policy.  </w:t>
      </w:r>
    </w:p>
    <w:p w:rsidR="00BB6576" w:rsidRDefault="00BB6576" w:rsidP="001E609A">
      <w:pPr>
        <w:pStyle w:val="BodyText"/>
        <w:spacing w:after="0"/>
      </w:pPr>
    </w:p>
    <w:p w:rsidR="009354A2" w:rsidRPr="00BB6576" w:rsidRDefault="00BB6576" w:rsidP="001E609A">
      <w:pPr>
        <w:pStyle w:val="BodyText"/>
        <w:spacing w:after="0"/>
      </w:pPr>
      <w:r>
        <w:t>OPC is correct that the Commission in complying with Section 367.081(9), F.S., exclude</w:t>
      </w:r>
      <w:r w:rsidR="00874A67">
        <w:t>s</w:t>
      </w:r>
      <w:r>
        <w:t xml:space="preserve"> deferred rate case expense in the balance sheet method of working capital </w:t>
      </w:r>
      <w:r w:rsidR="00874A67">
        <w:t xml:space="preserve">for Class A utilities </w:t>
      </w:r>
      <w:r>
        <w:t>and excludes rate case expense amortization from O&amp;M expenses for purposes of calculating the formula method of working capital for Class B and C utilities.  However, adding the language suggested by OPC to the rule would not be required for implementation of the statute, because it is already required by the language of Section 367.081(9), F.S.</w:t>
      </w:r>
      <w:r w:rsidR="00F83689">
        <w:t xml:space="preserve">  In adopting rules, agencies are not to reiterate or paraphrase statutory material as part of the rule language. </w:t>
      </w:r>
      <w:r w:rsidR="00F83689" w:rsidRPr="00F83689">
        <w:rPr>
          <w:u w:val="single"/>
        </w:rPr>
        <w:t>See</w:t>
      </w:r>
      <w:r w:rsidR="00F83689" w:rsidRPr="00874A67">
        <w:t xml:space="preserve"> </w:t>
      </w:r>
      <w:r w:rsidR="00F83689">
        <w:t>Section 120.545(1)(c), F.S. For this reason, staff does not recommend that renumbered subsection (</w:t>
      </w:r>
      <w:r w:rsidR="00874A67">
        <w:t>3</w:t>
      </w:r>
      <w:r w:rsidR="00F83689">
        <w:t>) be amended.</w:t>
      </w:r>
    </w:p>
    <w:p w:rsidR="009354A2" w:rsidRPr="00E27BAD" w:rsidRDefault="009354A2" w:rsidP="001E609A">
      <w:pPr>
        <w:pStyle w:val="BodyText"/>
        <w:spacing w:after="0"/>
      </w:pPr>
    </w:p>
    <w:p w:rsidR="00391935" w:rsidRDefault="00391935" w:rsidP="00E27BAD">
      <w:pPr>
        <w:pStyle w:val="BodyText"/>
        <w:spacing w:after="0"/>
        <w:rPr>
          <w:rFonts w:ascii="Arial" w:hAnsi="Arial" w:cs="Arial"/>
        </w:rPr>
      </w:pPr>
      <w:r>
        <w:rPr>
          <w:rFonts w:ascii="Arial" w:hAnsi="Arial" w:cs="Arial"/>
          <w:b/>
        </w:rPr>
        <w:t>Renumbered Subsection (11) – Right of Access and Continued Use of Land</w:t>
      </w:r>
    </w:p>
    <w:p w:rsidR="009354A2" w:rsidRDefault="00391935" w:rsidP="00E27BAD">
      <w:pPr>
        <w:pStyle w:val="BodyText"/>
        <w:spacing w:after="0"/>
      </w:pPr>
      <w:r>
        <w:t>Section 367.1213, F.S., requires a utility to own the land or possess the right to continued use of the land upon which treatment facilities are located. This section provides the Commission with the authority to adopt rules to implement this statute.</w:t>
      </w:r>
    </w:p>
    <w:p w:rsidR="00391935" w:rsidRDefault="00391935" w:rsidP="00E27BAD">
      <w:pPr>
        <w:pStyle w:val="BodyText"/>
        <w:spacing w:after="0"/>
      </w:pPr>
      <w:r>
        <w:t xml:space="preserve"> </w:t>
      </w:r>
    </w:p>
    <w:p w:rsidR="00391935" w:rsidRDefault="00391935" w:rsidP="00B41C64">
      <w:pPr>
        <w:pStyle w:val="BodyText"/>
      </w:pPr>
      <w:r>
        <w:t xml:space="preserve">In renumbered subsection (11), staff recommends that </w:t>
      </w:r>
      <w:r w:rsidR="00C96835">
        <w:t xml:space="preserve">the </w:t>
      </w:r>
      <w:r>
        <w:t>rule language be amended to reflect the language used in the statute. Staff further reco</w:t>
      </w:r>
      <w:r w:rsidR="00C96835">
        <w:t>mmends that the Commission add</w:t>
      </w:r>
      <w:r>
        <w:t xml:space="preserve"> language to the rule, consistent with </w:t>
      </w:r>
      <w:r w:rsidR="00A2020F">
        <w:t>Commission r</w:t>
      </w:r>
      <w:r>
        <w:t xml:space="preserve">ules </w:t>
      </w:r>
      <w:r w:rsidR="00A2020F">
        <w:t>a</w:t>
      </w:r>
      <w:r w:rsidR="00085077">
        <w:t>ddressing applications for original certificates (Rule 25-30.034(1)(m), F.A.C.), applications for amendment of certificates (Rule 25-30.036(1)(e), F.A.C.)</w:t>
      </w:r>
      <w:r w:rsidR="00A2020F">
        <w:t xml:space="preserve">, and </w:t>
      </w:r>
      <w:r w:rsidR="00085077">
        <w:t xml:space="preserve">applications for </w:t>
      </w:r>
      <w:r w:rsidR="00A2020F">
        <w:t>transfer</w:t>
      </w:r>
      <w:r w:rsidR="00085077">
        <w:t xml:space="preserve"> of certificates (Rule </w:t>
      </w:r>
      <w:r w:rsidR="00A2020F">
        <w:t>25-30.037(2)(s), F.A.C.</w:t>
      </w:r>
      <w:r w:rsidR="00085077">
        <w:t>)</w:t>
      </w:r>
      <w:r w:rsidR="00853D8E">
        <w:t xml:space="preserve">, </w:t>
      </w:r>
      <w:r w:rsidR="00A2020F">
        <w:t>that documentation demonstrating continued use of the land shall be in the form of a recorded deed, recorded quit claim deed accompanied by title insurance, recorded lease, such as a 99-year lease, or recorded easement.</w:t>
      </w:r>
    </w:p>
    <w:p w:rsidR="00853D8E" w:rsidRDefault="00853D8E" w:rsidP="00B41C64">
      <w:pPr>
        <w:pStyle w:val="BodyText"/>
      </w:pPr>
      <w:r>
        <w:t xml:space="preserve">In its post-workshop comments, OPC questioned why the rule is limited to only treatment facilities, stating that a utility should be required to have the right of access and continued use of land upon which all of its facilities and equipment are located. OPC states that this should include </w:t>
      </w:r>
      <w:r w:rsidR="0092449C">
        <w:t xml:space="preserve">the utility’s </w:t>
      </w:r>
      <w:r>
        <w:t>water source of supply plant, wastewater disposal, wastewater reuse, water transmission and distribution</w:t>
      </w:r>
      <w:r w:rsidR="0092449C">
        <w:t>,</w:t>
      </w:r>
      <w:r>
        <w:t xml:space="preserve"> and wastewater collection lines.</w:t>
      </w:r>
    </w:p>
    <w:p w:rsidR="00853D8E" w:rsidRDefault="00853D8E" w:rsidP="00B41C64">
      <w:pPr>
        <w:pStyle w:val="BodyText"/>
      </w:pPr>
      <w:r>
        <w:t>In response to OPC’s comments, Utilities, Inc. of Florid</w:t>
      </w:r>
      <w:r w:rsidR="00A86BEA">
        <w:t>a states that it is unaware of “</w:t>
      </w:r>
      <w:r>
        <w:t xml:space="preserve">any problem that would compel or justify a change in the status quo.” It further states that obtaining such documentation would have a “monumental” impact </w:t>
      </w:r>
      <w:r w:rsidR="0092449C">
        <w:t xml:space="preserve">on </w:t>
      </w:r>
      <w:r>
        <w:t>a utility the size of Utilities, Inc. of Florida and would result in “substantial additional rate case expense.</w:t>
      </w:r>
      <w:r w:rsidR="0092449C">
        <w:t>”</w:t>
      </w:r>
    </w:p>
    <w:p w:rsidR="00C4501F" w:rsidRDefault="00632FDC" w:rsidP="00B41C64">
      <w:pPr>
        <w:pStyle w:val="BodyText"/>
      </w:pPr>
      <w:r>
        <w:t>The Collective Utilities also d</w:t>
      </w:r>
      <w:r w:rsidR="0092449C">
        <w:t>isagreed with OPC’s comments. They</w:t>
      </w:r>
      <w:r>
        <w:t xml:space="preserve"> stated that </w:t>
      </w:r>
      <w:r w:rsidR="00EC3CB2">
        <w:t>OPC’s suggestion</w:t>
      </w:r>
      <w:r w:rsidR="00C4501F">
        <w:t xml:space="preserve"> would expand the rule beyond the statutory authority of Sec</w:t>
      </w:r>
      <w:r w:rsidR="0092449C">
        <w:t>tion 367.1213, F.S., and that it appears</w:t>
      </w:r>
      <w:r w:rsidR="00C4501F">
        <w:t xml:space="preserve"> to be a </w:t>
      </w:r>
      <w:r w:rsidR="0092449C">
        <w:t>“</w:t>
      </w:r>
      <w:r w:rsidR="00C4501F">
        <w:t>solution in search of a problem that does not exist.”</w:t>
      </w:r>
    </w:p>
    <w:p w:rsidR="00C4501F" w:rsidRPr="00391935" w:rsidRDefault="00C4501F" w:rsidP="00B41C64">
      <w:pPr>
        <w:pStyle w:val="BodyText"/>
      </w:pPr>
      <w:r>
        <w:t xml:space="preserve">Section 367.1213, F.S., </w:t>
      </w:r>
      <w:r w:rsidR="0092449C">
        <w:t xml:space="preserve">only requires that a utility </w:t>
      </w:r>
      <w:r>
        <w:t xml:space="preserve">own the land or possess the right to continued use of the land upon which treatment facilities are located. Staff recommends that the Commission not adopt OPC’s suggested </w:t>
      </w:r>
      <w:r w:rsidR="0092449C">
        <w:t>rule language, as it would expand the rule beyond its statutory authority</w:t>
      </w:r>
      <w:r>
        <w:t>.</w:t>
      </w:r>
    </w:p>
    <w:p w:rsidR="00085077" w:rsidRDefault="00085077" w:rsidP="00085077">
      <w:pPr>
        <w:pStyle w:val="First-LevelSubheading"/>
      </w:pPr>
      <w:r>
        <w:t>Statement of Estimated Regulatory Costs</w:t>
      </w:r>
    </w:p>
    <w:p w:rsidR="00085077" w:rsidRPr="00017271" w:rsidRDefault="00085077" w:rsidP="00085077">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B. </w:t>
      </w:r>
      <w:r>
        <w:t>As required by Section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t>5</w:t>
      </w:r>
      <w:r w:rsidRPr="00017271">
        <w:t xml:space="preserve"> years after implementation. </w:t>
      </w:r>
      <w:r>
        <w:t>Section 120.541(2</w:t>
      </w:r>
      <w:proofErr w:type="gramStart"/>
      <w:r>
        <w:t>)(</w:t>
      </w:r>
      <w:proofErr w:type="gramEnd"/>
      <w:r>
        <w:t>a)1., F.S. None of the impact/cost criteria will be exceeded as a result of the recommended revisions.</w:t>
      </w:r>
    </w:p>
    <w:p w:rsidR="00085077" w:rsidRPr="00017271" w:rsidRDefault="00085077" w:rsidP="00085077">
      <w:pPr>
        <w:jc w:val="both"/>
      </w:pPr>
    </w:p>
    <w:p w:rsidR="00085077" w:rsidRDefault="00085077" w:rsidP="00085077">
      <w:pPr>
        <w:pStyle w:val="BodyText"/>
        <w:spacing w:after="0"/>
      </w:pPr>
      <w:r w:rsidRPr="00017271">
        <w:t xml:space="preserve">The SERC concludes that the rule amendments will likely not directly or indirectly increase regulatory costs in excess of $200,000 in </w:t>
      </w:r>
      <w:r>
        <w:t xml:space="preserve">the </w:t>
      </w:r>
      <w:r w:rsidRPr="00017271">
        <w:t xml:space="preserve">aggregate in Florida within 1 year after implementation. Further, the SERC concludes that the rule amendments will not likely </w:t>
      </w:r>
      <w:r>
        <w:t xml:space="preserve">increase regulatory costs, including any transactional costs or </w:t>
      </w:r>
      <w:r w:rsidRPr="00017271">
        <w:t>have an adverse impact on business competitiveness, productivity, or innovation in excess of $1 million in the aggregate within 5 years of implementation. Thus, the rule amendments do not require legislative ratification, pursuant to S</w:t>
      </w:r>
      <w:r>
        <w:t>ection</w:t>
      </w:r>
      <w:r w:rsidRPr="00017271">
        <w:t xml:space="preserve"> 120.541(3), F.S.  In addition, the SERC states that the rule amendments would have </w:t>
      </w:r>
      <w:r w:rsidR="00A01C56">
        <w:t>no</w:t>
      </w:r>
      <w:r w:rsidRPr="00017271">
        <w:t xml:space="preserve"> impact on small businesses, would have no implementation or enforcement cost on the Commission or any other state and local government entity, and would have no impact on small cities or small counties.  The SERC states that transactional costs </w:t>
      </w:r>
      <w:r>
        <w:t>likely to be incurred by individuals and entities required to comply with the requirements of the rule</w:t>
      </w:r>
      <w:r w:rsidRPr="00017271">
        <w:t xml:space="preserve"> are expected to be </w:t>
      </w:r>
      <w:r>
        <w:t>minimal</w:t>
      </w:r>
      <w:r w:rsidRPr="00017271">
        <w:t xml:space="preserve">. </w:t>
      </w:r>
    </w:p>
    <w:p w:rsidR="00085077" w:rsidRDefault="00085077" w:rsidP="00085077">
      <w:pPr>
        <w:pStyle w:val="BodyText"/>
        <w:spacing w:after="0"/>
      </w:pPr>
    </w:p>
    <w:p w:rsidR="00085077" w:rsidRDefault="00085077" w:rsidP="00085077">
      <w:pPr>
        <w:pStyle w:val="First-LevelSubheading"/>
      </w:pPr>
      <w:r>
        <w:t>Minor Violation Rules Certification</w:t>
      </w:r>
    </w:p>
    <w:p w:rsidR="00085077" w:rsidRDefault="00085077" w:rsidP="00085077">
      <w:pPr>
        <w:pStyle w:val="BodyText"/>
      </w:pPr>
      <w:r>
        <w:t>Pursuant to Section 120.695, F.S., beginning July 1, 2017, for each rule filed for adoption, the Commission is required to certify whether any part of the rule is designated as a rule the violation of which would be a minor violation. A list of the Commission rules designated as minor violation rules is published on the Commission’s website, as required by Section 120.695(2), F.S. Currently, Rule</w:t>
      </w:r>
      <w:r w:rsidRPr="00035A2F">
        <w:t xml:space="preserve"> </w:t>
      </w:r>
      <w:r>
        <w:t>25-30.433, F.A.C., is on the Commission’s list of rules designated as minor violations. If the Commission proposes the amendment of Rule 25-30.433, F.A.C., the rule would continue to be considered a minor violation rule. Therefore, for purposes of filing the amended rule for adoption with the Department of State, staff recommends that the Commission certify proposed amended Rule 25-30.433, as minor violation rules.</w:t>
      </w:r>
    </w:p>
    <w:p w:rsidR="00AD021B" w:rsidRDefault="00AD021B" w:rsidP="00085077">
      <w:pPr>
        <w:pStyle w:val="First-LevelSubheading"/>
      </w:pPr>
    </w:p>
    <w:p w:rsidR="00AD021B" w:rsidRDefault="00AD021B" w:rsidP="00085077">
      <w:pPr>
        <w:pStyle w:val="First-LevelSubheading"/>
      </w:pPr>
    </w:p>
    <w:p w:rsidR="00AD021B" w:rsidRDefault="00AD021B" w:rsidP="00085077">
      <w:pPr>
        <w:pStyle w:val="First-LevelSubheading"/>
      </w:pPr>
    </w:p>
    <w:p w:rsidR="00085077" w:rsidRDefault="00085077" w:rsidP="00085077">
      <w:pPr>
        <w:pStyle w:val="First-LevelSubheading"/>
      </w:pPr>
      <w:r>
        <w:t>Conclusion</w:t>
      </w:r>
    </w:p>
    <w:p w:rsidR="00351753" w:rsidRPr="00351753" w:rsidRDefault="002E6B2F">
      <w:pPr>
        <w:pStyle w:val="BodyText"/>
      </w:pPr>
      <w:r>
        <w:t xml:space="preserve">The Commission should propose the amendment of Rule 25-30.433, F.A.C., as set forth in Attachment A. Staff recommends that the Commission certify proposed amended Rule 25-30.433, </w:t>
      </w:r>
      <w:r w:rsidR="00B92E29">
        <w:t xml:space="preserve">F.A.C., </w:t>
      </w:r>
      <w:r>
        <w:t xml:space="preserve">as </w:t>
      </w:r>
      <w:r w:rsidR="00971290">
        <w:t xml:space="preserve">a </w:t>
      </w:r>
      <w:r>
        <w:t>minor violation rule.</w:t>
      </w:r>
      <w:r w:rsidR="0000489B">
        <w:t xml:space="preserve"> </w:t>
      </w:r>
      <w:r w:rsidR="00111A90">
        <w:t xml:space="preserve">  </w:t>
      </w:r>
    </w:p>
    <w:p w:rsidR="00085077" w:rsidRDefault="00085077">
      <w:pPr>
        <w:pStyle w:val="IssueHeading"/>
        <w:rPr>
          <w:vanish/>
          <w:specVanish/>
        </w:rPr>
      </w:pPr>
      <w:r w:rsidRPr="004C3641">
        <w:rPr>
          <w:b w:val="0"/>
          <w:i w:val="0"/>
        </w:rPr>
        <w:br w:type="page"/>
      </w:r>
      <w:r w:rsidRPr="004C3641">
        <w:t xml:space="preserve">Issue </w:t>
      </w:r>
      <w:r w:rsidR="00371CB6">
        <w:fldChar w:fldCharType="begin"/>
      </w:r>
      <w:r w:rsidR="00371CB6">
        <w:instrText xml:space="preserve"> SEQ Issue \* MERGEFORMAT </w:instrText>
      </w:r>
      <w:r w:rsidR="00371CB6">
        <w:fldChar w:fldCharType="separate"/>
      </w:r>
      <w:r w:rsidR="00484437">
        <w:rPr>
          <w:noProof/>
        </w:rPr>
        <w:t>2</w:t>
      </w:r>
      <w:r w:rsidR="00371CB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84437">
        <w:rPr>
          <w:noProof/>
        </w:rPr>
        <w:instrText>2</w:instrText>
      </w:r>
      <w:r>
        <w:fldChar w:fldCharType="end"/>
      </w:r>
      <w:r>
        <w:tab/>
        <w:instrText xml:space="preserve">" \l 1 </w:instrText>
      </w:r>
      <w:r>
        <w:fldChar w:fldCharType="end"/>
      </w:r>
      <w:r>
        <w:t> </w:t>
      </w:r>
    </w:p>
    <w:p w:rsidR="00085077" w:rsidRDefault="00085077">
      <w:pPr>
        <w:pStyle w:val="BodyText"/>
      </w:pPr>
      <w:r>
        <w:t>Should this docket be closed?</w:t>
      </w:r>
    </w:p>
    <w:p w:rsidR="00085077" w:rsidRPr="004C3641" w:rsidRDefault="00085077">
      <w:pPr>
        <w:pStyle w:val="IssueSubsectionHeading"/>
        <w:rPr>
          <w:vanish/>
          <w:specVanish/>
        </w:rPr>
      </w:pPr>
      <w:r w:rsidRPr="004C3641">
        <w:t>Recommendation: </w:t>
      </w:r>
    </w:p>
    <w:p w:rsidR="00085077" w:rsidRDefault="00085077">
      <w:pPr>
        <w:pStyle w:val="BodyText"/>
      </w:pPr>
      <w:r>
        <w:t xml:space="preserve"> Yes. If no requests for hearing or comments are filed, the rule should be filed with the Department of State, and the docket should be closed. </w:t>
      </w:r>
    </w:p>
    <w:p w:rsidR="00085077" w:rsidRPr="004C3641" w:rsidRDefault="00085077">
      <w:pPr>
        <w:pStyle w:val="IssueSubsectionHeading"/>
        <w:rPr>
          <w:vanish/>
          <w:specVanish/>
        </w:rPr>
      </w:pPr>
      <w:r w:rsidRPr="004C3641">
        <w:t>Staff Analysis: </w:t>
      </w:r>
    </w:p>
    <w:p w:rsidR="00085077" w:rsidRDefault="00085077">
      <w:pPr>
        <w:pStyle w:val="BodyText"/>
      </w:pPr>
      <w:r>
        <w:t> If no requests for hearing or comments are filed, the rule should be filed with the Department of State, and the docket should be closed.</w:t>
      </w:r>
    </w:p>
    <w:p w:rsidR="00E06484" w:rsidRDefault="00E06484" w:rsidP="00E275D8">
      <w:pPr>
        <w:pStyle w:val="BodyText"/>
      </w:pPr>
    </w:p>
    <w:p w:rsidR="006B0AD8" w:rsidRDefault="006B0AD8" w:rsidP="006B0AD8">
      <w:pPr>
        <w:pStyle w:val="BodyText"/>
        <w:sectPr w:rsidR="006B0AD8"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6B0AD8" w:rsidRPr="00D073A3" w:rsidRDefault="006B0AD8" w:rsidP="002E2652">
      <w:pPr>
        <w:pStyle w:val="Rule"/>
        <w:tabs>
          <w:tab w:val="clear" w:pos="720"/>
          <w:tab w:val="left" w:pos="360"/>
        </w:tabs>
        <w:rPr>
          <w:b/>
        </w:rPr>
      </w:pPr>
      <w:r>
        <w:rPr>
          <w:b/>
        </w:rPr>
        <w:tab/>
      </w:r>
      <w:proofErr w:type="gramStart"/>
      <w:r w:rsidRPr="00D073A3">
        <w:rPr>
          <w:b/>
        </w:rPr>
        <w:t>25-30.433 Rate Case Proceedings.</w:t>
      </w:r>
      <w:proofErr w:type="gramEnd"/>
    </w:p>
    <w:p w:rsidR="006B0AD8" w:rsidRPr="00D073A3" w:rsidRDefault="006B0AD8" w:rsidP="002E2652">
      <w:pPr>
        <w:pStyle w:val="Rule"/>
        <w:tabs>
          <w:tab w:val="clear" w:pos="720"/>
          <w:tab w:val="left" w:pos="360"/>
        </w:tabs>
      </w:pPr>
      <w:r>
        <w:tab/>
      </w:r>
      <w:r w:rsidRPr="005735B1">
        <w:t xml:space="preserve">In a rate case proceeding, the following provisions shall </w:t>
      </w:r>
      <w:proofErr w:type="gramStart"/>
      <w:r w:rsidRPr="005735B1">
        <w:t>apply</w:t>
      </w:r>
      <w:r w:rsidRPr="005735B1">
        <w:rPr>
          <w:u w:val="single"/>
        </w:rPr>
        <w:t>.</w:t>
      </w:r>
      <w:r w:rsidRPr="00BB626C">
        <w:rPr>
          <w:strike/>
        </w:rPr>
        <w:t>,</w:t>
      </w:r>
      <w:proofErr w:type="gramEnd"/>
      <w:r w:rsidRPr="00BB626C">
        <w:rPr>
          <w:strike/>
        </w:rPr>
        <w:t xml:space="preserve"> unless the </w:t>
      </w:r>
      <w:r w:rsidRPr="009C74AD">
        <w:rPr>
          <w:strike/>
        </w:rPr>
        <w:t>applicant or any intervenor demonstrates that these rules result in an unreasonable burden. In these instances, fully supported alternatives will be considered by the Commission. Any alternatives proposed by the utility</w:t>
      </w:r>
      <w:r w:rsidRPr="00BB626C">
        <w:rPr>
          <w:strike/>
        </w:rPr>
        <w:t xml:space="preserve"> must be filed with the minimum filing requirements.</w:t>
      </w:r>
    </w:p>
    <w:p w:rsidR="006B0AD8" w:rsidRDefault="006B0AD8" w:rsidP="00935E87">
      <w:pPr>
        <w:pStyle w:val="Rule"/>
        <w:tabs>
          <w:tab w:val="clear" w:pos="720"/>
          <w:tab w:val="left" w:pos="360"/>
        </w:tabs>
      </w:pPr>
      <w:r>
        <w:rPr>
          <w:strike/>
        </w:rPr>
        <w:t>(1)</w:t>
      </w:r>
      <w:r w:rsidRPr="00935E87">
        <w:rPr>
          <w:strike/>
        </w:rPr>
        <w:t>The Commission in every rate case shall make a determination of the quality of service provided by the utility.</w:t>
      </w:r>
      <w:r w:rsidRPr="002E2652">
        <w:rPr>
          <w:strike/>
        </w:rPr>
        <w:t xml:space="preserve"> This shall be derived from an evaluation of three separate components of water and wastewater utility operations:</w:t>
      </w:r>
      <w:r w:rsidRPr="00935E87">
        <w:rPr>
          <w:strike/>
        </w:rPr>
        <w:t xml:space="preserve"> quality of utility’s product (water</w:t>
      </w:r>
      <w:r>
        <w:rPr>
          <w:strike/>
        </w:rPr>
        <w:t xml:space="preserve"> </w:t>
      </w:r>
      <w:r w:rsidRPr="00312748">
        <w:rPr>
          <w:strike/>
        </w:rPr>
        <w:t>and wastewater);</w:t>
      </w:r>
      <w:r w:rsidRPr="002E2652">
        <w:rPr>
          <w:strike/>
        </w:rPr>
        <w:t xml:space="preserve"> operational conditions of utility’s plant and facilities;</w:t>
      </w:r>
      <w:r w:rsidRPr="00935E87">
        <w:rPr>
          <w:strike/>
        </w:rPr>
        <w:t xml:space="preserve"> and the utility’s attempt to address customer satisfaction</w:t>
      </w:r>
      <w:r>
        <w:rPr>
          <w:strike/>
        </w:rPr>
        <w:t>.  Sanitary surveys, outstanding citations, violations and consent orders</w:t>
      </w:r>
      <w:r w:rsidRPr="00935E87">
        <w:rPr>
          <w:strike/>
        </w:rPr>
        <w:t xml:space="preserve"> </w:t>
      </w:r>
      <w:r w:rsidRPr="004E1756">
        <w:rPr>
          <w:strike/>
        </w:rPr>
        <w:t>on file with the Department of Environmental Protection (DEP) and county health departments</w:t>
      </w:r>
      <w:r w:rsidRPr="00021252">
        <w:rPr>
          <w:strike/>
        </w:rPr>
        <w:t xml:space="preserve"> </w:t>
      </w:r>
      <w:r w:rsidRPr="005735B1">
        <w:rPr>
          <w:strike/>
        </w:rPr>
        <w:t>or lack thereof over the preceding 3-year period</w:t>
      </w:r>
      <w:r w:rsidRPr="00021252">
        <w:rPr>
          <w:strike/>
        </w:rPr>
        <w:t xml:space="preserve"> s</w:t>
      </w:r>
      <w:r w:rsidRPr="004E1756">
        <w:rPr>
          <w:strike/>
        </w:rPr>
        <w:t>hall also be considered</w:t>
      </w:r>
      <w:r>
        <w:rPr>
          <w:strike/>
        </w:rPr>
        <w:t xml:space="preserve">.  DEP and county health department officials’ testimony concerning quality of service </w:t>
      </w:r>
      <w:r w:rsidRPr="004E1756">
        <w:rPr>
          <w:strike/>
        </w:rPr>
        <w:t>as well as</w:t>
      </w:r>
      <w:r>
        <w:rPr>
          <w:strike/>
        </w:rPr>
        <w:t xml:space="preserve"> </w:t>
      </w:r>
      <w:r w:rsidRPr="00935E87">
        <w:rPr>
          <w:strike/>
        </w:rPr>
        <w:t>the</w:t>
      </w:r>
      <w:r w:rsidRPr="00E10EAB">
        <w:rPr>
          <w:strike/>
        </w:rPr>
        <w:t xml:space="preserve"> testimony of utility’s customers </w:t>
      </w:r>
      <w:r w:rsidRPr="004E1756">
        <w:rPr>
          <w:strike/>
        </w:rPr>
        <w:t>shall be considered</w:t>
      </w:r>
      <w:r w:rsidRPr="009D6698">
        <w:rPr>
          <w:strike/>
        </w:rPr>
        <w:t>.</w:t>
      </w:r>
    </w:p>
    <w:p w:rsidR="006B0AD8" w:rsidRPr="00935E87" w:rsidRDefault="006B0AD8" w:rsidP="00935E87">
      <w:pPr>
        <w:pStyle w:val="Rule"/>
        <w:tabs>
          <w:tab w:val="clear" w:pos="720"/>
          <w:tab w:val="left" w:pos="360"/>
        </w:tabs>
        <w:rPr>
          <w:u w:val="single"/>
        </w:rPr>
      </w:pPr>
      <w:r w:rsidRPr="00E10EAB">
        <w:tab/>
      </w:r>
      <w:r w:rsidRPr="00935E87">
        <w:rPr>
          <w:u w:val="single"/>
        </w:rPr>
        <w:t>(1)</w:t>
      </w:r>
      <w:r>
        <w:rPr>
          <w:u w:val="single"/>
        </w:rPr>
        <w:t xml:space="preserve"> The Commission in every rate case shall make a determination of the quality of service provided by the utility by</w:t>
      </w:r>
      <w:r w:rsidRPr="00E10EAB">
        <w:rPr>
          <w:u w:val="single"/>
        </w:rPr>
        <w:t xml:space="preserve"> </w:t>
      </w:r>
      <w:r w:rsidRPr="002E2652">
        <w:rPr>
          <w:u w:val="single"/>
        </w:rPr>
        <w:t>evaluating the</w:t>
      </w:r>
      <w:r>
        <w:rPr>
          <w:u w:val="single"/>
        </w:rPr>
        <w:t xml:space="preserve"> quality of the utility’s product (water) and the utility’s attempt to address customer satisfaction (water and wastewater).  In making this determination, the Commission shall consider:</w:t>
      </w:r>
    </w:p>
    <w:p w:rsidR="006B0AD8" w:rsidRDefault="006B0AD8" w:rsidP="002E2652">
      <w:pPr>
        <w:pStyle w:val="Rule"/>
        <w:tabs>
          <w:tab w:val="clear" w:pos="720"/>
          <w:tab w:val="left" w:pos="360"/>
        </w:tabs>
      </w:pPr>
      <w:r>
        <w:tab/>
      </w:r>
      <w:r w:rsidRPr="002E2652">
        <w:rPr>
          <w:u w:val="single"/>
        </w:rPr>
        <w:t xml:space="preserve">(a) </w:t>
      </w:r>
      <w:r>
        <w:rPr>
          <w:u w:val="single"/>
        </w:rPr>
        <w:t>The most recent chemical analyses for each water system as described in Rule 25-30.440(3), F.A.C.;</w:t>
      </w:r>
    </w:p>
    <w:p w:rsidR="006B0AD8" w:rsidRDefault="006B0AD8" w:rsidP="002E2652">
      <w:pPr>
        <w:pStyle w:val="Rule"/>
        <w:tabs>
          <w:tab w:val="clear" w:pos="720"/>
          <w:tab w:val="left" w:pos="360"/>
        </w:tabs>
        <w:rPr>
          <w:strike/>
        </w:rPr>
      </w:pPr>
      <w:r>
        <w:tab/>
      </w:r>
      <w:r w:rsidRPr="004E1756">
        <w:rPr>
          <w:u w:val="single"/>
        </w:rPr>
        <w:t xml:space="preserve">(b) </w:t>
      </w:r>
      <w:r>
        <w:rPr>
          <w:u w:val="single"/>
        </w:rPr>
        <w:t xml:space="preserve">Any </w:t>
      </w:r>
      <w:r w:rsidRPr="002E2652">
        <w:rPr>
          <w:u w:val="single"/>
        </w:rPr>
        <w:t>Department of Environmental Protection</w:t>
      </w:r>
      <w:r>
        <w:rPr>
          <w:u w:val="single"/>
        </w:rPr>
        <w:t xml:space="preserve"> (</w:t>
      </w:r>
      <w:r w:rsidRPr="004E1756">
        <w:rPr>
          <w:u w:val="single"/>
        </w:rPr>
        <w:t>DEP</w:t>
      </w:r>
      <w:r>
        <w:rPr>
          <w:u w:val="single"/>
        </w:rPr>
        <w:t>)</w:t>
      </w:r>
      <w:r w:rsidRPr="004E1756">
        <w:rPr>
          <w:u w:val="single"/>
        </w:rPr>
        <w:t xml:space="preserve"> and county health department</w:t>
      </w:r>
      <w:r w:rsidRPr="005F32A6">
        <w:t xml:space="preserve"> </w:t>
      </w:r>
      <w:r w:rsidRPr="00935E87">
        <w:rPr>
          <w:u w:val="single"/>
        </w:rPr>
        <w:t xml:space="preserve">citations, violations and consent orders </w:t>
      </w:r>
      <w:r w:rsidRPr="00C73C58">
        <w:rPr>
          <w:u w:val="single"/>
        </w:rPr>
        <w:t>that address</w:t>
      </w:r>
      <w:r w:rsidRPr="00312748">
        <w:rPr>
          <w:u w:val="single"/>
        </w:rPr>
        <w:t xml:space="preserve"> quality </w:t>
      </w:r>
      <w:r>
        <w:rPr>
          <w:u w:val="single"/>
        </w:rPr>
        <w:t>of service</w:t>
      </w:r>
      <w:r w:rsidRPr="00E24F30">
        <w:rPr>
          <w:u w:val="single"/>
        </w:rPr>
        <w:t>;</w:t>
      </w:r>
      <w:r>
        <w:t xml:space="preserve"> </w:t>
      </w:r>
    </w:p>
    <w:p w:rsidR="006B0AD8" w:rsidRDefault="006B0AD8" w:rsidP="002E2652">
      <w:pPr>
        <w:pStyle w:val="Rule"/>
        <w:tabs>
          <w:tab w:val="clear" w:pos="720"/>
          <w:tab w:val="left" w:pos="360"/>
        </w:tabs>
      </w:pPr>
      <w:r>
        <w:tab/>
      </w:r>
      <w:r w:rsidRPr="004E1756">
        <w:rPr>
          <w:u w:val="single"/>
        </w:rPr>
        <w:t>(c)</w:t>
      </w:r>
      <w:r>
        <w:t xml:space="preserve"> </w:t>
      </w:r>
      <w:r w:rsidRPr="00935E87">
        <w:rPr>
          <w:u w:val="single"/>
        </w:rPr>
        <w:t>Any</w:t>
      </w:r>
      <w:r w:rsidRPr="00E10EAB">
        <w:rPr>
          <w:u w:val="single"/>
        </w:rPr>
        <w:t xml:space="preserve"> DEP and county health department officials’ testimony concerning quality of service;</w:t>
      </w:r>
      <w:r>
        <w:rPr>
          <w:u w:val="single"/>
        </w:rPr>
        <w:t xml:space="preserve"> </w:t>
      </w:r>
    </w:p>
    <w:p w:rsidR="006B0AD8" w:rsidRDefault="006B0AD8" w:rsidP="002E2652">
      <w:pPr>
        <w:pStyle w:val="Rule"/>
        <w:tabs>
          <w:tab w:val="clear" w:pos="720"/>
          <w:tab w:val="left" w:pos="360"/>
        </w:tabs>
        <w:rPr>
          <w:strike/>
        </w:rPr>
      </w:pPr>
      <w:r>
        <w:tab/>
      </w:r>
      <w:r w:rsidRPr="00BB626C">
        <w:rPr>
          <w:u w:val="single"/>
        </w:rPr>
        <w:t>(d)</w:t>
      </w:r>
      <w:r>
        <w:t xml:space="preserve"> </w:t>
      </w:r>
      <w:r w:rsidRPr="00935E87">
        <w:rPr>
          <w:u w:val="single"/>
        </w:rPr>
        <w:t>Any</w:t>
      </w:r>
      <w:r w:rsidRPr="00E10EAB">
        <w:rPr>
          <w:u w:val="single"/>
        </w:rPr>
        <w:t xml:space="preserve"> testimony, complaints and comments of </w:t>
      </w:r>
      <w:r>
        <w:rPr>
          <w:u w:val="single"/>
        </w:rPr>
        <w:t xml:space="preserve">the </w:t>
      </w:r>
      <w:r w:rsidRPr="00E10EAB">
        <w:rPr>
          <w:u w:val="single"/>
        </w:rPr>
        <w:t xml:space="preserve">utility’s customers </w:t>
      </w:r>
      <w:r>
        <w:rPr>
          <w:u w:val="single"/>
        </w:rPr>
        <w:t>and others with knowledge of the utility’s quality of service; and</w:t>
      </w:r>
      <w:r w:rsidRPr="00935E87">
        <w:t xml:space="preserve"> </w:t>
      </w:r>
    </w:p>
    <w:p w:rsidR="006B0AD8" w:rsidRPr="005735B1" w:rsidRDefault="006B0AD8" w:rsidP="002E2652">
      <w:pPr>
        <w:pStyle w:val="Rule"/>
        <w:tabs>
          <w:tab w:val="clear" w:pos="720"/>
          <w:tab w:val="left" w:pos="360"/>
        </w:tabs>
        <w:rPr>
          <w:u w:val="single"/>
        </w:rPr>
      </w:pPr>
      <w:r>
        <w:tab/>
      </w:r>
      <w:r w:rsidRPr="00935E87">
        <w:rPr>
          <w:u w:val="single"/>
        </w:rPr>
        <w:t>(e) Any utility testimony and responses to the information provided</w:t>
      </w:r>
      <w:r>
        <w:rPr>
          <w:u w:val="single"/>
        </w:rPr>
        <w:t xml:space="preserve"> in paragraphs (1</w:t>
      </w:r>
      <w:proofErr w:type="gramStart"/>
      <w:r>
        <w:rPr>
          <w:u w:val="single"/>
        </w:rPr>
        <w:t>)(</w:t>
      </w:r>
      <w:proofErr w:type="gramEnd"/>
      <w:r>
        <w:rPr>
          <w:u w:val="single"/>
        </w:rPr>
        <w:t>a) – (d</w:t>
      </w:r>
      <w:r w:rsidRPr="00935E87">
        <w:rPr>
          <w:u w:val="single"/>
        </w:rPr>
        <w:t>) above.</w:t>
      </w:r>
    </w:p>
    <w:p w:rsidR="006B0AD8" w:rsidRPr="00935E87" w:rsidRDefault="006B0AD8" w:rsidP="002E2652">
      <w:pPr>
        <w:pStyle w:val="Rule"/>
        <w:tabs>
          <w:tab w:val="clear" w:pos="720"/>
          <w:tab w:val="left" w:pos="360"/>
        </w:tabs>
        <w:rPr>
          <w:u w:val="single"/>
        </w:rPr>
      </w:pPr>
      <w:r>
        <w:tab/>
      </w:r>
      <w:r w:rsidRPr="00D924A4">
        <w:rPr>
          <w:u w:val="single"/>
        </w:rPr>
        <w:t>(</w:t>
      </w:r>
      <w:r>
        <w:rPr>
          <w:u w:val="single"/>
        </w:rPr>
        <w:t>2)</w:t>
      </w:r>
      <w:r w:rsidRPr="00D924A4">
        <w:rPr>
          <w:u w:val="single"/>
        </w:rPr>
        <w:t xml:space="preserve"> </w:t>
      </w:r>
      <w:r>
        <w:rPr>
          <w:u w:val="single"/>
        </w:rPr>
        <w:t xml:space="preserve"> In order to ensure safe, efficient, and sufficient service to utility customers, t</w:t>
      </w:r>
      <w:r w:rsidRPr="004E1756">
        <w:rPr>
          <w:u w:val="single"/>
        </w:rPr>
        <w:t xml:space="preserve">he Commission shall consider whether the </w:t>
      </w:r>
      <w:r>
        <w:rPr>
          <w:u w:val="single"/>
        </w:rPr>
        <w:t xml:space="preserve">infrastructure and </w:t>
      </w:r>
      <w:r w:rsidRPr="004E1756">
        <w:rPr>
          <w:u w:val="single"/>
        </w:rPr>
        <w:t>operational conditions of the plant and facilities are in compliance with Rule 25-30.225, F.A.C.</w:t>
      </w:r>
      <w:r>
        <w:rPr>
          <w:u w:val="single"/>
        </w:rPr>
        <w:t xml:space="preserve">  </w:t>
      </w:r>
      <w:r w:rsidRPr="00935E87">
        <w:rPr>
          <w:u w:val="single"/>
        </w:rPr>
        <w:t>In making this determination, the Commission shall consider:</w:t>
      </w:r>
    </w:p>
    <w:p w:rsidR="006B0AD8" w:rsidRPr="00935E87" w:rsidRDefault="006B0AD8" w:rsidP="002E2652">
      <w:pPr>
        <w:pStyle w:val="Rule"/>
        <w:tabs>
          <w:tab w:val="clear" w:pos="720"/>
          <w:tab w:val="left" w:pos="360"/>
        </w:tabs>
        <w:rPr>
          <w:u w:val="single"/>
        </w:rPr>
      </w:pPr>
      <w:r w:rsidRPr="00935E87">
        <w:tab/>
      </w:r>
      <w:r w:rsidRPr="00935E87">
        <w:rPr>
          <w:u w:val="single"/>
        </w:rPr>
        <w:t xml:space="preserve">(a) Any testimony </w:t>
      </w:r>
      <w:proofErr w:type="gramStart"/>
      <w:r w:rsidRPr="00935E87">
        <w:rPr>
          <w:u w:val="single"/>
        </w:rPr>
        <w:t>of  DEP</w:t>
      </w:r>
      <w:proofErr w:type="gramEnd"/>
      <w:r w:rsidRPr="00935E87">
        <w:rPr>
          <w:u w:val="single"/>
        </w:rPr>
        <w:t xml:space="preserve"> and county health department officials; </w:t>
      </w:r>
    </w:p>
    <w:p w:rsidR="006B0AD8" w:rsidRPr="00935E87" w:rsidRDefault="006B0AD8" w:rsidP="005735B1">
      <w:pPr>
        <w:pStyle w:val="Rule"/>
        <w:tabs>
          <w:tab w:val="clear" w:pos="720"/>
          <w:tab w:val="left" w:pos="360"/>
        </w:tabs>
        <w:jc w:val="both"/>
        <w:rPr>
          <w:u w:val="single"/>
        </w:rPr>
      </w:pPr>
      <w:r w:rsidRPr="00935E87">
        <w:tab/>
      </w:r>
      <w:r w:rsidRPr="00935E87">
        <w:rPr>
          <w:u w:val="single"/>
        </w:rPr>
        <w:t>(b) Inspections, including sanitary surveys for water systems and compliance evaluation inspections for wastewater systems; citations, violations and consent orders issued to the utility;</w:t>
      </w:r>
    </w:p>
    <w:p w:rsidR="006B0AD8" w:rsidRPr="00935E87" w:rsidRDefault="006B0AD8" w:rsidP="002E2652">
      <w:pPr>
        <w:pStyle w:val="Rule"/>
        <w:tabs>
          <w:tab w:val="clear" w:pos="720"/>
          <w:tab w:val="left" w:pos="360"/>
        </w:tabs>
        <w:rPr>
          <w:u w:val="single"/>
        </w:rPr>
      </w:pPr>
      <w:r w:rsidRPr="00935E87">
        <w:tab/>
      </w:r>
      <w:r w:rsidRPr="00935E87">
        <w:rPr>
          <w:u w:val="single"/>
        </w:rPr>
        <w:t>(c)  Any testimony, complaints and comments</w:t>
      </w:r>
      <w:r>
        <w:rPr>
          <w:u w:val="single"/>
        </w:rPr>
        <w:t xml:space="preserve"> of the utility’s customers and others with knowledge of the infrastructure and operational conditions of the utility’s plant and facilities</w:t>
      </w:r>
      <w:r w:rsidRPr="00935E87">
        <w:rPr>
          <w:u w:val="single"/>
        </w:rPr>
        <w:t>;</w:t>
      </w:r>
      <w:r>
        <w:rPr>
          <w:u w:val="single"/>
        </w:rPr>
        <w:t xml:space="preserve"> and</w:t>
      </w:r>
    </w:p>
    <w:p w:rsidR="006B0AD8" w:rsidRPr="005735B1" w:rsidRDefault="006B0AD8" w:rsidP="002E2652">
      <w:pPr>
        <w:pStyle w:val="Rule"/>
        <w:tabs>
          <w:tab w:val="clear" w:pos="720"/>
          <w:tab w:val="left" w:pos="360"/>
        </w:tabs>
        <w:rPr>
          <w:u w:val="single"/>
        </w:rPr>
      </w:pPr>
      <w:r w:rsidRPr="00935E87">
        <w:tab/>
      </w:r>
      <w:r>
        <w:rPr>
          <w:u w:val="single"/>
        </w:rPr>
        <w:t>(d</w:t>
      </w:r>
      <w:r w:rsidRPr="00935E87">
        <w:rPr>
          <w:u w:val="single"/>
        </w:rPr>
        <w:t>)  Any utility testimony and responses to the information pr</w:t>
      </w:r>
      <w:r>
        <w:rPr>
          <w:u w:val="single"/>
        </w:rPr>
        <w:t>ovided in paragraphs (2</w:t>
      </w:r>
      <w:proofErr w:type="gramStart"/>
      <w:r>
        <w:rPr>
          <w:u w:val="single"/>
        </w:rPr>
        <w:t>)(</w:t>
      </w:r>
      <w:proofErr w:type="gramEnd"/>
      <w:r>
        <w:rPr>
          <w:u w:val="single"/>
        </w:rPr>
        <w:t>a) – (c</w:t>
      </w:r>
      <w:r w:rsidRPr="00935E87">
        <w:rPr>
          <w:u w:val="single"/>
        </w:rPr>
        <w:t>) above.</w:t>
      </w:r>
    </w:p>
    <w:p w:rsidR="006B0AD8" w:rsidRPr="00D073A3" w:rsidRDefault="006B0AD8" w:rsidP="002E2652">
      <w:pPr>
        <w:pStyle w:val="Rule"/>
        <w:tabs>
          <w:tab w:val="clear" w:pos="720"/>
          <w:tab w:val="left" w:pos="360"/>
        </w:tabs>
      </w:pPr>
      <w:r w:rsidRPr="004E1756">
        <w:tab/>
      </w:r>
      <w:r w:rsidRPr="00D924A4">
        <w:rPr>
          <w:u w:val="single"/>
        </w:rPr>
        <w:t>(</w:t>
      </w:r>
      <w:r>
        <w:rPr>
          <w:u w:val="single"/>
        </w:rPr>
        <w:t>3</w:t>
      </w:r>
      <w:r w:rsidRPr="00D924A4">
        <w:rPr>
          <w:u w:val="single"/>
        </w:rPr>
        <w:t>)</w:t>
      </w:r>
      <w:r w:rsidRPr="00D924A4">
        <w:rPr>
          <w:strike/>
        </w:rPr>
        <w:t>(2)</w:t>
      </w:r>
      <w:r>
        <w:t xml:space="preserve"> </w:t>
      </w:r>
      <w:r w:rsidRPr="00D073A3">
        <w:t>Working capital for Class A utilities shall be calculated using the balance sheet approach. Working capital for Class B and C utilities shall be calculated using the formula method (one-eighth of operation and maintenance expenses).</w:t>
      </w:r>
    </w:p>
    <w:p w:rsidR="006B0AD8" w:rsidRPr="00D073A3" w:rsidRDefault="006B0AD8" w:rsidP="002E2652">
      <w:pPr>
        <w:pStyle w:val="Rule"/>
        <w:tabs>
          <w:tab w:val="clear" w:pos="720"/>
          <w:tab w:val="left" w:pos="360"/>
        </w:tabs>
      </w:pPr>
      <w:r>
        <w:tab/>
      </w:r>
      <w:r w:rsidRPr="00D924A4">
        <w:rPr>
          <w:u w:val="single"/>
        </w:rPr>
        <w:t>(</w:t>
      </w:r>
      <w:r>
        <w:rPr>
          <w:u w:val="single"/>
        </w:rPr>
        <w:t>4)</w:t>
      </w:r>
      <w:r w:rsidRPr="00BB626C">
        <w:t>(</w:t>
      </w:r>
      <w:r w:rsidRPr="00D924A4">
        <w:rPr>
          <w:strike/>
        </w:rPr>
        <w:t>3)</w:t>
      </w:r>
      <w:r w:rsidRPr="00D073A3">
        <w:t xml:space="preserve"> Used and useful debit deferred taxes shall be offset against used and useful credit deferred taxes in the capital structure. Any resulting net debit deferred taxes shall be included as a separate line item in the rate base calculation. Any resulting net credit deferred taxes shall be included in the capital structure calculation. No other deferred debits shall be considered in rate base when the formula method of working capital is used.</w:t>
      </w:r>
    </w:p>
    <w:p w:rsidR="006B0AD8" w:rsidRPr="00D073A3" w:rsidRDefault="006B0AD8" w:rsidP="002E2652">
      <w:pPr>
        <w:pStyle w:val="Rule"/>
        <w:tabs>
          <w:tab w:val="clear" w:pos="720"/>
          <w:tab w:val="left" w:pos="360"/>
        </w:tabs>
      </w:pPr>
      <w:r>
        <w:tab/>
      </w:r>
      <w:r w:rsidRPr="00D924A4">
        <w:rPr>
          <w:u w:val="single"/>
        </w:rPr>
        <w:t>(</w:t>
      </w:r>
      <w:r>
        <w:rPr>
          <w:u w:val="single"/>
        </w:rPr>
        <w:t>5</w:t>
      </w:r>
      <w:r w:rsidRPr="00D924A4">
        <w:rPr>
          <w:u w:val="single"/>
        </w:rPr>
        <w:t>)</w:t>
      </w:r>
      <w:r w:rsidRPr="00D924A4">
        <w:rPr>
          <w:strike/>
        </w:rPr>
        <w:t>(4)</w:t>
      </w:r>
      <w:r w:rsidRPr="00D073A3">
        <w:t xml:space="preserve"> The averaging method used by the Commission to calculate rate base and cost of capital shall be a 13-month average for Class A utilities and the simple beginning and end-of-year average for Class B and C utilities.</w:t>
      </w:r>
    </w:p>
    <w:p w:rsidR="006B0AD8" w:rsidRPr="00D073A3" w:rsidRDefault="006B0AD8" w:rsidP="002E2652">
      <w:pPr>
        <w:pStyle w:val="Rule"/>
        <w:tabs>
          <w:tab w:val="clear" w:pos="720"/>
          <w:tab w:val="left" w:pos="360"/>
        </w:tabs>
      </w:pPr>
      <w:r>
        <w:tab/>
      </w:r>
      <w:r w:rsidRPr="00D924A4">
        <w:rPr>
          <w:u w:val="single"/>
        </w:rPr>
        <w:t>(</w:t>
      </w:r>
      <w:r>
        <w:rPr>
          <w:u w:val="single"/>
        </w:rPr>
        <w:t>6)</w:t>
      </w:r>
      <w:r w:rsidRPr="00D924A4">
        <w:rPr>
          <w:strike/>
        </w:rPr>
        <w:t>(5)</w:t>
      </w:r>
      <w:r w:rsidRPr="00D073A3">
        <w:t xml:space="preserve"> Non-used and useful adjustments shall be applied to the applicable depreciation expense. Property tax expense on non-used and useful plant shall not be allowed.</w:t>
      </w:r>
    </w:p>
    <w:p w:rsidR="006B0AD8" w:rsidRPr="00D073A3" w:rsidRDefault="006B0AD8" w:rsidP="002E2652">
      <w:pPr>
        <w:pStyle w:val="Rule"/>
        <w:tabs>
          <w:tab w:val="clear" w:pos="720"/>
          <w:tab w:val="left" w:pos="360"/>
        </w:tabs>
      </w:pPr>
      <w:r>
        <w:tab/>
      </w:r>
      <w:r w:rsidRPr="00D924A4">
        <w:rPr>
          <w:u w:val="single"/>
        </w:rPr>
        <w:t>(</w:t>
      </w:r>
      <w:r>
        <w:rPr>
          <w:u w:val="single"/>
        </w:rPr>
        <w:t>7</w:t>
      </w:r>
      <w:r w:rsidRPr="00D924A4">
        <w:rPr>
          <w:u w:val="single"/>
        </w:rPr>
        <w:t>)</w:t>
      </w:r>
      <w:r w:rsidRPr="00D924A4">
        <w:rPr>
          <w:strike/>
        </w:rPr>
        <w:t>(6)</w:t>
      </w:r>
      <w:r w:rsidRPr="00D073A3">
        <w:t xml:space="preserve"> Charitable contributions shall not be recovered through rates.</w:t>
      </w:r>
    </w:p>
    <w:p w:rsidR="006B0AD8" w:rsidRPr="00D073A3" w:rsidRDefault="006B0AD8" w:rsidP="002E2652">
      <w:pPr>
        <w:pStyle w:val="Rule"/>
        <w:tabs>
          <w:tab w:val="clear" w:pos="720"/>
          <w:tab w:val="left" w:pos="360"/>
        </w:tabs>
      </w:pPr>
      <w:r>
        <w:tab/>
      </w:r>
      <w:r w:rsidRPr="00D924A4">
        <w:rPr>
          <w:u w:val="single"/>
        </w:rPr>
        <w:t>(</w:t>
      </w:r>
      <w:r>
        <w:rPr>
          <w:u w:val="single"/>
        </w:rPr>
        <w:t>8</w:t>
      </w:r>
      <w:r w:rsidRPr="00D924A4">
        <w:rPr>
          <w:u w:val="single"/>
        </w:rPr>
        <w:t>)</w:t>
      </w:r>
      <w:r w:rsidRPr="00D924A4">
        <w:rPr>
          <w:strike/>
        </w:rPr>
        <w:t>(7)</w:t>
      </w:r>
      <w:r w:rsidRPr="00D073A3">
        <w:t xml:space="preserve"> Income tax expense shall not be allowed for subchapter S corporations, partnerships or sole proprietorships.</w:t>
      </w:r>
    </w:p>
    <w:p w:rsidR="006B0AD8" w:rsidRPr="00D073A3" w:rsidRDefault="006B0AD8" w:rsidP="002E2652">
      <w:pPr>
        <w:pStyle w:val="Rule"/>
        <w:tabs>
          <w:tab w:val="clear" w:pos="720"/>
          <w:tab w:val="left" w:pos="360"/>
        </w:tabs>
      </w:pPr>
      <w:r>
        <w:tab/>
      </w:r>
      <w:r w:rsidRPr="00D924A4">
        <w:rPr>
          <w:u w:val="single"/>
        </w:rPr>
        <w:t>(</w:t>
      </w:r>
      <w:r>
        <w:rPr>
          <w:u w:val="single"/>
        </w:rPr>
        <w:t>9</w:t>
      </w:r>
      <w:r w:rsidRPr="00D924A4">
        <w:rPr>
          <w:u w:val="single"/>
        </w:rPr>
        <w:t>)</w:t>
      </w:r>
      <w:r w:rsidRPr="00D924A4">
        <w:rPr>
          <w:strike/>
        </w:rPr>
        <w:t>(8)</w:t>
      </w:r>
      <w:r w:rsidRPr="00D073A3">
        <w:t xml:space="preserve"> Non-recurring expenses shall be amortized over a 5-year period unless a shorter or longer period of time can be justified.</w:t>
      </w:r>
    </w:p>
    <w:p w:rsidR="006B0AD8" w:rsidRPr="00D073A3" w:rsidRDefault="006B0AD8" w:rsidP="002E2652">
      <w:pPr>
        <w:pStyle w:val="Rule"/>
        <w:tabs>
          <w:tab w:val="clear" w:pos="720"/>
          <w:tab w:val="left" w:pos="360"/>
        </w:tabs>
      </w:pPr>
      <w:r>
        <w:tab/>
      </w:r>
      <w:r w:rsidRPr="00D924A4">
        <w:rPr>
          <w:u w:val="single"/>
        </w:rPr>
        <w:t>(1</w:t>
      </w:r>
      <w:r>
        <w:rPr>
          <w:u w:val="single"/>
        </w:rPr>
        <w:t>0</w:t>
      </w:r>
      <w:r w:rsidRPr="00D924A4">
        <w:rPr>
          <w:u w:val="single"/>
        </w:rPr>
        <w:t>)</w:t>
      </w:r>
      <w:r w:rsidRPr="00D924A4">
        <w:rPr>
          <w:strike/>
        </w:rPr>
        <w:t>(9)</w:t>
      </w:r>
      <w:r w:rsidRPr="00D073A3">
        <w:t xml:space="preserve"> The amortization period for forced abandonment or the prudent retirement, in accordance with the National Association of Regulatory Utility Commissioners Uniform System of Accounts, of plant assets prior to the end of their depreciable life shall be calculated by taking the ratio of the net loss (original cost less accumulated depreciation and contributions-in-aid-of-construction (CIAC) plus accumulated amortization of CIAC plus any costs incurred to remove the asset less any salvage value) to the sum of the annual depreciation expense, net of amortization of CIAC, plus an amount equal to the rate of return that would have been allowed on the net invested plant that would have been included in rate base before the abandonment or retirement. This formula shall be used unless the specific circumstances surrounding the abandonment or retirement demonstrate a more appropriate amortization period.</w:t>
      </w:r>
    </w:p>
    <w:p w:rsidR="006B0AD8" w:rsidRPr="00D073A3" w:rsidRDefault="006B0AD8" w:rsidP="002E2652">
      <w:pPr>
        <w:pStyle w:val="Rule"/>
        <w:tabs>
          <w:tab w:val="clear" w:pos="720"/>
          <w:tab w:val="left" w:pos="360"/>
        </w:tabs>
      </w:pPr>
      <w:r>
        <w:tab/>
      </w:r>
      <w:r w:rsidRPr="00D924A4">
        <w:rPr>
          <w:u w:val="single"/>
        </w:rPr>
        <w:t>(1</w:t>
      </w:r>
      <w:r>
        <w:rPr>
          <w:u w:val="single"/>
        </w:rPr>
        <w:t>1</w:t>
      </w:r>
      <w:r w:rsidRPr="00D924A4">
        <w:rPr>
          <w:u w:val="single"/>
        </w:rPr>
        <w:t>)</w:t>
      </w:r>
      <w:r w:rsidRPr="00D924A4">
        <w:rPr>
          <w:strike/>
        </w:rPr>
        <w:t>(10)</w:t>
      </w:r>
      <w:r w:rsidRPr="00D073A3">
        <w:t xml:space="preserve"> A utility is required to </w:t>
      </w:r>
      <w:r>
        <w:rPr>
          <w:u w:val="single"/>
        </w:rPr>
        <w:t>have the right of access and continued use of</w:t>
      </w:r>
      <w:r>
        <w:t xml:space="preserve"> </w:t>
      </w:r>
      <w:r w:rsidRPr="00247F24">
        <w:rPr>
          <w:strike/>
        </w:rPr>
        <w:t>own</w:t>
      </w:r>
      <w:r w:rsidRPr="00D073A3">
        <w:t xml:space="preserve"> the land upon which the utility treatment facilities are located</w:t>
      </w:r>
      <w:r w:rsidRPr="00247F24">
        <w:rPr>
          <w:strike/>
        </w:rPr>
        <w:t>, or possess the right to the continued use of the land, such as a 99-year lease</w:t>
      </w:r>
      <w:r w:rsidRPr="00D073A3">
        <w:t xml:space="preserve">. </w:t>
      </w:r>
      <w:r>
        <w:rPr>
          <w:u w:val="single"/>
        </w:rPr>
        <w:t xml:space="preserve">Documentation of continued use shall be in the form of a recorded warranty </w:t>
      </w:r>
      <w:proofErr w:type="gramStart"/>
      <w:r>
        <w:rPr>
          <w:u w:val="single"/>
        </w:rPr>
        <w:t>deed,</w:t>
      </w:r>
      <w:proofErr w:type="gramEnd"/>
      <w:r>
        <w:rPr>
          <w:u w:val="single"/>
        </w:rPr>
        <w:t xml:space="preserve"> recorded quit claim deed accompanied by title insurance, recorded lease such as a 99-year lease, or recorded easement.</w:t>
      </w:r>
      <w:r>
        <w:t xml:space="preserve">  </w:t>
      </w:r>
      <w:r w:rsidRPr="00247F24">
        <w:rPr>
          <w:strike/>
        </w:rPr>
        <w:t>The Commission may consider a written easement or other cost-effective alternative.</w:t>
      </w:r>
    </w:p>
    <w:p w:rsidR="006B0AD8" w:rsidRPr="00D073A3" w:rsidRDefault="006B0AD8" w:rsidP="002E2652">
      <w:pPr>
        <w:pStyle w:val="Rule"/>
        <w:tabs>
          <w:tab w:val="clear" w:pos="720"/>
          <w:tab w:val="left" w:pos="360"/>
        </w:tabs>
      </w:pPr>
      <w:r>
        <w:tab/>
      </w:r>
      <w:r w:rsidRPr="00D924A4">
        <w:rPr>
          <w:u w:val="single"/>
        </w:rPr>
        <w:t>(1</w:t>
      </w:r>
      <w:r>
        <w:rPr>
          <w:u w:val="single"/>
        </w:rPr>
        <w:t>2</w:t>
      </w:r>
      <w:r w:rsidRPr="00D924A4">
        <w:rPr>
          <w:u w:val="single"/>
        </w:rPr>
        <w:t>)</w:t>
      </w:r>
      <w:r w:rsidRPr="00D924A4">
        <w:rPr>
          <w:strike/>
        </w:rPr>
        <w:t>(11)</w:t>
      </w:r>
      <w:r w:rsidRPr="00D073A3">
        <w:t xml:space="preserve"> In establishing an authorized rate of return on common equity, a utility, in lieu of presenting evidence, may use the current leverage formula adopted by Commission order. The equity return established shall be based on the equity leverage order in effect at the time the Commission decides the case.</w:t>
      </w:r>
    </w:p>
    <w:p w:rsidR="006B0AD8" w:rsidRPr="00D073A3" w:rsidRDefault="006B0AD8" w:rsidP="002E2652">
      <w:pPr>
        <w:pStyle w:val="Rule"/>
        <w:tabs>
          <w:tab w:val="clear" w:pos="720"/>
          <w:tab w:val="left" w:pos="360"/>
        </w:tabs>
      </w:pPr>
      <w:r>
        <w:tab/>
      </w:r>
      <w:r w:rsidRPr="00D924A4">
        <w:rPr>
          <w:u w:val="single"/>
        </w:rPr>
        <w:t>(1</w:t>
      </w:r>
      <w:r>
        <w:rPr>
          <w:u w:val="single"/>
        </w:rPr>
        <w:t>3</w:t>
      </w:r>
      <w:r w:rsidRPr="00D924A4">
        <w:rPr>
          <w:u w:val="single"/>
        </w:rPr>
        <w:t>)</w:t>
      </w:r>
      <w:r w:rsidRPr="00D924A4">
        <w:rPr>
          <w:strike/>
        </w:rPr>
        <w:t>(12)</w:t>
      </w:r>
      <w:r w:rsidRPr="00D073A3">
        <w:t xml:space="preserve"> Nonutility investment should be removed directly from equity when reconciling the capital structure to rate base unless the utility can show, through competent evidence, that to do otherwise would result in a more equitable determination of the cost of capital for regulatory purposes.</w:t>
      </w:r>
    </w:p>
    <w:p w:rsidR="006B0AD8" w:rsidRPr="00D073A3" w:rsidRDefault="006B0AD8" w:rsidP="002E2652">
      <w:pPr>
        <w:pStyle w:val="Rule"/>
        <w:tabs>
          <w:tab w:val="clear" w:pos="720"/>
          <w:tab w:val="left" w:pos="360"/>
        </w:tabs>
      </w:pPr>
      <w:r>
        <w:tab/>
      </w:r>
      <w:r w:rsidRPr="00D924A4">
        <w:rPr>
          <w:u w:val="single"/>
        </w:rPr>
        <w:t>(1</w:t>
      </w:r>
      <w:r>
        <w:rPr>
          <w:u w:val="single"/>
        </w:rPr>
        <w:t>4</w:t>
      </w:r>
      <w:r w:rsidRPr="00D924A4">
        <w:rPr>
          <w:u w:val="single"/>
        </w:rPr>
        <w:t>)</w:t>
      </w:r>
      <w:r w:rsidRPr="00D924A4">
        <w:rPr>
          <w:strike/>
        </w:rPr>
        <w:t>(13)</w:t>
      </w:r>
      <w:r w:rsidRPr="00D073A3">
        <w:t xml:space="preserve"> Interest expense to be included in the calculation of income tax expense shall be the amount derived by multiplying the amount of the debt components of the reconciled capital structure times the average weighted cost of the respective debt components. Interest expense shall include an amount for the parent debt adjustment in those cases covered by Rule 25-14.004, F.A.C. Interest shall also be imputed on deferred investment tax credits in those cases covered by 26 CFR Part 1, s. 1.46-6(b</w:t>
      </w:r>
      <w:proofErr w:type="gramStart"/>
      <w:r w:rsidRPr="00D073A3">
        <w:t>)(</w:t>
      </w:r>
      <w:proofErr w:type="gramEnd"/>
      <w:r w:rsidRPr="00D073A3">
        <w:t>2)(i), (3) and (4)(ii) issued May 22, 1986 and effective for property constructed or acquired on or after August 15, 1971.</w:t>
      </w:r>
    </w:p>
    <w:p w:rsidR="006B0AD8" w:rsidRPr="00CF606D" w:rsidRDefault="006B0AD8" w:rsidP="00CF606D">
      <w:pPr>
        <w:pStyle w:val="Rule"/>
        <w:tabs>
          <w:tab w:val="clear" w:pos="720"/>
          <w:tab w:val="left" w:pos="360"/>
        </w:tabs>
        <w:rPr>
          <w:i/>
        </w:rPr>
      </w:pPr>
      <w:proofErr w:type="gramStart"/>
      <w:r w:rsidRPr="00D073A3">
        <w:rPr>
          <w:i/>
        </w:rPr>
        <w:t xml:space="preserve">Rulemaking Authority 350.127(2), </w:t>
      </w:r>
      <w:r>
        <w:rPr>
          <w:i/>
          <w:u w:val="single"/>
        </w:rPr>
        <w:t>367.0812(5</w:t>
      </w:r>
      <w:r w:rsidRPr="00E10EAB">
        <w:rPr>
          <w:i/>
          <w:u w:val="single"/>
        </w:rPr>
        <w:t>)</w:t>
      </w:r>
      <w:r w:rsidRPr="00E10EAB">
        <w:t>, 367.0814,</w:t>
      </w:r>
      <w:r>
        <w:t xml:space="preserve"> </w:t>
      </w:r>
      <w:r>
        <w:rPr>
          <w:i/>
        </w:rPr>
        <w:t>367.121, 36</w:t>
      </w:r>
      <w:r w:rsidRPr="00D073A3">
        <w:rPr>
          <w:i/>
        </w:rPr>
        <w:t>7.1213 FS.</w:t>
      </w:r>
      <w:proofErr w:type="gramEnd"/>
      <w:r w:rsidRPr="00D073A3">
        <w:rPr>
          <w:i/>
        </w:rPr>
        <w:t xml:space="preserve"> Law Implemented 367.081, </w:t>
      </w:r>
      <w:r>
        <w:rPr>
          <w:i/>
          <w:u w:val="single"/>
        </w:rPr>
        <w:t xml:space="preserve">367.0812(1), </w:t>
      </w:r>
      <w:r w:rsidRPr="00E10EAB">
        <w:rPr>
          <w:i/>
          <w:u w:val="single"/>
        </w:rPr>
        <w:t>367.0814, 367.0822,</w:t>
      </w:r>
      <w:r>
        <w:rPr>
          <w:i/>
          <w:u w:val="single"/>
        </w:rPr>
        <w:t xml:space="preserve"> 367.1213,</w:t>
      </w:r>
      <w:r>
        <w:t xml:space="preserve"> </w:t>
      </w:r>
      <w:r w:rsidRPr="00941C20">
        <w:rPr>
          <w:i/>
          <w:strike/>
        </w:rPr>
        <w:t>376.1213</w:t>
      </w:r>
      <w:r w:rsidRPr="00D073A3">
        <w:rPr>
          <w:i/>
        </w:rPr>
        <w:t xml:space="preserve"> FS. </w:t>
      </w:r>
      <w:proofErr w:type="gramStart"/>
      <w:r w:rsidRPr="00D073A3">
        <w:rPr>
          <w:i/>
        </w:rPr>
        <w:t>History–New 11-30-93, Amended 12-14-93</w:t>
      </w:r>
      <w:r>
        <w:rPr>
          <w:i/>
        </w:rPr>
        <w:t xml:space="preserve"> ____________</w:t>
      </w:r>
      <w:r w:rsidRPr="00D073A3">
        <w:rPr>
          <w:i/>
        </w:rPr>
        <w:t>.</w:t>
      </w:r>
      <w:proofErr w:type="gramEnd"/>
    </w:p>
    <w:p w:rsidR="00110036" w:rsidRDefault="00110036" w:rsidP="006B0AD8">
      <w:pPr>
        <w:pStyle w:val="BodyText"/>
        <w:sectPr w:rsidR="00110036" w:rsidSect="00B34ADD">
          <w:headerReference w:type="even" r:id="rId14"/>
          <w:headerReference w:type="default" r:id="rId15"/>
          <w:footerReference w:type="even"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110036" w:rsidRDefault="00110036" w:rsidP="00110036">
      <w:pPr>
        <w:pStyle w:val="BodyText"/>
      </w:pPr>
      <w:r>
        <w:rPr>
          <w:noProof/>
        </w:rPr>
        <w:drawing>
          <wp:inline distT="0" distB="0" distL="0" distR="0">
            <wp:extent cx="6858000" cy="88544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858000" cy="8854440"/>
                    </a:xfrm>
                    <a:prstGeom prst="rect">
                      <a:avLst/>
                    </a:prstGeom>
                  </pic:spPr>
                </pic:pic>
              </a:graphicData>
            </a:graphic>
          </wp:inline>
        </w:drawing>
      </w:r>
    </w:p>
    <w:p w:rsidR="00110036" w:rsidRDefault="00110036" w:rsidP="00110036">
      <w:pPr>
        <w:pStyle w:val="BodyText"/>
      </w:pPr>
      <w:r>
        <w:rPr>
          <w:noProof/>
        </w:rPr>
        <w:drawing>
          <wp:inline distT="0" distB="0" distL="0" distR="0">
            <wp:extent cx="6858000" cy="8887460"/>
            <wp:effectExtent l="0" t="0" r="0" b="889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58000" cy="8887460"/>
                    </a:xfrm>
                    <a:prstGeom prst="rect">
                      <a:avLst/>
                    </a:prstGeom>
                  </pic:spPr>
                </pic:pic>
              </a:graphicData>
            </a:graphic>
          </wp:inline>
        </w:drawing>
      </w:r>
    </w:p>
    <w:p w:rsidR="00110036" w:rsidRDefault="00110036" w:rsidP="00110036">
      <w:pPr>
        <w:pStyle w:val="BodyText"/>
      </w:pPr>
      <w:r>
        <w:rPr>
          <w:noProof/>
        </w:rPr>
        <w:drawing>
          <wp:inline distT="0" distB="0" distL="0" distR="0">
            <wp:extent cx="6858000" cy="887857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858000" cy="8878570"/>
                    </a:xfrm>
                    <a:prstGeom prst="rect">
                      <a:avLst/>
                    </a:prstGeom>
                  </pic:spPr>
                </pic:pic>
              </a:graphicData>
            </a:graphic>
          </wp:inline>
        </w:drawing>
      </w:r>
    </w:p>
    <w:p w:rsidR="00110036" w:rsidRDefault="00110036" w:rsidP="00110036">
      <w:pPr>
        <w:pStyle w:val="BodyText"/>
      </w:pPr>
      <w:r>
        <w:rPr>
          <w:noProof/>
        </w:rPr>
        <w:drawing>
          <wp:inline distT="0" distB="0" distL="0" distR="0">
            <wp:extent cx="6858000" cy="885063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58000" cy="8850630"/>
                    </a:xfrm>
                    <a:prstGeom prst="rect">
                      <a:avLst/>
                    </a:prstGeom>
                  </pic:spPr>
                </pic:pic>
              </a:graphicData>
            </a:graphic>
          </wp:inline>
        </w:drawing>
      </w:r>
    </w:p>
    <w:p w:rsidR="00110036" w:rsidRDefault="00110036" w:rsidP="00110036">
      <w:pPr>
        <w:pStyle w:val="BodyText"/>
      </w:pPr>
      <w:r>
        <w:rPr>
          <w:noProof/>
        </w:rPr>
        <w:drawing>
          <wp:inline distT="0" distB="0" distL="0" distR="0">
            <wp:extent cx="6858000" cy="8855710"/>
            <wp:effectExtent l="0" t="0" r="0" b="254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58000" cy="8855710"/>
                    </a:xfrm>
                    <a:prstGeom prst="rect">
                      <a:avLst/>
                    </a:prstGeom>
                  </pic:spPr>
                </pic:pic>
              </a:graphicData>
            </a:graphic>
          </wp:inline>
        </w:drawing>
      </w:r>
    </w:p>
    <w:p w:rsidR="006B0AD8" w:rsidRDefault="00110036" w:rsidP="006B0AD8">
      <w:pPr>
        <w:pStyle w:val="BodyText"/>
      </w:pPr>
      <w:r>
        <w:rPr>
          <w:noProof/>
        </w:rPr>
        <w:drawing>
          <wp:inline distT="0" distB="0" distL="0" distR="0">
            <wp:extent cx="6858000" cy="8856345"/>
            <wp:effectExtent l="0" t="0" r="0" b="190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58000" cy="8856345"/>
                    </a:xfrm>
                    <a:prstGeom prst="rect">
                      <a:avLst/>
                    </a:prstGeom>
                  </pic:spPr>
                </pic:pic>
              </a:graphicData>
            </a:graphic>
          </wp:inline>
        </w:drawing>
      </w:r>
    </w:p>
    <w:sectPr w:rsidR="006B0AD8" w:rsidSect="00110036">
      <w:headerReference w:type="default" r:id="rId26"/>
      <w:footerReference w:type="default" r:id="rId27"/>
      <w:pgSz w:w="12240" w:h="15840" w:code="1"/>
      <w:pgMar w:top="720" w:right="720" w:bottom="720" w:left="72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CC1" w:rsidRDefault="006D3CC1">
      <w:r>
        <w:separator/>
      </w:r>
    </w:p>
  </w:endnote>
  <w:endnote w:type="continuationSeparator" w:id="0">
    <w:p w:rsidR="006D3CC1" w:rsidRDefault="006D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07AF6">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71C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F754E">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8F754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E07AF6">
      <w:rPr>
        <w:rStyle w:val="PageNumber"/>
        <w:noProof/>
      </w:rPr>
      <w:t>13</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F75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8F754E">
    <w:pPr>
      <w:pStyle w:val="Footer"/>
    </w:pPr>
    <w:r>
      <w:t xml:space="preserve">CODING: Words </w:t>
    </w:r>
    <w:r>
      <w:rPr>
        <w:u w:val="single"/>
      </w:rPr>
      <w:t>underlined</w:t>
    </w:r>
    <w:r>
      <w:t xml:space="preserve"> are additions; words in struck through type are deletions from existing law.</w:t>
    </w:r>
  </w:p>
  <w:p w:rsidR="00FF1497" w:rsidRDefault="008F754E">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36" w:rsidRDefault="00110036" w:rsidP="00110036">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E07AF6">
      <w:rPr>
        <w:rStyle w:val="PageNumber"/>
        <w:noProof/>
      </w:rPr>
      <w:t>19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CC1" w:rsidRDefault="006D3CC1">
      <w:r>
        <w:separator/>
      </w:r>
    </w:p>
  </w:footnote>
  <w:footnote w:type="continuationSeparator" w:id="0">
    <w:p w:rsidR="006D3CC1" w:rsidRDefault="006D3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D3CC1"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20180029-WS</w:t>
    </w:r>
    <w:bookmarkEnd w:id="14"/>
  </w:p>
  <w:p w:rsidR="00BC402E" w:rsidRDefault="00BC402E">
    <w:pPr>
      <w:pStyle w:val="Header"/>
    </w:pPr>
    <w:r>
      <w:t xml:space="preserve">Date: </w:t>
    </w:r>
    <w:r w:rsidR="00371CB6">
      <w:fldChar w:fldCharType="begin"/>
    </w:r>
    <w:r w:rsidR="00371CB6">
      <w:instrText xml:space="preserve"> REF FilingDate </w:instrText>
    </w:r>
    <w:r w:rsidR="00371CB6">
      <w:fldChar w:fldCharType="separate"/>
    </w:r>
    <w:r w:rsidR="00484437">
      <w:t>February 16, 2018</w:t>
    </w:r>
    <w:r w:rsidR="00371CB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84437">
      <w:t>Docket No.</w:t>
    </w:r>
    <w:r>
      <w:fldChar w:fldCharType="end"/>
    </w:r>
    <w:r>
      <w:t xml:space="preserve"> </w:t>
    </w:r>
    <w:r>
      <w:fldChar w:fldCharType="begin"/>
    </w:r>
    <w:r>
      <w:instrText xml:space="preserve"> REF DocketList</w:instrText>
    </w:r>
    <w:r>
      <w:fldChar w:fldCharType="separate"/>
    </w:r>
    <w:r w:rsidR="00484437">
      <w:t>20180029-WS</w:t>
    </w:r>
    <w:r>
      <w:fldChar w:fldCharType="end"/>
    </w:r>
    <w:r>
      <w:tab/>
      <w:t xml:space="preserve">Issue </w:t>
    </w:r>
    <w:r w:rsidR="00371CB6">
      <w:fldChar w:fldCharType="begin"/>
    </w:r>
    <w:r w:rsidR="00371CB6">
      <w:instrText xml:space="preserve"> Seq Issue \c \* Arabic </w:instrText>
    </w:r>
    <w:r w:rsidR="00371CB6">
      <w:fldChar w:fldCharType="separate"/>
    </w:r>
    <w:r w:rsidR="00E07AF6">
      <w:rPr>
        <w:noProof/>
      </w:rPr>
      <w:t>2</w:t>
    </w:r>
    <w:r w:rsidR="00371CB6">
      <w:rPr>
        <w:noProof/>
      </w:rPr>
      <w:fldChar w:fldCharType="end"/>
    </w:r>
  </w:p>
  <w:p w:rsidR="00BC402E" w:rsidRDefault="00BC402E">
    <w:pPr>
      <w:pStyle w:val="Header"/>
    </w:pPr>
    <w:r>
      <w:t xml:space="preserve">Date: </w:t>
    </w:r>
    <w:r w:rsidR="00371CB6">
      <w:fldChar w:fldCharType="begin"/>
    </w:r>
    <w:r w:rsidR="00371CB6">
      <w:instrText xml:space="preserve"> REF FilingDate </w:instrText>
    </w:r>
    <w:r w:rsidR="00371CB6">
      <w:fldChar w:fldCharType="separate"/>
    </w:r>
    <w:r w:rsidR="00484437">
      <w:t>February 16, 2018</w:t>
    </w:r>
    <w:r w:rsidR="00371CB6">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71C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AD8" w:rsidRDefault="006B0AD8" w:rsidP="006B0AD8">
    <w:pPr>
      <w:pStyle w:val="Header"/>
      <w:tabs>
        <w:tab w:val="clear" w:pos="4320"/>
        <w:tab w:val="clear" w:pos="8640"/>
        <w:tab w:val="right" w:pos="9360"/>
      </w:tabs>
    </w:pPr>
    <w:r>
      <w:fldChar w:fldCharType="begin"/>
    </w:r>
    <w:r>
      <w:instrText xml:space="preserve"> REF DocketLabel</w:instrText>
    </w:r>
    <w:r>
      <w:fldChar w:fldCharType="separate"/>
    </w:r>
    <w:r w:rsidR="00484437">
      <w:t>Docket No.</w:t>
    </w:r>
    <w:r>
      <w:fldChar w:fldCharType="end"/>
    </w:r>
    <w:r>
      <w:t xml:space="preserve"> </w:t>
    </w:r>
    <w:r>
      <w:fldChar w:fldCharType="begin"/>
    </w:r>
    <w:r>
      <w:instrText xml:space="preserve"> REF DocketList</w:instrText>
    </w:r>
    <w:r>
      <w:fldChar w:fldCharType="separate"/>
    </w:r>
    <w:r w:rsidR="00484437">
      <w:t>20180029-WS</w:t>
    </w:r>
    <w:r>
      <w:fldChar w:fldCharType="end"/>
    </w:r>
    <w:r>
      <w:tab/>
      <w:t>ATTACHMENT A</w:t>
    </w:r>
  </w:p>
  <w:p w:rsidR="006B0AD8" w:rsidRDefault="006B0AD8" w:rsidP="006B0AD8">
    <w:pPr>
      <w:pStyle w:val="Header"/>
    </w:pPr>
    <w:r>
      <w:t xml:space="preserve">Date: </w:t>
    </w:r>
    <w:r w:rsidR="00371CB6">
      <w:fldChar w:fldCharType="begin"/>
    </w:r>
    <w:r w:rsidR="00371CB6">
      <w:instrText xml:space="preserve"> REF FilingDate </w:instrText>
    </w:r>
    <w:r w:rsidR="00371CB6">
      <w:fldChar w:fldCharType="separate"/>
    </w:r>
    <w:r w:rsidR="00484437">
      <w:t>February 16, 2018</w:t>
    </w:r>
    <w:r w:rsidR="00371CB6">
      <w:fldChar w:fldCharType="end"/>
    </w:r>
  </w:p>
  <w:p w:rsidR="00FF1497" w:rsidRDefault="008F754E">
    <w:pPr>
      <w:tabs>
        <w:tab w:val="left" w:pos="3770"/>
      </w:tabs>
      <w:rPr>
        <w:b/>
      </w:rPr>
    </w:pPr>
    <w:r>
      <w:rPr>
        <w:b/>
        <w:noProof/>
      </w:rPr>
      <mc:AlternateContent>
        <mc:Choice Requires="wps">
          <w:drawing>
            <wp:anchor distT="0" distB="0" distL="114300" distR="114300" simplePos="0" relativeHeight="251659264" behindDoc="0" locked="0" layoutInCell="1" allowOverlap="1" wp14:anchorId="693CC1C4" wp14:editId="5AE272D0">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3C5B8402" wp14:editId="1DE41087">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8F754E">
                          <w:pPr>
                            <w:pStyle w:val="RuleHeader"/>
                            <w:rPr>
                              <w:rStyle w:val="RuleChar"/>
                            </w:rPr>
                          </w:pPr>
                          <w:r>
                            <w:t>1</w:t>
                          </w:r>
                        </w:p>
                        <w:p w:rsidR="00FF1497" w:rsidRDefault="008F754E">
                          <w:pPr>
                            <w:pStyle w:val="RuleHeader"/>
                          </w:pPr>
                          <w:r>
                            <w:t>2</w:t>
                          </w:r>
                        </w:p>
                        <w:p w:rsidR="00FF1497" w:rsidRDefault="008F754E">
                          <w:pPr>
                            <w:pStyle w:val="RuleHeader"/>
                          </w:pPr>
                          <w:r>
                            <w:t>3</w:t>
                          </w:r>
                        </w:p>
                        <w:p w:rsidR="00FF1497" w:rsidRDefault="008F754E">
                          <w:pPr>
                            <w:pStyle w:val="RuleHeader"/>
                          </w:pPr>
                          <w:r>
                            <w:t>4</w:t>
                          </w:r>
                        </w:p>
                        <w:p w:rsidR="00FF1497" w:rsidRDefault="008F754E">
                          <w:pPr>
                            <w:pStyle w:val="RuleHeader"/>
                          </w:pPr>
                          <w:r>
                            <w:t>5</w:t>
                          </w:r>
                        </w:p>
                        <w:p w:rsidR="00FF1497" w:rsidRDefault="008F754E">
                          <w:pPr>
                            <w:pStyle w:val="RuleHeader"/>
                          </w:pPr>
                          <w:r>
                            <w:t>6</w:t>
                          </w:r>
                        </w:p>
                        <w:p w:rsidR="00FF1497" w:rsidRDefault="008F754E">
                          <w:pPr>
                            <w:pStyle w:val="RuleHeader"/>
                          </w:pPr>
                          <w:r>
                            <w:t>7</w:t>
                          </w:r>
                        </w:p>
                        <w:p w:rsidR="00FF1497" w:rsidRDefault="008F754E">
                          <w:pPr>
                            <w:pStyle w:val="RuleHeader"/>
                          </w:pPr>
                          <w:r>
                            <w:t>8</w:t>
                          </w:r>
                        </w:p>
                        <w:p w:rsidR="00FF1497" w:rsidRDefault="008F754E">
                          <w:pPr>
                            <w:pStyle w:val="RuleHeader"/>
                          </w:pPr>
                          <w:r>
                            <w:t>9</w:t>
                          </w:r>
                        </w:p>
                        <w:p w:rsidR="00FF1497" w:rsidRDefault="008F754E">
                          <w:pPr>
                            <w:pStyle w:val="RuleHeader"/>
                          </w:pPr>
                          <w:r>
                            <w:t>10</w:t>
                          </w:r>
                        </w:p>
                        <w:p w:rsidR="00FF1497" w:rsidRDefault="008F754E">
                          <w:pPr>
                            <w:pStyle w:val="RuleHeader"/>
                          </w:pPr>
                          <w:r>
                            <w:t>11</w:t>
                          </w:r>
                        </w:p>
                        <w:p w:rsidR="00FF1497" w:rsidRDefault="008F754E">
                          <w:pPr>
                            <w:pStyle w:val="RuleHeader"/>
                          </w:pPr>
                          <w:r>
                            <w:t>12</w:t>
                          </w:r>
                        </w:p>
                        <w:p w:rsidR="00FF1497" w:rsidRDefault="008F754E">
                          <w:pPr>
                            <w:pStyle w:val="RuleHeader"/>
                          </w:pPr>
                          <w:r>
                            <w:t>13</w:t>
                          </w:r>
                        </w:p>
                        <w:p w:rsidR="00FF1497" w:rsidRDefault="008F754E">
                          <w:pPr>
                            <w:pStyle w:val="RuleHeader"/>
                          </w:pPr>
                          <w:r>
                            <w:t>14</w:t>
                          </w:r>
                        </w:p>
                        <w:p w:rsidR="00FF1497" w:rsidRDefault="008F754E">
                          <w:pPr>
                            <w:pStyle w:val="RuleHeader"/>
                          </w:pPr>
                          <w:r>
                            <w:t>15</w:t>
                          </w:r>
                        </w:p>
                        <w:p w:rsidR="00FF1497" w:rsidRDefault="008F754E">
                          <w:pPr>
                            <w:pStyle w:val="RuleHeader"/>
                          </w:pPr>
                          <w:r>
                            <w:t>16</w:t>
                          </w:r>
                        </w:p>
                        <w:p w:rsidR="00FF1497" w:rsidRDefault="008F754E">
                          <w:pPr>
                            <w:pStyle w:val="RuleHeader"/>
                          </w:pPr>
                          <w:r>
                            <w:t>17</w:t>
                          </w:r>
                        </w:p>
                        <w:p w:rsidR="00FF1497" w:rsidRDefault="008F754E">
                          <w:pPr>
                            <w:pStyle w:val="RuleHeader"/>
                          </w:pPr>
                          <w:r>
                            <w:t>18</w:t>
                          </w:r>
                        </w:p>
                        <w:p w:rsidR="00FF1497" w:rsidRDefault="008F754E">
                          <w:pPr>
                            <w:pStyle w:val="RuleHeader"/>
                          </w:pPr>
                          <w:r>
                            <w:t>19</w:t>
                          </w:r>
                        </w:p>
                        <w:p w:rsidR="00FF1497" w:rsidRDefault="008F754E">
                          <w:pPr>
                            <w:pStyle w:val="RuleHeader"/>
                          </w:pPr>
                          <w:r>
                            <w:t>20</w:t>
                          </w:r>
                        </w:p>
                        <w:p w:rsidR="00FF1497" w:rsidRDefault="008F754E">
                          <w:pPr>
                            <w:pStyle w:val="RuleHeader"/>
                          </w:pPr>
                          <w:r>
                            <w:t>21</w:t>
                          </w:r>
                        </w:p>
                        <w:p w:rsidR="00FF1497" w:rsidRDefault="008F754E">
                          <w:pPr>
                            <w:pStyle w:val="RuleHeader"/>
                          </w:pPr>
                          <w:r>
                            <w:t>22</w:t>
                          </w:r>
                        </w:p>
                        <w:p w:rsidR="00FF1497" w:rsidRDefault="008F754E">
                          <w:pPr>
                            <w:pStyle w:val="RuleHeader"/>
                          </w:pPr>
                          <w:r>
                            <w:t>23</w:t>
                          </w:r>
                        </w:p>
                        <w:p w:rsidR="00FF1497" w:rsidRDefault="008F754E">
                          <w:pPr>
                            <w:pStyle w:val="RuleHeader"/>
                          </w:pPr>
                          <w:r>
                            <w:t>24</w:t>
                          </w:r>
                        </w:p>
                        <w:p w:rsidR="00FF1497" w:rsidRDefault="008F754E">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8F754E">
                    <w:pPr>
                      <w:pStyle w:val="RuleHeader"/>
                      <w:rPr>
                        <w:rStyle w:val="RuleChar"/>
                      </w:rPr>
                    </w:pPr>
                    <w:r>
                      <w:t>1</w:t>
                    </w:r>
                  </w:p>
                  <w:p w:rsidR="00FF1497" w:rsidRDefault="008F754E">
                    <w:pPr>
                      <w:pStyle w:val="RuleHeader"/>
                    </w:pPr>
                    <w:r>
                      <w:t>2</w:t>
                    </w:r>
                  </w:p>
                  <w:p w:rsidR="00FF1497" w:rsidRDefault="008F754E">
                    <w:pPr>
                      <w:pStyle w:val="RuleHeader"/>
                    </w:pPr>
                    <w:r>
                      <w:t>3</w:t>
                    </w:r>
                  </w:p>
                  <w:p w:rsidR="00FF1497" w:rsidRDefault="008F754E">
                    <w:pPr>
                      <w:pStyle w:val="RuleHeader"/>
                    </w:pPr>
                    <w:r>
                      <w:t>4</w:t>
                    </w:r>
                  </w:p>
                  <w:p w:rsidR="00FF1497" w:rsidRDefault="008F754E">
                    <w:pPr>
                      <w:pStyle w:val="RuleHeader"/>
                    </w:pPr>
                    <w:r>
                      <w:t>5</w:t>
                    </w:r>
                  </w:p>
                  <w:p w:rsidR="00FF1497" w:rsidRDefault="008F754E">
                    <w:pPr>
                      <w:pStyle w:val="RuleHeader"/>
                    </w:pPr>
                    <w:r>
                      <w:t>6</w:t>
                    </w:r>
                  </w:p>
                  <w:p w:rsidR="00FF1497" w:rsidRDefault="008F754E">
                    <w:pPr>
                      <w:pStyle w:val="RuleHeader"/>
                    </w:pPr>
                    <w:r>
                      <w:t>7</w:t>
                    </w:r>
                  </w:p>
                  <w:p w:rsidR="00FF1497" w:rsidRDefault="008F754E">
                    <w:pPr>
                      <w:pStyle w:val="RuleHeader"/>
                    </w:pPr>
                    <w:r>
                      <w:t>8</w:t>
                    </w:r>
                  </w:p>
                  <w:p w:rsidR="00FF1497" w:rsidRDefault="008F754E">
                    <w:pPr>
                      <w:pStyle w:val="RuleHeader"/>
                    </w:pPr>
                    <w:r>
                      <w:t>9</w:t>
                    </w:r>
                  </w:p>
                  <w:p w:rsidR="00FF1497" w:rsidRDefault="008F754E">
                    <w:pPr>
                      <w:pStyle w:val="RuleHeader"/>
                    </w:pPr>
                    <w:r>
                      <w:t>10</w:t>
                    </w:r>
                  </w:p>
                  <w:p w:rsidR="00FF1497" w:rsidRDefault="008F754E">
                    <w:pPr>
                      <w:pStyle w:val="RuleHeader"/>
                    </w:pPr>
                    <w:r>
                      <w:t>11</w:t>
                    </w:r>
                  </w:p>
                  <w:p w:rsidR="00FF1497" w:rsidRDefault="008F754E">
                    <w:pPr>
                      <w:pStyle w:val="RuleHeader"/>
                    </w:pPr>
                    <w:r>
                      <w:t>12</w:t>
                    </w:r>
                  </w:p>
                  <w:p w:rsidR="00FF1497" w:rsidRDefault="008F754E">
                    <w:pPr>
                      <w:pStyle w:val="RuleHeader"/>
                    </w:pPr>
                    <w:r>
                      <w:t>13</w:t>
                    </w:r>
                  </w:p>
                  <w:p w:rsidR="00FF1497" w:rsidRDefault="008F754E">
                    <w:pPr>
                      <w:pStyle w:val="RuleHeader"/>
                    </w:pPr>
                    <w:r>
                      <w:t>14</w:t>
                    </w:r>
                  </w:p>
                  <w:p w:rsidR="00FF1497" w:rsidRDefault="008F754E">
                    <w:pPr>
                      <w:pStyle w:val="RuleHeader"/>
                    </w:pPr>
                    <w:r>
                      <w:t>15</w:t>
                    </w:r>
                  </w:p>
                  <w:p w:rsidR="00FF1497" w:rsidRDefault="008F754E">
                    <w:pPr>
                      <w:pStyle w:val="RuleHeader"/>
                    </w:pPr>
                    <w:r>
                      <w:t>16</w:t>
                    </w:r>
                  </w:p>
                  <w:p w:rsidR="00FF1497" w:rsidRDefault="008F754E">
                    <w:pPr>
                      <w:pStyle w:val="RuleHeader"/>
                    </w:pPr>
                    <w:r>
                      <w:t>17</w:t>
                    </w:r>
                  </w:p>
                  <w:p w:rsidR="00FF1497" w:rsidRDefault="008F754E">
                    <w:pPr>
                      <w:pStyle w:val="RuleHeader"/>
                    </w:pPr>
                    <w:r>
                      <w:t>18</w:t>
                    </w:r>
                  </w:p>
                  <w:p w:rsidR="00FF1497" w:rsidRDefault="008F754E">
                    <w:pPr>
                      <w:pStyle w:val="RuleHeader"/>
                    </w:pPr>
                    <w:r>
                      <w:t>19</w:t>
                    </w:r>
                  </w:p>
                  <w:p w:rsidR="00FF1497" w:rsidRDefault="008F754E">
                    <w:pPr>
                      <w:pStyle w:val="RuleHeader"/>
                    </w:pPr>
                    <w:r>
                      <w:t>20</w:t>
                    </w:r>
                  </w:p>
                  <w:p w:rsidR="00FF1497" w:rsidRDefault="008F754E">
                    <w:pPr>
                      <w:pStyle w:val="RuleHeader"/>
                    </w:pPr>
                    <w:r>
                      <w:t>21</w:t>
                    </w:r>
                  </w:p>
                  <w:p w:rsidR="00FF1497" w:rsidRDefault="008F754E">
                    <w:pPr>
                      <w:pStyle w:val="RuleHeader"/>
                    </w:pPr>
                    <w:r>
                      <w:t>22</w:t>
                    </w:r>
                  </w:p>
                  <w:p w:rsidR="00FF1497" w:rsidRDefault="008F754E">
                    <w:pPr>
                      <w:pStyle w:val="RuleHeader"/>
                    </w:pPr>
                    <w:r>
                      <w:t>23</w:t>
                    </w:r>
                  </w:p>
                  <w:p w:rsidR="00FF1497" w:rsidRDefault="008F754E">
                    <w:pPr>
                      <w:pStyle w:val="RuleHeader"/>
                    </w:pPr>
                    <w:r>
                      <w:t>24</w:t>
                    </w:r>
                  </w:p>
                  <w:p w:rsidR="00FF1497" w:rsidRDefault="008F754E">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515ACFAD" wp14:editId="23DE0860">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17F40D44" wp14:editId="08AD9AA3">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8F754E">
    <w:pPr>
      <w:tabs>
        <w:tab w:val="left" w:pos="3770"/>
      </w:tabs>
    </w:pPr>
    <w:r>
      <w:rPr>
        <w:noProof/>
      </w:rPr>
      <mc:AlternateContent>
        <mc:Choice Requires="wps">
          <w:drawing>
            <wp:anchor distT="0" distB="0" distL="114300" distR="114300" simplePos="0" relativeHeight="251663360" behindDoc="0" locked="0" layoutInCell="1" allowOverlap="1" wp14:anchorId="268050C1" wp14:editId="23A6CEB0">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5153EFDB" wp14:editId="1C258E0F">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8F754E">
                          <w:pPr>
                            <w:jc w:val="right"/>
                          </w:pPr>
                          <w:r>
                            <w:t>1</w:t>
                          </w:r>
                        </w:p>
                        <w:p w:rsidR="00FF1497" w:rsidRDefault="008F754E">
                          <w:pPr>
                            <w:jc w:val="right"/>
                          </w:pPr>
                          <w:r>
                            <w:t>2</w:t>
                          </w:r>
                        </w:p>
                        <w:p w:rsidR="00FF1497" w:rsidRDefault="008F754E">
                          <w:pPr>
                            <w:jc w:val="right"/>
                          </w:pPr>
                          <w:r>
                            <w:t>3</w:t>
                          </w:r>
                        </w:p>
                        <w:p w:rsidR="00FF1497" w:rsidRDefault="008F754E">
                          <w:pPr>
                            <w:jc w:val="right"/>
                          </w:pPr>
                          <w:r>
                            <w:t>4</w:t>
                          </w:r>
                        </w:p>
                        <w:p w:rsidR="00FF1497" w:rsidRDefault="008F754E">
                          <w:pPr>
                            <w:jc w:val="right"/>
                          </w:pPr>
                          <w:r>
                            <w:t>5</w:t>
                          </w:r>
                        </w:p>
                        <w:p w:rsidR="00FF1497" w:rsidRDefault="008F754E">
                          <w:pPr>
                            <w:jc w:val="right"/>
                          </w:pPr>
                          <w:r>
                            <w:t>6</w:t>
                          </w:r>
                        </w:p>
                        <w:p w:rsidR="00FF1497" w:rsidRDefault="008F754E">
                          <w:pPr>
                            <w:jc w:val="right"/>
                          </w:pPr>
                          <w:r>
                            <w:t>7</w:t>
                          </w:r>
                        </w:p>
                        <w:p w:rsidR="00FF1497" w:rsidRDefault="008F754E">
                          <w:pPr>
                            <w:jc w:val="right"/>
                          </w:pPr>
                          <w:r>
                            <w:t>8</w:t>
                          </w:r>
                        </w:p>
                        <w:p w:rsidR="00FF1497" w:rsidRDefault="008F754E">
                          <w:pPr>
                            <w:jc w:val="right"/>
                          </w:pPr>
                          <w:r>
                            <w:t>9</w:t>
                          </w:r>
                        </w:p>
                        <w:p w:rsidR="00FF1497" w:rsidRDefault="008F754E">
                          <w:pPr>
                            <w:jc w:val="right"/>
                          </w:pPr>
                          <w:r>
                            <w:t>10</w:t>
                          </w:r>
                        </w:p>
                        <w:p w:rsidR="00FF1497" w:rsidRDefault="008F754E">
                          <w:pPr>
                            <w:jc w:val="right"/>
                          </w:pPr>
                          <w:r>
                            <w:t>11</w:t>
                          </w:r>
                        </w:p>
                        <w:p w:rsidR="00FF1497" w:rsidRDefault="008F754E">
                          <w:pPr>
                            <w:jc w:val="right"/>
                          </w:pPr>
                          <w:r>
                            <w:t>12</w:t>
                          </w:r>
                        </w:p>
                        <w:p w:rsidR="00FF1497" w:rsidRDefault="008F754E">
                          <w:pPr>
                            <w:jc w:val="right"/>
                          </w:pPr>
                          <w:r>
                            <w:t>13</w:t>
                          </w:r>
                        </w:p>
                        <w:p w:rsidR="00FF1497" w:rsidRDefault="008F754E">
                          <w:pPr>
                            <w:jc w:val="right"/>
                          </w:pPr>
                          <w:r>
                            <w:t>14</w:t>
                          </w:r>
                        </w:p>
                        <w:p w:rsidR="00FF1497" w:rsidRDefault="008F754E">
                          <w:pPr>
                            <w:jc w:val="right"/>
                          </w:pPr>
                          <w:r>
                            <w:t>15</w:t>
                          </w:r>
                        </w:p>
                        <w:p w:rsidR="00FF1497" w:rsidRDefault="008F754E">
                          <w:pPr>
                            <w:jc w:val="right"/>
                          </w:pPr>
                          <w:r>
                            <w:t>16</w:t>
                          </w:r>
                        </w:p>
                        <w:p w:rsidR="00FF1497" w:rsidRDefault="008F754E">
                          <w:pPr>
                            <w:jc w:val="right"/>
                          </w:pPr>
                          <w:r>
                            <w:t>17</w:t>
                          </w:r>
                        </w:p>
                        <w:p w:rsidR="00FF1497" w:rsidRDefault="008F754E">
                          <w:pPr>
                            <w:jc w:val="right"/>
                          </w:pPr>
                          <w:r>
                            <w:t>18</w:t>
                          </w:r>
                        </w:p>
                        <w:p w:rsidR="00FF1497" w:rsidRDefault="008F754E">
                          <w:pPr>
                            <w:jc w:val="right"/>
                          </w:pPr>
                          <w:r>
                            <w:t>19</w:t>
                          </w:r>
                        </w:p>
                        <w:p w:rsidR="00FF1497" w:rsidRDefault="008F754E">
                          <w:pPr>
                            <w:jc w:val="right"/>
                          </w:pPr>
                          <w:r>
                            <w:t>20</w:t>
                          </w:r>
                        </w:p>
                        <w:p w:rsidR="00FF1497" w:rsidRDefault="008F754E">
                          <w:pPr>
                            <w:jc w:val="right"/>
                          </w:pPr>
                          <w:r>
                            <w:t>21</w:t>
                          </w:r>
                        </w:p>
                        <w:p w:rsidR="00FF1497" w:rsidRDefault="008F754E">
                          <w:pPr>
                            <w:jc w:val="right"/>
                          </w:pPr>
                          <w:r>
                            <w:t>22</w:t>
                          </w:r>
                        </w:p>
                        <w:p w:rsidR="00FF1497" w:rsidRDefault="008F754E">
                          <w:pPr>
                            <w:jc w:val="right"/>
                          </w:pPr>
                          <w:r>
                            <w:t>23</w:t>
                          </w:r>
                        </w:p>
                        <w:p w:rsidR="00FF1497" w:rsidRDefault="008F754E">
                          <w:pPr>
                            <w:jc w:val="right"/>
                          </w:pPr>
                          <w:r>
                            <w:t>24</w:t>
                          </w:r>
                        </w:p>
                        <w:p w:rsidR="00FF1497" w:rsidRDefault="008F754E">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8F754E">
                    <w:pPr>
                      <w:jc w:val="right"/>
                    </w:pPr>
                    <w:r>
                      <w:t>1</w:t>
                    </w:r>
                  </w:p>
                  <w:p w:rsidR="00FF1497" w:rsidRDefault="008F754E">
                    <w:pPr>
                      <w:jc w:val="right"/>
                    </w:pPr>
                    <w:r>
                      <w:t>2</w:t>
                    </w:r>
                  </w:p>
                  <w:p w:rsidR="00FF1497" w:rsidRDefault="008F754E">
                    <w:pPr>
                      <w:jc w:val="right"/>
                    </w:pPr>
                    <w:r>
                      <w:t>3</w:t>
                    </w:r>
                  </w:p>
                  <w:p w:rsidR="00FF1497" w:rsidRDefault="008F754E">
                    <w:pPr>
                      <w:jc w:val="right"/>
                    </w:pPr>
                    <w:r>
                      <w:t>4</w:t>
                    </w:r>
                  </w:p>
                  <w:p w:rsidR="00FF1497" w:rsidRDefault="008F754E">
                    <w:pPr>
                      <w:jc w:val="right"/>
                    </w:pPr>
                    <w:r>
                      <w:t>5</w:t>
                    </w:r>
                  </w:p>
                  <w:p w:rsidR="00FF1497" w:rsidRDefault="008F754E">
                    <w:pPr>
                      <w:jc w:val="right"/>
                    </w:pPr>
                    <w:r>
                      <w:t>6</w:t>
                    </w:r>
                  </w:p>
                  <w:p w:rsidR="00FF1497" w:rsidRDefault="008F754E">
                    <w:pPr>
                      <w:jc w:val="right"/>
                    </w:pPr>
                    <w:r>
                      <w:t>7</w:t>
                    </w:r>
                  </w:p>
                  <w:p w:rsidR="00FF1497" w:rsidRDefault="008F754E">
                    <w:pPr>
                      <w:jc w:val="right"/>
                    </w:pPr>
                    <w:r>
                      <w:t>8</w:t>
                    </w:r>
                  </w:p>
                  <w:p w:rsidR="00FF1497" w:rsidRDefault="008F754E">
                    <w:pPr>
                      <w:jc w:val="right"/>
                    </w:pPr>
                    <w:r>
                      <w:t>9</w:t>
                    </w:r>
                  </w:p>
                  <w:p w:rsidR="00FF1497" w:rsidRDefault="008F754E">
                    <w:pPr>
                      <w:jc w:val="right"/>
                    </w:pPr>
                    <w:r>
                      <w:t>10</w:t>
                    </w:r>
                  </w:p>
                  <w:p w:rsidR="00FF1497" w:rsidRDefault="008F754E">
                    <w:pPr>
                      <w:jc w:val="right"/>
                    </w:pPr>
                    <w:r>
                      <w:t>11</w:t>
                    </w:r>
                  </w:p>
                  <w:p w:rsidR="00FF1497" w:rsidRDefault="008F754E">
                    <w:pPr>
                      <w:jc w:val="right"/>
                    </w:pPr>
                    <w:r>
                      <w:t>12</w:t>
                    </w:r>
                  </w:p>
                  <w:p w:rsidR="00FF1497" w:rsidRDefault="008F754E">
                    <w:pPr>
                      <w:jc w:val="right"/>
                    </w:pPr>
                    <w:r>
                      <w:t>13</w:t>
                    </w:r>
                  </w:p>
                  <w:p w:rsidR="00FF1497" w:rsidRDefault="008F754E">
                    <w:pPr>
                      <w:jc w:val="right"/>
                    </w:pPr>
                    <w:r>
                      <w:t>14</w:t>
                    </w:r>
                  </w:p>
                  <w:p w:rsidR="00FF1497" w:rsidRDefault="008F754E">
                    <w:pPr>
                      <w:jc w:val="right"/>
                    </w:pPr>
                    <w:r>
                      <w:t>15</w:t>
                    </w:r>
                  </w:p>
                  <w:p w:rsidR="00FF1497" w:rsidRDefault="008F754E">
                    <w:pPr>
                      <w:jc w:val="right"/>
                    </w:pPr>
                    <w:r>
                      <w:t>16</w:t>
                    </w:r>
                  </w:p>
                  <w:p w:rsidR="00FF1497" w:rsidRDefault="008F754E">
                    <w:pPr>
                      <w:jc w:val="right"/>
                    </w:pPr>
                    <w:r>
                      <w:t>17</w:t>
                    </w:r>
                  </w:p>
                  <w:p w:rsidR="00FF1497" w:rsidRDefault="008F754E">
                    <w:pPr>
                      <w:jc w:val="right"/>
                    </w:pPr>
                    <w:r>
                      <w:t>18</w:t>
                    </w:r>
                  </w:p>
                  <w:p w:rsidR="00FF1497" w:rsidRDefault="008F754E">
                    <w:pPr>
                      <w:jc w:val="right"/>
                    </w:pPr>
                    <w:r>
                      <w:t>19</w:t>
                    </w:r>
                  </w:p>
                  <w:p w:rsidR="00FF1497" w:rsidRDefault="008F754E">
                    <w:pPr>
                      <w:jc w:val="right"/>
                    </w:pPr>
                    <w:r>
                      <w:t>20</w:t>
                    </w:r>
                  </w:p>
                  <w:p w:rsidR="00FF1497" w:rsidRDefault="008F754E">
                    <w:pPr>
                      <w:jc w:val="right"/>
                    </w:pPr>
                    <w:r>
                      <w:t>21</w:t>
                    </w:r>
                  </w:p>
                  <w:p w:rsidR="00FF1497" w:rsidRDefault="008F754E">
                    <w:pPr>
                      <w:jc w:val="right"/>
                    </w:pPr>
                    <w:r>
                      <w:t>22</w:t>
                    </w:r>
                  </w:p>
                  <w:p w:rsidR="00FF1497" w:rsidRDefault="008F754E">
                    <w:pPr>
                      <w:jc w:val="right"/>
                    </w:pPr>
                    <w:r>
                      <w:t>23</w:t>
                    </w:r>
                  </w:p>
                  <w:p w:rsidR="00FF1497" w:rsidRDefault="008F754E">
                    <w:pPr>
                      <w:jc w:val="right"/>
                    </w:pPr>
                    <w:r>
                      <w:t>24</w:t>
                    </w:r>
                  </w:p>
                  <w:p w:rsidR="00FF1497" w:rsidRDefault="008F754E">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7C7A5B2" wp14:editId="712C8C1B">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5507DDF8" wp14:editId="29DB5E2B">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036" w:rsidRDefault="00110036" w:rsidP="006B0AD8">
    <w:pPr>
      <w:pStyle w:val="Header"/>
      <w:tabs>
        <w:tab w:val="clear" w:pos="4320"/>
        <w:tab w:val="clear" w:pos="8640"/>
        <w:tab w:val="right" w:pos="9360"/>
      </w:tabs>
    </w:pPr>
    <w:r>
      <w:fldChar w:fldCharType="begin"/>
    </w:r>
    <w:r>
      <w:instrText xml:space="preserve"> REF DocketLabel</w:instrText>
    </w:r>
    <w:r>
      <w:fldChar w:fldCharType="separate"/>
    </w:r>
    <w:r w:rsidR="00484437">
      <w:t>Docket No.</w:t>
    </w:r>
    <w:r>
      <w:fldChar w:fldCharType="end"/>
    </w:r>
    <w:r>
      <w:t xml:space="preserve"> </w:t>
    </w:r>
    <w:r>
      <w:fldChar w:fldCharType="begin"/>
    </w:r>
    <w:r>
      <w:instrText xml:space="preserve"> REF DocketList</w:instrText>
    </w:r>
    <w:r>
      <w:fldChar w:fldCharType="separate"/>
    </w:r>
    <w:r w:rsidR="00484437">
      <w:t>20180029-WS</w:t>
    </w:r>
    <w:r>
      <w:fldChar w:fldCharType="end"/>
    </w:r>
    <w:r>
      <w:tab/>
      <w:t>ATTACHMENT B</w:t>
    </w:r>
  </w:p>
  <w:p w:rsidR="00110036" w:rsidRDefault="00110036" w:rsidP="006B0AD8">
    <w:pPr>
      <w:pStyle w:val="Header"/>
    </w:pPr>
    <w:r>
      <w:t xml:space="preserve">Date: </w:t>
    </w:r>
    <w:r w:rsidR="00371CB6">
      <w:fldChar w:fldCharType="begin"/>
    </w:r>
    <w:r w:rsidR="00371CB6">
      <w:instrText xml:space="preserve"> REF FilingDate </w:instrText>
    </w:r>
    <w:r w:rsidR="00371CB6">
      <w:fldChar w:fldCharType="separate"/>
    </w:r>
    <w:r w:rsidR="00484437">
      <w:t>February 16, 2018</w:t>
    </w:r>
    <w:r w:rsidR="00371CB6">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D3CC1"/>
    <w:rsid w:val="000043D5"/>
    <w:rsid w:val="0000489B"/>
    <w:rsid w:val="00006170"/>
    <w:rsid w:val="00010E37"/>
    <w:rsid w:val="000172DA"/>
    <w:rsid w:val="000247C5"/>
    <w:rsid w:val="000277C2"/>
    <w:rsid w:val="00035B48"/>
    <w:rsid w:val="00036CE2"/>
    <w:rsid w:val="000437FE"/>
    <w:rsid w:val="00047675"/>
    <w:rsid w:val="000513BE"/>
    <w:rsid w:val="00065A06"/>
    <w:rsid w:val="000666F3"/>
    <w:rsid w:val="00070DCB"/>
    <w:rsid w:val="00073120"/>
    <w:rsid w:val="000764D0"/>
    <w:rsid w:val="000828D3"/>
    <w:rsid w:val="00085077"/>
    <w:rsid w:val="000A2B57"/>
    <w:rsid w:val="000A418B"/>
    <w:rsid w:val="000C4431"/>
    <w:rsid w:val="000D1C06"/>
    <w:rsid w:val="000D4319"/>
    <w:rsid w:val="000F374A"/>
    <w:rsid w:val="00101AF7"/>
    <w:rsid w:val="001076AF"/>
    <w:rsid w:val="00110036"/>
    <w:rsid w:val="00111A90"/>
    <w:rsid w:val="00117C8C"/>
    <w:rsid w:val="00124E2E"/>
    <w:rsid w:val="00125ED4"/>
    <w:rsid w:val="001305E9"/>
    <w:rsid w:val="001307AF"/>
    <w:rsid w:val="00135687"/>
    <w:rsid w:val="00144925"/>
    <w:rsid w:val="00146353"/>
    <w:rsid w:val="00154874"/>
    <w:rsid w:val="0015506E"/>
    <w:rsid w:val="00163031"/>
    <w:rsid w:val="00171A90"/>
    <w:rsid w:val="00180254"/>
    <w:rsid w:val="00191E1F"/>
    <w:rsid w:val="00192943"/>
    <w:rsid w:val="001A7406"/>
    <w:rsid w:val="001B4FEE"/>
    <w:rsid w:val="001B51C5"/>
    <w:rsid w:val="001B6F3F"/>
    <w:rsid w:val="001C52B5"/>
    <w:rsid w:val="001D0D3E"/>
    <w:rsid w:val="001E609A"/>
    <w:rsid w:val="001F2245"/>
    <w:rsid w:val="001F2C63"/>
    <w:rsid w:val="001F48C7"/>
    <w:rsid w:val="001F6DA1"/>
    <w:rsid w:val="002044E6"/>
    <w:rsid w:val="00205803"/>
    <w:rsid w:val="00205C82"/>
    <w:rsid w:val="00205DC2"/>
    <w:rsid w:val="002120E3"/>
    <w:rsid w:val="00212B17"/>
    <w:rsid w:val="002163B6"/>
    <w:rsid w:val="00220732"/>
    <w:rsid w:val="00221D32"/>
    <w:rsid w:val="00225C3F"/>
    <w:rsid w:val="00263D44"/>
    <w:rsid w:val="002702AD"/>
    <w:rsid w:val="00292D82"/>
    <w:rsid w:val="002963CB"/>
    <w:rsid w:val="002972FE"/>
    <w:rsid w:val="002D226D"/>
    <w:rsid w:val="002E6B2F"/>
    <w:rsid w:val="002F6030"/>
    <w:rsid w:val="003022FC"/>
    <w:rsid w:val="003037E1"/>
    <w:rsid w:val="00307E51"/>
    <w:rsid w:val="003103EC"/>
    <w:rsid w:val="003144EF"/>
    <w:rsid w:val="00322F74"/>
    <w:rsid w:val="00340073"/>
    <w:rsid w:val="00351753"/>
    <w:rsid w:val="003632FD"/>
    <w:rsid w:val="00372805"/>
    <w:rsid w:val="00373180"/>
    <w:rsid w:val="00375AB9"/>
    <w:rsid w:val="003821A0"/>
    <w:rsid w:val="0038223B"/>
    <w:rsid w:val="00385B04"/>
    <w:rsid w:val="003864CF"/>
    <w:rsid w:val="00391935"/>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84437"/>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17517"/>
    <w:rsid w:val="00523B11"/>
    <w:rsid w:val="0052572A"/>
    <w:rsid w:val="00543CB3"/>
    <w:rsid w:val="005442E4"/>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D7626"/>
    <w:rsid w:val="005F468D"/>
    <w:rsid w:val="005F69A3"/>
    <w:rsid w:val="00604CC7"/>
    <w:rsid w:val="00615423"/>
    <w:rsid w:val="006165B2"/>
    <w:rsid w:val="00617276"/>
    <w:rsid w:val="0062527B"/>
    <w:rsid w:val="00625D97"/>
    <w:rsid w:val="00625F1C"/>
    <w:rsid w:val="006279E1"/>
    <w:rsid w:val="00630CEB"/>
    <w:rsid w:val="00632264"/>
    <w:rsid w:val="00632FDC"/>
    <w:rsid w:val="00646722"/>
    <w:rsid w:val="006470BC"/>
    <w:rsid w:val="006554D3"/>
    <w:rsid w:val="00667036"/>
    <w:rsid w:val="0067196F"/>
    <w:rsid w:val="00673BDB"/>
    <w:rsid w:val="00674341"/>
    <w:rsid w:val="00676497"/>
    <w:rsid w:val="006771B8"/>
    <w:rsid w:val="006843B6"/>
    <w:rsid w:val="0068481F"/>
    <w:rsid w:val="00696F5D"/>
    <w:rsid w:val="00697249"/>
    <w:rsid w:val="006B0AD8"/>
    <w:rsid w:val="006B3947"/>
    <w:rsid w:val="006B4293"/>
    <w:rsid w:val="006B60A9"/>
    <w:rsid w:val="006B624F"/>
    <w:rsid w:val="006C0C95"/>
    <w:rsid w:val="006C31E3"/>
    <w:rsid w:val="006D18D3"/>
    <w:rsid w:val="006D1B57"/>
    <w:rsid w:val="006D3CC1"/>
    <w:rsid w:val="006D6F63"/>
    <w:rsid w:val="006E08CB"/>
    <w:rsid w:val="006E598D"/>
    <w:rsid w:val="0070437D"/>
    <w:rsid w:val="00704CF1"/>
    <w:rsid w:val="00705B04"/>
    <w:rsid w:val="00706D38"/>
    <w:rsid w:val="00724992"/>
    <w:rsid w:val="00733AA5"/>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B35F8"/>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261E6"/>
    <w:rsid w:val="00832DDC"/>
    <w:rsid w:val="00845A61"/>
    <w:rsid w:val="00850BAC"/>
    <w:rsid w:val="00853D8E"/>
    <w:rsid w:val="00854A3E"/>
    <w:rsid w:val="00855D08"/>
    <w:rsid w:val="00874344"/>
    <w:rsid w:val="00874A67"/>
    <w:rsid w:val="00882155"/>
    <w:rsid w:val="0088233B"/>
    <w:rsid w:val="0088599E"/>
    <w:rsid w:val="00886C37"/>
    <w:rsid w:val="00892D99"/>
    <w:rsid w:val="00893315"/>
    <w:rsid w:val="00895C8D"/>
    <w:rsid w:val="008B62AE"/>
    <w:rsid w:val="008C04B5"/>
    <w:rsid w:val="008C14FA"/>
    <w:rsid w:val="008C50BA"/>
    <w:rsid w:val="008C7B0B"/>
    <w:rsid w:val="008D4057"/>
    <w:rsid w:val="008E1F19"/>
    <w:rsid w:val="008F2262"/>
    <w:rsid w:val="008F4D2B"/>
    <w:rsid w:val="008F754E"/>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449C"/>
    <w:rsid w:val="009271A7"/>
    <w:rsid w:val="009354A2"/>
    <w:rsid w:val="0093658B"/>
    <w:rsid w:val="009429FF"/>
    <w:rsid w:val="00945BD6"/>
    <w:rsid w:val="009479FB"/>
    <w:rsid w:val="00951C45"/>
    <w:rsid w:val="00953732"/>
    <w:rsid w:val="0096307A"/>
    <w:rsid w:val="009656F2"/>
    <w:rsid w:val="00966A08"/>
    <w:rsid w:val="00971207"/>
    <w:rsid w:val="00971290"/>
    <w:rsid w:val="00975CB4"/>
    <w:rsid w:val="009863B0"/>
    <w:rsid w:val="00987DE1"/>
    <w:rsid w:val="00990571"/>
    <w:rsid w:val="00996500"/>
    <w:rsid w:val="0099673A"/>
    <w:rsid w:val="009A3330"/>
    <w:rsid w:val="009A7C96"/>
    <w:rsid w:val="009C3DB9"/>
    <w:rsid w:val="009D46E5"/>
    <w:rsid w:val="009D568A"/>
    <w:rsid w:val="009F04EC"/>
    <w:rsid w:val="009F2A7C"/>
    <w:rsid w:val="009F3B36"/>
    <w:rsid w:val="00A019B9"/>
    <w:rsid w:val="00A01C56"/>
    <w:rsid w:val="00A12508"/>
    <w:rsid w:val="00A1282B"/>
    <w:rsid w:val="00A13A27"/>
    <w:rsid w:val="00A175B6"/>
    <w:rsid w:val="00A2020F"/>
    <w:rsid w:val="00A21835"/>
    <w:rsid w:val="00A2374B"/>
    <w:rsid w:val="00A27D6E"/>
    <w:rsid w:val="00A328EC"/>
    <w:rsid w:val="00A33A51"/>
    <w:rsid w:val="00A40490"/>
    <w:rsid w:val="00A41CA6"/>
    <w:rsid w:val="00A47927"/>
    <w:rsid w:val="00A47FFC"/>
    <w:rsid w:val="00A5442F"/>
    <w:rsid w:val="00A54FF9"/>
    <w:rsid w:val="00A56765"/>
    <w:rsid w:val="00A675AC"/>
    <w:rsid w:val="00A7581F"/>
    <w:rsid w:val="00A86BEA"/>
    <w:rsid w:val="00A9035A"/>
    <w:rsid w:val="00A92FB1"/>
    <w:rsid w:val="00A95A0C"/>
    <w:rsid w:val="00AA2765"/>
    <w:rsid w:val="00AA77B5"/>
    <w:rsid w:val="00AB6C5D"/>
    <w:rsid w:val="00AC3401"/>
    <w:rsid w:val="00AC51A7"/>
    <w:rsid w:val="00AD021B"/>
    <w:rsid w:val="00AD444B"/>
    <w:rsid w:val="00AD6C78"/>
    <w:rsid w:val="00AE2EAB"/>
    <w:rsid w:val="00AE42DB"/>
    <w:rsid w:val="00AE684C"/>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454E"/>
    <w:rsid w:val="00B41C64"/>
    <w:rsid w:val="00B45250"/>
    <w:rsid w:val="00B516ED"/>
    <w:rsid w:val="00B57A6A"/>
    <w:rsid w:val="00B715A1"/>
    <w:rsid w:val="00B760F1"/>
    <w:rsid w:val="00B7669E"/>
    <w:rsid w:val="00B77DA1"/>
    <w:rsid w:val="00B822A0"/>
    <w:rsid w:val="00B858AE"/>
    <w:rsid w:val="00B85964"/>
    <w:rsid w:val="00B92E29"/>
    <w:rsid w:val="00B96250"/>
    <w:rsid w:val="00BA0D55"/>
    <w:rsid w:val="00BA37B3"/>
    <w:rsid w:val="00BA4CC6"/>
    <w:rsid w:val="00BB3493"/>
    <w:rsid w:val="00BB6576"/>
    <w:rsid w:val="00BB7468"/>
    <w:rsid w:val="00BC188A"/>
    <w:rsid w:val="00BC402E"/>
    <w:rsid w:val="00BC660D"/>
    <w:rsid w:val="00BD0F48"/>
    <w:rsid w:val="00BE6E8C"/>
    <w:rsid w:val="00BF5010"/>
    <w:rsid w:val="00C02490"/>
    <w:rsid w:val="00C03D5F"/>
    <w:rsid w:val="00C13791"/>
    <w:rsid w:val="00C31BB3"/>
    <w:rsid w:val="00C36977"/>
    <w:rsid w:val="00C4501F"/>
    <w:rsid w:val="00C467DA"/>
    <w:rsid w:val="00C477D9"/>
    <w:rsid w:val="00C52067"/>
    <w:rsid w:val="00C60BA3"/>
    <w:rsid w:val="00C623F7"/>
    <w:rsid w:val="00C64447"/>
    <w:rsid w:val="00C75BC5"/>
    <w:rsid w:val="00C81670"/>
    <w:rsid w:val="00C81773"/>
    <w:rsid w:val="00C82861"/>
    <w:rsid w:val="00C86896"/>
    <w:rsid w:val="00C907A8"/>
    <w:rsid w:val="00C91ABD"/>
    <w:rsid w:val="00C93211"/>
    <w:rsid w:val="00C942EC"/>
    <w:rsid w:val="00C96047"/>
    <w:rsid w:val="00C96835"/>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23C8C"/>
    <w:rsid w:val="00D31921"/>
    <w:rsid w:val="00D31DD0"/>
    <w:rsid w:val="00D40FE2"/>
    <w:rsid w:val="00D45A84"/>
    <w:rsid w:val="00D60B16"/>
    <w:rsid w:val="00D60F02"/>
    <w:rsid w:val="00D64F31"/>
    <w:rsid w:val="00D66E49"/>
    <w:rsid w:val="00D70D71"/>
    <w:rsid w:val="00D71257"/>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07AF6"/>
    <w:rsid w:val="00E20A7D"/>
    <w:rsid w:val="00E275D8"/>
    <w:rsid w:val="00E27BAD"/>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5536"/>
    <w:rsid w:val="00EA7C3C"/>
    <w:rsid w:val="00EB2B55"/>
    <w:rsid w:val="00EB2DB3"/>
    <w:rsid w:val="00EC3CB2"/>
    <w:rsid w:val="00EC3FBB"/>
    <w:rsid w:val="00EC6B7A"/>
    <w:rsid w:val="00ED3A87"/>
    <w:rsid w:val="00ED5B67"/>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5DDC"/>
    <w:rsid w:val="00F7792F"/>
    <w:rsid w:val="00F83689"/>
    <w:rsid w:val="00F842AA"/>
    <w:rsid w:val="00F8476F"/>
    <w:rsid w:val="00F853E1"/>
    <w:rsid w:val="00F85604"/>
    <w:rsid w:val="00F90342"/>
    <w:rsid w:val="00F94B7A"/>
    <w:rsid w:val="00FA17AC"/>
    <w:rsid w:val="00FA32DE"/>
    <w:rsid w:val="00FA3382"/>
    <w:rsid w:val="00FA59CD"/>
    <w:rsid w:val="00FB1740"/>
    <w:rsid w:val="00FC5469"/>
    <w:rsid w:val="00FC6D7D"/>
    <w:rsid w:val="00FD084F"/>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6B0AD8"/>
    <w:pPr>
      <w:widowControl w:val="0"/>
      <w:tabs>
        <w:tab w:val="left" w:pos="720"/>
      </w:tabs>
      <w:spacing w:line="536" w:lineRule="exact"/>
    </w:pPr>
    <w:rPr>
      <w:sz w:val="24"/>
      <w:szCs w:val="24"/>
    </w:rPr>
  </w:style>
  <w:style w:type="character" w:customStyle="1" w:styleId="RuleChar">
    <w:name w:val="Rule Char"/>
    <w:link w:val="Rule"/>
    <w:rsid w:val="006B0AD8"/>
    <w:rPr>
      <w:sz w:val="24"/>
      <w:szCs w:val="24"/>
    </w:rPr>
  </w:style>
  <w:style w:type="paragraph" w:customStyle="1" w:styleId="RuleHeader">
    <w:name w:val="Rule Header"/>
    <w:basedOn w:val="Rule"/>
    <w:rsid w:val="006B0AD8"/>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rsid w:val="006B0AD8"/>
    <w:pPr>
      <w:widowControl w:val="0"/>
      <w:tabs>
        <w:tab w:val="left" w:pos="720"/>
      </w:tabs>
      <w:spacing w:line="536" w:lineRule="exact"/>
    </w:pPr>
    <w:rPr>
      <w:sz w:val="24"/>
      <w:szCs w:val="24"/>
    </w:rPr>
  </w:style>
  <w:style w:type="character" w:customStyle="1" w:styleId="RuleChar">
    <w:name w:val="Rule Char"/>
    <w:link w:val="Rule"/>
    <w:rsid w:val="006B0AD8"/>
    <w:rPr>
      <w:sz w:val="24"/>
      <w:szCs w:val="24"/>
    </w:rPr>
  </w:style>
  <w:style w:type="paragraph" w:customStyle="1" w:styleId="RuleHeader">
    <w:name w:val="Rule Header"/>
    <w:basedOn w:val="Rule"/>
    <w:rsid w:val="006B0AD8"/>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15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0</TotalTime>
  <Pages>19</Pages>
  <Words>4139</Words>
  <Characters>23695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27779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Samantha Cibula</dc:creator>
  <cp:lastModifiedBy>Julie Phillips</cp:lastModifiedBy>
  <cp:revision>2</cp:revision>
  <cp:lastPrinted>2018-02-15T21:38:00Z</cp:lastPrinted>
  <dcterms:created xsi:type="dcterms:W3CDTF">2018-02-16T13:40:00Z</dcterms:created>
  <dcterms:modified xsi:type="dcterms:W3CDTF">2018-02-16T13:40:00Z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20180029-WS</vt:lpwstr>
  </property>
  <property fmtid="{D5CDD505-2E9C-101B-9397-08002B2CF9AE}" pid="3" name="MasterDocument">
    <vt:bool>false</vt:bool>
  </property>
</Properties>
</file>