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208E9" w:rsidP="00A208E9">
      <w:pPr>
        <w:pStyle w:val="OrderHeading"/>
      </w:pPr>
      <w:r>
        <w:t>BEFORE THE FLORIDA PUBLIC SERVICE COMMISSION</w:t>
      </w:r>
    </w:p>
    <w:p w:rsidR="00A208E9" w:rsidRDefault="00A208E9" w:rsidP="00A208E9">
      <w:pPr>
        <w:pStyle w:val="OrderHeading"/>
      </w:pPr>
    </w:p>
    <w:p w:rsidR="00A208E9" w:rsidRDefault="00A208E9" w:rsidP="00A208E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08E9" w:rsidRPr="00C63FCF" w:rsidTr="00F05335">
        <w:trPr>
          <w:trHeight w:val="828"/>
        </w:trPr>
        <w:tc>
          <w:tcPr>
            <w:tcW w:w="4788" w:type="dxa"/>
            <w:tcBorders>
              <w:bottom w:val="single" w:sz="8" w:space="0" w:color="auto"/>
              <w:right w:val="double" w:sz="6" w:space="0" w:color="auto"/>
            </w:tcBorders>
            <w:shd w:val="clear" w:color="auto" w:fill="auto"/>
          </w:tcPr>
          <w:p w:rsidR="00A208E9" w:rsidRDefault="00A208E9" w:rsidP="00F05335">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A208E9" w:rsidRDefault="00A208E9" w:rsidP="00A208E9">
            <w:pPr>
              <w:pStyle w:val="OrderBody"/>
            </w:pPr>
            <w:r>
              <w:t xml:space="preserve">DOCKET NO. </w:t>
            </w:r>
            <w:bookmarkStart w:id="1" w:name="SSDocketNo"/>
            <w:bookmarkEnd w:id="1"/>
            <w:r>
              <w:t>20170141-SU</w:t>
            </w:r>
          </w:p>
          <w:p w:rsidR="00A208E9" w:rsidRDefault="00A208E9" w:rsidP="00F05335">
            <w:pPr>
              <w:pStyle w:val="OrderBody"/>
              <w:tabs>
                <w:tab w:val="center" w:pos="4320"/>
                <w:tab w:val="right" w:pos="8640"/>
              </w:tabs>
              <w:jc w:val="left"/>
            </w:pPr>
            <w:r>
              <w:t xml:space="preserve">ORDER NO. </w:t>
            </w:r>
            <w:bookmarkStart w:id="2" w:name="OrderNo0102"/>
            <w:r w:rsidR="0060771B">
              <w:t>PSC-2018-0102-PCO-SU</w:t>
            </w:r>
            <w:bookmarkEnd w:id="2"/>
          </w:p>
          <w:p w:rsidR="00A208E9" w:rsidRDefault="00A208E9" w:rsidP="00F05335">
            <w:pPr>
              <w:pStyle w:val="OrderBody"/>
              <w:tabs>
                <w:tab w:val="center" w:pos="4320"/>
                <w:tab w:val="right" w:pos="8640"/>
              </w:tabs>
              <w:jc w:val="left"/>
            </w:pPr>
            <w:r>
              <w:t xml:space="preserve">ISSUED: </w:t>
            </w:r>
            <w:r w:rsidR="0060771B">
              <w:t>February 26, 2018</w:t>
            </w:r>
          </w:p>
        </w:tc>
      </w:tr>
    </w:tbl>
    <w:p w:rsidR="00A208E9" w:rsidRDefault="00A208E9" w:rsidP="00A208E9"/>
    <w:p w:rsidR="00A208E9" w:rsidRDefault="00A208E9" w:rsidP="00A208E9"/>
    <w:p w:rsidR="00A208E9" w:rsidRDefault="00A208E9">
      <w:pPr>
        <w:ind w:firstLine="720"/>
        <w:jc w:val="both"/>
      </w:pPr>
      <w:bookmarkStart w:id="3" w:name="Commissioners"/>
      <w:bookmarkEnd w:id="3"/>
      <w:r>
        <w:t>The following Commissioners participated in the disposition of this matter:</w:t>
      </w:r>
    </w:p>
    <w:p w:rsidR="00A208E9" w:rsidRDefault="00A208E9"/>
    <w:p w:rsidR="00A208E9" w:rsidRDefault="00A208E9">
      <w:pPr>
        <w:jc w:val="center"/>
      </w:pPr>
      <w:r>
        <w:t>DONALD J. POLMANN</w:t>
      </w:r>
    </w:p>
    <w:p w:rsidR="00A208E9" w:rsidRDefault="00A208E9" w:rsidP="006F0BC4">
      <w:pPr>
        <w:jc w:val="center"/>
      </w:pPr>
      <w:r>
        <w:t>GARY F. CLARK</w:t>
      </w:r>
    </w:p>
    <w:p w:rsidR="00CB5276" w:rsidRDefault="00CB5276">
      <w:pPr>
        <w:pStyle w:val="OrderBody"/>
      </w:pPr>
    </w:p>
    <w:p w:rsidR="00D7294E" w:rsidRDefault="00A208E9" w:rsidP="00A208E9">
      <w:pPr>
        <w:pStyle w:val="CenterUnderline"/>
      </w:pPr>
      <w:r>
        <w:t>ORDER</w:t>
      </w:r>
      <w:bookmarkStart w:id="4" w:name="OrderTitle"/>
      <w:r>
        <w:t xml:space="preserve"> </w:t>
      </w:r>
      <w:r w:rsidR="006F0BC4">
        <w:t xml:space="preserve">APPROVING INTERIM RATES AND SURCHARGE AND </w:t>
      </w:r>
    </w:p>
    <w:p w:rsidR="00A208E9" w:rsidRDefault="006F0BC4" w:rsidP="00A208E9">
      <w:pPr>
        <w:pStyle w:val="CenterUnderline"/>
      </w:pPr>
      <w:r>
        <w:t>SUSPENDING FINAL RATES</w:t>
      </w:r>
      <w:r w:rsidR="00A208E9">
        <w:t xml:space="preserve"> </w:t>
      </w:r>
      <w:bookmarkEnd w:id="4"/>
    </w:p>
    <w:p w:rsidR="00A208E9" w:rsidRDefault="00A208E9" w:rsidP="00A208E9">
      <w:pPr>
        <w:pStyle w:val="CenterUnderline"/>
      </w:pPr>
    </w:p>
    <w:p w:rsidR="00A208E9" w:rsidRDefault="00A208E9" w:rsidP="00A208E9">
      <w:pPr>
        <w:pStyle w:val="OrderBody"/>
      </w:pPr>
      <w:r>
        <w:t>BY THE COMMISSION:</w:t>
      </w:r>
    </w:p>
    <w:p w:rsidR="00A208E9" w:rsidRDefault="00A208E9" w:rsidP="00A208E9">
      <w:pPr>
        <w:pStyle w:val="OrderBody"/>
      </w:pPr>
    </w:p>
    <w:p w:rsidR="00A208E9" w:rsidRPr="00AD0C15" w:rsidRDefault="00A208E9" w:rsidP="00A208E9">
      <w:pPr>
        <w:keepNext/>
        <w:spacing w:after="240"/>
        <w:jc w:val="center"/>
        <w:outlineLvl w:val="0"/>
        <w:rPr>
          <w:bCs/>
          <w:kern w:val="32"/>
          <w:szCs w:val="32"/>
          <w:u w:val="single"/>
        </w:rPr>
      </w:pPr>
      <w:bookmarkStart w:id="5" w:name="OrderText"/>
      <w:bookmarkEnd w:id="5"/>
      <w:r w:rsidRPr="00AD0C15">
        <w:rPr>
          <w:bCs/>
          <w:kern w:val="32"/>
          <w:szCs w:val="32"/>
          <w:u w:val="single"/>
        </w:rPr>
        <w:t>Background</w:t>
      </w:r>
      <w:r w:rsidRPr="00AD0C15">
        <w:rPr>
          <w:bCs/>
          <w:kern w:val="32"/>
          <w:szCs w:val="32"/>
          <w:u w:val="single"/>
        </w:rPr>
        <w:fldChar w:fldCharType="begin"/>
      </w:r>
      <w:r w:rsidRPr="00AD0C15">
        <w:rPr>
          <w:bCs/>
          <w:kern w:val="32"/>
          <w:szCs w:val="32"/>
          <w:u w:val="single"/>
        </w:rPr>
        <w:instrText xml:space="preserve"> TC  "</w:instrText>
      </w:r>
      <w:r w:rsidRPr="00AD0C15">
        <w:rPr>
          <w:bCs/>
          <w:kern w:val="32"/>
          <w:szCs w:val="32"/>
          <w:u w:val="single"/>
        </w:rPr>
        <w:tab/>
      </w:r>
      <w:bookmarkStart w:id="6" w:name="_Toc94516455"/>
      <w:r w:rsidRPr="00AD0C15">
        <w:rPr>
          <w:bCs/>
          <w:kern w:val="32"/>
          <w:szCs w:val="32"/>
          <w:u w:val="single"/>
        </w:rPr>
        <w:instrText>Case Background</w:instrText>
      </w:r>
      <w:bookmarkEnd w:id="6"/>
      <w:r w:rsidRPr="00AD0C15">
        <w:rPr>
          <w:bCs/>
          <w:kern w:val="32"/>
          <w:szCs w:val="32"/>
          <w:u w:val="single"/>
        </w:rPr>
        <w:instrText xml:space="preserve">" \l 1 </w:instrText>
      </w:r>
      <w:r w:rsidRPr="00AD0C15">
        <w:rPr>
          <w:bCs/>
          <w:kern w:val="32"/>
          <w:szCs w:val="32"/>
          <w:u w:val="single"/>
        </w:rPr>
        <w:fldChar w:fldCharType="end"/>
      </w:r>
    </w:p>
    <w:p w:rsidR="00CB5276" w:rsidRDefault="00A208E9" w:rsidP="00E85CCD">
      <w:pPr>
        <w:pStyle w:val="OrderBody"/>
        <w:ind w:firstLine="720"/>
      </w:pPr>
      <w:r w:rsidRPr="00A208E9">
        <w:t>K W Resort Utilities Corp. (KWRU or Utility) is a Class A utility providing wastewater service to approximately 1,867 customers in Monroe County. Water service is provided by the Florida Keys Aqueduct Authority (FKAA). Rates were last established for this Utility in its 2015 rate case.</w:t>
      </w:r>
      <w:r w:rsidRPr="00A208E9">
        <w:rPr>
          <w:vertAlign w:val="superscript"/>
        </w:rPr>
        <w:footnoteReference w:id="1"/>
      </w:r>
      <w:r w:rsidRPr="00A208E9">
        <w:t xml:space="preserve"> In 2016, KWRU recorded total company operating revenues of $2,135,343 and operating expenses of $1,815,421.</w:t>
      </w:r>
    </w:p>
    <w:p w:rsidR="00A208E9" w:rsidRDefault="00A208E9" w:rsidP="00A208E9">
      <w:pPr>
        <w:pStyle w:val="OrderBody"/>
      </w:pPr>
    </w:p>
    <w:p w:rsidR="00A208E9" w:rsidRPr="00A208E9" w:rsidRDefault="00A208E9" w:rsidP="00E85CCD">
      <w:pPr>
        <w:spacing w:after="240"/>
        <w:ind w:firstLine="720"/>
        <w:jc w:val="both"/>
      </w:pPr>
      <w:r w:rsidRPr="00A208E9">
        <w:t xml:space="preserve">On November 21, 2017, KWRU filed its application for approval of interim and final wastewater rate increases. On December 7, 2017, </w:t>
      </w:r>
      <w:r w:rsidR="003449BB">
        <w:t xml:space="preserve">Commission </w:t>
      </w:r>
      <w:r w:rsidRPr="00A208E9">
        <w:t xml:space="preserve">staff sent the Utility a letter indicating deficiencies in the filing of its minimum filing requirements (MFRs). </w:t>
      </w:r>
      <w:r w:rsidR="005E32CD">
        <w:t>The</w:t>
      </w:r>
      <w:r w:rsidRPr="00A208E9">
        <w:t xml:space="preserve"> Utility’s response filed December 12, 2017, had not corrected all deficiencies</w:t>
      </w:r>
      <w:r w:rsidR="005E32CD">
        <w:t>,</w:t>
      </w:r>
      <w:r w:rsidRPr="00A208E9">
        <w:t xml:space="preserve"> and a second letter </w:t>
      </w:r>
      <w:r w:rsidR="005E32CD">
        <w:t xml:space="preserve">was sent to the Utility </w:t>
      </w:r>
      <w:r w:rsidRPr="00A208E9">
        <w:t xml:space="preserve">on December 13, 2017. The Utility filed a response to </w:t>
      </w:r>
      <w:r w:rsidR="005E32CD">
        <w:t>the second MFR deficiency</w:t>
      </w:r>
      <w:r w:rsidR="00DF5C82">
        <w:t xml:space="preserve"> letter on December 13, 2017</w:t>
      </w:r>
      <w:r w:rsidRPr="00A208E9">
        <w:t xml:space="preserve">. By letter dated December 14, 2017, </w:t>
      </w:r>
      <w:r w:rsidR="005E32CD">
        <w:t>t</w:t>
      </w:r>
      <w:r w:rsidRPr="00A208E9">
        <w:t xml:space="preserve">he official filing date was established as December 13, 2017. </w:t>
      </w:r>
    </w:p>
    <w:p w:rsidR="00A208E9" w:rsidRPr="00A208E9" w:rsidRDefault="00A208E9" w:rsidP="00E85CCD">
      <w:pPr>
        <w:spacing w:after="240"/>
        <w:ind w:firstLine="720"/>
        <w:jc w:val="both"/>
      </w:pPr>
      <w:r w:rsidRPr="00A208E9">
        <w:t>The Utility’s application for increased interim wastewater rates is based on the historical 12-month period ended June 30, 2017, with no averaging adjustment. The test year that will be used to establish final rates is the 13-month average period ended June 30, 2017. KWRU is requesting an increase to recover all expenses it will incur in order to generate a fair rate of return on its investment and pro forma plant additions.</w:t>
      </w:r>
    </w:p>
    <w:p w:rsidR="00A208E9" w:rsidRPr="00A208E9" w:rsidRDefault="00A208E9" w:rsidP="005E32CD">
      <w:pPr>
        <w:spacing w:after="240"/>
        <w:ind w:firstLine="720"/>
        <w:jc w:val="both"/>
      </w:pPr>
      <w:r w:rsidRPr="00A208E9">
        <w:t>The Utility requested interim rates designed to generate additional revenues of $146,041</w:t>
      </w:r>
      <w:r w:rsidR="006C755E">
        <w:t>,</w:t>
      </w:r>
      <w:r w:rsidRPr="00A208E9">
        <w:t xml:space="preserve"> resulting in a 6.26 percent revenue increase. Additionally, KWRU requested interim Allowance for Funds Prudently Invested (AFPI) charges.</w:t>
      </w:r>
      <w:r w:rsidR="005E32CD">
        <w:t xml:space="preserve"> </w:t>
      </w:r>
      <w:r w:rsidRPr="00A208E9">
        <w:t xml:space="preserve">The Utility is also requesting final rates designed </w:t>
      </w:r>
      <w:r w:rsidRPr="00A208E9">
        <w:lastRenderedPageBreak/>
        <w:t>to generate annual revenues of $3,682,216. This represents a revenue increase of $1,349,690</w:t>
      </w:r>
      <w:r w:rsidR="006C755E">
        <w:t>,</w:t>
      </w:r>
      <w:r w:rsidRPr="00A208E9">
        <w:t xml:space="preserve"> or 57.9 percent.</w:t>
      </w:r>
    </w:p>
    <w:p w:rsidR="00A208E9" w:rsidRPr="00A208E9" w:rsidRDefault="00A208E9" w:rsidP="005E32CD">
      <w:pPr>
        <w:spacing w:after="240"/>
        <w:ind w:firstLine="720"/>
        <w:jc w:val="both"/>
      </w:pPr>
      <w:r w:rsidRPr="00A208E9">
        <w:t xml:space="preserve">The intervention of the Office of Public Counsel was acknowledged by Order No. PSC-2017-0460-PCO-SU, issued November 30, 2017, </w:t>
      </w:r>
      <w:r w:rsidR="005E32CD">
        <w:t>and</w:t>
      </w:r>
      <w:r w:rsidRPr="00A208E9">
        <w:t xml:space="preserve"> the intervention of Monroe County was acknowledged by Order No. PSC-2017-0472-PCO-SU, issued December 15, 2017</w:t>
      </w:r>
      <w:r w:rsidR="005E32CD">
        <w:t>.</w:t>
      </w:r>
    </w:p>
    <w:p w:rsidR="00A208E9" w:rsidRDefault="00A208E9" w:rsidP="005E32CD">
      <w:pPr>
        <w:pStyle w:val="OrderBody"/>
      </w:pPr>
      <w:r w:rsidRPr="00A208E9">
        <w:t>The original 6</w:t>
      </w:r>
      <w:r w:rsidR="005E32CD">
        <w:t>0-day statutory deadline for this</w:t>
      </w:r>
      <w:r w:rsidRPr="00A208E9">
        <w:t xml:space="preserve"> Commission to suspend KWRU’s requested final rates and address its interim rate request was January 20, 2018. However, by letter dated November 21, 2017, the Utility agreed to extend the statutory time frame by which </w:t>
      </w:r>
      <w:r w:rsidR="005E32CD">
        <w:t>we are</w:t>
      </w:r>
      <w:r w:rsidRPr="00A208E9">
        <w:t xml:space="preserve"> required to address the suspension of KWRU’s final rates and its interim rate request, to February 6, 2018. </w:t>
      </w:r>
      <w:r w:rsidR="005E32CD">
        <w:t>We have</w:t>
      </w:r>
      <w:r w:rsidRPr="00A208E9">
        <w:t xml:space="preserve"> jurisdiction pursuant to Sections 367.081, 367.082, and 367.101, Florida Statutes (F.S.).</w:t>
      </w:r>
    </w:p>
    <w:p w:rsidR="005E32CD" w:rsidRDefault="005E32CD" w:rsidP="005E32CD">
      <w:pPr>
        <w:pStyle w:val="OrderBody"/>
      </w:pPr>
    </w:p>
    <w:p w:rsidR="005E32CD" w:rsidRPr="005E32CD" w:rsidRDefault="005E32CD" w:rsidP="005E32CD">
      <w:pPr>
        <w:pStyle w:val="OrderBody"/>
        <w:jc w:val="center"/>
        <w:rPr>
          <w:u w:val="single"/>
        </w:rPr>
      </w:pPr>
      <w:r>
        <w:rPr>
          <w:u w:val="single"/>
        </w:rPr>
        <w:t>Decision</w:t>
      </w:r>
    </w:p>
    <w:p w:rsidR="005E32CD" w:rsidRDefault="005E32CD" w:rsidP="005E32CD">
      <w:pPr>
        <w:ind w:firstLine="720"/>
        <w:jc w:val="both"/>
      </w:pPr>
    </w:p>
    <w:p w:rsidR="00A208E9" w:rsidRPr="00A208E9" w:rsidRDefault="00A208E9" w:rsidP="005E32CD">
      <w:pPr>
        <w:ind w:firstLine="720"/>
        <w:jc w:val="both"/>
      </w:pPr>
      <w:r w:rsidRPr="00A208E9">
        <w:t xml:space="preserve">Section 367.081(6), F.S., provides that the rates proposed by the Utility shall become effective within sixty days after filing unless </w:t>
      </w:r>
      <w:r w:rsidR="00312C9C">
        <w:t>we vote</w:t>
      </w:r>
      <w:r w:rsidRPr="00A208E9">
        <w:t xml:space="preserve"> to withhold consent of implementation of the requested rates. Further, the above referenced statute permits the proposed final rates to go into effect, under bond, escrow, or corporate undertaking eight months after filing unless </w:t>
      </w:r>
      <w:r w:rsidR="00312C9C">
        <w:t xml:space="preserve">we take </w:t>
      </w:r>
      <w:r w:rsidRPr="00A208E9">
        <w:t>final action</w:t>
      </w:r>
      <w:r w:rsidR="00312C9C">
        <w:t>.</w:t>
      </w:r>
    </w:p>
    <w:p w:rsidR="005E32CD" w:rsidRDefault="005E32CD" w:rsidP="00A208E9">
      <w:pPr>
        <w:pStyle w:val="OrderBody"/>
      </w:pPr>
    </w:p>
    <w:p w:rsidR="00A208E9" w:rsidRDefault="00312C9C" w:rsidP="005E32CD">
      <w:pPr>
        <w:pStyle w:val="OrderBody"/>
        <w:ind w:firstLine="720"/>
      </w:pPr>
      <w:r>
        <w:t>We</w:t>
      </w:r>
      <w:r w:rsidR="00A208E9" w:rsidRPr="00A208E9">
        <w:t xml:space="preserve"> reviewed </w:t>
      </w:r>
      <w:r>
        <w:t>the Utility’s</w:t>
      </w:r>
      <w:r w:rsidR="00A208E9" w:rsidRPr="00A208E9">
        <w:t xml:space="preserve"> filing and </w:t>
      </w:r>
      <w:r>
        <w:t>have</w:t>
      </w:r>
      <w:r w:rsidR="00A208E9" w:rsidRPr="00A208E9">
        <w:t xml:space="preserve"> considered the proposed rates and charges, the revenues thereby generated, and the information filed in support of the rate application. </w:t>
      </w:r>
      <w:r w:rsidR="00AD0C15">
        <w:t>We</w:t>
      </w:r>
      <w:r w:rsidR="00A208E9" w:rsidRPr="00A208E9">
        <w:t xml:space="preserve"> require further amplification and explanation regarding this data, and require </w:t>
      </w:r>
      <w:r w:rsidR="00AD0C15">
        <w:t xml:space="preserve">the </w:t>
      </w:r>
      <w:r w:rsidR="00A208E9" w:rsidRPr="00A208E9">
        <w:t xml:space="preserve">production of additional and/or corroborative data. To date, </w:t>
      </w:r>
      <w:r w:rsidR="00AD0C15">
        <w:t xml:space="preserve">Commission </w:t>
      </w:r>
      <w:r w:rsidR="00A208E9" w:rsidRPr="00A208E9">
        <w:t xml:space="preserve">staff has initiated an audit of KWRU’s books and records. The audit report </w:t>
      </w:r>
      <w:r w:rsidR="00EA3331">
        <w:t>was filed on February 15</w:t>
      </w:r>
      <w:r w:rsidR="00A208E9" w:rsidRPr="00A208E9">
        <w:t xml:space="preserve">, 2018. In addition, </w:t>
      </w:r>
      <w:r w:rsidR="00AD0C15">
        <w:t xml:space="preserve">Commission </w:t>
      </w:r>
      <w:r w:rsidR="00A208E9" w:rsidRPr="00A208E9">
        <w:t xml:space="preserve">staff </w:t>
      </w:r>
      <w:r w:rsidR="00AD0C15">
        <w:t>served</w:t>
      </w:r>
      <w:r w:rsidR="00A208E9" w:rsidRPr="00A208E9">
        <w:t xml:space="preserve"> its first set of discovery on December 18, 2017, and responses were received on December 28, 2017. </w:t>
      </w:r>
      <w:r w:rsidR="00AD0C15">
        <w:t>A</w:t>
      </w:r>
      <w:r w:rsidR="00A208E9" w:rsidRPr="00A208E9">
        <w:t xml:space="preserve">dditional requests will be </w:t>
      </w:r>
      <w:r w:rsidR="00AD0C15">
        <w:t>necessary to process this case; therefore, b</w:t>
      </w:r>
      <w:r w:rsidR="00A208E9" w:rsidRPr="00A208E9">
        <w:t xml:space="preserve">ased on the foregoing, </w:t>
      </w:r>
      <w:r w:rsidR="00AD0C15">
        <w:t>we hereby suspend</w:t>
      </w:r>
      <w:r w:rsidR="00A208E9" w:rsidRPr="00A208E9">
        <w:t xml:space="preserve"> the Utility’s proposed final rates and </w:t>
      </w:r>
      <w:r w:rsidR="00AD0C15">
        <w:t>charges</w:t>
      </w:r>
      <w:r w:rsidR="00A208E9" w:rsidRPr="00A208E9">
        <w:t>.</w:t>
      </w:r>
    </w:p>
    <w:p w:rsidR="00AD0C15" w:rsidRDefault="00AD0C15" w:rsidP="00AD0C15">
      <w:pPr>
        <w:pStyle w:val="OrderBody"/>
      </w:pPr>
    </w:p>
    <w:p w:rsidR="00AD0C15" w:rsidRPr="00AD0C15" w:rsidRDefault="00AD0C15" w:rsidP="00AD0C15">
      <w:pPr>
        <w:pStyle w:val="OrderBody"/>
        <w:rPr>
          <w:u w:val="single"/>
        </w:rPr>
      </w:pPr>
      <w:r w:rsidRPr="00AD0C15">
        <w:rPr>
          <w:u w:val="single"/>
        </w:rPr>
        <w:t>Interim Rates</w:t>
      </w:r>
    </w:p>
    <w:p w:rsidR="00AD0C15" w:rsidRDefault="00AD0C15" w:rsidP="00AD0C15">
      <w:pPr>
        <w:pStyle w:val="OrderBody"/>
      </w:pPr>
    </w:p>
    <w:p w:rsidR="00A208E9" w:rsidRPr="00A208E9" w:rsidRDefault="00A208E9" w:rsidP="00AD0C15">
      <w:pPr>
        <w:spacing w:after="240"/>
        <w:ind w:firstLine="720"/>
        <w:jc w:val="both"/>
      </w:pPr>
      <w:r w:rsidRPr="00A208E9">
        <w:t xml:space="preserve">The Utility has </w:t>
      </w:r>
      <w:r w:rsidR="00217590">
        <w:t>requested that we</w:t>
      </w:r>
      <w:r w:rsidRPr="00A208E9">
        <w:t xml:space="preserve"> establish interim rates using year-end rate base and cost of capital measurements. Pursuant to Section 367.082(5)(a), F.S., in setting interim rates or setting revenues subject to refund, </w:t>
      </w:r>
      <w:r w:rsidR="00217590">
        <w:t>we</w:t>
      </w:r>
      <w:r w:rsidRPr="00A208E9">
        <w:t xml:space="preserve"> shall determine the revenue deficiency or excess by calculating the difference between the achieved rate of return of a utility or regulated company and its required rate of return applied to an average investment rate base or an end-of-period investment rate base. </w:t>
      </w:r>
    </w:p>
    <w:p w:rsidR="00A208E9" w:rsidRDefault="0094213C" w:rsidP="00D71D97">
      <w:pPr>
        <w:pStyle w:val="OrderBody"/>
        <w:ind w:firstLine="720"/>
      </w:pPr>
      <w:r>
        <w:rPr>
          <w:spacing w:val="-3"/>
        </w:rPr>
        <w:t xml:space="preserve">It has been </w:t>
      </w:r>
      <w:r w:rsidR="00BD7524">
        <w:rPr>
          <w:spacing w:val="-3"/>
        </w:rPr>
        <w:t>our</w:t>
      </w:r>
      <w:r>
        <w:rPr>
          <w:spacing w:val="-3"/>
        </w:rPr>
        <w:t xml:space="preserve"> practice that the </w:t>
      </w:r>
      <w:r w:rsidR="00A208E9" w:rsidRPr="00A208E9">
        <w:rPr>
          <w:spacing w:val="-3"/>
        </w:rPr>
        <w:t xml:space="preserve">use of a year-end basis for purposes of setting interim rates </w:t>
      </w:r>
      <w:r>
        <w:rPr>
          <w:spacing w:val="-3"/>
        </w:rPr>
        <w:t>must</w:t>
      </w:r>
      <w:r w:rsidR="00A208E9" w:rsidRPr="00A208E9">
        <w:rPr>
          <w:spacing w:val="-3"/>
        </w:rPr>
        <w:t xml:space="preserve"> be preceded by a showing of extraordinary circumstances.</w:t>
      </w:r>
      <w:r w:rsidR="00A208E9" w:rsidRPr="00A208E9">
        <w:rPr>
          <w:spacing w:val="-3"/>
          <w:vertAlign w:val="superscript"/>
        </w:rPr>
        <w:footnoteReference w:id="2"/>
      </w:r>
      <w:r w:rsidR="00A208E9" w:rsidRPr="00A208E9">
        <w:rPr>
          <w:spacing w:val="-3"/>
        </w:rPr>
        <w:t xml:space="preserve"> In response to </w:t>
      </w:r>
      <w:r w:rsidR="00217590">
        <w:rPr>
          <w:spacing w:val="-3"/>
        </w:rPr>
        <w:t xml:space="preserve">Commission Staff’s </w:t>
      </w:r>
      <w:r w:rsidR="00217590">
        <w:rPr>
          <w:spacing w:val="-3"/>
        </w:rPr>
        <w:lastRenderedPageBreak/>
        <w:t>1st Set of Interrogatories to K W Resort Utilities</w:t>
      </w:r>
      <w:r w:rsidR="00A208E9" w:rsidRPr="00A208E9">
        <w:rPr>
          <w:spacing w:val="-3"/>
        </w:rPr>
        <w:t xml:space="preserve">, the Utility stated that the construction of a new wastewater treatment plant and the replacement of a vacuum tank during the test year demonstrated extraordinary circumstances existed during the test year. KWRU also stated that if a year-end rate base is not used, interim rates would not reflect the full amount of investments made during the test year. </w:t>
      </w:r>
      <w:r w:rsidR="00A208E9" w:rsidRPr="00A208E9">
        <w:t xml:space="preserve">Accordingly, </w:t>
      </w:r>
      <w:r>
        <w:t>we shall use</w:t>
      </w:r>
      <w:r w:rsidR="00A208E9" w:rsidRPr="00A208E9">
        <w:t xml:space="preserve"> a year-end basis for interim </w:t>
      </w:r>
      <w:r>
        <w:t xml:space="preserve">ratemaking </w:t>
      </w:r>
      <w:r w:rsidR="00A208E9" w:rsidRPr="00A208E9">
        <w:t>purposes in accordance with Section 367.082(5)(a), F.S.</w:t>
      </w:r>
    </w:p>
    <w:p w:rsidR="00D71D97" w:rsidRDefault="00D71D97" w:rsidP="00D71D97">
      <w:pPr>
        <w:ind w:firstLine="720"/>
        <w:jc w:val="both"/>
      </w:pPr>
    </w:p>
    <w:p w:rsidR="00D71D97" w:rsidRDefault="00A208E9" w:rsidP="00D71D97">
      <w:pPr>
        <w:ind w:firstLine="720"/>
        <w:jc w:val="both"/>
      </w:pPr>
      <w:r w:rsidRPr="00A208E9">
        <w:t xml:space="preserve">Pursuant to Section 367.082(1), F.S., </w:t>
      </w:r>
      <w:r w:rsidR="0094213C">
        <w:t>we</w:t>
      </w:r>
      <w:r w:rsidRPr="00A208E9">
        <w:t xml:space="preserve"> may authorize the collection of interim rates during any proceeding for a change of rates upon petition from any party or on </w:t>
      </w:r>
      <w:r w:rsidR="0094213C">
        <w:t>our</w:t>
      </w:r>
      <w:r w:rsidRPr="00A208E9">
        <w:t xml:space="preserve"> own motion; and, in order to establish a prima facie entitlement for interim relief, the utility shall demonstrate that it is earning outside the range of reasonableness on its rate of return. Pursuant to Section 367.082(2)(a), F.S., in a proceeding for an interim increase in rates, </w:t>
      </w:r>
      <w:r w:rsidR="0094213C">
        <w:t>we</w:t>
      </w:r>
      <w:r w:rsidRPr="00A208E9">
        <w:t xml:space="preserve"> shall authorize, within 60 days of the filing for such relief, the collection of rates sufficient to earn the minimum of the range of return on equity.</w:t>
      </w:r>
    </w:p>
    <w:p w:rsidR="00D71D97" w:rsidRDefault="00D71D97" w:rsidP="00D71D97">
      <w:pPr>
        <w:ind w:firstLine="720"/>
        <w:jc w:val="both"/>
      </w:pPr>
    </w:p>
    <w:p w:rsidR="009170EE" w:rsidRPr="00D71D97" w:rsidRDefault="00A208E9" w:rsidP="00D71D97">
      <w:pPr>
        <w:ind w:firstLine="720"/>
        <w:jc w:val="both"/>
      </w:pPr>
      <w:r w:rsidRPr="00A208E9">
        <w:t xml:space="preserve">On November 21, 2017, KWRU filed rate base, cost of capital, and operating income schedules using year-end balances to support its requested interim wastewater increase. Pursuant to Section 367.082(5)(b)1., F.S., the achieved rate of return for interim purposes must be calculated by applying adjustments consistent with those used in the utility’s most recent rate proceeding and annualizing any rate changes. </w:t>
      </w:r>
      <w:r w:rsidR="009170EE">
        <w:t>We</w:t>
      </w:r>
      <w:r w:rsidRPr="00A208E9">
        <w:t xml:space="preserve"> reviewed KWRU's interim request, as well as </w:t>
      </w:r>
      <w:r w:rsidR="009170EE">
        <w:t xml:space="preserve">the final order in KWRU’s last rate case, </w:t>
      </w:r>
      <w:r w:rsidRPr="00A208E9">
        <w:t xml:space="preserve">Order No. PSC-2017-0091-FOF-SU. </w:t>
      </w:r>
      <w:r w:rsidR="009170EE">
        <w:t>A</w:t>
      </w:r>
      <w:r w:rsidRPr="00A208E9">
        <w:t xml:space="preserve">ccounting schedules </w:t>
      </w:r>
      <w:r w:rsidR="009170EE">
        <w:t xml:space="preserve">are attached </w:t>
      </w:r>
      <w:r w:rsidRPr="00A208E9">
        <w:t xml:space="preserve">to illustrate </w:t>
      </w:r>
      <w:r w:rsidR="009170EE">
        <w:t>our approved</w:t>
      </w:r>
      <w:r w:rsidRPr="00A208E9">
        <w:t xml:space="preserve"> rate base, capital structure, and test year operating income amounts. The rate base schedules are labeled as Schedule Nos. 1-A and 1-B. The capital structure schedule is labeled Schedule No. 2. The operating income schedules are labeled as Schedule Nos. 3-A and 3-B. </w:t>
      </w:r>
      <w:r w:rsidR="009170EE">
        <w:t>Our</w:t>
      </w:r>
      <w:r w:rsidRPr="00A208E9">
        <w:t xml:space="preserve"> adjustments are discussed below</w:t>
      </w:r>
      <w:r w:rsidR="009170EE">
        <w:t>.</w:t>
      </w:r>
    </w:p>
    <w:p w:rsidR="00D71D97" w:rsidRDefault="00D71D97" w:rsidP="00D71D97">
      <w:pPr>
        <w:jc w:val="both"/>
        <w:outlineLvl w:val="2"/>
        <w:rPr>
          <w:bCs/>
          <w:iCs/>
          <w:szCs w:val="28"/>
          <w:u w:val="single"/>
        </w:rPr>
      </w:pPr>
    </w:p>
    <w:p w:rsidR="009170EE" w:rsidRDefault="00A208E9" w:rsidP="00D71D97">
      <w:pPr>
        <w:jc w:val="both"/>
        <w:outlineLvl w:val="2"/>
        <w:rPr>
          <w:bCs/>
          <w:iCs/>
          <w:szCs w:val="28"/>
          <w:u w:val="single"/>
        </w:rPr>
      </w:pPr>
      <w:r w:rsidRPr="009170EE">
        <w:rPr>
          <w:bCs/>
          <w:iCs/>
          <w:szCs w:val="28"/>
          <w:u w:val="single"/>
        </w:rPr>
        <w:t>Interim Rate Base</w:t>
      </w:r>
    </w:p>
    <w:p w:rsidR="00D71D97" w:rsidRPr="009170EE" w:rsidRDefault="00D71D97" w:rsidP="00D71D97">
      <w:pPr>
        <w:ind w:firstLine="720"/>
        <w:jc w:val="both"/>
        <w:outlineLvl w:val="2"/>
        <w:rPr>
          <w:bCs/>
          <w:iCs/>
          <w:szCs w:val="28"/>
          <w:u w:val="single"/>
        </w:rPr>
      </w:pPr>
    </w:p>
    <w:p w:rsidR="00A208E9" w:rsidRPr="00A208E9" w:rsidRDefault="00A208E9" w:rsidP="009170EE">
      <w:pPr>
        <w:spacing w:after="240"/>
        <w:ind w:firstLine="720"/>
        <w:jc w:val="both"/>
      </w:pPr>
      <w:r w:rsidRPr="00A208E9">
        <w:t xml:space="preserve">In its filing, the Utility made adjustments to plant in service, accumulated depreciation, and depreciation expense to recognize reclassifications of plant accounts and retirements. </w:t>
      </w:r>
      <w:r w:rsidR="009170EE">
        <w:t>We find</w:t>
      </w:r>
      <w:r w:rsidRPr="00A208E9">
        <w:t xml:space="preserve"> these adjustments are a</w:t>
      </w:r>
      <w:r w:rsidR="009170EE">
        <w:t>ppropriate for interim purposes; h</w:t>
      </w:r>
      <w:r w:rsidRPr="00A208E9">
        <w:t>owever, additional adjustments to rate base are necessary.</w:t>
      </w:r>
    </w:p>
    <w:p w:rsidR="00A208E9" w:rsidRDefault="00A208E9" w:rsidP="00896F45">
      <w:pPr>
        <w:ind w:firstLine="720"/>
        <w:jc w:val="both"/>
        <w:outlineLvl w:val="3"/>
        <w:rPr>
          <w:bCs/>
          <w:iCs/>
          <w:szCs w:val="28"/>
          <w:u w:val="single"/>
        </w:rPr>
      </w:pPr>
      <w:r w:rsidRPr="009170EE">
        <w:rPr>
          <w:bCs/>
          <w:iCs/>
          <w:szCs w:val="28"/>
          <w:u w:val="single"/>
        </w:rPr>
        <w:t>Used &amp; Useful</w:t>
      </w:r>
    </w:p>
    <w:p w:rsidR="009170EE" w:rsidRPr="009170EE" w:rsidRDefault="009170EE" w:rsidP="00A208E9">
      <w:pPr>
        <w:ind w:left="720"/>
        <w:jc w:val="both"/>
        <w:outlineLvl w:val="3"/>
        <w:rPr>
          <w:bCs/>
          <w:iCs/>
          <w:szCs w:val="28"/>
          <w:u w:val="single"/>
        </w:rPr>
      </w:pPr>
    </w:p>
    <w:p w:rsidR="00A208E9" w:rsidRDefault="00A208E9" w:rsidP="009170EE">
      <w:pPr>
        <w:pStyle w:val="OrderBody"/>
        <w:ind w:firstLine="720"/>
      </w:pPr>
      <w:r w:rsidRPr="00A208E9">
        <w:t xml:space="preserve">Pursuant to Section 367.082, F.S., the method used to calculate Used and Useful (U&amp;U) in KWRU’s last rate case must be used for interim purposes. In Order No. PSC-2017-0091-FOF-SU, </w:t>
      </w:r>
      <w:r w:rsidR="009170EE">
        <w:t>we</w:t>
      </w:r>
      <w:r w:rsidRPr="00A208E9">
        <w:t xml:space="preserve"> found KWRU’s wastewater collection system 100 percent U&amp;U and the wastewater treatment plant 71.5 percent U&amp;U. Based on </w:t>
      </w:r>
      <w:r w:rsidR="009170EE">
        <w:t>our</w:t>
      </w:r>
      <w:r w:rsidRPr="00A208E9">
        <w:t xml:space="preserve"> review, the wastewater collection system </w:t>
      </w:r>
      <w:r w:rsidR="009170EE" w:rsidRPr="009170EE">
        <w:t xml:space="preserve">and the wastewater treatment plant </w:t>
      </w:r>
      <w:r w:rsidR="009170EE">
        <w:t xml:space="preserve">shall continue to </w:t>
      </w:r>
      <w:r w:rsidRPr="00A208E9">
        <w:t xml:space="preserve">be considered 100 percent </w:t>
      </w:r>
      <w:r w:rsidR="009170EE">
        <w:t>and</w:t>
      </w:r>
      <w:r w:rsidRPr="00A208E9">
        <w:t xml:space="preserve"> 71.5 percent U&amp;U</w:t>
      </w:r>
      <w:r w:rsidR="009170EE">
        <w:t>, respectively</w:t>
      </w:r>
      <w:r w:rsidRPr="00A208E9">
        <w:t>.</w:t>
      </w:r>
    </w:p>
    <w:p w:rsidR="00A208E9" w:rsidRDefault="00A208E9" w:rsidP="00A208E9">
      <w:pPr>
        <w:pStyle w:val="OrderBody"/>
      </w:pPr>
    </w:p>
    <w:p w:rsidR="00A208E9" w:rsidRPr="00A208E9" w:rsidRDefault="00A208E9" w:rsidP="007761F0">
      <w:pPr>
        <w:spacing w:after="240"/>
        <w:ind w:firstLine="720"/>
        <w:jc w:val="both"/>
      </w:pPr>
      <w:r w:rsidRPr="00A208E9">
        <w:lastRenderedPageBreak/>
        <w:t xml:space="preserve">In its filing, the Utility made a net non-U&amp;U adjustment of $1,960,672 to reduce plant in service and a $73,908 net reduction to depreciation expense. </w:t>
      </w:r>
      <w:r w:rsidR="00A767E3">
        <w:t xml:space="preserve">We made </w:t>
      </w:r>
      <w:r w:rsidRPr="00A208E9">
        <w:t xml:space="preserve">adjustment to decrease U&amp;U by $86,356 to recognize non-U&amp;U of contributions in aid of construction (CIAC) and accumulated amortization of CIAC. In addition, </w:t>
      </w:r>
      <w:r w:rsidR="00A767E3">
        <w:t>we also made</w:t>
      </w:r>
      <w:r w:rsidRPr="00A208E9">
        <w:t xml:space="preserve"> a corresponding adjustment to decrease net depreciation expense by $12,315.</w:t>
      </w:r>
    </w:p>
    <w:p w:rsidR="00A208E9" w:rsidRDefault="00A208E9" w:rsidP="00896F45">
      <w:pPr>
        <w:ind w:firstLine="720"/>
        <w:jc w:val="both"/>
        <w:outlineLvl w:val="3"/>
        <w:rPr>
          <w:bCs/>
          <w:iCs/>
          <w:szCs w:val="28"/>
          <w:u w:val="single"/>
        </w:rPr>
      </w:pPr>
      <w:r w:rsidRPr="00A767E3">
        <w:rPr>
          <w:bCs/>
          <w:iCs/>
          <w:szCs w:val="28"/>
          <w:u w:val="single"/>
        </w:rPr>
        <w:t>Working Capital Allowance</w:t>
      </w:r>
    </w:p>
    <w:p w:rsidR="00A767E3" w:rsidRPr="00A767E3" w:rsidRDefault="00A767E3" w:rsidP="00A208E9">
      <w:pPr>
        <w:ind w:left="720"/>
        <w:jc w:val="both"/>
        <w:outlineLvl w:val="3"/>
        <w:rPr>
          <w:bCs/>
          <w:iCs/>
          <w:szCs w:val="28"/>
          <w:u w:val="single"/>
        </w:rPr>
      </w:pPr>
    </w:p>
    <w:p w:rsidR="00A208E9" w:rsidRPr="00A208E9" w:rsidRDefault="00A208E9" w:rsidP="00A767E3">
      <w:pPr>
        <w:spacing w:after="240"/>
        <w:ind w:firstLine="720"/>
        <w:jc w:val="both"/>
      </w:pPr>
      <w:r w:rsidRPr="00A208E9">
        <w:t xml:space="preserve">Pursuant to Rule 25-30.433(2), Florida Administrative Code (F.A.C.), </w:t>
      </w:r>
      <w:r w:rsidR="00A767E3" w:rsidRPr="00A208E9">
        <w:t xml:space="preserve">working capital </w:t>
      </w:r>
      <w:r w:rsidRPr="00A208E9">
        <w:t xml:space="preserve">for the Utility was correctly calculated using the balance sheet approach. KWRU reflected a balance of $438,721 in deferred rate case expense and included an adjustment to reduce the balance by $107,707. This adjustment represents the removal of one year of approved prior rate case expense. The July 1, 2016 implementation of Section 376.081(9), F.S., prohibits a utility from earning a return on the unamortized balance of rate case expense. However, the current statute does not apply to rate case expense </w:t>
      </w:r>
      <w:r w:rsidR="00A767E3">
        <w:t xml:space="preserve">we </w:t>
      </w:r>
      <w:r w:rsidRPr="00A208E9">
        <w:t xml:space="preserve">authorized prior to the 2016 implementation of Section 367.081(9), F.S. Thus, consistent with </w:t>
      </w:r>
      <w:r w:rsidR="00A767E3">
        <w:t xml:space="preserve">our </w:t>
      </w:r>
      <w:r w:rsidRPr="00A208E9">
        <w:t>practice</w:t>
      </w:r>
      <w:r w:rsidR="00A767E3">
        <w:t xml:space="preserve"> </w:t>
      </w:r>
      <w:r w:rsidR="00F574C8">
        <w:t>regarding</w:t>
      </w:r>
      <w:r w:rsidR="00A767E3">
        <w:t xml:space="preserve"> rate cases filed prior to July 1, 2016</w:t>
      </w:r>
      <w:r w:rsidRPr="00A208E9">
        <w:t xml:space="preserve">, one-half of the Utility’s total rate case expense associated with its prior case </w:t>
      </w:r>
      <w:r w:rsidR="00F574C8">
        <w:t>shall</w:t>
      </w:r>
      <w:r w:rsidRPr="00A208E9">
        <w:t xml:space="preserve"> be included in working capital.</w:t>
      </w:r>
      <w:r w:rsidRPr="00A208E9">
        <w:rPr>
          <w:vertAlign w:val="superscript"/>
        </w:rPr>
        <w:footnoteReference w:id="3"/>
      </w:r>
      <w:r w:rsidRPr="00A208E9">
        <w:t xml:space="preserve"> </w:t>
      </w:r>
      <w:r w:rsidR="00F574C8">
        <w:t>We</w:t>
      </w:r>
      <w:r w:rsidRPr="00A208E9">
        <w:t xml:space="preserve"> reduced the interim working capital by an additional $107,707 to reflect one-half of the prior rate case expense</w:t>
      </w:r>
      <w:r w:rsidR="00F574C8">
        <w:t>, and</w:t>
      </w:r>
      <w:r w:rsidRPr="00A208E9">
        <w:t xml:space="preserve"> made an adjustment to remove $7,893 of rate case expense incurred for the instant docket. </w:t>
      </w:r>
    </w:p>
    <w:p w:rsidR="00A208E9" w:rsidRPr="00A208E9" w:rsidRDefault="00A208E9" w:rsidP="00F574C8">
      <w:pPr>
        <w:spacing w:after="240"/>
        <w:ind w:firstLine="720"/>
        <w:jc w:val="both"/>
      </w:pPr>
      <w:r w:rsidRPr="00A208E9">
        <w:t>During the previous rate case, an escrow agreement was signed between the Commission</w:t>
      </w:r>
      <w:r w:rsidR="00F574C8">
        <w:t xml:space="preserve"> Clerk</w:t>
      </w:r>
      <w:r w:rsidRPr="00A208E9">
        <w:t xml:space="preserve"> and the Utility.</w:t>
      </w:r>
      <w:r w:rsidRPr="00A208E9">
        <w:rPr>
          <w:vertAlign w:val="superscript"/>
        </w:rPr>
        <w:footnoteReference w:id="4"/>
      </w:r>
      <w:r w:rsidRPr="00A208E9">
        <w:t xml:space="preserve"> Pursuant to Section 367.081(10), F.S., if a </w:t>
      </w:r>
      <w:r w:rsidR="00F574C8">
        <w:t>Proposed Agency Action (</w:t>
      </w:r>
      <w:r w:rsidRPr="00A208E9">
        <w:t>PAA</w:t>
      </w:r>
      <w:r w:rsidR="00F574C8">
        <w:t>)</w:t>
      </w:r>
      <w:r w:rsidRPr="00A208E9">
        <w:t xml:space="preserve"> Order is protested by a party other than the utility, the utility is authorized to place its requested rates in effect under bond, escrow, or corporate undertaking subject to refund. The escrow account was created to ensure a refund</w:t>
      </w:r>
      <w:r w:rsidR="00F574C8">
        <w:t>, with interest,</w:t>
      </w:r>
      <w:r w:rsidRPr="00A208E9">
        <w:t xml:space="preserve"> to customers could be made if necessary, and is reflected in the test year with an ending balance of $155,616. In the last rate case, </w:t>
      </w:r>
      <w:r w:rsidR="00381671">
        <w:t>we</w:t>
      </w:r>
      <w:r w:rsidRPr="00A208E9">
        <w:t xml:space="preserve"> determined that a PAA rate refund was necessary.</w:t>
      </w:r>
      <w:r w:rsidRPr="00A208E9">
        <w:rPr>
          <w:vertAlign w:val="superscript"/>
        </w:rPr>
        <w:footnoteReference w:id="5"/>
      </w:r>
      <w:r w:rsidR="00EA3331">
        <w:t xml:space="preserve"> The O</w:t>
      </w:r>
      <w:r w:rsidRPr="00A208E9">
        <w:t>rde</w:t>
      </w:r>
      <w:r w:rsidR="00381671">
        <w:t>r from the last rate case stated</w:t>
      </w:r>
      <w:r w:rsidRPr="00A208E9">
        <w:t xml:space="preserve"> that upon Commission staff’s verification that the </w:t>
      </w:r>
      <w:r w:rsidR="00EA3331">
        <w:t>required refunds have been made,</w:t>
      </w:r>
      <w:r w:rsidRPr="00A208E9">
        <w:t xml:space="preserve"> any remaining funds shall be released to the Utility. On August 28, 2017, KWRU was authorized to close the escrow account as refunds had been verified by </w:t>
      </w:r>
      <w:r w:rsidR="00381671">
        <w:t xml:space="preserve">Commission </w:t>
      </w:r>
      <w:r w:rsidRPr="00A208E9">
        <w:t>staff.</w:t>
      </w:r>
      <w:r w:rsidRPr="00A208E9">
        <w:rPr>
          <w:vertAlign w:val="superscript"/>
        </w:rPr>
        <w:footnoteReference w:id="6"/>
      </w:r>
      <w:r w:rsidRPr="00A208E9">
        <w:t xml:space="preserve"> </w:t>
      </w:r>
    </w:p>
    <w:p w:rsidR="00A208E9" w:rsidRDefault="00381671" w:rsidP="00381671">
      <w:pPr>
        <w:spacing w:after="240"/>
        <w:ind w:firstLine="720"/>
        <w:jc w:val="both"/>
      </w:pPr>
      <w:r>
        <w:t xml:space="preserve">Based on the required </w:t>
      </w:r>
      <w:r w:rsidR="00A208E9" w:rsidRPr="00A208E9">
        <w:t xml:space="preserve">refund and subsequent closing of this account, an adjustment is necessary to remove the account for interim rate setting purposes. Thus, </w:t>
      </w:r>
      <w:r>
        <w:t>we shall decrease</w:t>
      </w:r>
      <w:r w:rsidR="00A208E9" w:rsidRPr="00A208E9">
        <w:t xml:space="preserve"> working capital by $155,616. As such, the working capital allowance </w:t>
      </w:r>
      <w:r>
        <w:t xml:space="preserve">shall </w:t>
      </w:r>
      <w:r w:rsidR="00A208E9" w:rsidRPr="00A208E9">
        <w:t>be reduced by $271,216 ($107,707+$7,893+$155,616).</w:t>
      </w:r>
      <w:r>
        <w:t xml:space="preserve"> </w:t>
      </w:r>
      <w:r w:rsidR="00A208E9" w:rsidRPr="00A208E9">
        <w:t xml:space="preserve">Based on the </w:t>
      </w:r>
      <w:r>
        <w:t>foregoing</w:t>
      </w:r>
      <w:r w:rsidR="00A208E9" w:rsidRPr="00A208E9">
        <w:t xml:space="preserve">, KWRU’s interim rate base </w:t>
      </w:r>
      <w:r>
        <w:t>shall</w:t>
      </w:r>
      <w:r w:rsidR="00A208E9" w:rsidRPr="00A208E9">
        <w:t xml:space="preserve"> be $4,153,288.</w:t>
      </w:r>
    </w:p>
    <w:p w:rsidR="00A208E9" w:rsidRDefault="00A208E9" w:rsidP="00A208E9">
      <w:pPr>
        <w:jc w:val="both"/>
        <w:outlineLvl w:val="2"/>
        <w:rPr>
          <w:bCs/>
          <w:iCs/>
          <w:szCs w:val="28"/>
          <w:u w:val="single"/>
        </w:rPr>
      </w:pPr>
      <w:r w:rsidRPr="00381671">
        <w:rPr>
          <w:bCs/>
          <w:iCs/>
          <w:szCs w:val="28"/>
          <w:u w:val="single"/>
        </w:rPr>
        <w:lastRenderedPageBreak/>
        <w:t>Interim Cost of Capital</w:t>
      </w:r>
    </w:p>
    <w:p w:rsidR="00381671" w:rsidRPr="00381671" w:rsidRDefault="00381671" w:rsidP="00A208E9">
      <w:pPr>
        <w:jc w:val="both"/>
        <w:outlineLvl w:val="2"/>
        <w:rPr>
          <w:bCs/>
          <w:iCs/>
          <w:szCs w:val="28"/>
          <w:u w:val="single"/>
        </w:rPr>
      </w:pPr>
    </w:p>
    <w:p w:rsidR="00A208E9" w:rsidRPr="00A208E9" w:rsidRDefault="00A208E9" w:rsidP="00381671">
      <w:pPr>
        <w:spacing w:after="240"/>
        <w:ind w:firstLine="720"/>
        <w:jc w:val="both"/>
      </w:pPr>
      <w:r w:rsidRPr="00A208E9">
        <w:t>Based on an analysis of the MFRs, Order No. PSC-2017-0091-FOF-SU</w:t>
      </w:r>
      <w:r w:rsidR="00381671">
        <w:t>,</w:t>
      </w:r>
      <w:r w:rsidRPr="00A208E9">
        <w:t xml:space="preserve"> and adjustments to rate base discussed above, the overall rate of return </w:t>
      </w:r>
      <w:r w:rsidR="00381671">
        <w:t xml:space="preserve">shall </w:t>
      </w:r>
      <w:r w:rsidRPr="00A208E9">
        <w:t>be reduced from 7.15 percent to 7.14 percent.</w:t>
      </w:r>
    </w:p>
    <w:p w:rsidR="00381671" w:rsidRDefault="00A208E9" w:rsidP="00381671">
      <w:pPr>
        <w:jc w:val="both"/>
        <w:outlineLvl w:val="2"/>
        <w:rPr>
          <w:bCs/>
          <w:iCs/>
          <w:szCs w:val="28"/>
          <w:u w:val="single"/>
        </w:rPr>
      </w:pPr>
      <w:r w:rsidRPr="00381671">
        <w:rPr>
          <w:bCs/>
          <w:iCs/>
          <w:szCs w:val="28"/>
          <w:u w:val="single"/>
        </w:rPr>
        <w:t>Interim Net Operating Income</w:t>
      </w:r>
    </w:p>
    <w:p w:rsidR="00381671" w:rsidRPr="00381671" w:rsidRDefault="00381671" w:rsidP="00381671">
      <w:pPr>
        <w:jc w:val="both"/>
        <w:outlineLvl w:val="2"/>
        <w:rPr>
          <w:bCs/>
          <w:iCs/>
          <w:szCs w:val="28"/>
          <w:u w:val="single"/>
        </w:rPr>
      </w:pPr>
    </w:p>
    <w:p w:rsidR="00A208E9" w:rsidRPr="00A208E9" w:rsidRDefault="00A208E9" w:rsidP="00381671">
      <w:pPr>
        <w:spacing w:after="240"/>
        <w:ind w:firstLine="720"/>
        <w:jc w:val="both"/>
      </w:pPr>
      <w:r w:rsidRPr="00A208E9">
        <w:t xml:space="preserve">To calculate the appropriate amount of interim test year operating revenues, </w:t>
      </w:r>
      <w:r w:rsidR="00381671">
        <w:t>we</w:t>
      </w:r>
      <w:r w:rsidRPr="00A208E9">
        <w:t xml:space="preserve"> removed the Utility’s requested interim revenue increase of $146,041 and increased operating revenues by $7,748 to reflect annualized revenues. </w:t>
      </w:r>
      <w:r w:rsidR="00381671">
        <w:t>We</w:t>
      </w:r>
      <w:r w:rsidRPr="00A208E9">
        <w:t xml:space="preserve"> also reduced regulatory assessment fees by $6,223 to reflect the removal of the Utility’s requested revenue increase. Pursuant to Section 367.082(5)(b)1., F.S., the achieved rate of return for interim purposes must be calculated by applying adjustments consistent with adjustments made in the utility’s most recent rate proceeding and annualizing any rate changes.  </w:t>
      </w:r>
    </w:p>
    <w:p w:rsidR="00A208E9" w:rsidRDefault="00A208E9" w:rsidP="00180164">
      <w:pPr>
        <w:ind w:firstLine="720"/>
        <w:jc w:val="both"/>
        <w:outlineLvl w:val="3"/>
        <w:rPr>
          <w:bCs/>
          <w:iCs/>
          <w:szCs w:val="28"/>
          <w:u w:val="single"/>
        </w:rPr>
      </w:pPr>
      <w:r w:rsidRPr="00381671">
        <w:rPr>
          <w:bCs/>
          <w:iCs/>
          <w:szCs w:val="28"/>
          <w:u w:val="single"/>
        </w:rPr>
        <w:t>O&amp;M Expenses</w:t>
      </w:r>
    </w:p>
    <w:p w:rsidR="00381671" w:rsidRPr="00381671" w:rsidRDefault="00381671" w:rsidP="00A208E9">
      <w:pPr>
        <w:ind w:left="720"/>
        <w:jc w:val="both"/>
        <w:outlineLvl w:val="3"/>
        <w:rPr>
          <w:bCs/>
          <w:iCs/>
          <w:szCs w:val="28"/>
          <w:u w:val="single"/>
        </w:rPr>
      </w:pPr>
    </w:p>
    <w:p w:rsidR="00A208E9" w:rsidRPr="00A208E9" w:rsidRDefault="00A208E9" w:rsidP="00381671">
      <w:pPr>
        <w:spacing w:after="240"/>
        <w:ind w:firstLine="720"/>
        <w:jc w:val="both"/>
      </w:pPr>
      <w:r w:rsidRPr="00A208E9">
        <w:t xml:space="preserve">Based on </w:t>
      </w:r>
      <w:r w:rsidR="00381671">
        <w:t>our</w:t>
      </w:r>
      <w:r w:rsidRPr="00A208E9">
        <w:t xml:space="preserve"> review, adjustments to operation and maintenance (O&amp;M) expenses are necessary for interim purposes. KWRU proposed an adjustment of $18,879 to Salaries and Wages to reflect allowable employee expenses per the last rate case. The Utility also proposed corresponding adjustments to Employee Pensions and Benefits and Insurance – Workman’s Comp., for $4,531 and $831, respectively. In the last rate case, all adjustments to salaries and wages were made on a pro forma basis and no methodology for increasing these expenses was established. As such, </w:t>
      </w:r>
      <w:r w:rsidR="00A00DB2">
        <w:t>we shall make an adjustment and</w:t>
      </w:r>
      <w:r w:rsidRPr="00A208E9">
        <w:t xml:space="preserve"> remove $24,241 ($18,879 + $4,531 + $831) from O&amp;M Expenses.</w:t>
      </w:r>
    </w:p>
    <w:p w:rsidR="00A208E9" w:rsidRPr="00A208E9" w:rsidRDefault="00A208E9" w:rsidP="00A00DB2">
      <w:pPr>
        <w:spacing w:after="240"/>
        <w:ind w:firstLine="720"/>
        <w:jc w:val="both"/>
      </w:pPr>
      <w:r w:rsidRPr="00A208E9">
        <w:t>Based on the above, the appropriate test year operating income, before any revenue increase, is $214,665.</w:t>
      </w:r>
    </w:p>
    <w:p w:rsidR="00A208E9" w:rsidRDefault="00A208E9" w:rsidP="00D71D97">
      <w:pPr>
        <w:jc w:val="both"/>
        <w:outlineLvl w:val="2"/>
        <w:rPr>
          <w:bCs/>
          <w:iCs/>
          <w:szCs w:val="28"/>
          <w:u w:val="single"/>
        </w:rPr>
      </w:pPr>
      <w:r w:rsidRPr="001E299D">
        <w:rPr>
          <w:bCs/>
          <w:iCs/>
          <w:szCs w:val="28"/>
          <w:u w:val="single"/>
        </w:rPr>
        <w:t>Interim Revenue Requirement</w:t>
      </w:r>
    </w:p>
    <w:p w:rsidR="001E299D" w:rsidRPr="001E299D" w:rsidRDefault="001E299D" w:rsidP="00A208E9">
      <w:pPr>
        <w:jc w:val="both"/>
        <w:outlineLvl w:val="2"/>
        <w:rPr>
          <w:bCs/>
          <w:iCs/>
          <w:szCs w:val="28"/>
          <w:u w:val="single"/>
        </w:rPr>
      </w:pPr>
    </w:p>
    <w:p w:rsidR="00A208E9" w:rsidRDefault="00A208E9" w:rsidP="001E299D">
      <w:pPr>
        <w:pStyle w:val="OrderBody"/>
        <w:ind w:firstLine="720"/>
      </w:pPr>
      <w:r w:rsidRPr="00A208E9">
        <w:t xml:space="preserve">Based on the above adjustments, </w:t>
      </w:r>
      <w:r w:rsidR="001E299D">
        <w:t>we approve</w:t>
      </w:r>
      <w:r w:rsidRPr="00A208E9">
        <w:t xml:space="preserve"> a revenue requirement of $2,425,904. This represents an interim increase in annual revenues of $85,629 or 3.66 percent.</w:t>
      </w:r>
    </w:p>
    <w:p w:rsidR="00A208E9" w:rsidRDefault="00A208E9" w:rsidP="00A208E9">
      <w:pPr>
        <w:pStyle w:val="OrderBody"/>
      </w:pPr>
    </w:p>
    <w:p w:rsidR="00A208E9" w:rsidRPr="001E299D" w:rsidRDefault="001E299D" w:rsidP="00A208E9">
      <w:pPr>
        <w:spacing w:after="240"/>
        <w:jc w:val="both"/>
        <w:outlineLvl w:val="1"/>
        <w:rPr>
          <w:bCs/>
          <w:kern w:val="32"/>
          <w:szCs w:val="32"/>
          <w:u w:val="single"/>
        </w:rPr>
      </w:pPr>
      <w:r w:rsidRPr="001E299D">
        <w:rPr>
          <w:bCs/>
          <w:kern w:val="32"/>
          <w:szCs w:val="32"/>
          <w:u w:val="single"/>
        </w:rPr>
        <w:t>Interim Wastewater Rates</w:t>
      </w:r>
    </w:p>
    <w:p w:rsidR="00A208E9" w:rsidRDefault="001E299D" w:rsidP="001E299D">
      <w:pPr>
        <w:spacing w:after="240"/>
        <w:ind w:firstLine="720"/>
        <w:jc w:val="both"/>
      </w:pPr>
      <w:r>
        <w:t>I</w:t>
      </w:r>
      <w:r w:rsidR="00A208E9" w:rsidRPr="00A208E9">
        <w:t xml:space="preserve">nterim service rates for KWRU </w:t>
      </w:r>
      <w:r>
        <w:t xml:space="preserve">shall </w:t>
      </w:r>
      <w:r w:rsidR="00A208E9" w:rsidRPr="00A208E9">
        <w:t xml:space="preserve">be designed to allow the Utility the opportunity to generate annual operating revenues of $2,425,904. The test year revenues were adjusted to annualize the rate in effect at the end of the test year. Before removal of miscellaneous revenues, the resulting revenue increase is $85,629 (3.66 percent). To determine the appropriate increase to apply to the service rates, miscellaneous revenues </w:t>
      </w:r>
      <w:r w:rsidR="00A06502">
        <w:t>were</w:t>
      </w:r>
      <w:r w:rsidR="00A208E9" w:rsidRPr="00A208E9">
        <w:t xml:space="preserve"> be removed from the test year revenues. The calculation is as follows:</w:t>
      </w:r>
    </w:p>
    <w:p w:rsidR="002A655A" w:rsidRPr="00A208E9" w:rsidRDefault="002A655A" w:rsidP="001E299D">
      <w:pPr>
        <w:spacing w:after="240"/>
        <w:ind w:firstLine="720"/>
        <w:jc w:val="both"/>
      </w:pPr>
    </w:p>
    <w:p w:rsidR="00A208E9" w:rsidRPr="00A208E9" w:rsidRDefault="001E299D" w:rsidP="00A208E9">
      <w:pPr>
        <w:jc w:val="center"/>
        <w:rPr>
          <w:rFonts w:ascii="Arial" w:hAnsi="Arial" w:cs="Arial"/>
          <w:b/>
        </w:rPr>
      </w:pPr>
      <w:r>
        <w:rPr>
          <w:rFonts w:ascii="Arial" w:hAnsi="Arial" w:cs="Arial"/>
          <w:b/>
        </w:rPr>
        <w:lastRenderedPageBreak/>
        <w:t>Table 1</w:t>
      </w:r>
    </w:p>
    <w:p w:rsidR="00A208E9" w:rsidRPr="00A208E9" w:rsidRDefault="00A208E9" w:rsidP="00A208E9">
      <w:pPr>
        <w:jc w:val="center"/>
        <w:rPr>
          <w:rFonts w:ascii="Arial" w:hAnsi="Arial" w:cs="Arial"/>
          <w:b/>
        </w:rPr>
      </w:pPr>
      <w:r w:rsidRPr="00A208E9">
        <w:rPr>
          <w:rFonts w:ascii="Arial" w:hAnsi="Arial" w:cs="Arial"/>
          <w:b/>
        </w:rPr>
        <w:t xml:space="preserve">Percentage Service Rate Increase </w:t>
      </w:r>
    </w:p>
    <w:tbl>
      <w:tblPr>
        <w:tblW w:w="815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6"/>
        <w:gridCol w:w="6059"/>
        <w:gridCol w:w="1405"/>
      </w:tblGrid>
      <w:tr w:rsidR="00A208E9" w:rsidRPr="00A208E9" w:rsidTr="00F05335">
        <w:trPr>
          <w:jc w:val="center"/>
        </w:trPr>
        <w:tc>
          <w:tcPr>
            <w:tcW w:w="686" w:type="dxa"/>
          </w:tcPr>
          <w:p w:rsidR="00A208E9" w:rsidRPr="00A208E9" w:rsidRDefault="00A208E9" w:rsidP="00A208E9">
            <w:pPr>
              <w:jc w:val="right"/>
            </w:pPr>
          </w:p>
        </w:tc>
        <w:tc>
          <w:tcPr>
            <w:tcW w:w="6059" w:type="dxa"/>
          </w:tcPr>
          <w:p w:rsidR="00A208E9" w:rsidRPr="00A208E9" w:rsidRDefault="00A208E9" w:rsidP="00A208E9"/>
        </w:tc>
        <w:tc>
          <w:tcPr>
            <w:tcW w:w="1405" w:type="dxa"/>
            <w:hideMark/>
          </w:tcPr>
          <w:p w:rsidR="00A208E9" w:rsidRPr="00A208E9" w:rsidRDefault="00A208E9" w:rsidP="00A208E9">
            <w:pPr>
              <w:jc w:val="center"/>
              <w:rPr>
                <w:u w:val="single"/>
              </w:rPr>
            </w:pPr>
            <w:r w:rsidRPr="00A208E9">
              <w:rPr>
                <w:u w:val="single"/>
              </w:rPr>
              <w:t>Wastewater</w:t>
            </w:r>
          </w:p>
        </w:tc>
      </w:tr>
      <w:tr w:rsidR="00A208E9" w:rsidRPr="00A208E9" w:rsidTr="00F05335">
        <w:trPr>
          <w:trHeight w:val="117"/>
          <w:jc w:val="center"/>
        </w:trPr>
        <w:tc>
          <w:tcPr>
            <w:tcW w:w="686" w:type="dxa"/>
          </w:tcPr>
          <w:p w:rsidR="00A208E9" w:rsidRPr="00A208E9" w:rsidRDefault="00A208E9" w:rsidP="00A208E9">
            <w:pPr>
              <w:jc w:val="right"/>
            </w:pPr>
          </w:p>
        </w:tc>
        <w:tc>
          <w:tcPr>
            <w:tcW w:w="6059" w:type="dxa"/>
          </w:tcPr>
          <w:p w:rsidR="00A208E9" w:rsidRPr="00A208E9" w:rsidRDefault="00A208E9" w:rsidP="00A208E9"/>
        </w:tc>
        <w:tc>
          <w:tcPr>
            <w:tcW w:w="1405" w:type="dxa"/>
          </w:tcPr>
          <w:p w:rsidR="00A208E9" w:rsidRPr="00A208E9" w:rsidRDefault="00A208E9" w:rsidP="00A208E9">
            <w:pPr>
              <w:jc w:val="right"/>
            </w:pPr>
          </w:p>
        </w:tc>
      </w:tr>
      <w:tr w:rsidR="00A208E9" w:rsidRPr="00A208E9" w:rsidTr="00F05335">
        <w:trPr>
          <w:jc w:val="center"/>
        </w:trPr>
        <w:tc>
          <w:tcPr>
            <w:tcW w:w="686" w:type="dxa"/>
            <w:hideMark/>
          </w:tcPr>
          <w:p w:rsidR="00A208E9" w:rsidRPr="00A208E9" w:rsidRDefault="00A208E9" w:rsidP="00A208E9">
            <w:pPr>
              <w:jc w:val="right"/>
            </w:pPr>
            <w:r w:rsidRPr="00A208E9">
              <w:t>1</w:t>
            </w:r>
          </w:p>
        </w:tc>
        <w:tc>
          <w:tcPr>
            <w:tcW w:w="6059" w:type="dxa"/>
            <w:hideMark/>
          </w:tcPr>
          <w:p w:rsidR="00A208E9" w:rsidRPr="00A208E9" w:rsidRDefault="00A208E9" w:rsidP="00A208E9">
            <w:r w:rsidRPr="00A208E9">
              <w:t>Total Test Year Revenues</w:t>
            </w:r>
          </w:p>
        </w:tc>
        <w:tc>
          <w:tcPr>
            <w:tcW w:w="1405" w:type="dxa"/>
            <w:hideMark/>
          </w:tcPr>
          <w:p w:rsidR="00A208E9" w:rsidRPr="00A208E9" w:rsidRDefault="00A208E9" w:rsidP="00A208E9">
            <w:pPr>
              <w:jc w:val="right"/>
              <w:rPr>
                <w:highlight w:val="yellow"/>
              </w:rPr>
            </w:pPr>
            <w:r w:rsidRPr="00A208E9">
              <w:t>$2,340,275</w:t>
            </w:r>
          </w:p>
        </w:tc>
      </w:tr>
      <w:tr w:rsidR="00A208E9" w:rsidRPr="00A208E9" w:rsidTr="00F05335">
        <w:trPr>
          <w:jc w:val="center"/>
        </w:trPr>
        <w:tc>
          <w:tcPr>
            <w:tcW w:w="686" w:type="dxa"/>
          </w:tcPr>
          <w:p w:rsidR="00A208E9" w:rsidRPr="00A208E9" w:rsidRDefault="00A208E9" w:rsidP="00A208E9">
            <w:pPr>
              <w:jc w:val="right"/>
            </w:pPr>
          </w:p>
        </w:tc>
        <w:tc>
          <w:tcPr>
            <w:tcW w:w="6059" w:type="dxa"/>
          </w:tcPr>
          <w:p w:rsidR="00A208E9" w:rsidRPr="00A208E9" w:rsidRDefault="00A208E9" w:rsidP="00A208E9"/>
        </w:tc>
        <w:tc>
          <w:tcPr>
            <w:tcW w:w="1405" w:type="dxa"/>
          </w:tcPr>
          <w:p w:rsidR="00A208E9" w:rsidRPr="00A208E9" w:rsidRDefault="00A208E9" w:rsidP="00A208E9">
            <w:pPr>
              <w:jc w:val="right"/>
              <w:rPr>
                <w:highlight w:val="yellow"/>
              </w:rPr>
            </w:pPr>
          </w:p>
        </w:tc>
      </w:tr>
      <w:tr w:rsidR="00A208E9" w:rsidRPr="00A208E9" w:rsidTr="00F05335">
        <w:trPr>
          <w:jc w:val="center"/>
        </w:trPr>
        <w:tc>
          <w:tcPr>
            <w:tcW w:w="686" w:type="dxa"/>
            <w:hideMark/>
          </w:tcPr>
          <w:p w:rsidR="00A208E9" w:rsidRPr="00A208E9" w:rsidRDefault="00A208E9" w:rsidP="00A208E9">
            <w:pPr>
              <w:jc w:val="right"/>
            </w:pPr>
            <w:r w:rsidRPr="00A208E9">
              <w:t>2</w:t>
            </w:r>
          </w:p>
        </w:tc>
        <w:tc>
          <w:tcPr>
            <w:tcW w:w="6059" w:type="dxa"/>
            <w:hideMark/>
          </w:tcPr>
          <w:p w:rsidR="00A208E9" w:rsidRPr="00A208E9" w:rsidRDefault="00A208E9" w:rsidP="00A208E9">
            <w:r w:rsidRPr="00A208E9">
              <w:t>Less: Miscellaneous Revenues</w:t>
            </w:r>
          </w:p>
        </w:tc>
        <w:tc>
          <w:tcPr>
            <w:tcW w:w="1405" w:type="dxa"/>
            <w:hideMark/>
          </w:tcPr>
          <w:p w:rsidR="00A208E9" w:rsidRPr="00A208E9" w:rsidRDefault="00A208E9" w:rsidP="00A208E9">
            <w:pPr>
              <w:jc w:val="right"/>
              <w:rPr>
                <w:highlight w:val="yellow"/>
                <w:u w:val="single"/>
              </w:rPr>
            </w:pPr>
            <w:r w:rsidRPr="00A208E9">
              <w:rPr>
                <w:u w:val="single"/>
              </w:rPr>
              <w:t>$77,500</w:t>
            </w:r>
          </w:p>
        </w:tc>
      </w:tr>
      <w:tr w:rsidR="00A208E9" w:rsidRPr="00A208E9" w:rsidTr="00F05335">
        <w:trPr>
          <w:jc w:val="center"/>
        </w:trPr>
        <w:tc>
          <w:tcPr>
            <w:tcW w:w="686" w:type="dxa"/>
          </w:tcPr>
          <w:p w:rsidR="00A208E9" w:rsidRPr="00A208E9" w:rsidRDefault="00A208E9" w:rsidP="00A208E9">
            <w:pPr>
              <w:jc w:val="right"/>
            </w:pPr>
          </w:p>
        </w:tc>
        <w:tc>
          <w:tcPr>
            <w:tcW w:w="6059" w:type="dxa"/>
          </w:tcPr>
          <w:p w:rsidR="00A208E9" w:rsidRPr="00A208E9" w:rsidRDefault="00A208E9" w:rsidP="00A208E9"/>
        </w:tc>
        <w:tc>
          <w:tcPr>
            <w:tcW w:w="1405" w:type="dxa"/>
          </w:tcPr>
          <w:p w:rsidR="00A208E9" w:rsidRPr="00A208E9" w:rsidRDefault="00A208E9" w:rsidP="00A208E9">
            <w:pPr>
              <w:jc w:val="right"/>
              <w:rPr>
                <w:highlight w:val="yellow"/>
              </w:rPr>
            </w:pPr>
          </w:p>
        </w:tc>
      </w:tr>
      <w:tr w:rsidR="00A208E9" w:rsidRPr="00A208E9" w:rsidTr="00F05335">
        <w:trPr>
          <w:jc w:val="center"/>
        </w:trPr>
        <w:tc>
          <w:tcPr>
            <w:tcW w:w="686" w:type="dxa"/>
            <w:hideMark/>
          </w:tcPr>
          <w:p w:rsidR="00A208E9" w:rsidRPr="00A208E9" w:rsidRDefault="00A208E9" w:rsidP="00A208E9">
            <w:pPr>
              <w:jc w:val="right"/>
            </w:pPr>
            <w:r w:rsidRPr="00A208E9">
              <w:t>3</w:t>
            </w:r>
          </w:p>
        </w:tc>
        <w:tc>
          <w:tcPr>
            <w:tcW w:w="6059" w:type="dxa"/>
            <w:hideMark/>
          </w:tcPr>
          <w:p w:rsidR="00A208E9" w:rsidRPr="00A208E9" w:rsidRDefault="00A208E9" w:rsidP="00A208E9">
            <w:r w:rsidRPr="00A208E9">
              <w:t>Test Year Revenues from Service Rates</w:t>
            </w:r>
          </w:p>
        </w:tc>
        <w:tc>
          <w:tcPr>
            <w:tcW w:w="1405" w:type="dxa"/>
            <w:hideMark/>
          </w:tcPr>
          <w:p w:rsidR="00A208E9" w:rsidRPr="00A208E9" w:rsidRDefault="00A208E9" w:rsidP="00A208E9">
            <w:pPr>
              <w:jc w:val="right"/>
              <w:rPr>
                <w:highlight w:val="yellow"/>
              </w:rPr>
            </w:pPr>
            <w:r w:rsidRPr="00A208E9">
              <w:t>$2,262,775</w:t>
            </w:r>
          </w:p>
        </w:tc>
      </w:tr>
      <w:tr w:rsidR="00A208E9" w:rsidRPr="00A208E9" w:rsidTr="00F05335">
        <w:trPr>
          <w:jc w:val="center"/>
        </w:trPr>
        <w:tc>
          <w:tcPr>
            <w:tcW w:w="686" w:type="dxa"/>
          </w:tcPr>
          <w:p w:rsidR="00A208E9" w:rsidRPr="00A208E9" w:rsidRDefault="00A208E9" w:rsidP="00A208E9">
            <w:pPr>
              <w:jc w:val="right"/>
            </w:pPr>
          </w:p>
        </w:tc>
        <w:tc>
          <w:tcPr>
            <w:tcW w:w="6059" w:type="dxa"/>
          </w:tcPr>
          <w:p w:rsidR="00A208E9" w:rsidRPr="00A208E9" w:rsidRDefault="00A208E9" w:rsidP="00A208E9"/>
        </w:tc>
        <w:tc>
          <w:tcPr>
            <w:tcW w:w="1405" w:type="dxa"/>
          </w:tcPr>
          <w:p w:rsidR="00A208E9" w:rsidRPr="00A208E9" w:rsidRDefault="00A208E9" w:rsidP="00A208E9">
            <w:pPr>
              <w:jc w:val="right"/>
              <w:rPr>
                <w:highlight w:val="yellow"/>
              </w:rPr>
            </w:pPr>
          </w:p>
        </w:tc>
      </w:tr>
      <w:tr w:rsidR="00A208E9" w:rsidRPr="00A208E9" w:rsidTr="00F05335">
        <w:trPr>
          <w:jc w:val="center"/>
        </w:trPr>
        <w:tc>
          <w:tcPr>
            <w:tcW w:w="686" w:type="dxa"/>
            <w:hideMark/>
          </w:tcPr>
          <w:p w:rsidR="00A208E9" w:rsidRPr="00A208E9" w:rsidRDefault="00A208E9" w:rsidP="00A208E9">
            <w:pPr>
              <w:jc w:val="right"/>
            </w:pPr>
            <w:r w:rsidRPr="00A208E9">
              <w:t>4</w:t>
            </w:r>
          </w:p>
        </w:tc>
        <w:tc>
          <w:tcPr>
            <w:tcW w:w="6059" w:type="dxa"/>
            <w:hideMark/>
          </w:tcPr>
          <w:p w:rsidR="00A208E9" w:rsidRPr="00A208E9" w:rsidRDefault="00A208E9" w:rsidP="00A208E9">
            <w:r w:rsidRPr="00A208E9">
              <w:t>Revenue Increase</w:t>
            </w:r>
          </w:p>
        </w:tc>
        <w:tc>
          <w:tcPr>
            <w:tcW w:w="1405" w:type="dxa"/>
            <w:hideMark/>
          </w:tcPr>
          <w:p w:rsidR="00A208E9" w:rsidRPr="00A208E9" w:rsidRDefault="00A208E9" w:rsidP="00A208E9">
            <w:pPr>
              <w:jc w:val="right"/>
              <w:rPr>
                <w:highlight w:val="yellow"/>
                <w:u w:val="single"/>
              </w:rPr>
            </w:pPr>
            <w:r w:rsidRPr="00A208E9">
              <w:rPr>
                <w:u w:val="single"/>
              </w:rPr>
              <w:t>$85,629</w:t>
            </w:r>
          </w:p>
        </w:tc>
      </w:tr>
      <w:tr w:rsidR="00A208E9" w:rsidRPr="00A208E9" w:rsidTr="00F05335">
        <w:trPr>
          <w:jc w:val="center"/>
        </w:trPr>
        <w:tc>
          <w:tcPr>
            <w:tcW w:w="686" w:type="dxa"/>
          </w:tcPr>
          <w:p w:rsidR="00A208E9" w:rsidRPr="00A208E9" w:rsidRDefault="00A208E9" w:rsidP="00A208E9">
            <w:pPr>
              <w:jc w:val="right"/>
            </w:pPr>
          </w:p>
        </w:tc>
        <w:tc>
          <w:tcPr>
            <w:tcW w:w="6059" w:type="dxa"/>
          </w:tcPr>
          <w:p w:rsidR="00A208E9" w:rsidRPr="00A208E9" w:rsidRDefault="00A208E9" w:rsidP="00A208E9"/>
        </w:tc>
        <w:tc>
          <w:tcPr>
            <w:tcW w:w="1405" w:type="dxa"/>
          </w:tcPr>
          <w:p w:rsidR="00A208E9" w:rsidRPr="00A208E9" w:rsidRDefault="00A208E9" w:rsidP="00A208E9">
            <w:pPr>
              <w:jc w:val="right"/>
              <w:rPr>
                <w:highlight w:val="yellow"/>
              </w:rPr>
            </w:pPr>
          </w:p>
        </w:tc>
      </w:tr>
      <w:tr w:rsidR="00A208E9" w:rsidRPr="00A208E9" w:rsidTr="00F05335">
        <w:trPr>
          <w:jc w:val="center"/>
        </w:trPr>
        <w:tc>
          <w:tcPr>
            <w:tcW w:w="686" w:type="dxa"/>
            <w:hideMark/>
          </w:tcPr>
          <w:p w:rsidR="00A208E9" w:rsidRPr="00A208E9" w:rsidRDefault="00A208E9" w:rsidP="00A208E9">
            <w:pPr>
              <w:jc w:val="right"/>
            </w:pPr>
            <w:r w:rsidRPr="00A208E9">
              <w:t>5</w:t>
            </w:r>
          </w:p>
        </w:tc>
        <w:tc>
          <w:tcPr>
            <w:tcW w:w="6059" w:type="dxa"/>
            <w:hideMark/>
          </w:tcPr>
          <w:p w:rsidR="00A208E9" w:rsidRPr="00A208E9" w:rsidRDefault="00A208E9" w:rsidP="00A208E9">
            <w:r w:rsidRPr="00A208E9">
              <w:t>Percentage Service Rate Increase (Line 4/Line 3)</w:t>
            </w:r>
          </w:p>
        </w:tc>
        <w:tc>
          <w:tcPr>
            <w:tcW w:w="1405" w:type="dxa"/>
            <w:hideMark/>
          </w:tcPr>
          <w:p w:rsidR="00A208E9" w:rsidRPr="00A208E9" w:rsidRDefault="00A208E9" w:rsidP="00A208E9">
            <w:pPr>
              <w:jc w:val="right"/>
              <w:rPr>
                <w:highlight w:val="yellow"/>
              </w:rPr>
            </w:pPr>
            <w:r w:rsidRPr="00A208E9">
              <w:t xml:space="preserve"> 3.78%</w:t>
            </w:r>
          </w:p>
        </w:tc>
      </w:tr>
    </w:tbl>
    <w:p w:rsidR="00A208E9" w:rsidRPr="00A208E9" w:rsidRDefault="00A208E9" w:rsidP="00A208E9">
      <w:r w:rsidRPr="00A208E9">
        <w:t xml:space="preserve">          Source: </w:t>
      </w:r>
      <w:r w:rsidR="001E299D">
        <w:t>Approved</w:t>
      </w:r>
      <w:r w:rsidRPr="00A208E9">
        <w:t xml:space="preserve"> Revenue Requirement and the Utility’s MFRs</w:t>
      </w:r>
    </w:p>
    <w:p w:rsidR="00A208E9" w:rsidRPr="00A208E9" w:rsidRDefault="00A208E9" w:rsidP="00A208E9"/>
    <w:p w:rsidR="00A208E9" w:rsidRDefault="00A208E9" w:rsidP="001E299D">
      <w:pPr>
        <w:pStyle w:val="OrderBody"/>
        <w:ind w:firstLine="720"/>
      </w:pPr>
      <w:r w:rsidRPr="00A208E9">
        <w:t xml:space="preserve">Consistent with </w:t>
      </w:r>
      <w:r w:rsidR="001E299D">
        <w:t>our</w:t>
      </w:r>
      <w:r w:rsidRPr="00A208E9">
        <w:t xml:space="preserve"> practice for interim rates, the above percentage increase </w:t>
      </w:r>
      <w:r w:rsidR="001E299D">
        <w:t>shall</w:t>
      </w:r>
      <w:r w:rsidRPr="00A208E9">
        <w:t xml:space="preserve"> be applied as an across-the-board increase to the service rates in effect at the end of the Utility’s test year. The rates shown on Schedule No. 4 </w:t>
      </w:r>
      <w:r w:rsidR="001E299D">
        <w:t>shall</w:t>
      </w:r>
      <w:r w:rsidRPr="00A208E9">
        <w:t xml:space="preserve"> be effective for service rendered on or after the stamped approval date on the tariff sheets pursuant to Rule 25-30.475(1), F.A.C. The Utility </w:t>
      </w:r>
      <w:r w:rsidR="001E299D">
        <w:t>shall</w:t>
      </w:r>
      <w:r w:rsidRPr="00A208E9">
        <w:t xml:space="preserve"> file revised tariff sheets and a proposed customer notice to reflect the approved rates. In addition, the approved rates </w:t>
      </w:r>
      <w:r w:rsidR="001E299D">
        <w:t>shall</w:t>
      </w:r>
      <w:r w:rsidRPr="00A208E9">
        <w:t xml:space="preserve"> not be implemented until the required security has been filed, </w:t>
      </w:r>
      <w:r w:rsidR="001A6738">
        <w:t xml:space="preserve">Commission </w:t>
      </w:r>
      <w:r w:rsidRPr="00A208E9">
        <w:t xml:space="preserve">staff has approved the proposed customer notice, and the notice has been received by the customers. The Utility </w:t>
      </w:r>
      <w:r w:rsidR="001E299D">
        <w:t>shall</w:t>
      </w:r>
      <w:r w:rsidRPr="00A208E9">
        <w:t xml:space="preserve"> provide proof of noticing within 10 days of </w:t>
      </w:r>
      <w:r w:rsidR="001E299D">
        <w:t>the date of the</w:t>
      </w:r>
      <w:r w:rsidRPr="00A208E9">
        <w:t xml:space="preserve"> notice.</w:t>
      </w:r>
    </w:p>
    <w:p w:rsidR="00A208E9" w:rsidRDefault="00A208E9" w:rsidP="00A208E9">
      <w:pPr>
        <w:pStyle w:val="OrderBody"/>
      </w:pPr>
    </w:p>
    <w:p w:rsidR="00A208E9" w:rsidRPr="000C1395" w:rsidRDefault="000C1395" w:rsidP="00673CD1">
      <w:pPr>
        <w:spacing w:after="240"/>
        <w:jc w:val="both"/>
        <w:outlineLvl w:val="0"/>
        <w:rPr>
          <w:u w:val="single"/>
        </w:rPr>
      </w:pPr>
      <w:r w:rsidRPr="000C1395">
        <w:rPr>
          <w:bCs/>
          <w:kern w:val="32"/>
          <w:szCs w:val="32"/>
          <w:u w:val="single"/>
        </w:rPr>
        <w:t xml:space="preserve">Security Guarantee for </w:t>
      </w:r>
      <w:r w:rsidR="00673CD1" w:rsidRPr="000C1395">
        <w:rPr>
          <w:bCs/>
          <w:kern w:val="32"/>
          <w:szCs w:val="32"/>
          <w:u w:val="single"/>
        </w:rPr>
        <w:t xml:space="preserve">Interim Increase </w:t>
      </w:r>
    </w:p>
    <w:p w:rsidR="00A208E9" w:rsidRPr="00A208E9" w:rsidRDefault="00A208E9" w:rsidP="000C1395">
      <w:pPr>
        <w:spacing w:after="240"/>
        <w:ind w:firstLine="720"/>
        <w:jc w:val="both"/>
      </w:pPr>
      <w:r w:rsidRPr="00A208E9">
        <w:t xml:space="preserve">Pursuant to Section 367.082, F.S., revenues collected under interim rates shall be placed under bond, escrow, letter of credit, or corporate undertaking subject to refund with interest at a rate ordered by the Commission. As </w:t>
      </w:r>
      <w:r w:rsidR="000C1395">
        <w:t>previously stated</w:t>
      </w:r>
      <w:r w:rsidRPr="00A208E9">
        <w:t xml:space="preserve">, the total interim increase is $85,629. In accordance with Rule 25-30.360, F.A.C., </w:t>
      </w:r>
      <w:r w:rsidR="000C1395">
        <w:t>we</w:t>
      </w:r>
      <w:r w:rsidRPr="00A208E9">
        <w:t xml:space="preserve"> calculated the potential refund of revenues and interest collected under interim conditions to be $78,925. This amount is based on an estimated eleven months of revenue being collected from </w:t>
      </w:r>
      <w:r w:rsidR="003449BB">
        <w:t>our approved</w:t>
      </w:r>
      <w:r w:rsidRPr="00A208E9">
        <w:t xml:space="preserve"> interim rates over the Utility’s current authorized rates shown on Schedule No. 4.</w:t>
      </w:r>
    </w:p>
    <w:p w:rsidR="00A208E9" w:rsidRDefault="00A208E9" w:rsidP="00527E94">
      <w:pPr>
        <w:spacing w:after="240"/>
        <w:ind w:firstLine="720"/>
        <w:jc w:val="both"/>
      </w:pPr>
      <w:r w:rsidRPr="00A208E9">
        <w:t xml:space="preserve">The criteria for a corporate undertaking include sufficient liquidity, ownership equity, profitability, and interest coverage to guarantee any potential refund. The Utility </w:t>
      </w:r>
      <w:r w:rsidR="000C1395">
        <w:t>initially indicated to Commission staff that it intended</w:t>
      </w:r>
      <w:r w:rsidRPr="00A208E9">
        <w:t xml:space="preserve"> to utilize an escrow account as security for potential refund of interim rates granted. </w:t>
      </w:r>
      <w:r w:rsidR="000C1395">
        <w:t xml:space="preserve">However, at our February 6, 2018, Agenda Conference, the Utility indicated its preference to utilize a corporate undertaking. </w:t>
      </w:r>
      <w:r w:rsidR="002A655A">
        <w:t>We</w:t>
      </w:r>
      <w:r w:rsidR="00527E94">
        <w:t xml:space="preserve"> find that the Utility </w:t>
      </w:r>
      <w:r w:rsidR="002A655A">
        <w:t>has adequate resources to support</w:t>
      </w:r>
      <w:r w:rsidR="00527E94">
        <w:t xml:space="preserve"> a corporate undertaking in the amount of $78,925.</w:t>
      </w:r>
    </w:p>
    <w:p w:rsidR="002A655A" w:rsidRDefault="002A655A" w:rsidP="002A655A">
      <w:pPr>
        <w:spacing w:after="240"/>
        <w:ind w:firstLine="720"/>
        <w:jc w:val="both"/>
      </w:pPr>
      <w:r w:rsidRPr="002A655A">
        <w:t xml:space="preserve">Pursuant to Rule 25-30.360(6), F.A.C., the Utility should provide a report by the 20th day of each month indicating the monthly and total revenue collected subject to refund. Should a refund be required, the refund should be with interest and undertaken in accordance with Rule </w:t>
      </w:r>
      <w:r w:rsidRPr="002A655A">
        <w:lastRenderedPageBreak/>
        <w:t xml:space="preserve">25-30.360, F.A.C. </w:t>
      </w:r>
      <w:r>
        <w:t>In no instance shall maintenance and administrative costs associated with any refund be borne by the customers. The costs are the responsibility of, and shall be borne by, the Utility.</w:t>
      </w:r>
    </w:p>
    <w:p w:rsidR="00A208E9" w:rsidRPr="00F04753" w:rsidRDefault="00F04753" w:rsidP="00A208E9">
      <w:pPr>
        <w:spacing w:after="240"/>
        <w:jc w:val="both"/>
        <w:rPr>
          <w:u w:val="single"/>
        </w:rPr>
      </w:pPr>
      <w:r w:rsidRPr="00F04753">
        <w:rPr>
          <w:u w:val="single"/>
        </w:rPr>
        <w:t>Docket No. 20150071-SU Over-Refund</w:t>
      </w:r>
    </w:p>
    <w:p w:rsidR="00A208E9" w:rsidRPr="00A208E9" w:rsidRDefault="00A208E9" w:rsidP="00F04753">
      <w:pPr>
        <w:spacing w:after="240"/>
        <w:ind w:firstLine="720"/>
        <w:jc w:val="both"/>
      </w:pPr>
      <w:r w:rsidRPr="00A208E9">
        <w:t xml:space="preserve">On July 26, 2017, KWRU filed its final refund report pursuant to Order No. PSC-2017-0091-FOF-SU and Rule 25-30.360(7), F.A.C., following the 2015 rate case. Subsequently, the Utility filed a second revised refund report on August 17, 2017, to correct the application of the commercial paper rates it previously used to calculate the appropriate interest for the refunds. Due to the calculation error, KWRU over-refunded interest in the amount of $9,625. Based on the anticipated timing of an interim rate increase, KWRU elected to address the recovery of the over-refunded revenues in the instant docket. Therefore, </w:t>
      </w:r>
      <w:r w:rsidR="003449BB">
        <w:t>we hereby approve</w:t>
      </w:r>
      <w:r w:rsidRPr="00A208E9">
        <w:t xml:space="preserve"> a one-time surcharge for one billing period in order to remedy this differential. </w:t>
      </w:r>
      <w:r w:rsidR="003449BB">
        <w:t>Our approved</w:t>
      </w:r>
      <w:r w:rsidRPr="00A208E9">
        <w:t xml:space="preserve"> surcharges are based on the customer’s respective ERCs and are shown on Schedule No. 4.</w:t>
      </w:r>
    </w:p>
    <w:p w:rsidR="00A208E9" w:rsidRDefault="00A208E9" w:rsidP="00363093">
      <w:pPr>
        <w:pStyle w:val="OrderBody"/>
        <w:ind w:firstLine="720"/>
      </w:pPr>
      <w:r w:rsidRPr="00A208E9">
        <w:t xml:space="preserve">Based on the above, the over-refunded interest of $9,625 should be recovered through a one-time surcharge for one billing cycle. The appropriate surcharges are shown on Schedule No. 4. The Utility </w:t>
      </w:r>
      <w:r w:rsidR="00363093">
        <w:t>shall</w:t>
      </w:r>
      <w:r w:rsidRPr="00A208E9">
        <w:t xml:space="preserve"> file a proposed</w:t>
      </w:r>
      <w:r w:rsidR="00363093">
        <w:t xml:space="preserve"> customer notice to reflect the </w:t>
      </w:r>
      <w:r w:rsidRPr="00A208E9">
        <w:t xml:space="preserve">approved surcharge. In addition, the approved surcharge </w:t>
      </w:r>
      <w:r w:rsidR="00363093">
        <w:t>shall</w:t>
      </w:r>
      <w:r w:rsidRPr="00A208E9">
        <w:t xml:space="preserve"> not be implemented until </w:t>
      </w:r>
      <w:r w:rsidR="00363093">
        <w:t xml:space="preserve">Commission </w:t>
      </w:r>
      <w:r w:rsidRPr="00A208E9">
        <w:t xml:space="preserve">staff has approved the customer notice and the notice has been received by the customers. The Utility </w:t>
      </w:r>
      <w:r w:rsidR="00363093">
        <w:t>shall</w:t>
      </w:r>
      <w:r w:rsidRPr="00A208E9">
        <w:t xml:space="preserve"> provide proof of the notice within 10 days of the date of the notice.</w:t>
      </w:r>
    </w:p>
    <w:p w:rsidR="00A208E9" w:rsidRDefault="00A208E9" w:rsidP="00A208E9">
      <w:pPr>
        <w:pStyle w:val="OrderBody"/>
      </w:pPr>
    </w:p>
    <w:p w:rsidR="00363093" w:rsidRPr="00363093" w:rsidRDefault="00363093" w:rsidP="00363093">
      <w:pPr>
        <w:spacing w:after="240"/>
        <w:jc w:val="both"/>
        <w:rPr>
          <w:u w:val="single"/>
        </w:rPr>
      </w:pPr>
      <w:r w:rsidRPr="00363093">
        <w:rPr>
          <w:u w:val="single"/>
        </w:rPr>
        <w:t>I</w:t>
      </w:r>
      <w:r w:rsidR="00A208E9" w:rsidRPr="00363093">
        <w:rPr>
          <w:u w:val="single"/>
        </w:rPr>
        <w:t>nterim</w:t>
      </w:r>
      <w:r w:rsidRPr="00363093">
        <w:rPr>
          <w:u w:val="single"/>
        </w:rPr>
        <w:t xml:space="preserve"> Charge for</w:t>
      </w:r>
      <w:r w:rsidR="00A208E9" w:rsidRPr="00363093">
        <w:rPr>
          <w:u w:val="single"/>
        </w:rPr>
        <w:t xml:space="preserve"> Allowance for Funds Prudently Invested </w:t>
      </w:r>
    </w:p>
    <w:p w:rsidR="00A208E9" w:rsidRPr="00A208E9" w:rsidRDefault="00A208E9" w:rsidP="00363093">
      <w:pPr>
        <w:spacing w:after="240"/>
        <w:ind w:firstLine="720"/>
        <w:jc w:val="both"/>
      </w:pPr>
      <w:r w:rsidRPr="00A208E9">
        <w:t xml:space="preserve">An </w:t>
      </w:r>
      <w:r w:rsidR="00363093">
        <w:t>allowance for funds prudently invested (</w:t>
      </w:r>
      <w:r w:rsidRPr="00A208E9">
        <w:t>AFPI</w:t>
      </w:r>
      <w:r w:rsidR="00363093">
        <w:t>)</w:t>
      </w:r>
      <w:r w:rsidRPr="00A208E9">
        <w:t xml:space="preserve"> charge is a mechanism designed to allow a Utility the opportunity to earn a fair rate of return on prudently constructed plant held for future use from the customers that will be served by that plant. The charge is calculated based on the costs associated with the non-used and useful plant. This one-time charge is assessed based on the date the future customer connects to the Utility, and is generally applicable to all future customers who have not already prepaid connection fees, contributions-in-aid-of-construction or customer advances.  KWRU current</w:t>
      </w:r>
      <w:r w:rsidR="006C755E">
        <w:t>ly does not have any Commission-</w:t>
      </w:r>
      <w:r w:rsidRPr="00A208E9">
        <w:t>approved AFPI charges, but has requested interim as well as final AFPI charges.</w:t>
      </w:r>
    </w:p>
    <w:p w:rsidR="00A208E9" w:rsidRPr="00A208E9" w:rsidRDefault="00A208E9" w:rsidP="00363093">
      <w:pPr>
        <w:spacing w:after="240"/>
        <w:ind w:firstLine="720"/>
        <w:jc w:val="both"/>
      </w:pPr>
      <w:r w:rsidRPr="00A208E9">
        <w:t xml:space="preserve">A utility may seek </w:t>
      </w:r>
      <w:r w:rsidR="00363093">
        <w:t>our</w:t>
      </w:r>
      <w:r w:rsidRPr="00A208E9">
        <w:t xml:space="preserve"> approval of AFPI charges through two primary mechanisms – either in the course of a comprehensive rate proceeding pursuant to Section 367.081, F.S., or as a separate tariff filing pursuant to Section 367.091, F.S.  In either case, the rate request may be suspended pursuant to Section 367.081(6), F.S. In a file-and-suspend (direct to hearing) comprehensive earnings review (such as the instant docket), an AFPI charge would be approved prospectively upon </w:t>
      </w:r>
      <w:r w:rsidR="00363093">
        <w:t>our</w:t>
      </w:r>
      <w:r w:rsidRPr="00A208E9">
        <w:t xml:space="preserve"> post-hearing vote.  In a tariff docket, the AFPI charge would also be approved by</w:t>
      </w:r>
      <w:r w:rsidR="00363093">
        <w:t xml:space="preserve"> our</w:t>
      </w:r>
      <w:r w:rsidRPr="00A208E9">
        <w:t xml:space="preserve"> vote, but would be subject to protest by a substantially affected person, in which case the matter would be set for a Section 120.57, F.S., administrative hearing.  The timing of requesting an AFPI charge, as well as the procedure by which it is requested (thus affecting</w:t>
      </w:r>
      <w:r w:rsidR="006C755E">
        <w:t xml:space="preserve"> the timing in which </w:t>
      </w:r>
      <w:r w:rsidRPr="00A208E9">
        <w:t xml:space="preserve">approval is granted), is a matter left to the utility’s discretion. </w:t>
      </w:r>
    </w:p>
    <w:p w:rsidR="00A208E9" w:rsidRPr="00A208E9" w:rsidRDefault="00A208E9" w:rsidP="00A208E9">
      <w:pPr>
        <w:spacing w:after="240"/>
        <w:jc w:val="both"/>
      </w:pPr>
      <w:r w:rsidRPr="00A208E9">
        <w:lastRenderedPageBreak/>
        <w:t xml:space="preserve">The purpose of Section 367.082, F.S., is to protect utilities from the “regulatory lag” associated with full blown rate proceedings by providing interim rate relief, subject to refund.  </w:t>
      </w:r>
      <w:r w:rsidR="00363093">
        <w:t>We may</w:t>
      </w:r>
      <w:r w:rsidRPr="00A208E9">
        <w:t xml:space="preserve"> authorize an interim rate increase if the MFRs indicate that the utility is earning less than its last authorized rate of return on investment, subject to refund at the conclusion of the case.  Section 367.082(1), F.S., provides:</w:t>
      </w:r>
    </w:p>
    <w:p w:rsidR="00A208E9" w:rsidRDefault="00A208E9" w:rsidP="00A208E9">
      <w:pPr>
        <w:pStyle w:val="OrderBody"/>
        <w:ind w:left="720" w:right="720"/>
      </w:pPr>
      <w:r w:rsidRPr="00A208E9">
        <w:t>The commission may, during any proceeding for a change of rates, upon its own motion, upon petition from any party, or by a tariff filing of a utility or a regulated company, authorize the collection of interim rates until the effective date of the final order. Such interim rates may be based upon a test period different from the test period used in the request for permanent rate relief. Upon application by a utility, the commission may use the projected test-year rate base when determining the interim rates or revenues subject to refund. To establish a prima facie entitlement for interim relief, the commission, the petitioning party, the utility, or the regulated company shall demonstrate that the utility or the regulated company is earning outside the range of reasonableness on rate of return calculated in accordance with subsection (5).</w:t>
      </w:r>
    </w:p>
    <w:p w:rsidR="00A208E9" w:rsidRDefault="00A208E9" w:rsidP="00A208E9">
      <w:pPr>
        <w:pStyle w:val="OrderBody"/>
      </w:pPr>
    </w:p>
    <w:p w:rsidR="00A208E9" w:rsidRPr="00A208E9" w:rsidRDefault="00A208E9" w:rsidP="00363093">
      <w:pPr>
        <w:spacing w:after="240"/>
        <w:ind w:firstLine="720"/>
        <w:jc w:val="both"/>
      </w:pPr>
      <w:r w:rsidRPr="00A208E9">
        <w:t xml:space="preserve">In Commission Staff’s First Set of Interrogatories, No. 1(B), </w:t>
      </w:r>
      <w:r w:rsidR="003449BB">
        <w:t xml:space="preserve">Commission </w:t>
      </w:r>
      <w:r w:rsidRPr="00A208E9">
        <w:t xml:space="preserve">staff requested that KWRU explain and provide the legal support for its request for interim recovery of its requested AFPI charges.  In response, KWRU provided: </w:t>
      </w:r>
    </w:p>
    <w:p w:rsidR="00A208E9" w:rsidRPr="00A208E9" w:rsidRDefault="00A208E9" w:rsidP="00A208E9">
      <w:pPr>
        <w:spacing w:after="240"/>
        <w:ind w:left="720" w:right="720"/>
        <w:jc w:val="both"/>
      </w:pPr>
      <w:r w:rsidRPr="00A208E9">
        <w:t>An AFPI charge is a mechanism which allows a utility the opportunity to earn a fair rate of return on prudently constructed plant held for future use from the future customers to be served by that plant in the form of a charge paid by those customers. Section 367.082, Florida Statutes, authorizes the Commission to grant interim rates during the pendency of a rate case. There is no exclusion for AFPI charges. The purpose of interim rates is to reduce regulatory lag, and is equally applicable to AFPI. If AFPI is not allowed then the amounts not collected as new connections are made will be forever lost which impairs KWRU’s opportunity to earn a fair return on its investment.</w:t>
      </w:r>
    </w:p>
    <w:p w:rsidR="00A208E9" w:rsidRPr="00A208E9" w:rsidRDefault="00A208E9" w:rsidP="00363093">
      <w:pPr>
        <w:spacing w:after="240"/>
        <w:ind w:firstLine="720"/>
        <w:jc w:val="both"/>
      </w:pPr>
      <w:r w:rsidRPr="00A208E9">
        <w:t>In essence, KWRU contends that Section 367.082, F.S., does not specifically exclude AFPI charges from interim recovery, and that exclusion of AFPI from interim would impair KWRU’s ability to earn a fair return.  KWRU did not specifically request interim treatment for its requested AFPI charges in its petition, or provide any support for what appears to be a case of first impression. KWRU did not provide any case law that supports applying interim recovery to charges such as AFPI pursuant to Section 367.082, F.S. The Utility did not provide an AFPI tariff with its application for either interim or final relief, but did provide schedules showing the calculation of AFPI carrying costs for each ERC, for both interim and final rate purposes, in its E-10 schedules.</w:t>
      </w:r>
    </w:p>
    <w:p w:rsidR="00A208E9" w:rsidRPr="00A208E9" w:rsidRDefault="00A208E9" w:rsidP="00363093">
      <w:pPr>
        <w:spacing w:after="240"/>
        <w:ind w:firstLine="720"/>
        <w:jc w:val="both"/>
      </w:pPr>
      <w:r w:rsidRPr="00A208E9">
        <w:t xml:space="preserve">The interim statute has historically been applied only with respect to a utility’s service rates, and has not been applied to expedite recovery of charges, such as AFPI or service availability charges.  Section 367.082, F.S., provides a very prescriptive methodology by which </w:t>
      </w:r>
      <w:r w:rsidRPr="00A208E9">
        <w:lastRenderedPageBreak/>
        <w:t>interim rates are calculated, and does not provide a methodology for granting interim relief for charges such as AFPI.</w:t>
      </w:r>
    </w:p>
    <w:p w:rsidR="00A208E9" w:rsidRPr="00A208E9" w:rsidRDefault="00A208E9" w:rsidP="00363093">
      <w:pPr>
        <w:spacing w:after="240"/>
        <w:ind w:firstLine="720"/>
        <w:jc w:val="both"/>
      </w:pPr>
      <w:r w:rsidRPr="00A208E9">
        <w:t xml:space="preserve">Finally, </w:t>
      </w:r>
      <w:r w:rsidR="00363093">
        <w:t>we note</w:t>
      </w:r>
      <w:r w:rsidRPr="00A208E9">
        <w:t xml:space="preserve"> that by Order No. PSC-93-0136-FOF-SU,</w:t>
      </w:r>
      <w:r w:rsidRPr="00A208E9">
        <w:rPr>
          <w:vertAlign w:val="superscript"/>
        </w:rPr>
        <w:footnoteReference w:id="7"/>
      </w:r>
      <w:r w:rsidRPr="00A208E9">
        <w:t xml:space="preserve"> </w:t>
      </w:r>
      <w:r w:rsidR="00363093">
        <w:t>we</w:t>
      </w:r>
      <w:r w:rsidRPr="00A208E9">
        <w:t xml:space="preserve"> denied South Broward Utility, Inc.’s (SBU) request for interim AFPI charges pursuant to Section 367.082, F.S., </w:t>
      </w:r>
      <w:r w:rsidR="00363093">
        <w:t>and</w:t>
      </w:r>
      <w:r w:rsidRPr="00A208E9">
        <w:t xml:space="preserve"> instead </w:t>
      </w:r>
      <w:r w:rsidR="00363093">
        <w:t xml:space="preserve">we </w:t>
      </w:r>
      <w:r w:rsidRPr="00A208E9">
        <w:t>suspend</w:t>
      </w:r>
      <w:r w:rsidR="00363093">
        <w:t>ed</w:t>
      </w:r>
      <w:r w:rsidRPr="00A208E9">
        <w:t xml:space="preserve"> the tariff pursuant to Section 367.091, F.S.  </w:t>
      </w:r>
      <w:r w:rsidR="00363093">
        <w:t>We</w:t>
      </w:r>
      <w:r w:rsidRPr="00A208E9">
        <w:t xml:space="preserve"> stated:</w:t>
      </w:r>
    </w:p>
    <w:p w:rsidR="00A208E9" w:rsidRPr="00A208E9" w:rsidRDefault="00A208E9" w:rsidP="00A208E9">
      <w:pPr>
        <w:spacing w:after="240"/>
        <w:ind w:left="720" w:right="720"/>
        <w:jc w:val="both"/>
      </w:pPr>
      <w:r w:rsidRPr="00A208E9">
        <w:t>In its application, SBU requests that this Commission enter an order “pursuant to Section 367.082 and Section 367.101, Florida Statutes (1991), authorizing the Company to charge and collect interim wastewater AFPI charges . . . .”</w:t>
      </w:r>
    </w:p>
    <w:p w:rsidR="00A208E9" w:rsidRPr="00A208E9" w:rsidRDefault="00A208E9" w:rsidP="00A208E9">
      <w:pPr>
        <w:pStyle w:val="BodyText"/>
        <w:ind w:left="720" w:right="720"/>
      </w:pPr>
      <w:r w:rsidRPr="00A208E9">
        <w:t>We note that §367.082, Florida Statutes, is designed for allowing interim rates only in conjunction with comprehensive earnings reviews. The information at hand in this case is insufficient for such a review. Further, although AFPI charges are paid for by future customers like service availability charges, we do not</w:t>
      </w:r>
      <w:r>
        <w:t xml:space="preserve"> </w:t>
      </w:r>
      <w:r w:rsidRPr="00A208E9">
        <w:t>believe that AFPI charges are service availability charges as contemplated in §367.101, Florida Statutes.</w:t>
      </w:r>
    </w:p>
    <w:p w:rsidR="00A208E9" w:rsidRPr="00A208E9" w:rsidRDefault="00A208E9" w:rsidP="00A208E9">
      <w:pPr>
        <w:spacing w:after="240"/>
        <w:ind w:left="720" w:right="720"/>
        <w:jc w:val="both"/>
      </w:pPr>
      <w:r w:rsidRPr="00A208E9">
        <w:t>Section 367.091(5),</w:t>
      </w:r>
      <w:r w:rsidRPr="00A208E9">
        <w:rPr>
          <w:vertAlign w:val="superscript"/>
        </w:rPr>
        <w:footnoteReference w:id="8"/>
      </w:r>
      <w:r w:rsidRPr="00A208E9">
        <w:t xml:space="preserve"> Florida Statutes, gives this Commission authority to withhold consent, upon justification, to all or portions of new rate schedules other than service availability and monthly service rate schedules. Above, we have suspended SBU’s AFPI tariffs because we cannot at this time conclude that the utility’s supporting calculations are correct, and, therefore, we cannot allow the tariffs to become effective.</w:t>
      </w:r>
    </w:p>
    <w:p w:rsidR="00A208E9" w:rsidRPr="00A208E9" w:rsidRDefault="00A208E9" w:rsidP="00A208E9">
      <w:pPr>
        <w:spacing w:after="240"/>
        <w:ind w:left="720" w:right="720"/>
        <w:jc w:val="both"/>
      </w:pPr>
      <w:r w:rsidRPr="00A208E9">
        <w:t>In consideration of the above, SBU’s request for interim rates is denied.</w:t>
      </w:r>
    </w:p>
    <w:p w:rsidR="00A208E9" w:rsidRDefault="000220D9" w:rsidP="000220D9">
      <w:pPr>
        <w:pStyle w:val="OrderBody"/>
        <w:ind w:firstLine="720"/>
      </w:pPr>
      <w:r>
        <w:t>U</w:t>
      </w:r>
      <w:r w:rsidR="00A208E9" w:rsidRPr="00A208E9">
        <w:t xml:space="preserve">nlike the SBU docket, KWRU’s request for interim AFPI has been made in conjunction with a comprehensive earnings review.  However, </w:t>
      </w:r>
      <w:r>
        <w:t xml:space="preserve">we have </w:t>
      </w:r>
      <w:r w:rsidR="00A208E9" w:rsidRPr="00A208E9">
        <w:t xml:space="preserve">historically interpreted Section 367.082, F.S., as applying to interim rate relief for service rates, and not charges such as AFPI or service availability charges.  Further, KWRU has not provided adequate support for why </w:t>
      </w:r>
      <w:r>
        <w:t>we</w:t>
      </w:r>
      <w:r w:rsidR="00A208E9" w:rsidRPr="00A208E9">
        <w:t xml:space="preserve"> should depart from this practice. Therefore, KWRU’s request for interim treatment of its requested AFPI charge </w:t>
      </w:r>
      <w:r>
        <w:t>is hereby</w:t>
      </w:r>
      <w:r w:rsidR="00A208E9" w:rsidRPr="00A208E9">
        <w:t xml:space="preserve"> denied</w:t>
      </w:r>
      <w:r w:rsidR="00A208E9">
        <w:t>.</w:t>
      </w:r>
    </w:p>
    <w:p w:rsidR="000220D9" w:rsidRDefault="000220D9" w:rsidP="000220D9">
      <w:pPr>
        <w:pStyle w:val="OrderBody"/>
        <w:ind w:firstLine="720"/>
      </w:pPr>
    </w:p>
    <w:p w:rsidR="000220D9" w:rsidRDefault="000220D9" w:rsidP="000220D9">
      <w:pPr>
        <w:pStyle w:val="OrderBody"/>
        <w:ind w:firstLine="720"/>
      </w:pPr>
      <w:r>
        <w:t>Based on the foregoing, it is</w:t>
      </w:r>
    </w:p>
    <w:p w:rsidR="000220D9" w:rsidRDefault="000220D9" w:rsidP="000220D9">
      <w:pPr>
        <w:pStyle w:val="OrderBody"/>
        <w:ind w:firstLine="720"/>
      </w:pPr>
    </w:p>
    <w:p w:rsidR="000220D9" w:rsidRDefault="000220D9" w:rsidP="000220D9">
      <w:pPr>
        <w:pStyle w:val="OrderBody"/>
        <w:ind w:firstLine="720"/>
      </w:pPr>
      <w:r>
        <w:t>ORDERED by the Florida Public Service Commission that K W Resort Utilities Corp.’s proposed final rates are hereby suspended. It is further</w:t>
      </w:r>
    </w:p>
    <w:p w:rsidR="000220D9" w:rsidRDefault="000220D9" w:rsidP="000220D9">
      <w:pPr>
        <w:pStyle w:val="OrderBody"/>
        <w:ind w:firstLine="720"/>
      </w:pPr>
    </w:p>
    <w:p w:rsidR="000220D9" w:rsidRDefault="000220D9" w:rsidP="000220D9">
      <w:pPr>
        <w:pStyle w:val="OrderBody"/>
        <w:ind w:firstLine="720"/>
      </w:pPr>
      <w:r>
        <w:t>ORDERED that K W Resort Utilities Corp.’s requested interim revenue requirement and rate increase are hereby approved as set forth in the body of this order. It is further</w:t>
      </w:r>
    </w:p>
    <w:p w:rsidR="001A6738" w:rsidRDefault="001A6738" w:rsidP="000220D9">
      <w:pPr>
        <w:pStyle w:val="OrderBody"/>
        <w:ind w:firstLine="720"/>
      </w:pPr>
    </w:p>
    <w:p w:rsidR="001A6738" w:rsidRDefault="001A6738" w:rsidP="00CE36D8">
      <w:pPr>
        <w:pStyle w:val="OrderBody"/>
        <w:ind w:firstLine="720"/>
      </w:pPr>
      <w:r w:rsidRPr="001A6738">
        <w:lastRenderedPageBreak/>
        <w:t xml:space="preserve">ORDERED that the Utility is hereby authorized to implement a one-time charge </w:t>
      </w:r>
      <w:r w:rsidR="006C755E">
        <w:t xml:space="preserve">associated with the over-refund in Docket No. 150071-SU, </w:t>
      </w:r>
      <w:r w:rsidRPr="001A6738">
        <w:t>as set forth in the body of this order.</w:t>
      </w:r>
      <w:r>
        <w:t xml:space="preserve"> It is further</w:t>
      </w:r>
    </w:p>
    <w:p w:rsidR="000220D9" w:rsidRDefault="000220D9" w:rsidP="000220D9">
      <w:pPr>
        <w:pStyle w:val="OrderBody"/>
        <w:ind w:firstLine="720"/>
      </w:pPr>
    </w:p>
    <w:p w:rsidR="000220D9" w:rsidRDefault="000220D9" w:rsidP="000220D9">
      <w:pPr>
        <w:pStyle w:val="OrderBody"/>
        <w:ind w:firstLine="720"/>
      </w:pPr>
      <w:r>
        <w:t>ORDERED that K W Resort Utilities Corp. shall maintain a corporate undertaking to guarantee any potential refund of revenues collected under interim conditions as set forth herein. It is further</w:t>
      </w:r>
    </w:p>
    <w:p w:rsidR="00891FC6" w:rsidRDefault="00891FC6" w:rsidP="000220D9">
      <w:pPr>
        <w:pStyle w:val="OrderBody"/>
        <w:ind w:firstLine="720"/>
      </w:pPr>
    </w:p>
    <w:p w:rsidR="00891FC6" w:rsidRDefault="00891FC6" w:rsidP="000220D9">
      <w:pPr>
        <w:pStyle w:val="OrderBody"/>
        <w:ind w:firstLine="720"/>
      </w:pPr>
      <w:r>
        <w:t>ORDERED that p</w:t>
      </w:r>
      <w:r w:rsidRPr="00891FC6">
        <w:t>ursuant to Rule 25-30.360(6), F.A.C., the Utility should provide a report by the 20th day of each month indicating the monthly and total revenue collected subject to refund</w:t>
      </w:r>
      <w:r>
        <w:t>. It is further</w:t>
      </w:r>
    </w:p>
    <w:p w:rsidR="000220D9" w:rsidRDefault="000220D9" w:rsidP="000220D9">
      <w:pPr>
        <w:pStyle w:val="OrderBody"/>
        <w:ind w:firstLine="720"/>
      </w:pPr>
    </w:p>
    <w:p w:rsidR="000220D9" w:rsidRDefault="000220D9" w:rsidP="000220D9">
      <w:pPr>
        <w:pStyle w:val="OrderBody"/>
        <w:ind w:firstLine="720"/>
      </w:pPr>
      <w:r>
        <w:t>ORDERED that the rates and schedules attached to this order are hereby approved and incorporated by reference. It is further</w:t>
      </w:r>
    </w:p>
    <w:p w:rsidR="000220D9" w:rsidRDefault="000220D9" w:rsidP="000220D9">
      <w:pPr>
        <w:pStyle w:val="OrderBody"/>
        <w:ind w:firstLine="720"/>
      </w:pPr>
    </w:p>
    <w:p w:rsidR="000220D9" w:rsidRDefault="000220D9" w:rsidP="000220D9">
      <w:pPr>
        <w:pStyle w:val="OrderBody"/>
        <w:ind w:firstLine="720"/>
      </w:pPr>
      <w:r>
        <w:t>ORDERED that the Utility shall file revised tariff sheets and a proposed customer notice to reflect our approved rates. It is further</w:t>
      </w:r>
    </w:p>
    <w:p w:rsidR="000220D9" w:rsidRDefault="000220D9" w:rsidP="000220D9">
      <w:pPr>
        <w:pStyle w:val="OrderBody"/>
        <w:ind w:firstLine="720"/>
      </w:pPr>
    </w:p>
    <w:p w:rsidR="001A6738" w:rsidRDefault="000220D9" w:rsidP="00D71D97">
      <w:pPr>
        <w:pStyle w:val="OrderBody"/>
        <w:ind w:firstLine="720"/>
      </w:pPr>
      <w:r>
        <w:t xml:space="preserve">ORDERED that </w:t>
      </w:r>
      <w:r w:rsidR="001A6738" w:rsidRPr="001A6738">
        <w:t xml:space="preserve">the approved rates shall not be implemented until the required security has been filed, Commission staff has approved the proposed customer notice, and the notice has been received by the customers. </w:t>
      </w:r>
      <w:r w:rsidR="00D71D97">
        <w:t xml:space="preserve">The Utility shall </w:t>
      </w:r>
      <w:r w:rsidR="00D71D97" w:rsidRPr="001A6738">
        <w:t>provide proof of noticing within 10 days of the date of the notice.</w:t>
      </w:r>
      <w:r w:rsidR="00D71D97">
        <w:t xml:space="preserve">  It is further</w:t>
      </w:r>
    </w:p>
    <w:p w:rsidR="00D71D97" w:rsidRDefault="00D71D97" w:rsidP="000220D9">
      <w:pPr>
        <w:pStyle w:val="OrderBody"/>
        <w:ind w:firstLine="720"/>
      </w:pPr>
    </w:p>
    <w:p w:rsidR="00D71D97" w:rsidRDefault="00D71D97" w:rsidP="000220D9">
      <w:pPr>
        <w:pStyle w:val="OrderBody"/>
        <w:ind w:firstLine="720"/>
      </w:pPr>
      <w:r>
        <w:t>ORDERED that the Utility shall not implement the</w:t>
      </w:r>
      <w:r w:rsidRPr="00D71D97">
        <w:t xml:space="preserve"> one-time surcharge </w:t>
      </w:r>
      <w:r>
        <w:t xml:space="preserve">until Commission staff has approved the proposed customer notice and the notice has been received by the customers. The Utility shall </w:t>
      </w:r>
      <w:r w:rsidRPr="001A6738">
        <w:t>provide proof of noticing within 10 days of the date of the notice.</w:t>
      </w:r>
      <w:r>
        <w:t xml:space="preserve">  It is further</w:t>
      </w:r>
    </w:p>
    <w:p w:rsidR="001A6738" w:rsidRDefault="001A6738" w:rsidP="000220D9">
      <w:pPr>
        <w:pStyle w:val="OrderBody"/>
        <w:ind w:firstLine="720"/>
      </w:pPr>
    </w:p>
    <w:p w:rsidR="000220D9" w:rsidRDefault="000220D9" w:rsidP="000220D9">
      <w:pPr>
        <w:pStyle w:val="OrderBody"/>
        <w:ind w:firstLine="720"/>
      </w:pPr>
      <w:r>
        <w:t>ORDERED that K W Resort Utilities Corp.’s requested interim AFPI charges are denied. It is further</w:t>
      </w:r>
    </w:p>
    <w:p w:rsidR="000220D9" w:rsidRDefault="000220D9" w:rsidP="000220D9">
      <w:pPr>
        <w:pStyle w:val="OrderBody"/>
        <w:ind w:firstLine="720"/>
      </w:pPr>
    </w:p>
    <w:p w:rsidR="000220D9" w:rsidRDefault="000220D9" w:rsidP="000220D9">
      <w:pPr>
        <w:pStyle w:val="OrderBody"/>
        <w:ind w:firstLine="720"/>
      </w:pPr>
      <w:r>
        <w:t xml:space="preserve">ORDERED that </w:t>
      </w:r>
      <w:r w:rsidR="00D71D97">
        <w:t>this docket shall remain open pending this Commission’s final action on K W Resort Utilities Corp.’s requested final rates.</w:t>
      </w:r>
      <w:r w:rsidR="00E84EC1">
        <w:t xml:space="preserve"> It is further</w:t>
      </w:r>
    </w:p>
    <w:p w:rsidR="00E84EC1" w:rsidRDefault="00E84EC1" w:rsidP="000220D9">
      <w:pPr>
        <w:pStyle w:val="OrderBody"/>
        <w:ind w:firstLine="720"/>
      </w:pPr>
    </w:p>
    <w:p w:rsidR="00E84EC1" w:rsidRDefault="00E84EC1" w:rsidP="000220D9">
      <w:pPr>
        <w:pStyle w:val="OrderBody"/>
        <w:ind w:firstLine="720"/>
      </w:pPr>
      <w:r>
        <w:t>ORDERED that upon issuance of a consummating order, this docket shall remain open pending our final decision on K W Resort Utilities Corp.’s final requested rates.</w:t>
      </w:r>
    </w:p>
    <w:p w:rsidR="00A208E9" w:rsidRDefault="00A208E9" w:rsidP="00A208E9">
      <w:pPr>
        <w:pStyle w:val="OrderBody"/>
      </w:pPr>
    </w:p>
    <w:p w:rsidR="00A208E9" w:rsidRDefault="00A208E9" w:rsidP="00A208E9">
      <w:pPr>
        <w:pStyle w:val="OrderBody"/>
        <w:keepNext/>
        <w:keepLines/>
      </w:pPr>
      <w:r>
        <w:lastRenderedPageBreak/>
        <w:tab/>
        <w:t xml:space="preserve">By ORDER of the Florida Public Service Commission this </w:t>
      </w:r>
      <w:bookmarkStart w:id="7" w:name="replaceDate"/>
      <w:bookmarkEnd w:id="7"/>
      <w:r w:rsidR="0060771B">
        <w:rPr>
          <w:u w:val="single"/>
        </w:rPr>
        <w:t>26th</w:t>
      </w:r>
      <w:r w:rsidR="0060771B">
        <w:t xml:space="preserve"> day of </w:t>
      </w:r>
      <w:r w:rsidR="0060771B">
        <w:rPr>
          <w:u w:val="single"/>
        </w:rPr>
        <w:t>February</w:t>
      </w:r>
      <w:r w:rsidR="0060771B">
        <w:t xml:space="preserve">, </w:t>
      </w:r>
      <w:r w:rsidR="0060771B">
        <w:rPr>
          <w:u w:val="single"/>
        </w:rPr>
        <w:t>2018</w:t>
      </w:r>
      <w:r w:rsidR="0060771B">
        <w:t>.</w:t>
      </w:r>
    </w:p>
    <w:p w:rsidR="0060771B" w:rsidRPr="0060771B" w:rsidRDefault="0060771B" w:rsidP="00A208E9">
      <w:pPr>
        <w:pStyle w:val="OrderBody"/>
        <w:keepNext/>
        <w:keepLines/>
      </w:pPr>
    </w:p>
    <w:p w:rsidR="00A208E9" w:rsidRDefault="00A208E9" w:rsidP="00A208E9">
      <w:pPr>
        <w:pStyle w:val="OrderBody"/>
        <w:keepNext/>
        <w:keepLines/>
      </w:pPr>
    </w:p>
    <w:p w:rsidR="00A208E9" w:rsidRDefault="00A208E9" w:rsidP="00A208E9">
      <w:pPr>
        <w:pStyle w:val="OrderBody"/>
        <w:keepNext/>
        <w:keepLines/>
      </w:pPr>
    </w:p>
    <w:p w:rsidR="00A208E9" w:rsidRDefault="00A208E9" w:rsidP="00A208E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208E9" w:rsidTr="00A208E9">
        <w:tc>
          <w:tcPr>
            <w:tcW w:w="720" w:type="dxa"/>
            <w:shd w:val="clear" w:color="auto" w:fill="auto"/>
          </w:tcPr>
          <w:p w:rsidR="00A208E9" w:rsidRDefault="00A208E9" w:rsidP="00A208E9">
            <w:pPr>
              <w:pStyle w:val="OrderBody"/>
              <w:keepNext/>
              <w:keepLines/>
            </w:pPr>
            <w:bookmarkStart w:id="8" w:name="bkmrkSignature" w:colFirst="0" w:colLast="0"/>
          </w:p>
        </w:tc>
        <w:tc>
          <w:tcPr>
            <w:tcW w:w="4320" w:type="dxa"/>
            <w:tcBorders>
              <w:bottom w:val="single" w:sz="4" w:space="0" w:color="auto"/>
            </w:tcBorders>
            <w:shd w:val="clear" w:color="auto" w:fill="auto"/>
          </w:tcPr>
          <w:p w:rsidR="00A208E9" w:rsidRDefault="0060771B" w:rsidP="00A208E9">
            <w:pPr>
              <w:pStyle w:val="OrderBody"/>
              <w:keepNext/>
              <w:keepLines/>
            </w:pPr>
            <w:r>
              <w:t>/s/ Carlotta S. Stauffer</w:t>
            </w:r>
            <w:bookmarkStart w:id="9" w:name="_GoBack"/>
            <w:bookmarkEnd w:id="9"/>
          </w:p>
        </w:tc>
      </w:tr>
      <w:bookmarkEnd w:id="8"/>
      <w:tr w:rsidR="00A208E9" w:rsidTr="00A208E9">
        <w:tc>
          <w:tcPr>
            <w:tcW w:w="720" w:type="dxa"/>
            <w:shd w:val="clear" w:color="auto" w:fill="auto"/>
          </w:tcPr>
          <w:p w:rsidR="00A208E9" w:rsidRDefault="00A208E9" w:rsidP="00A208E9">
            <w:pPr>
              <w:pStyle w:val="OrderBody"/>
              <w:keepNext/>
              <w:keepLines/>
            </w:pPr>
          </w:p>
        </w:tc>
        <w:tc>
          <w:tcPr>
            <w:tcW w:w="4320" w:type="dxa"/>
            <w:tcBorders>
              <w:top w:val="single" w:sz="4" w:space="0" w:color="auto"/>
            </w:tcBorders>
            <w:shd w:val="clear" w:color="auto" w:fill="auto"/>
          </w:tcPr>
          <w:p w:rsidR="00A208E9" w:rsidRDefault="00A208E9" w:rsidP="00A208E9">
            <w:pPr>
              <w:pStyle w:val="OrderBody"/>
              <w:keepNext/>
              <w:keepLines/>
            </w:pPr>
            <w:r>
              <w:t>CARLOTTA S. STAUFFER</w:t>
            </w:r>
          </w:p>
          <w:p w:rsidR="00A208E9" w:rsidRDefault="00A208E9" w:rsidP="00A208E9">
            <w:pPr>
              <w:pStyle w:val="OrderBody"/>
              <w:keepNext/>
              <w:keepLines/>
            </w:pPr>
            <w:r>
              <w:t>Commission Clerk</w:t>
            </w:r>
          </w:p>
        </w:tc>
      </w:tr>
    </w:tbl>
    <w:p w:rsidR="00A208E9" w:rsidRDefault="00A208E9" w:rsidP="00A208E9">
      <w:pPr>
        <w:pStyle w:val="OrderSigInfo"/>
        <w:keepNext/>
        <w:keepLines/>
      </w:pPr>
      <w:r>
        <w:t>Florida Public Service Commission</w:t>
      </w:r>
    </w:p>
    <w:p w:rsidR="00A208E9" w:rsidRDefault="00A208E9" w:rsidP="00A208E9">
      <w:pPr>
        <w:pStyle w:val="OrderSigInfo"/>
        <w:keepNext/>
        <w:keepLines/>
      </w:pPr>
      <w:r>
        <w:t>2540 Shumard Oak Boulevard</w:t>
      </w:r>
    </w:p>
    <w:p w:rsidR="00A208E9" w:rsidRDefault="00A208E9" w:rsidP="00A208E9">
      <w:pPr>
        <w:pStyle w:val="OrderSigInfo"/>
        <w:keepNext/>
        <w:keepLines/>
      </w:pPr>
      <w:r>
        <w:t>Tallahassee, Florida  32399</w:t>
      </w:r>
    </w:p>
    <w:p w:rsidR="00A208E9" w:rsidRDefault="00A208E9" w:rsidP="00A208E9">
      <w:pPr>
        <w:pStyle w:val="OrderSigInfo"/>
        <w:keepNext/>
        <w:keepLines/>
      </w:pPr>
      <w:r>
        <w:t>(850) 413</w:t>
      </w:r>
      <w:r>
        <w:noBreakHyphen/>
        <w:t>6770</w:t>
      </w:r>
    </w:p>
    <w:p w:rsidR="00A208E9" w:rsidRDefault="00A208E9" w:rsidP="00A208E9">
      <w:pPr>
        <w:pStyle w:val="OrderSigInfo"/>
        <w:keepNext/>
        <w:keepLines/>
      </w:pPr>
      <w:r>
        <w:t>www.floridapsc.com</w:t>
      </w:r>
    </w:p>
    <w:p w:rsidR="00A208E9" w:rsidRDefault="00A208E9" w:rsidP="00A208E9">
      <w:pPr>
        <w:pStyle w:val="OrderSigInfo"/>
        <w:keepNext/>
        <w:keepLines/>
      </w:pPr>
    </w:p>
    <w:p w:rsidR="00A208E9" w:rsidRDefault="00A208E9" w:rsidP="00A208E9">
      <w:pPr>
        <w:pStyle w:val="OrderSigInfo"/>
        <w:keepNext/>
        <w:keepLines/>
      </w:pPr>
      <w:r>
        <w:t>Copies furnished:  A copy of this document is provided to the parties of record at the time of issuance and, if applicable, interested persons.</w:t>
      </w:r>
    </w:p>
    <w:p w:rsidR="00E52407" w:rsidRDefault="00A208E9" w:rsidP="00A208E9">
      <w:pPr>
        <w:pStyle w:val="OrderBody"/>
      </w:pPr>
      <w:r>
        <w:t>KRM</w:t>
      </w:r>
    </w:p>
    <w:p w:rsidR="00926B9E" w:rsidRDefault="00926B9E" w:rsidP="00CC750A">
      <w:pPr>
        <w:pStyle w:val="CenterUnderline"/>
      </w:pPr>
    </w:p>
    <w:p w:rsidR="00926B9E" w:rsidRDefault="00926B9E" w:rsidP="00CC750A">
      <w:pPr>
        <w:pStyle w:val="CenterUnderline"/>
      </w:pPr>
    </w:p>
    <w:p w:rsidR="00926B9E" w:rsidRDefault="00926B9E" w:rsidP="00CC750A">
      <w:pPr>
        <w:pStyle w:val="CenterUnderline"/>
      </w:pPr>
    </w:p>
    <w:p w:rsidR="00926B9E" w:rsidRDefault="00926B9E" w:rsidP="00CC750A">
      <w:pPr>
        <w:pStyle w:val="CenterUnderline"/>
      </w:pPr>
    </w:p>
    <w:p w:rsidR="00926B9E" w:rsidRDefault="00926B9E" w:rsidP="00CC750A">
      <w:pPr>
        <w:pStyle w:val="CenterUnderline"/>
      </w:pPr>
    </w:p>
    <w:p w:rsidR="00926B9E" w:rsidRDefault="00926B9E" w:rsidP="00CC750A">
      <w:pPr>
        <w:pStyle w:val="CenterUnderline"/>
      </w:pPr>
    </w:p>
    <w:p w:rsidR="00891FC6" w:rsidRDefault="00891FC6">
      <w:pPr>
        <w:rPr>
          <w:u w:val="single"/>
        </w:rPr>
      </w:pPr>
      <w:r>
        <w:br w:type="page"/>
      </w:r>
    </w:p>
    <w:p w:rsidR="00CC750A" w:rsidRDefault="00CC750A" w:rsidP="00CC750A">
      <w:pPr>
        <w:pStyle w:val="CenterUnderline"/>
      </w:pPr>
      <w:r>
        <w:lastRenderedPageBreak/>
        <w:t>NOTICE OF FURTHER PROCEEDINGS OR JUDICIAL REVIEW</w:t>
      </w:r>
    </w:p>
    <w:p w:rsidR="00CC750A" w:rsidRDefault="00CC750A" w:rsidP="00CC750A">
      <w:pPr>
        <w:pStyle w:val="OrderBody"/>
      </w:pPr>
    </w:p>
    <w:p w:rsidR="00CC750A" w:rsidRDefault="00CC750A" w:rsidP="00CC75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C750A" w:rsidRDefault="00CC750A" w:rsidP="00CC750A">
      <w:pPr>
        <w:pStyle w:val="OrderBody"/>
      </w:pPr>
    </w:p>
    <w:p w:rsidR="00CC750A" w:rsidRDefault="00CC750A" w:rsidP="00CC750A">
      <w:pPr>
        <w:pStyle w:val="OrderBody"/>
      </w:pPr>
      <w:r>
        <w:tab/>
        <w:t xml:space="preserve">Any party adversely affected by </w:t>
      </w:r>
      <w:r w:rsidR="00E85CCD">
        <w:t>the approval of interim wastewater rates</w:t>
      </w:r>
      <w:r>
        <w:t xml:space="preserve">,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p>
    <w:p w:rsidR="00CC750A" w:rsidRDefault="00CC750A" w:rsidP="00CC750A">
      <w:pPr>
        <w:pStyle w:val="OrderBody"/>
      </w:pPr>
    </w:p>
    <w:p w:rsidR="00CC750A" w:rsidRDefault="00CC750A" w:rsidP="00CC750A">
      <w:pPr>
        <w:pStyle w:val="OrderBody"/>
      </w:pPr>
      <w:r>
        <w:tab/>
        <w:t xml:space="preserve">Any party adversely affected by </w:t>
      </w:r>
      <w:r w:rsidR="00E85CCD">
        <w:t>the suspension of</w:t>
      </w:r>
      <w:r>
        <w:t xml:space="preserve"> proposed final rates,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C750A" w:rsidRDefault="00CC750A" w:rsidP="00CC750A">
      <w:pPr>
        <w:pStyle w:val="OrderBody"/>
      </w:pPr>
    </w:p>
    <w:p w:rsidR="00CC750A" w:rsidRDefault="00CC750A" w:rsidP="00CC750A">
      <w:pPr>
        <w:pStyle w:val="OrderBody"/>
        <w:ind w:firstLine="720"/>
      </w:pPr>
      <w:r w:rsidRPr="00CC750A">
        <w:t>Mediation may be available on a case-by-case basis.  If mediation is conducted, it does not affect a substantially interested person's right to a hearing.</w:t>
      </w:r>
    </w:p>
    <w:p w:rsidR="00E85CCD" w:rsidRDefault="00E85CCD" w:rsidP="00E85CCD">
      <w:pPr>
        <w:pStyle w:val="OrderBody"/>
      </w:pPr>
    </w:p>
    <w:p w:rsidR="00E85CCD" w:rsidRDefault="00E85CCD" w:rsidP="00E85CCD">
      <w:pPr>
        <w:pStyle w:val="OrderBody"/>
      </w:pPr>
      <w:r>
        <w:tab/>
        <w:t>Any party adversely affected by the Commission's final action regarding a one-time surcharge,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85CCD" w:rsidRDefault="00E85CCD" w:rsidP="00E85CCD">
      <w:pPr>
        <w:pStyle w:val="OrderBody"/>
      </w:pPr>
    </w:p>
    <w:p w:rsidR="00CC750A" w:rsidRPr="00D71D97" w:rsidRDefault="00CC750A" w:rsidP="00D71D97">
      <w:pPr>
        <w:rPr>
          <w:u w:val="single"/>
        </w:rPr>
        <w:sectPr w:rsidR="00CC750A" w:rsidRPr="00D71D97" w:rsidSect="00A002CF">
          <w:headerReference w:type="default" r:id="rId8"/>
          <w:footerReference w:type="first" r:id="rId9"/>
          <w:pgSz w:w="12240" w:h="15840" w:code="1"/>
          <w:pgMar w:top="1440" w:right="1440" w:bottom="1440" w:left="1440" w:header="720" w:footer="720" w:gutter="0"/>
          <w:cols w:space="720"/>
          <w:titlePg/>
          <w:docGrid w:linePitch="360"/>
        </w:sectPr>
      </w:pPr>
    </w:p>
    <w:p w:rsidR="00A208E9" w:rsidRDefault="00A208E9" w:rsidP="00A208E9">
      <w:pPr>
        <w:pStyle w:val="OrderBody"/>
      </w:pPr>
    </w:p>
    <w:tbl>
      <w:tblPr>
        <w:tblW w:w="9689" w:type="dxa"/>
        <w:tblInd w:w="103" w:type="dxa"/>
        <w:tblLook w:val="04A0" w:firstRow="1" w:lastRow="0" w:firstColumn="1" w:lastColumn="0" w:noHBand="0" w:noVBand="1"/>
      </w:tblPr>
      <w:tblGrid>
        <w:gridCol w:w="326"/>
        <w:gridCol w:w="2739"/>
        <w:gridCol w:w="1487"/>
        <w:gridCol w:w="1243"/>
        <w:gridCol w:w="1353"/>
        <w:gridCol w:w="1378"/>
        <w:gridCol w:w="1378"/>
      </w:tblGrid>
      <w:tr w:rsidR="00F05335" w:rsidTr="00F05335">
        <w:trPr>
          <w:trHeight w:val="303"/>
        </w:trPr>
        <w:tc>
          <w:tcPr>
            <w:tcW w:w="3065" w:type="dxa"/>
            <w:gridSpan w:val="2"/>
            <w:tcBorders>
              <w:top w:val="single" w:sz="4" w:space="0" w:color="auto"/>
              <w:left w:val="single" w:sz="4" w:space="0" w:color="auto"/>
              <w:bottom w:val="nil"/>
              <w:right w:val="nil"/>
            </w:tcBorders>
            <w:shd w:val="clear" w:color="000000" w:fill="FFFFFF"/>
            <w:noWrap/>
            <w:vAlign w:val="bottom"/>
            <w:hideMark/>
          </w:tcPr>
          <w:p w:rsidR="00F05335" w:rsidRDefault="00F05335" w:rsidP="00F05335">
            <w:pPr>
              <w:rPr>
                <w:rFonts w:ascii="Arial" w:hAnsi="Arial" w:cs="Arial"/>
                <w:b/>
                <w:bCs/>
              </w:rPr>
            </w:pPr>
            <w:bookmarkStart w:id="11" w:name="RANGE!A38:G63"/>
            <w:r>
              <w:rPr>
                <w:rFonts w:ascii="Arial" w:hAnsi="Arial" w:cs="Arial"/>
                <w:b/>
                <w:bCs/>
              </w:rPr>
              <w:t>KWRU</w:t>
            </w:r>
            <w:bookmarkEnd w:id="11"/>
          </w:p>
        </w:tc>
        <w:tc>
          <w:tcPr>
            <w:tcW w:w="1487" w:type="dxa"/>
            <w:tcBorders>
              <w:top w:val="single" w:sz="4" w:space="0" w:color="auto"/>
              <w:left w:val="nil"/>
              <w:bottom w:val="nil"/>
              <w:right w:val="nil"/>
            </w:tcBorders>
            <w:shd w:val="clear" w:color="000000" w:fill="FFFFFF"/>
            <w:noWrap/>
            <w:vAlign w:val="bottom"/>
            <w:hideMark/>
          </w:tcPr>
          <w:p w:rsidR="00F05335" w:rsidRDefault="00F05335" w:rsidP="00F05335">
            <w:pPr>
              <w:rPr>
                <w:rFonts w:ascii="Courier New" w:hAnsi="Courier New" w:cs="Courier New"/>
                <w:b/>
                <w:bCs/>
                <w:color w:val="000000"/>
              </w:rPr>
            </w:pPr>
            <w:r>
              <w:rPr>
                <w:rFonts w:ascii="Courier New" w:hAnsi="Courier New" w:cs="Courier New"/>
                <w:b/>
                <w:bCs/>
                <w:color w:val="000000"/>
              </w:rPr>
              <w:t> </w:t>
            </w:r>
          </w:p>
        </w:tc>
        <w:tc>
          <w:tcPr>
            <w:tcW w:w="1243" w:type="dxa"/>
            <w:tcBorders>
              <w:top w:val="single" w:sz="4" w:space="0" w:color="auto"/>
              <w:left w:val="nil"/>
              <w:bottom w:val="nil"/>
              <w:right w:val="nil"/>
            </w:tcBorders>
            <w:shd w:val="clear" w:color="000000" w:fill="FFFFFF"/>
            <w:noWrap/>
            <w:vAlign w:val="bottom"/>
            <w:hideMark/>
          </w:tcPr>
          <w:p w:rsidR="00F05335" w:rsidRDefault="00F05335" w:rsidP="00F05335">
            <w:pPr>
              <w:rPr>
                <w:rFonts w:ascii="Courier New" w:hAnsi="Courier New" w:cs="Courier New"/>
                <w:b/>
                <w:bCs/>
                <w:color w:val="000000"/>
              </w:rPr>
            </w:pPr>
            <w:r>
              <w:rPr>
                <w:rFonts w:ascii="Courier New" w:hAnsi="Courier New" w:cs="Courier New"/>
                <w:b/>
                <w:bCs/>
                <w:color w:val="000000"/>
              </w:rPr>
              <w:t> </w:t>
            </w:r>
          </w:p>
        </w:tc>
        <w:tc>
          <w:tcPr>
            <w:tcW w:w="1353" w:type="dxa"/>
            <w:tcBorders>
              <w:top w:val="single" w:sz="4" w:space="0" w:color="auto"/>
              <w:left w:val="nil"/>
              <w:bottom w:val="nil"/>
              <w:right w:val="nil"/>
            </w:tcBorders>
            <w:shd w:val="clear" w:color="000000" w:fill="FFFFFF"/>
            <w:noWrap/>
            <w:vAlign w:val="bottom"/>
            <w:hideMark/>
          </w:tcPr>
          <w:p w:rsidR="00F05335" w:rsidRDefault="00F05335" w:rsidP="00F05335">
            <w:pPr>
              <w:rPr>
                <w:rFonts w:ascii="Courier New" w:hAnsi="Courier New" w:cs="Courier New"/>
                <w:b/>
                <w:bCs/>
                <w:color w:val="000000"/>
              </w:rPr>
            </w:pPr>
            <w:r>
              <w:rPr>
                <w:rFonts w:ascii="Courier New" w:hAnsi="Courier New" w:cs="Courier New"/>
                <w:b/>
                <w:bCs/>
                <w:color w:val="000000"/>
              </w:rPr>
              <w:t> </w:t>
            </w:r>
          </w:p>
        </w:tc>
        <w:tc>
          <w:tcPr>
            <w:tcW w:w="2541" w:type="dxa"/>
            <w:gridSpan w:val="2"/>
            <w:tcBorders>
              <w:top w:val="single" w:sz="4" w:space="0" w:color="auto"/>
              <w:left w:val="nil"/>
              <w:bottom w:val="nil"/>
              <w:right w:val="single" w:sz="4" w:space="0" w:color="000000"/>
            </w:tcBorders>
            <w:shd w:val="clear" w:color="000000" w:fill="FFFFFF"/>
            <w:noWrap/>
            <w:vAlign w:val="bottom"/>
            <w:hideMark/>
          </w:tcPr>
          <w:p w:rsidR="00F05335" w:rsidRDefault="00F05335" w:rsidP="00F05335">
            <w:pPr>
              <w:jc w:val="right"/>
              <w:rPr>
                <w:rFonts w:ascii="Arial" w:hAnsi="Arial" w:cs="Arial"/>
                <w:b/>
                <w:bCs/>
              </w:rPr>
            </w:pPr>
            <w:r>
              <w:rPr>
                <w:rFonts w:ascii="Arial" w:hAnsi="Arial" w:cs="Arial"/>
                <w:b/>
                <w:bCs/>
              </w:rPr>
              <w:t>Schedule No. 1-A</w:t>
            </w:r>
          </w:p>
        </w:tc>
      </w:tr>
      <w:tr w:rsidR="00F05335" w:rsidTr="00F05335">
        <w:trPr>
          <w:trHeight w:val="303"/>
        </w:trPr>
        <w:tc>
          <w:tcPr>
            <w:tcW w:w="4552" w:type="dxa"/>
            <w:gridSpan w:val="3"/>
            <w:tcBorders>
              <w:top w:val="nil"/>
              <w:left w:val="single" w:sz="4" w:space="0" w:color="auto"/>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Schedule of Wastewater Rate Base</w:t>
            </w:r>
          </w:p>
        </w:tc>
        <w:tc>
          <w:tcPr>
            <w:tcW w:w="1243" w:type="dxa"/>
            <w:tcBorders>
              <w:top w:val="nil"/>
              <w:left w:val="nil"/>
              <w:bottom w:val="nil"/>
              <w:right w:val="nil"/>
            </w:tcBorders>
            <w:shd w:val="clear" w:color="000000" w:fill="FFFFFF"/>
            <w:noWrap/>
            <w:vAlign w:val="bottom"/>
            <w:hideMark/>
          </w:tcPr>
          <w:p w:rsidR="00F05335" w:rsidRDefault="00F05335" w:rsidP="00F05335">
            <w:pPr>
              <w:rPr>
                <w:rFonts w:ascii="Courier New" w:hAnsi="Courier New" w:cs="Courier New"/>
                <w:b/>
                <w:bCs/>
                <w:color w:val="000000"/>
              </w:rPr>
            </w:pPr>
            <w:r>
              <w:rPr>
                <w:rFonts w:ascii="Courier New" w:hAnsi="Courier New" w:cs="Courier New"/>
                <w:b/>
                <w:bCs/>
                <w:color w:val="000000"/>
              </w:rPr>
              <w:t> </w:t>
            </w:r>
          </w:p>
        </w:tc>
        <w:tc>
          <w:tcPr>
            <w:tcW w:w="3894" w:type="dxa"/>
            <w:gridSpan w:val="3"/>
            <w:tcBorders>
              <w:top w:val="nil"/>
              <w:left w:val="nil"/>
              <w:bottom w:val="nil"/>
              <w:right w:val="single" w:sz="4" w:space="0" w:color="000000"/>
            </w:tcBorders>
            <w:shd w:val="clear" w:color="000000" w:fill="FFFFFF"/>
            <w:noWrap/>
            <w:vAlign w:val="bottom"/>
            <w:hideMark/>
          </w:tcPr>
          <w:p w:rsidR="00F05335" w:rsidRDefault="00F05335" w:rsidP="00F05335">
            <w:pPr>
              <w:jc w:val="right"/>
              <w:rPr>
                <w:rFonts w:ascii="Arial" w:hAnsi="Arial" w:cs="Arial"/>
                <w:b/>
                <w:bCs/>
              </w:rPr>
            </w:pPr>
            <w:r>
              <w:rPr>
                <w:rFonts w:ascii="Courier New" w:hAnsi="Courier New" w:cs="Courier New"/>
                <w:b/>
                <w:bCs/>
                <w:color w:val="000000"/>
              </w:rPr>
              <w:t> </w:t>
            </w:r>
            <w:r>
              <w:rPr>
                <w:rFonts w:ascii="Arial" w:hAnsi="Arial" w:cs="Arial"/>
                <w:b/>
                <w:bCs/>
              </w:rPr>
              <w:t>Docket No. 20170141-SU</w:t>
            </w:r>
          </w:p>
        </w:tc>
      </w:tr>
      <w:tr w:rsidR="00F05335" w:rsidTr="00F05335">
        <w:trPr>
          <w:trHeight w:val="303"/>
        </w:trPr>
        <w:tc>
          <w:tcPr>
            <w:tcW w:w="4552" w:type="dxa"/>
            <w:gridSpan w:val="3"/>
            <w:tcBorders>
              <w:top w:val="nil"/>
              <w:left w:val="single" w:sz="4" w:space="0" w:color="auto"/>
              <w:bottom w:val="single" w:sz="4" w:space="0" w:color="000000"/>
              <w:right w:val="nil"/>
            </w:tcBorders>
            <w:shd w:val="clear" w:color="000000" w:fill="FFFFFF"/>
            <w:noWrap/>
            <w:hideMark/>
          </w:tcPr>
          <w:p w:rsidR="00F05335" w:rsidRDefault="00F05335" w:rsidP="00F05335">
            <w:pPr>
              <w:rPr>
                <w:rFonts w:ascii="Courier New" w:hAnsi="Courier New" w:cs="Courier New"/>
                <w:b/>
                <w:bCs/>
                <w:color w:val="000000"/>
              </w:rPr>
            </w:pPr>
            <w:r>
              <w:rPr>
                <w:rFonts w:ascii="Arial" w:hAnsi="Arial" w:cs="Arial"/>
                <w:b/>
                <w:bCs/>
              </w:rPr>
              <w:t>Test Year Ended 06/30/17</w:t>
            </w:r>
            <w:r>
              <w:rPr>
                <w:rFonts w:ascii="Courier New" w:hAnsi="Courier New" w:cs="Courier New"/>
                <w:b/>
                <w:bCs/>
                <w:color w:val="000000"/>
              </w:rPr>
              <w:t> </w:t>
            </w:r>
          </w:p>
        </w:tc>
        <w:tc>
          <w:tcPr>
            <w:tcW w:w="1243" w:type="dxa"/>
            <w:tcBorders>
              <w:top w:val="nil"/>
              <w:left w:val="nil"/>
              <w:bottom w:val="nil"/>
              <w:right w:val="nil"/>
            </w:tcBorders>
            <w:shd w:val="clear" w:color="000000" w:fill="FFFFFF"/>
            <w:noWrap/>
            <w:vAlign w:val="bottom"/>
            <w:hideMark/>
          </w:tcPr>
          <w:p w:rsidR="00F05335" w:rsidRDefault="00F05335" w:rsidP="00F05335">
            <w:pPr>
              <w:rPr>
                <w:rFonts w:ascii="Courier New" w:hAnsi="Courier New" w:cs="Courier New"/>
                <w:b/>
                <w:bCs/>
                <w:color w:val="000000"/>
              </w:rPr>
            </w:pPr>
            <w:r>
              <w:rPr>
                <w:rFonts w:ascii="Courier New" w:hAnsi="Courier New" w:cs="Courier New"/>
                <w:b/>
                <w:bCs/>
                <w:color w:val="000000"/>
              </w:rPr>
              <w:t> </w:t>
            </w:r>
          </w:p>
        </w:tc>
        <w:tc>
          <w:tcPr>
            <w:tcW w:w="1353" w:type="dxa"/>
            <w:tcBorders>
              <w:top w:val="nil"/>
              <w:left w:val="nil"/>
              <w:bottom w:val="nil"/>
              <w:right w:val="nil"/>
            </w:tcBorders>
            <w:shd w:val="clear" w:color="000000" w:fill="FFFFFF"/>
            <w:noWrap/>
            <w:vAlign w:val="bottom"/>
            <w:hideMark/>
          </w:tcPr>
          <w:p w:rsidR="00F05335" w:rsidRDefault="00F05335" w:rsidP="00F05335">
            <w:pPr>
              <w:rPr>
                <w:rFonts w:ascii="Courier New" w:hAnsi="Courier New" w:cs="Courier New"/>
                <w:b/>
                <w:bCs/>
                <w:color w:val="000000"/>
              </w:rPr>
            </w:pPr>
            <w:r>
              <w:rPr>
                <w:rFonts w:ascii="Courier New" w:hAnsi="Courier New" w:cs="Courier New"/>
                <w:b/>
                <w:bCs/>
                <w:color w:val="000000"/>
              </w:rPr>
              <w:t> </w:t>
            </w:r>
          </w:p>
        </w:tc>
        <w:tc>
          <w:tcPr>
            <w:tcW w:w="1188" w:type="dxa"/>
            <w:tcBorders>
              <w:top w:val="nil"/>
              <w:left w:val="nil"/>
              <w:bottom w:val="nil"/>
              <w:right w:val="nil"/>
            </w:tcBorders>
            <w:shd w:val="clear" w:color="000000" w:fill="FFFFFF"/>
            <w:noWrap/>
            <w:vAlign w:val="bottom"/>
            <w:hideMark/>
          </w:tcPr>
          <w:p w:rsidR="00F05335" w:rsidRDefault="00F05335" w:rsidP="00F05335">
            <w:pPr>
              <w:rPr>
                <w:rFonts w:ascii="Courier New" w:hAnsi="Courier New" w:cs="Courier New"/>
                <w:b/>
                <w:bCs/>
                <w:color w:val="000000"/>
              </w:rPr>
            </w:pPr>
            <w:r>
              <w:rPr>
                <w:rFonts w:ascii="Courier New" w:hAnsi="Courier New" w:cs="Courier New"/>
                <w:b/>
                <w:bCs/>
                <w:color w:val="000000"/>
              </w:rPr>
              <w:t>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739" w:type="dxa"/>
            <w:vMerge w:val="restart"/>
            <w:tcBorders>
              <w:top w:val="nil"/>
              <w:left w:val="nil"/>
              <w:bottom w:val="single" w:sz="4" w:space="0" w:color="000000"/>
              <w:right w:val="nil"/>
            </w:tcBorders>
            <w:shd w:val="clear" w:color="000000" w:fill="FFFFFF"/>
            <w:noWrap/>
            <w:vAlign w:val="center"/>
            <w:hideMark/>
          </w:tcPr>
          <w:p w:rsidR="00F05335" w:rsidRDefault="00F05335" w:rsidP="00F05335">
            <w:pPr>
              <w:jc w:val="center"/>
              <w:rPr>
                <w:b/>
                <w:bCs/>
                <w:sz w:val="22"/>
                <w:szCs w:val="22"/>
              </w:rPr>
            </w:pPr>
            <w:r>
              <w:rPr>
                <w:b/>
                <w:bCs/>
                <w:sz w:val="22"/>
                <w:szCs w:val="22"/>
              </w:rPr>
              <w:t>Description</w:t>
            </w:r>
          </w:p>
        </w:tc>
        <w:tc>
          <w:tcPr>
            <w:tcW w:w="1487" w:type="dxa"/>
            <w:tcBorders>
              <w:top w:val="single" w:sz="4" w:space="0" w:color="auto"/>
              <w:left w:val="nil"/>
              <w:bottom w:val="nil"/>
              <w:right w:val="nil"/>
            </w:tcBorders>
            <w:shd w:val="clear" w:color="000000" w:fill="FFFFFF"/>
            <w:noWrap/>
            <w:vAlign w:val="bottom"/>
            <w:hideMark/>
          </w:tcPr>
          <w:p w:rsidR="00F05335" w:rsidRDefault="00F05335" w:rsidP="00F05335">
            <w:pPr>
              <w:jc w:val="center"/>
              <w:rPr>
                <w:b/>
                <w:bCs/>
                <w:sz w:val="22"/>
                <w:szCs w:val="22"/>
              </w:rPr>
            </w:pPr>
            <w:r>
              <w:rPr>
                <w:b/>
                <w:bCs/>
                <w:sz w:val="22"/>
                <w:szCs w:val="22"/>
              </w:rPr>
              <w:t>Test Year</w:t>
            </w:r>
          </w:p>
        </w:tc>
        <w:tc>
          <w:tcPr>
            <w:tcW w:w="1243" w:type="dxa"/>
            <w:tcBorders>
              <w:top w:val="single" w:sz="4" w:space="0" w:color="auto"/>
              <w:left w:val="nil"/>
              <w:bottom w:val="nil"/>
              <w:right w:val="nil"/>
            </w:tcBorders>
            <w:shd w:val="clear" w:color="000000" w:fill="FFFFFF"/>
            <w:noWrap/>
            <w:vAlign w:val="bottom"/>
            <w:hideMark/>
          </w:tcPr>
          <w:p w:rsidR="00F05335" w:rsidRDefault="00F05335" w:rsidP="00F05335">
            <w:pPr>
              <w:jc w:val="center"/>
              <w:rPr>
                <w:b/>
                <w:bCs/>
                <w:sz w:val="22"/>
                <w:szCs w:val="22"/>
              </w:rPr>
            </w:pPr>
            <w:r>
              <w:rPr>
                <w:b/>
                <w:bCs/>
                <w:sz w:val="22"/>
                <w:szCs w:val="22"/>
              </w:rPr>
              <w:t>Utility</w:t>
            </w:r>
          </w:p>
        </w:tc>
        <w:tc>
          <w:tcPr>
            <w:tcW w:w="1353" w:type="dxa"/>
            <w:tcBorders>
              <w:top w:val="single" w:sz="4" w:space="0" w:color="auto"/>
              <w:left w:val="nil"/>
              <w:bottom w:val="nil"/>
              <w:right w:val="nil"/>
            </w:tcBorders>
            <w:shd w:val="clear" w:color="000000" w:fill="FFFFFF"/>
            <w:noWrap/>
            <w:vAlign w:val="bottom"/>
            <w:hideMark/>
          </w:tcPr>
          <w:p w:rsidR="00F05335" w:rsidRDefault="00F05335" w:rsidP="00F05335">
            <w:pPr>
              <w:jc w:val="center"/>
              <w:rPr>
                <w:b/>
                <w:bCs/>
                <w:sz w:val="22"/>
                <w:szCs w:val="22"/>
              </w:rPr>
            </w:pPr>
            <w:r>
              <w:rPr>
                <w:b/>
                <w:bCs/>
                <w:sz w:val="22"/>
                <w:szCs w:val="22"/>
              </w:rPr>
              <w:t>Adjusted</w:t>
            </w:r>
          </w:p>
        </w:tc>
        <w:tc>
          <w:tcPr>
            <w:tcW w:w="1188" w:type="dxa"/>
            <w:tcBorders>
              <w:top w:val="single" w:sz="4" w:space="0" w:color="auto"/>
              <w:left w:val="nil"/>
              <w:bottom w:val="nil"/>
              <w:right w:val="nil"/>
            </w:tcBorders>
            <w:shd w:val="clear" w:color="000000" w:fill="FFFFFF"/>
            <w:noWrap/>
            <w:vAlign w:val="bottom"/>
            <w:hideMark/>
          </w:tcPr>
          <w:p w:rsidR="00F05335" w:rsidRDefault="00D71D97" w:rsidP="00F05335">
            <w:pPr>
              <w:jc w:val="center"/>
              <w:rPr>
                <w:b/>
                <w:bCs/>
                <w:sz w:val="22"/>
                <w:szCs w:val="22"/>
              </w:rPr>
            </w:pPr>
            <w:r>
              <w:rPr>
                <w:b/>
                <w:bCs/>
                <w:sz w:val="22"/>
                <w:szCs w:val="22"/>
              </w:rPr>
              <w:t>Commission</w:t>
            </w:r>
          </w:p>
        </w:tc>
        <w:tc>
          <w:tcPr>
            <w:tcW w:w="1353" w:type="dxa"/>
            <w:tcBorders>
              <w:top w:val="single" w:sz="4" w:space="0" w:color="auto"/>
              <w:left w:val="nil"/>
              <w:bottom w:val="nil"/>
              <w:right w:val="single" w:sz="4" w:space="0" w:color="auto"/>
            </w:tcBorders>
            <w:shd w:val="clear" w:color="000000" w:fill="FFFFFF"/>
            <w:noWrap/>
            <w:vAlign w:val="bottom"/>
            <w:hideMark/>
          </w:tcPr>
          <w:p w:rsidR="00F05335" w:rsidRDefault="00D71D97" w:rsidP="00F05335">
            <w:pPr>
              <w:jc w:val="center"/>
              <w:rPr>
                <w:b/>
                <w:bCs/>
                <w:sz w:val="22"/>
                <w:szCs w:val="22"/>
              </w:rPr>
            </w:pPr>
            <w:r>
              <w:rPr>
                <w:b/>
                <w:bCs/>
                <w:sz w:val="22"/>
                <w:szCs w:val="22"/>
              </w:rPr>
              <w:t>Commission</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739" w:type="dxa"/>
            <w:vMerge/>
            <w:tcBorders>
              <w:top w:val="nil"/>
              <w:left w:val="nil"/>
              <w:bottom w:val="single" w:sz="4" w:space="0" w:color="000000"/>
              <w:right w:val="nil"/>
            </w:tcBorders>
            <w:vAlign w:val="center"/>
            <w:hideMark/>
          </w:tcPr>
          <w:p w:rsidR="00F05335" w:rsidRDefault="00F05335" w:rsidP="00F05335">
            <w:pPr>
              <w:rPr>
                <w:b/>
                <w:bCs/>
                <w:sz w:val="22"/>
                <w:szCs w:val="22"/>
              </w:rPr>
            </w:pPr>
          </w:p>
        </w:tc>
        <w:tc>
          <w:tcPr>
            <w:tcW w:w="1487" w:type="dxa"/>
            <w:tcBorders>
              <w:top w:val="nil"/>
              <w:left w:val="nil"/>
              <w:bottom w:val="nil"/>
              <w:right w:val="nil"/>
            </w:tcBorders>
            <w:shd w:val="clear" w:color="000000" w:fill="FFFFFF"/>
            <w:noWrap/>
            <w:vAlign w:val="bottom"/>
            <w:hideMark/>
          </w:tcPr>
          <w:p w:rsidR="00F05335" w:rsidRDefault="00F05335" w:rsidP="00F05335">
            <w:pPr>
              <w:jc w:val="center"/>
              <w:rPr>
                <w:b/>
                <w:bCs/>
                <w:sz w:val="22"/>
                <w:szCs w:val="22"/>
              </w:rPr>
            </w:pPr>
            <w:r>
              <w:rPr>
                <w:b/>
                <w:bCs/>
                <w:sz w:val="22"/>
                <w:szCs w:val="22"/>
              </w:rPr>
              <w:t>Per</w:t>
            </w:r>
          </w:p>
        </w:tc>
        <w:tc>
          <w:tcPr>
            <w:tcW w:w="1243" w:type="dxa"/>
            <w:tcBorders>
              <w:top w:val="nil"/>
              <w:left w:val="nil"/>
              <w:bottom w:val="nil"/>
              <w:right w:val="nil"/>
            </w:tcBorders>
            <w:shd w:val="clear" w:color="000000" w:fill="FFFFFF"/>
            <w:noWrap/>
            <w:vAlign w:val="bottom"/>
            <w:hideMark/>
          </w:tcPr>
          <w:p w:rsidR="00F05335" w:rsidRDefault="00F05335" w:rsidP="00F05335">
            <w:pPr>
              <w:jc w:val="center"/>
              <w:rPr>
                <w:b/>
                <w:bCs/>
                <w:sz w:val="22"/>
                <w:szCs w:val="22"/>
              </w:rPr>
            </w:pPr>
            <w:r>
              <w:rPr>
                <w:b/>
                <w:bCs/>
                <w:sz w:val="22"/>
                <w:szCs w:val="22"/>
              </w:rPr>
              <w:t>Adjust-</w:t>
            </w:r>
          </w:p>
        </w:tc>
        <w:tc>
          <w:tcPr>
            <w:tcW w:w="1353" w:type="dxa"/>
            <w:tcBorders>
              <w:top w:val="nil"/>
              <w:left w:val="nil"/>
              <w:bottom w:val="nil"/>
              <w:right w:val="nil"/>
            </w:tcBorders>
            <w:shd w:val="clear" w:color="000000" w:fill="FFFFFF"/>
            <w:noWrap/>
            <w:vAlign w:val="bottom"/>
            <w:hideMark/>
          </w:tcPr>
          <w:p w:rsidR="00F05335" w:rsidRDefault="00F05335" w:rsidP="00F05335">
            <w:pPr>
              <w:jc w:val="center"/>
              <w:rPr>
                <w:b/>
                <w:bCs/>
                <w:sz w:val="22"/>
                <w:szCs w:val="22"/>
              </w:rPr>
            </w:pPr>
            <w:r>
              <w:rPr>
                <w:b/>
                <w:bCs/>
                <w:sz w:val="22"/>
                <w:szCs w:val="22"/>
              </w:rPr>
              <w:t>Test Year</w:t>
            </w:r>
          </w:p>
        </w:tc>
        <w:tc>
          <w:tcPr>
            <w:tcW w:w="1188" w:type="dxa"/>
            <w:tcBorders>
              <w:top w:val="nil"/>
              <w:left w:val="nil"/>
              <w:bottom w:val="nil"/>
              <w:right w:val="nil"/>
            </w:tcBorders>
            <w:shd w:val="clear" w:color="000000" w:fill="FFFFFF"/>
            <w:noWrap/>
            <w:vAlign w:val="bottom"/>
            <w:hideMark/>
          </w:tcPr>
          <w:p w:rsidR="00F05335" w:rsidRDefault="00F05335" w:rsidP="00F05335">
            <w:pPr>
              <w:jc w:val="center"/>
              <w:rPr>
                <w:b/>
                <w:bCs/>
                <w:sz w:val="22"/>
                <w:szCs w:val="22"/>
              </w:rPr>
            </w:pPr>
            <w:r>
              <w:rPr>
                <w:b/>
                <w:bCs/>
                <w:sz w:val="22"/>
                <w:szCs w:val="22"/>
              </w:rPr>
              <w:t>Adjust-</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jc w:val="center"/>
              <w:rPr>
                <w:b/>
                <w:bCs/>
                <w:sz w:val="22"/>
                <w:szCs w:val="22"/>
              </w:rPr>
            </w:pPr>
            <w:r>
              <w:rPr>
                <w:b/>
                <w:bCs/>
                <w:sz w:val="22"/>
                <w:szCs w:val="22"/>
              </w:rPr>
              <w:t>Adjusted</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739" w:type="dxa"/>
            <w:vMerge/>
            <w:tcBorders>
              <w:top w:val="nil"/>
              <w:left w:val="nil"/>
              <w:bottom w:val="single" w:sz="4" w:space="0" w:color="000000"/>
              <w:right w:val="nil"/>
            </w:tcBorders>
            <w:vAlign w:val="center"/>
            <w:hideMark/>
          </w:tcPr>
          <w:p w:rsidR="00F05335" w:rsidRDefault="00F05335" w:rsidP="00F05335">
            <w:pPr>
              <w:rPr>
                <w:b/>
                <w:bCs/>
                <w:sz w:val="22"/>
                <w:szCs w:val="22"/>
              </w:rPr>
            </w:pPr>
          </w:p>
        </w:tc>
        <w:tc>
          <w:tcPr>
            <w:tcW w:w="1487" w:type="dxa"/>
            <w:tcBorders>
              <w:top w:val="nil"/>
              <w:left w:val="nil"/>
              <w:bottom w:val="nil"/>
              <w:right w:val="nil"/>
            </w:tcBorders>
            <w:shd w:val="clear" w:color="000000" w:fill="FFFFFF"/>
            <w:noWrap/>
            <w:vAlign w:val="bottom"/>
            <w:hideMark/>
          </w:tcPr>
          <w:p w:rsidR="00F05335" w:rsidRDefault="00F05335" w:rsidP="00F05335">
            <w:pPr>
              <w:jc w:val="center"/>
              <w:rPr>
                <w:b/>
                <w:bCs/>
                <w:sz w:val="22"/>
                <w:szCs w:val="22"/>
              </w:rPr>
            </w:pPr>
            <w:r>
              <w:rPr>
                <w:b/>
                <w:bCs/>
                <w:sz w:val="22"/>
                <w:szCs w:val="22"/>
              </w:rPr>
              <w:t>Utility</w:t>
            </w:r>
          </w:p>
        </w:tc>
        <w:tc>
          <w:tcPr>
            <w:tcW w:w="1243" w:type="dxa"/>
            <w:tcBorders>
              <w:top w:val="nil"/>
              <w:left w:val="nil"/>
              <w:bottom w:val="nil"/>
              <w:right w:val="nil"/>
            </w:tcBorders>
            <w:shd w:val="clear" w:color="000000" w:fill="FFFFFF"/>
            <w:noWrap/>
            <w:vAlign w:val="bottom"/>
            <w:hideMark/>
          </w:tcPr>
          <w:p w:rsidR="00F05335" w:rsidRDefault="00F05335" w:rsidP="00F05335">
            <w:pPr>
              <w:jc w:val="center"/>
              <w:rPr>
                <w:b/>
                <w:bCs/>
                <w:sz w:val="22"/>
                <w:szCs w:val="22"/>
              </w:rPr>
            </w:pPr>
            <w:r>
              <w:rPr>
                <w:b/>
                <w:bCs/>
                <w:sz w:val="22"/>
                <w:szCs w:val="22"/>
              </w:rPr>
              <w:t>ments</w:t>
            </w:r>
          </w:p>
        </w:tc>
        <w:tc>
          <w:tcPr>
            <w:tcW w:w="1353" w:type="dxa"/>
            <w:tcBorders>
              <w:top w:val="nil"/>
              <w:left w:val="nil"/>
              <w:bottom w:val="nil"/>
              <w:right w:val="nil"/>
            </w:tcBorders>
            <w:shd w:val="clear" w:color="000000" w:fill="FFFFFF"/>
            <w:noWrap/>
            <w:vAlign w:val="bottom"/>
            <w:hideMark/>
          </w:tcPr>
          <w:p w:rsidR="00F05335" w:rsidRDefault="00F05335" w:rsidP="00F05335">
            <w:pPr>
              <w:jc w:val="center"/>
              <w:rPr>
                <w:b/>
                <w:bCs/>
                <w:sz w:val="22"/>
                <w:szCs w:val="22"/>
              </w:rPr>
            </w:pPr>
            <w:r>
              <w:rPr>
                <w:b/>
                <w:bCs/>
                <w:sz w:val="22"/>
                <w:szCs w:val="22"/>
              </w:rPr>
              <w:t>Per Utility</w:t>
            </w:r>
          </w:p>
        </w:tc>
        <w:tc>
          <w:tcPr>
            <w:tcW w:w="1188" w:type="dxa"/>
            <w:tcBorders>
              <w:top w:val="nil"/>
              <w:left w:val="nil"/>
              <w:bottom w:val="nil"/>
              <w:right w:val="nil"/>
            </w:tcBorders>
            <w:shd w:val="clear" w:color="000000" w:fill="FFFFFF"/>
            <w:noWrap/>
            <w:vAlign w:val="bottom"/>
            <w:hideMark/>
          </w:tcPr>
          <w:p w:rsidR="00F05335" w:rsidRDefault="00F05335" w:rsidP="00F05335">
            <w:pPr>
              <w:jc w:val="center"/>
              <w:rPr>
                <w:b/>
                <w:bCs/>
                <w:sz w:val="22"/>
                <w:szCs w:val="22"/>
              </w:rPr>
            </w:pPr>
            <w:r>
              <w:rPr>
                <w:b/>
                <w:bCs/>
                <w:sz w:val="22"/>
                <w:szCs w:val="22"/>
              </w:rPr>
              <w:t>ments</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jc w:val="center"/>
              <w:rPr>
                <w:b/>
                <w:bCs/>
                <w:sz w:val="22"/>
                <w:szCs w:val="22"/>
              </w:rPr>
            </w:pPr>
            <w:r>
              <w:rPr>
                <w:b/>
                <w:bCs/>
                <w:sz w:val="22"/>
                <w:szCs w:val="22"/>
              </w:rPr>
              <w:t>Test Year</w:t>
            </w:r>
          </w:p>
        </w:tc>
      </w:tr>
      <w:tr w:rsidR="00F05335" w:rsidTr="00F05335">
        <w:trPr>
          <w:trHeight w:val="303"/>
        </w:trPr>
        <w:tc>
          <w:tcPr>
            <w:tcW w:w="326" w:type="dxa"/>
            <w:tcBorders>
              <w:top w:val="single" w:sz="4" w:space="0" w:color="000000"/>
              <w:left w:val="single" w:sz="4" w:space="0" w:color="auto"/>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487" w:type="dxa"/>
            <w:tcBorders>
              <w:top w:val="single" w:sz="4" w:space="0" w:color="000000"/>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43" w:type="dxa"/>
            <w:tcBorders>
              <w:top w:val="single" w:sz="4" w:space="0" w:color="000000"/>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353" w:type="dxa"/>
            <w:tcBorders>
              <w:top w:val="single" w:sz="4" w:space="0" w:color="000000"/>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188" w:type="dxa"/>
            <w:tcBorders>
              <w:top w:val="single" w:sz="4" w:space="0" w:color="000000"/>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353" w:type="dxa"/>
            <w:tcBorders>
              <w:top w:val="single" w:sz="4" w:space="0" w:color="000000"/>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188"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1</w:t>
            </w:r>
          </w:p>
        </w:tc>
        <w:tc>
          <w:tcPr>
            <w:tcW w:w="2739"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Plant in Service</w:t>
            </w:r>
          </w:p>
        </w:tc>
        <w:tc>
          <w:tcPr>
            <w:tcW w:w="1487"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$17,465,392 </w:t>
            </w:r>
          </w:p>
        </w:tc>
        <w:tc>
          <w:tcPr>
            <w:tcW w:w="1243"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($390,690)</w:t>
            </w:r>
          </w:p>
        </w:tc>
        <w:tc>
          <w:tcPr>
            <w:tcW w:w="1353"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$17,074,702 </w:t>
            </w:r>
          </w:p>
        </w:tc>
        <w:tc>
          <w:tcPr>
            <w:tcW w:w="1188"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jc w:val="right"/>
              <w:rPr>
                <w:sz w:val="22"/>
                <w:szCs w:val="22"/>
              </w:rPr>
            </w:pPr>
            <w:r>
              <w:rPr>
                <w:sz w:val="22"/>
                <w:szCs w:val="22"/>
              </w:rPr>
              <w:t xml:space="preserve">$17,074,702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2</w:t>
            </w:r>
          </w:p>
        </w:tc>
        <w:tc>
          <w:tcPr>
            <w:tcW w:w="2739"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Land and Land Rights</w:t>
            </w:r>
          </w:p>
        </w:tc>
        <w:tc>
          <w:tcPr>
            <w:tcW w:w="1487"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375,000 </w:t>
            </w:r>
          </w:p>
        </w:tc>
        <w:tc>
          <w:tcPr>
            <w:tcW w:w="1243"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375,000 </w:t>
            </w:r>
          </w:p>
        </w:tc>
        <w:tc>
          <w:tcPr>
            <w:tcW w:w="1188"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jc w:val="right"/>
              <w:rPr>
                <w:sz w:val="22"/>
                <w:szCs w:val="22"/>
              </w:rPr>
            </w:pPr>
            <w:r>
              <w:rPr>
                <w:sz w:val="22"/>
                <w:szCs w:val="22"/>
              </w:rPr>
              <w:t xml:space="preserve">375,000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3</w:t>
            </w:r>
          </w:p>
        </w:tc>
        <w:tc>
          <w:tcPr>
            <w:tcW w:w="2739"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Non-used and Useful Components</w:t>
            </w:r>
          </w:p>
        </w:tc>
        <w:tc>
          <w:tcPr>
            <w:tcW w:w="1487"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0 </w:t>
            </w:r>
          </w:p>
        </w:tc>
        <w:tc>
          <w:tcPr>
            <w:tcW w:w="1243"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(1,960,672)</w:t>
            </w:r>
          </w:p>
        </w:tc>
        <w:tc>
          <w:tcPr>
            <w:tcW w:w="1353"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(1,960,672)</w:t>
            </w:r>
          </w:p>
        </w:tc>
        <w:tc>
          <w:tcPr>
            <w:tcW w:w="1188"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86,356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jc w:val="right"/>
              <w:rPr>
                <w:sz w:val="22"/>
                <w:szCs w:val="22"/>
              </w:rPr>
            </w:pPr>
            <w:r>
              <w:rPr>
                <w:sz w:val="22"/>
                <w:szCs w:val="22"/>
              </w:rPr>
              <w:t>(1,874,316)</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4</w:t>
            </w:r>
          </w:p>
        </w:tc>
        <w:tc>
          <w:tcPr>
            <w:tcW w:w="2739"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CWIP</w:t>
            </w:r>
          </w:p>
        </w:tc>
        <w:tc>
          <w:tcPr>
            <w:tcW w:w="1487"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15,150 </w:t>
            </w:r>
          </w:p>
        </w:tc>
        <w:tc>
          <w:tcPr>
            <w:tcW w:w="1243"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15,150 </w:t>
            </w:r>
          </w:p>
        </w:tc>
        <w:tc>
          <w:tcPr>
            <w:tcW w:w="1188"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jc w:val="right"/>
              <w:rPr>
                <w:sz w:val="22"/>
                <w:szCs w:val="22"/>
              </w:rPr>
            </w:pPr>
            <w:r>
              <w:rPr>
                <w:sz w:val="22"/>
                <w:szCs w:val="22"/>
              </w:rPr>
              <w:t xml:space="preserve">15,150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5</w:t>
            </w:r>
          </w:p>
        </w:tc>
        <w:tc>
          <w:tcPr>
            <w:tcW w:w="2739"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Accumulated Depreciation</w:t>
            </w:r>
          </w:p>
        </w:tc>
        <w:tc>
          <w:tcPr>
            <w:tcW w:w="1487"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(6,766,511)</w:t>
            </w:r>
          </w:p>
        </w:tc>
        <w:tc>
          <w:tcPr>
            <w:tcW w:w="1243"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381,000 </w:t>
            </w:r>
          </w:p>
        </w:tc>
        <w:tc>
          <w:tcPr>
            <w:tcW w:w="1353"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(6,385,511)</w:t>
            </w:r>
          </w:p>
        </w:tc>
        <w:tc>
          <w:tcPr>
            <w:tcW w:w="1188"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jc w:val="right"/>
              <w:rPr>
                <w:sz w:val="22"/>
                <w:szCs w:val="22"/>
              </w:rPr>
            </w:pPr>
            <w:r>
              <w:rPr>
                <w:sz w:val="22"/>
                <w:szCs w:val="22"/>
              </w:rPr>
              <w:t>(6,385,511)</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6</w:t>
            </w:r>
          </w:p>
        </w:tc>
        <w:tc>
          <w:tcPr>
            <w:tcW w:w="2739"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CIAC</w:t>
            </w:r>
          </w:p>
        </w:tc>
        <w:tc>
          <w:tcPr>
            <w:tcW w:w="1487"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(10,388,558)</w:t>
            </w:r>
          </w:p>
        </w:tc>
        <w:tc>
          <w:tcPr>
            <w:tcW w:w="1243"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(10,388,558)</w:t>
            </w:r>
          </w:p>
        </w:tc>
        <w:tc>
          <w:tcPr>
            <w:tcW w:w="1188"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jc w:val="right"/>
              <w:rPr>
                <w:sz w:val="22"/>
                <w:szCs w:val="22"/>
              </w:rPr>
            </w:pPr>
            <w:r>
              <w:rPr>
                <w:sz w:val="22"/>
                <w:szCs w:val="22"/>
              </w:rPr>
              <w:t>(10,388,558)</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7</w:t>
            </w:r>
          </w:p>
        </w:tc>
        <w:tc>
          <w:tcPr>
            <w:tcW w:w="2739"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Amortization of CIAC</w:t>
            </w:r>
          </w:p>
        </w:tc>
        <w:tc>
          <w:tcPr>
            <w:tcW w:w="1487"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4,077,673 </w:t>
            </w:r>
          </w:p>
        </w:tc>
        <w:tc>
          <w:tcPr>
            <w:tcW w:w="1243"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4,077,673 </w:t>
            </w:r>
          </w:p>
        </w:tc>
        <w:tc>
          <w:tcPr>
            <w:tcW w:w="1188"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jc w:val="right"/>
              <w:rPr>
                <w:sz w:val="22"/>
                <w:szCs w:val="22"/>
              </w:rPr>
            </w:pPr>
            <w:r>
              <w:rPr>
                <w:sz w:val="22"/>
                <w:szCs w:val="22"/>
              </w:rPr>
              <w:t xml:space="preserve">4,077,673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8</w:t>
            </w:r>
          </w:p>
        </w:tc>
        <w:tc>
          <w:tcPr>
            <w:tcW w:w="2739"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Working Capital Allowance</w:t>
            </w:r>
          </w:p>
        </w:tc>
        <w:tc>
          <w:tcPr>
            <w:tcW w:w="1487"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single"/>
              </w:rPr>
            </w:pPr>
            <w:r>
              <w:rPr>
                <w:sz w:val="22"/>
                <w:szCs w:val="22"/>
                <w:u w:val="single"/>
              </w:rPr>
              <w:t xml:space="preserve">0 </w:t>
            </w:r>
          </w:p>
        </w:tc>
        <w:tc>
          <w:tcPr>
            <w:tcW w:w="1243"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single"/>
              </w:rPr>
            </w:pPr>
            <w:r>
              <w:rPr>
                <w:sz w:val="22"/>
                <w:szCs w:val="22"/>
                <w:u w:val="single"/>
              </w:rPr>
              <w:t xml:space="preserve">1,530,364 </w:t>
            </w:r>
          </w:p>
        </w:tc>
        <w:tc>
          <w:tcPr>
            <w:tcW w:w="1353"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single"/>
              </w:rPr>
            </w:pPr>
            <w:r>
              <w:rPr>
                <w:sz w:val="22"/>
                <w:szCs w:val="22"/>
                <w:u w:val="single"/>
              </w:rPr>
              <w:t xml:space="preserve">1,530,364 </w:t>
            </w:r>
          </w:p>
        </w:tc>
        <w:tc>
          <w:tcPr>
            <w:tcW w:w="1188"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single"/>
              </w:rPr>
            </w:pPr>
            <w:r>
              <w:rPr>
                <w:sz w:val="22"/>
                <w:szCs w:val="22"/>
                <w:u w:val="single"/>
              </w:rPr>
              <w:t>(271,216)</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jc w:val="right"/>
              <w:rPr>
                <w:sz w:val="22"/>
                <w:szCs w:val="22"/>
                <w:u w:val="single"/>
              </w:rPr>
            </w:pPr>
            <w:r>
              <w:rPr>
                <w:sz w:val="22"/>
                <w:szCs w:val="22"/>
                <w:u w:val="single"/>
              </w:rPr>
              <w:t xml:space="preserve">1,259,148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3"/>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9</w:t>
            </w:r>
          </w:p>
        </w:tc>
        <w:tc>
          <w:tcPr>
            <w:tcW w:w="2739" w:type="dxa"/>
            <w:tcBorders>
              <w:top w:val="nil"/>
              <w:left w:val="nil"/>
              <w:bottom w:val="nil"/>
              <w:right w:val="nil"/>
            </w:tcBorders>
            <w:shd w:val="clear" w:color="000000" w:fill="FFFFFF"/>
            <w:noWrap/>
            <w:vAlign w:val="bottom"/>
            <w:hideMark/>
          </w:tcPr>
          <w:p w:rsidR="00F05335" w:rsidRDefault="00F05335" w:rsidP="00F05335">
            <w:pPr>
              <w:rPr>
                <w:b/>
                <w:bCs/>
                <w:sz w:val="22"/>
                <w:szCs w:val="22"/>
              </w:rPr>
            </w:pPr>
            <w:r>
              <w:rPr>
                <w:b/>
                <w:bCs/>
                <w:sz w:val="22"/>
                <w:szCs w:val="22"/>
              </w:rPr>
              <w:t>Rate Base</w:t>
            </w:r>
          </w:p>
        </w:tc>
        <w:tc>
          <w:tcPr>
            <w:tcW w:w="1487"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 xml:space="preserve">$4,778,146 </w:t>
            </w:r>
          </w:p>
        </w:tc>
        <w:tc>
          <w:tcPr>
            <w:tcW w:w="1243"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($439,998)</w:t>
            </w:r>
          </w:p>
        </w:tc>
        <w:tc>
          <w:tcPr>
            <w:tcW w:w="1353"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 xml:space="preserve">$4,338,148 </w:t>
            </w:r>
          </w:p>
        </w:tc>
        <w:tc>
          <w:tcPr>
            <w:tcW w:w="1188"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($184,860)</w:t>
            </w:r>
          </w:p>
        </w:tc>
        <w:tc>
          <w:tcPr>
            <w:tcW w:w="1353" w:type="dxa"/>
            <w:tcBorders>
              <w:top w:val="nil"/>
              <w:left w:val="nil"/>
              <w:bottom w:val="nil"/>
              <w:right w:val="single" w:sz="4" w:space="0" w:color="auto"/>
            </w:tcBorders>
            <w:shd w:val="clear" w:color="000000" w:fill="FFFFFF"/>
            <w:noWrap/>
            <w:vAlign w:val="bottom"/>
            <w:hideMark/>
          </w:tcPr>
          <w:p w:rsidR="00F05335" w:rsidRDefault="00F05335" w:rsidP="00F05335">
            <w:pPr>
              <w:jc w:val="right"/>
              <w:rPr>
                <w:sz w:val="22"/>
                <w:szCs w:val="22"/>
                <w:u w:val="double"/>
              </w:rPr>
            </w:pPr>
            <w:r>
              <w:rPr>
                <w:sz w:val="22"/>
                <w:szCs w:val="22"/>
                <w:u w:val="double"/>
              </w:rPr>
              <w:t xml:space="preserve">$4,153,288 </w:t>
            </w:r>
          </w:p>
        </w:tc>
      </w:tr>
      <w:tr w:rsidR="00F05335" w:rsidTr="00F05335">
        <w:trPr>
          <w:trHeight w:val="303"/>
        </w:trPr>
        <w:tc>
          <w:tcPr>
            <w:tcW w:w="326" w:type="dxa"/>
            <w:tcBorders>
              <w:top w:val="nil"/>
              <w:left w:val="single" w:sz="4" w:space="0" w:color="auto"/>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739"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487"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243"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188"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53" w:type="dxa"/>
            <w:tcBorders>
              <w:top w:val="nil"/>
              <w:left w:val="nil"/>
              <w:bottom w:val="single" w:sz="4" w:space="0" w:color="auto"/>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bl>
    <w:p w:rsidR="00E21F3B" w:rsidRDefault="00E21F3B" w:rsidP="00D57E57">
      <w:pPr>
        <w:sectPr w:rsidR="00E21F3B">
          <w:headerReference w:type="first" r:id="rId10"/>
          <w:pgSz w:w="12240" w:h="15840" w:code="1"/>
          <w:pgMar w:top="1440" w:right="1440" w:bottom="1440" w:left="1440" w:header="720" w:footer="720" w:gutter="0"/>
          <w:cols w:space="720"/>
          <w:titlePg/>
          <w:docGrid w:linePitch="360"/>
        </w:sectPr>
      </w:pPr>
    </w:p>
    <w:p w:rsidR="00D57E57" w:rsidRDefault="00D57E57" w:rsidP="00D57E57"/>
    <w:tbl>
      <w:tblPr>
        <w:tblW w:w="9545" w:type="dxa"/>
        <w:tblInd w:w="103" w:type="dxa"/>
        <w:tblLook w:val="04A0" w:firstRow="1" w:lastRow="0" w:firstColumn="1" w:lastColumn="0" w:noHBand="0" w:noVBand="1"/>
      </w:tblPr>
      <w:tblGrid>
        <w:gridCol w:w="326"/>
        <w:gridCol w:w="5979"/>
        <w:gridCol w:w="450"/>
        <w:gridCol w:w="2430"/>
        <w:gridCol w:w="360"/>
      </w:tblGrid>
      <w:tr w:rsidR="00F05335" w:rsidTr="00F05335">
        <w:trPr>
          <w:trHeight w:val="300"/>
        </w:trPr>
        <w:tc>
          <w:tcPr>
            <w:tcW w:w="6305" w:type="dxa"/>
            <w:gridSpan w:val="2"/>
            <w:tcBorders>
              <w:top w:val="single" w:sz="4" w:space="0" w:color="auto"/>
              <w:left w:val="single" w:sz="4" w:space="0" w:color="auto"/>
              <w:bottom w:val="nil"/>
              <w:right w:val="nil"/>
            </w:tcBorders>
            <w:shd w:val="clear" w:color="000000" w:fill="FFFFFF"/>
            <w:noWrap/>
            <w:vAlign w:val="bottom"/>
            <w:hideMark/>
          </w:tcPr>
          <w:p w:rsidR="00F05335" w:rsidRDefault="00F05335" w:rsidP="00F05335">
            <w:pPr>
              <w:rPr>
                <w:rFonts w:ascii="Arial" w:hAnsi="Arial" w:cs="Arial"/>
                <w:b/>
                <w:bCs/>
              </w:rPr>
            </w:pPr>
            <w:bookmarkStart w:id="12" w:name="RANGE!B5:E19"/>
            <w:r>
              <w:rPr>
                <w:rFonts w:ascii="Arial" w:hAnsi="Arial" w:cs="Arial"/>
                <w:b/>
                <w:bCs/>
              </w:rPr>
              <w:t>KWRU</w:t>
            </w:r>
            <w:bookmarkEnd w:id="12"/>
          </w:p>
        </w:tc>
        <w:tc>
          <w:tcPr>
            <w:tcW w:w="3240" w:type="dxa"/>
            <w:gridSpan w:val="3"/>
            <w:tcBorders>
              <w:top w:val="single" w:sz="4" w:space="0" w:color="auto"/>
              <w:left w:val="nil"/>
              <w:bottom w:val="nil"/>
              <w:right w:val="single" w:sz="4" w:space="0" w:color="000000"/>
            </w:tcBorders>
            <w:shd w:val="clear" w:color="000000" w:fill="FFFFFF"/>
            <w:noWrap/>
            <w:vAlign w:val="bottom"/>
            <w:hideMark/>
          </w:tcPr>
          <w:p w:rsidR="00F05335" w:rsidRDefault="00F05335" w:rsidP="00F05335">
            <w:pPr>
              <w:jc w:val="right"/>
              <w:rPr>
                <w:rFonts w:ascii="Arial" w:hAnsi="Arial" w:cs="Arial"/>
                <w:b/>
                <w:bCs/>
              </w:rPr>
            </w:pPr>
            <w:r>
              <w:rPr>
                <w:rFonts w:ascii="Arial" w:hAnsi="Arial" w:cs="Arial"/>
                <w:b/>
                <w:bCs/>
              </w:rPr>
              <w:t>Schedule No. 1-B</w:t>
            </w:r>
          </w:p>
        </w:tc>
      </w:tr>
      <w:tr w:rsidR="00F05335" w:rsidTr="00F05335">
        <w:trPr>
          <w:trHeight w:val="300"/>
        </w:trPr>
        <w:tc>
          <w:tcPr>
            <w:tcW w:w="6305" w:type="dxa"/>
            <w:gridSpan w:val="2"/>
            <w:tcBorders>
              <w:top w:val="nil"/>
              <w:left w:val="single" w:sz="4" w:space="0" w:color="auto"/>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Adjustments to Rate Base</w:t>
            </w:r>
          </w:p>
        </w:tc>
        <w:tc>
          <w:tcPr>
            <w:tcW w:w="3240" w:type="dxa"/>
            <w:gridSpan w:val="3"/>
            <w:tcBorders>
              <w:top w:val="nil"/>
              <w:left w:val="nil"/>
              <w:bottom w:val="nil"/>
              <w:right w:val="single" w:sz="4" w:space="0" w:color="000000"/>
            </w:tcBorders>
            <w:shd w:val="clear" w:color="000000" w:fill="FFFFFF"/>
            <w:noWrap/>
            <w:vAlign w:val="bottom"/>
            <w:hideMark/>
          </w:tcPr>
          <w:p w:rsidR="00F05335" w:rsidRDefault="00F05335" w:rsidP="00F05335">
            <w:pPr>
              <w:jc w:val="right"/>
              <w:rPr>
                <w:rFonts w:ascii="Arial" w:hAnsi="Arial" w:cs="Arial"/>
                <w:b/>
                <w:bCs/>
              </w:rPr>
            </w:pPr>
            <w:r>
              <w:rPr>
                <w:rFonts w:ascii="Arial" w:hAnsi="Arial" w:cs="Arial"/>
                <w:b/>
                <w:bCs/>
              </w:rPr>
              <w:t>Docket No. 20170141-SU</w:t>
            </w:r>
          </w:p>
        </w:tc>
      </w:tr>
      <w:tr w:rsidR="00F05335" w:rsidTr="00F05335">
        <w:trPr>
          <w:trHeight w:val="300"/>
        </w:trPr>
        <w:tc>
          <w:tcPr>
            <w:tcW w:w="6305" w:type="dxa"/>
            <w:gridSpan w:val="2"/>
            <w:tcBorders>
              <w:top w:val="nil"/>
              <w:left w:val="single" w:sz="4" w:space="0" w:color="auto"/>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Test Year Ended 06/30/17</w:t>
            </w:r>
          </w:p>
        </w:tc>
        <w:tc>
          <w:tcPr>
            <w:tcW w:w="450" w:type="dxa"/>
            <w:tcBorders>
              <w:top w:val="nil"/>
              <w:left w:val="nil"/>
              <w:bottom w:val="nil"/>
              <w:right w:val="nil"/>
            </w:tcBorders>
            <w:shd w:val="clear" w:color="000000" w:fill="FFFFFF"/>
            <w:noWrap/>
            <w:vAlign w:val="bottom"/>
            <w:hideMark/>
          </w:tcPr>
          <w:p w:rsidR="00F05335" w:rsidRDefault="00F05335" w:rsidP="00F05335">
            <w:pPr>
              <w:jc w:val="right"/>
              <w:rPr>
                <w:rFonts w:ascii="Arial" w:hAnsi="Arial" w:cs="Arial"/>
                <w:b/>
                <w:bCs/>
              </w:rPr>
            </w:pPr>
            <w:r>
              <w:rPr>
                <w:rFonts w:ascii="Arial" w:hAnsi="Arial" w:cs="Arial"/>
                <w:b/>
                <w:bCs/>
              </w:rPr>
              <w:t> </w:t>
            </w:r>
          </w:p>
        </w:tc>
        <w:tc>
          <w:tcPr>
            <w:tcW w:w="2430" w:type="dxa"/>
            <w:tcBorders>
              <w:top w:val="nil"/>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360" w:type="dxa"/>
            <w:tcBorders>
              <w:top w:val="nil"/>
              <w:left w:val="nil"/>
              <w:bottom w:val="nil"/>
              <w:right w:val="single" w:sz="4" w:space="0" w:color="auto"/>
            </w:tcBorders>
            <w:shd w:val="clear" w:color="000000" w:fill="FFFFFF"/>
            <w:noWrap/>
            <w:vAlign w:val="bottom"/>
            <w:hideMark/>
          </w:tcPr>
          <w:p w:rsidR="00F05335" w:rsidRDefault="00F05335" w:rsidP="00F05335">
            <w:pPr>
              <w:rPr>
                <w:rFonts w:ascii="Arial" w:hAnsi="Arial" w:cs="Arial"/>
              </w:rPr>
            </w:pPr>
            <w:r>
              <w:rPr>
                <w:rFonts w:ascii="Arial" w:hAnsi="Arial" w:cs="Arial"/>
              </w:rPr>
              <w:t> </w:t>
            </w:r>
          </w:p>
        </w:tc>
      </w:tr>
      <w:tr w:rsidR="00F05335" w:rsidTr="00F05335">
        <w:trPr>
          <w:trHeight w:val="300"/>
        </w:trPr>
        <w:tc>
          <w:tcPr>
            <w:tcW w:w="326" w:type="dxa"/>
            <w:tcBorders>
              <w:top w:val="single" w:sz="4" w:space="0" w:color="000000"/>
              <w:left w:val="single" w:sz="4" w:space="0" w:color="auto"/>
              <w:bottom w:val="nil"/>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5979" w:type="dxa"/>
            <w:tcBorders>
              <w:top w:val="single" w:sz="4" w:space="0" w:color="000000"/>
              <w:left w:val="nil"/>
              <w:bottom w:val="nil"/>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450" w:type="dxa"/>
            <w:tcBorders>
              <w:top w:val="single" w:sz="4" w:space="0" w:color="000000"/>
              <w:left w:val="nil"/>
              <w:bottom w:val="nil"/>
              <w:right w:val="nil"/>
            </w:tcBorders>
            <w:shd w:val="clear" w:color="auto" w:fill="auto"/>
            <w:noWrap/>
            <w:vAlign w:val="center"/>
            <w:hideMark/>
          </w:tcPr>
          <w:p w:rsidR="00F05335" w:rsidRDefault="00F05335" w:rsidP="00F05335">
            <w:pPr>
              <w:jc w:val="center"/>
              <w:rPr>
                <w:rFonts w:ascii="Arial" w:hAnsi="Arial" w:cs="Arial"/>
                <w:sz w:val="20"/>
                <w:szCs w:val="20"/>
              </w:rPr>
            </w:pPr>
            <w:r>
              <w:rPr>
                <w:rFonts w:ascii="Arial" w:hAnsi="Arial" w:cs="Arial"/>
                <w:sz w:val="20"/>
                <w:szCs w:val="20"/>
              </w:rPr>
              <w:t> </w:t>
            </w:r>
          </w:p>
        </w:tc>
        <w:tc>
          <w:tcPr>
            <w:tcW w:w="2430" w:type="dxa"/>
            <w:tcBorders>
              <w:top w:val="single" w:sz="4" w:space="0" w:color="000000"/>
              <w:left w:val="nil"/>
              <w:bottom w:val="nil"/>
              <w:right w:val="nil"/>
            </w:tcBorders>
            <w:shd w:val="clear" w:color="auto" w:fill="auto"/>
            <w:noWrap/>
            <w:vAlign w:val="center"/>
            <w:hideMark/>
          </w:tcPr>
          <w:p w:rsidR="00F05335" w:rsidRDefault="00F05335" w:rsidP="00F05335">
            <w:pPr>
              <w:jc w:val="center"/>
              <w:rPr>
                <w:rFonts w:ascii="Arial" w:hAnsi="Arial" w:cs="Arial"/>
                <w:sz w:val="20"/>
                <w:szCs w:val="20"/>
              </w:rPr>
            </w:pPr>
            <w:r>
              <w:rPr>
                <w:rFonts w:ascii="Arial" w:hAnsi="Arial" w:cs="Arial"/>
                <w:sz w:val="20"/>
                <w:szCs w:val="20"/>
              </w:rPr>
              <w:t> </w:t>
            </w:r>
          </w:p>
        </w:tc>
        <w:tc>
          <w:tcPr>
            <w:tcW w:w="360" w:type="dxa"/>
            <w:tcBorders>
              <w:top w:val="single" w:sz="4" w:space="0" w:color="000000"/>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F05335">
        <w:trPr>
          <w:trHeight w:val="300"/>
        </w:trPr>
        <w:tc>
          <w:tcPr>
            <w:tcW w:w="326" w:type="dxa"/>
            <w:tcBorders>
              <w:top w:val="nil"/>
              <w:left w:val="single" w:sz="4" w:space="0" w:color="auto"/>
              <w:bottom w:val="nil"/>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5979" w:type="dxa"/>
            <w:tcBorders>
              <w:top w:val="nil"/>
              <w:left w:val="nil"/>
              <w:bottom w:val="nil"/>
              <w:right w:val="nil"/>
            </w:tcBorders>
            <w:shd w:val="clear" w:color="auto" w:fill="auto"/>
            <w:noWrap/>
            <w:vAlign w:val="bottom"/>
            <w:hideMark/>
          </w:tcPr>
          <w:p w:rsidR="00F05335" w:rsidRDefault="00F05335" w:rsidP="00F05335">
            <w:pPr>
              <w:rPr>
                <w:b/>
                <w:bCs/>
                <w:sz w:val="22"/>
                <w:szCs w:val="22"/>
              </w:rPr>
            </w:pPr>
            <w:r>
              <w:rPr>
                <w:b/>
                <w:bCs/>
                <w:sz w:val="22"/>
                <w:szCs w:val="22"/>
              </w:rPr>
              <w:t>Explanation</w:t>
            </w:r>
          </w:p>
        </w:tc>
        <w:tc>
          <w:tcPr>
            <w:tcW w:w="450" w:type="dxa"/>
            <w:tcBorders>
              <w:top w:val="nil"/>
              <w:left w:val="nil"/>
              <w:bottom w:val="nil"/>
              <w:right w:val="nil"/>
            </w:tcBorders>
            <w:shd w:val="clear" w:color="auto" w:fill="auto"/>
            <w:noWrap/>
            <w:vAlign w:val="center"/>
            <w:hideMark/>
          </w:tcPr>
          <w:p w:rsidR="00F05335" w:rsidRDefault="00F05335" w:rsidP="00F05335">
            <w:pPr>
              <w:jc w:val="center"/>
              <w:rPr>
                <w:b/>
                <w:bCs/>
                <w:sz w:val="22"/>
                <w:szCs w:val="22"/>
              </w:rPr>
            </w:pPr>
          </w:p>
        </w:tc>
        <w:tc>
          <w:tcPr>
            <w:tcW w:w="2430" w:type="dxa"/>
            <w:tcBorders>
              <w:top w:val="nil"/>
              <w:left w:val="nil"/>
              <w:bottom w:val="nil"/>
              <w:right w:val="nil"/>
            </w:tcBorders>
            <w:shd w:val="clear" w:color="auto" w:fill="auto"/>
            <w:noWrap/>
            <w:vAlign w:val="center"/>
            <w:hideMark/>
          </w:tcPr>
          <w:p w:rsidR="00F05335" w:rsidRDefault="00F05335" w:rsidP="00F05335">
            <w:pPr>
              <w:jc w:val="center"/>
              <w:rPr>
                <w:b/>
                <w:bCs/>
                <w:sz w:val="22"/>
                <w:szCs w:val="22"/>
              </w:rPr>
            </w:pPr>
            <w:r>
              <w:rPr>
                <w:b/>
                <w:bCs/>
                <w:sz w:val="22"/>
                <w:szCs w:val="22"/>
              </w:rPr>
              <w:t>Wastewater</w:t>
            </w:r>
          </w:p>
        </w:tc>
        <w:tc>
          <w:tcPr>
            <w:tcW w:w="360" w:type="dxa"/>
            <w:tcBorders>
              <w:top w:val="nil"/>
              <w:left w:val="nil"/>
              <w:bottom w:val="nil"/>
              <w:right w:val="single" w:sz="4" w:space="0" w:color="auto"/>
            </w:tcBorders>
            <w:shd w:val="clear" w:color="auto" w:fill="auto"/>
            <w:noWrap/>
            <w:vAlign w:val="bottom"/>
            <w:hideMark/>
          </w:tcPr>
          <w:p w:rsidR="00F05335" w:rsidRDefault="00F05335" w:rsidP="00F05335">
            <w:pPr>
              <w:jc w:val="center"/>
              <w:rPr>
                <w:rFonts w:ascii="Arial" w:hAnsi="Arial" w:cs="Arial"/>
                <w:sz w:val="20"/>
                <w:szCs w:val="20"/>
              </w:rPr>
            </w:pPr>
            <w:r>
              <w:rPr>
                <w:rFonts w:ascii="Arial" w:hAnsi="Arial" w:cs="Arial"/>
                <w:sz w:val="20"/>
                <w:szCs w:val="20"/>
              </w:rPr>
              <w:t> </w:t>
            </w:r>
          </w:p>
        </w:tc>
      </w:tr>
      <w:tr w:rsidR="00F05335" w:rsidTr="00F05335">
        <w:trPr>
          <w:trHeight w:val="300"/>
        </w:trPr>
        <w:tc>
          <w:tcPr>
            <w:tcW w:w="326" w:type="dxa"/>
            <w:tcBorders>
              <w:top w:val="nil"/>
              <w:left w:val="single" w:sz="4" w:space="0" w:color="auto"/>
              <w:bottom w:val="nil"/>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5979" w:type="dxa"/>
            <w:tcBorders>
              <w:top w:val="nil"/>
              <w:left w:val="nil"/>
              <w:bottom w:val="nil"/>
              <w:right w:val="nil"/>
            </w:tcBorders>
            <w:shd w:val="clear" w:color="auto" w:fill="auto"/>
            <w:noWrap/>
            <w:vAlign w:val="bottom"/>
            <w:hideMark/>
          </w:tcPr>
          <w:p w:rsidR="00F05335" w:rsidRDefault="00F05335" w:rsidP="00F05335">
            <w:pPr>
              <w:rPr>
                <w:rFonts w:ascii="Arial" w:hAnsi="Arial" w:cs="Arial"/>
                <w:sz w:val="20"/>
                <w:szCs w:val="20"/>
              </w:rPr>
            </w:pPr>
          </w:p>
        </w:tc>
        <w:tc>
          <w:tcPr>
            <w:tcW w:w="450" w:type="dxa"/>
            <w:tcBorders>
              <w:top w:val="nil"/>
              <w:left w:val="nil"/>
              <w:bottom w:val="nil"/>
              <w:right w:val="nil"/>
            </w:tcBorders>
            <w:shd w:val="clear" w:color="auto" w:fill="auto"/>
            <w:noWrap/>
            <w:vAlign w:val="center"/>
            <w:hideMark/>
          </w:tcPr>
          <w:p w:rsidR="00F05335" w:rsidRDefault="00F05335" w:rsidP="00F05335">
            <w:pPr>
              <w:jc w:val="center"/>
              <w:rPr>
                <w:rFonts w:ascii="Arial" w:hAnsi="Arial" w:cs="Arial"/>
                <w:sz w:val="20"/>
                <w:szCs w:val="20"/>
              </w:rPr>
            </w:pPr>
          </w:p>
        </w:tc>
        <w:tc>
          <w:tcPr>
            <w:tcW w:w="2430" w:type="dxa"/>
            <w:tcBorders>
              <w:top w:val="nil"/>
              <w:left w:val="nil"/>
              <w:bottom w:val="nil"/>
              <w:right w:val="nil"/>
            </w:tcBorders>
            <w:shd w:val="clear" w:color="auto" w:fill="auto"/>
            <w:noWrap/>
            <w:vAlign w:val="center"/>
            <w:hideMark/>
          </w:tcPr>
          <w:p w:rsidR="00F05335" w:rsidRDefault="00F05335" w:rsidP="00F05335">
            <w:pPr>
              <w:jc w:val="center"/>
              <w:rPr>
                <w:rFonts w:ascii="Arial" w:hAnsi="Arial" w:cs="Arial"/>
                <w:sz w:val="20"/>
                <w:szCs w:val="20"/>
              </w:rPr>
            </w:pPr>
          </w:p>
        </w:tc>
        <w:tc>
          <w:tcPr>
            <w:tcW w:w="360"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F05335">
        <w:trPr>
          <w:trHeight w:val="300"/>
        </w:trPr>
        <w:tc>
          <w:tcPr>
            <w:tcW w:w="326" w:type="dxa"/>
            <w:tcBorders>
              <w:top w:val="single" w:sz="4" w:space="0" w:color="000000"/>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 </w:t>
            </w:r>
          </w:p>
        </w:tc>
        <w:tc>
          <w:tcPr>
            <w:tcW w:w="5979" w:type="dxa"/>
            <w:tcBorders>
              <w:top w:val="single" w:sz="4" w:space="0" w:color="000000"/>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450" w:type="dxa"/>
            <w:tcBorders>
              <w:top w:val="single" w:sz="4" w:space="0" w:color="000000"/>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430" w:type="dxa"/>
            <w:tcBorders>
              <w:top w:val="single" w:sz="4" w:space="0" w:color="000000"/>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360" w:type="dxa"/>
            <w:tcBorders>
              <w:top w:val="single" w:sz="4" w:space="0" w:color="000000"/>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0"/>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 </w:t>
            </w:r>
          </w:p>
        </w:tc>
        <w:tc>
          <w:tcPr>
            <w:tcW w:w="5979" w:type="dxa"/>
            <w:tcBorders>
              <w:top w:val="nil"/>
              <w:left w:val="nil"/>
              <w:bottom w:val="nil"/>
              <w:right w:val="nil"/>
            </w:tcBorders>
            <w:shd w:val="clear" w:color="000000" w:fill="FFFFFF"/>
            <w:noWrap/>
            <w:vAlign w:val="bottom"/>
            <w:hideMark/>
          </w:tcPr>
          <w:p w:rsidR="00F05335" w:rsidRDefault="00F05335" w:rsidP="00F05335">
            <w:pPr>
              <w:rPr>
                <w:b/>
                <w:bCs/>
                <w:sz w:val="22"/>
                <w:szCs w:val="22"/>
              </w:rPr>
            </w:pPr>
            <w:r>
              <w:rPr>
                <w:b/>
                <w:bCs/>
                <w:sz w:val="22"/>
                <w:szCs w:val="22"/>
              </w:rPr>
              <w:t>Non-used and Useful</w:t>
            </w:r>
          </w:p>
        </w:tc>
        <w:tc>
          <w:tcPr>
            <w:tcW w:w="450"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430"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0"/>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 </w:t>
            </w:r>
          </w:p>
        </w:tc>
        <w:tc>
          <w:tcPr>
            <w:tcW w:w="5979"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To reflect net non-used and useful adjustment.</w:t>
            </w:r>
          </w:p>
        </w:tc>
        <w:tc>
          <w:tcPr>
            <w:tcW w:w="450" w:type="dxa"/>
            <w:tcBorders>
              <w:top w:val="nil"/>
              <w:left w:val="nil"/>
              <w:bottom w:val="nil"/>
              <w:right w:val="nil"/>
            </w:tcBorders>
            <w:shd w:val="clear" w:color="000000" w:fill="FFFFFF"/>
            <w:noWrap/>
            <w:vAlign w:val="bottom"/>
            <w:hideMark/>
          </w:tcPr>
          <w:p w:rsidR="00F05335" w:rsidRDefault="00F05335" w:rsidP="00F05335">
            <w:pPr>
              <w:rPr>
                <w:sz w:val="22"/>
                <w:szCs w:val="22"/>
                <w:u w:val="double"/>
              </w:rPr>
            </w:pPr>
          </w:p>
        </w:tc>
        <w:tc>
          <w:tcPr>
            <w:tcW w:w="2430"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 xml:space="preserve">$86,356 </w:t>
            </w:r>
          </w:p>
        </w:tc>
        <w:tc>
          <w:tcPr>
            <w:tcW w:w="360"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u w:val="double"/>
              </w:rPr>
            </w:pPr>
          </w:p>
        </w:tc>
      </w:tr>
      <w:tr w:rsidR="00F05335" w:rsidTr="00F05335">
        <w:trPr>
          <w:trHeight w:val="300"/>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 </w:t>
            </w:r>
          </w:p>
        </w:tc>
        <w:tc>
          <w:tcPr>
            <w:tcW w:w="5979"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450"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430"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0"/>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 </w:t>
            </w:r>
          </w:p>
        </w:tc>
        <w:tc>
          <w:tcPr>
            <w:tcW w:w="5979" w:type="dxa"/>
            <w:tcBorders>
              <w:top w:val="nil"/>
              <w:left w:val="nil"/>
              <w:bottom w:val="nil"/>
              <w:right w:val="nil"/>
            </w:tcBorders>
            <w:shd w:val="clear" w:color="000000" w:fill="FFFFFF"/>
            <w:noWrap/>
            <w:vAlign w:val="bottom"/>
            <w:hideMark/>
          </w:tcPr>
          <w:p w:rsidR="00F05335" w:rsidRDefault="00F05335" w:rsidP="00F05335">
            <w:pPr>
              <w:rPr>
                <w:b/>
                <w:bCs/>
                <w:sz w:val="22"/>
                <w:szCs w:val="22"/>
              </w:rPr>
            </w:pPr>
            <w:r>
              <w:rPr>
                <w:b/>
                <w:bCs/>
                <w:sz w:val="22"/>
                <w:szCs w:val="22"/>
              </w:rPr>
              <w:t>Working Capital</w:t>
            </w:r>
          </w:p>
        </w:tc>
        <w:tc>
          <w:tcPr>
            <w:tcW w:w="450"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430"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0"/>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1</w:t>
            </w:r>
          </w:p>
        </w:tc>
        <w:tc>
          <w:tcPr>
            <w:tcW w:w="5979"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To reflect appropriate deferred rate case expense.</w:t>
            </w:r>
          </w:p>
        </w:tc>
        <w:tc>
          <w:tcPr>
            <w:tcW w:w="450"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430"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($107,707)</w:t>
            </w:r>
          </w:p>
        </w:tc>
        <w:tc>
          <w:tcPr>
            <w:tcW w:w="360"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0"/>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2</w:t>
            </w:r>
          </w:p>
        </w:tc>
        <w:tc>
          <w:tcPr>
            <w:tcW w:w="5979" w:type="dxa"/>
            <w:tcBorders>
              <w:top w:val="nil"/>
              <w:left w:val="nil"/>
              <w:bottom w:val="nil"/>
              <w:right w:val="nil"/>
            </w:tcBorders>
            <w:shd w:val="clear" w:color="000000" w:fill="FFFFFF"/>
            <w:noWrap/>
            <w:vAlign w:val="bottom"/>
          </w:tcPr>
          <w:p w:rsidR="00F05335" w:rsidRDefault="00F05335" w:rsidP="00F05335">
            <w:pPr>
              <w:rPr>
                <w:sz w:val="22"/>
                <w:szCs w:val="22"/>
              </w:rPr>
            </w:pPr>
            <w:r>
              <w:rPr>
                <w:sz w:val="22"/>
                <w:szCs w:val="22"/>
              </w:rPr>
              <w:t>To remove PAA escrow account.</w:t>
            </w:r>
          </w:p>
        </w:tc>
        <w:tc>
          <w:tcPr>
            <w:tcW w:w="450" w:type="dxa"/>
            <w:tcBorders>
              <w:top w:val="nil"/>
              <w:left w:val="nil"/>
              <w:bottom w:val="nil"/>
              <w:right w:val="nil"/>
            </w:tcBorders>
            <w:shd w:val="clear" w:color="000000" w:fill="FFFFFF"/>
            <w:noWrap/>
            <w:vAlign w:val="bottom"/>
          </w:tcPr>
          <w:p w:rsidR="00F05335" w:rsidRDefault="00F05335" w:rsidP="00F05335">
            <w:pPr>
              <w:rPr>
                <w:sz w:val="22"/>
                <w:szCs w:val="22"/>
              </w:rPr>
            </w:pPr>
            <w:r>
              <w:rPr>
                <w:sz w:val="22"/>
                <w:szCs w:val="22"/>
              </w:rPr>
              <w:t> </w:t>
            </w:r>
          </w:p>
        </w:tc>
        <w:tc>
          <w:tcPr>
            <w:tcW w:w="2430" w:type="dxa"/>
            <w:tcBorders>
              <w:top w:val="nil"/>
              <w:left w:val="nil"/>
              <w:bottom w:val="nil"/>
              <w:right w:val="nil"/>
            </w:tcBorders>
            <w:shd w:val="clear" w:color="000000" w:fill="FFFFFF"/>
            <w:noWrap/>
            <w:vAlign w:val="bottom"/>
          </w:tcPr>
          <w:p w:rsidR="00F05335" w:rsidRPr="00E2521B" w:rsidRDefault="00F05335" w:rsidP="00F05335">
            <w:pPr>
              <w:jc w:val="right"/>
              <w:rPr>
                <w:sz w:val="22"/>
                <w:szCs w:val="22"/>
              </w:rPr>
            </w:pPr>
            <w:r w:rsidRPr="00E2521B">
              <w:rPr>
                <w:sz w:val="22"/>
                <w:szCs w:val="22"/>
              </w:rPr>
              <w:t>(155,616)</w:t>
            </w:r>
          </w:p>
        </w:tc>
        <w:tc>
          <w:tcPr>
            <w:tcW w:w="360"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0"/>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3</w:t>
            </w:r>
          </w:p>
        </w:tc>
        <w:tc>
          <w:tcPr>
            <w:tcW w:w="5979" w:type="dxa"/>
            <w:tcBorders>
              <w:top w:val="nil"/>
              <w:left w:val="nil"/>
              <w:bottom w:val="nil"/>
              <w:right w:val="nil"/>
            </w:tcBorders>
            <w:shd w:val="clear" w:color="000000" w:fill="FFFFFF"/>
            <w:noWrap/>
            <w:vAlign w:val="bottom"/>
          </w:tcPr>
          <w:p w:rsidR="00F05335" w:rsidRDefault="00F05335" w:rsidP="00F05335">
            <w:pPr>
              <w:rPr>
                <w:sz w:val="22"/>
                <w:szCs w:val="22"/>
              </w:rPr>
            </w:pPr>
            <w:r>
              <w:rPr>
                <w:sz w:val="22"/>
                <w:szCs w:val="22"/>
              </w:rPr>
              <w:t>To remove deferred rate case expense from instant docket.</w:t>
            </w:r>
          </w:p>
        </w:tc>
        <w:tc>
          <w:tcPr>
            <w:tcW w:w="450" w:type="dxa"/>
            <w:tcBorders>
              <w:top w:val="nil"/>
              <w:left w:val="nil"/>
              <w:bottom w:val="nil"/>
              <w:right w:val="nil"/>
            </w:tcBorders>
            <w:shd w:val="clear" w:color="000000" w:fill="FFFFFF"/>
            <w:noWrap/>
            <w:vAlign w:val="bottom"/>
          </w:tcPr>
          <w:p w:rsidR="00F05335" w:rsidRDefault="00F05335" w:rsidP="00F05335">
            <w:pPr>
              <w:rPr>
                <w:sz w:val="22"/>
                <w:szCs w:val="22"/>
              </w:rPr>
            </w:pPr>
            <w:r>
              <w:rPr>
                <w:sz w:val="22"/>
                <w:szCs w:val="22"/>
              </w:rPr>
              <w:t> </w:t>
            </w:r>
          </w:p>
        </w:tc>
        <w:tc>
          <w:tcPr>
            <w:tcW w:w="2430" w:type="dxa"/>
            <w:tcBorders>
              <w:top w:val="nil"/>
              <w:left w:val="nil"/>
              <w:bottom w:val="nil"/>
              <w:right w:val="nil"/>
            </w:tcBorders>
            <w:shd w:val="clear" w:color="000000" w:fill="FFFFFF"/>
            <w:noWrap/>
            <w:vAlign w:val="bottom"/>
          </w:tcPr>
          <w:p w:rsidR="00F05335" w:rsidRPr="00E2521B" w:rsidRDefault="00F05335" w:rsidP="00F05335">
            <w:pPr>
              <w:jc w:val="right"/>
              <w:rPr>
                <w:sz w:val="22"/>
                <w:szCs w:val="22"/>
              </w:rPr>
            </w:pPr>
            <w:r w:rsidRPr="00E2521B">
              <w:rPr>
                <w:sz w:val="22"/>
                <w:szCs w:val="22"/>
              </w:rPr>
              <w:t>(7,893)</w:t>
            </w:r>
          </w:p>
        </w:tc>
        <w:tc>
          <w:tcPr>
            <w:tcW w:w="360"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300"/>
        </w:trPr>
        <w:tc>
          <w:tcPr>
            <w:tcW w:w="326"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 </w:t>
            </w:r>
          </w:p>
        </w:tc>
        <w:tc>
          <w:tcPr>
            <w:tcW w:w="5979" w:type="dxa"/>
            <w:tcBorders>
              <w:top w:val="nil"/>
              <w:left w:val="nil"/>
              <w:bottom w:val="nil"/>
              <w:right w:val="nil"/>
            </w:tcBorders>
            <w:shd w:val="clear" w:color="000000" w:fill="FFFFFF"/>
            <w:noWrap/>
            <w:vAlign w:val="bottom"/>
            <w:hideMark/>
          </w:tcPr>
          <w:p w:rsidR="00F05335" w:rsidRDefault="00F05335" w:rsidP="00F05335">
            <w:pPr>
              <w:rPr>
                <w:rFonts w:ascii="Courier New" w:hAnsi="Courier New" w:cs="Courier New"/>
                <w:color w:val="000000"/>
                <w:sz w:val="20"/>
                <w:szCs w:val="20"/>
              </w:rPr>
            </w:pPr>
            <w:r>
              <w:rPr>
                <w:rFonts w:ascii="Courier New" w:hAnsi="Courier New" w:cs="Courier New"/>
                <w:color w:val="000000"/>
                <w:sz w:val="20"/>
                <w:szCs w:val="20"/>
              </w:rPr>
              <w:t> </w:t>
            </w:r>
            <w:r w:rsidRPr="00E2521B">
              <w:rPr>
                <w:b/>
                <w:bCs/>
                <w:sz w:val="22"/>
                <w:szCs w:val="22"/>
              </w:rPr>
              <w:t>Total</w:t>
            </w:r>
          </w:p>
        </w:tc>
        <w:tc>
          <w:tcPr>
            <w:tcW w:w="450" w:type="dxa"/>
            <w:tcBorders>
              <w:top w:val="nil"/>
              <w:left w:val="nil"/>
              <w:bottom w:val="nil"/>
              <w:right w:val="nil"/>
            </w:tcBorders>
            <w:shd w:val="clear" w:color="000000" w:fill="FFFFFF"/>
            <w:noWrap/>
            <w:vAlign w:val="bottom"/>
            <w:hideMark/>
          </w:tcPr>
          <w:p w:rsidR="00F05335" w:rsidRDefault="00F05335" w:rsidP="00F05335">
            <w:pPr>
              <w:rPr>
                <w:sz w:val="22"/>
                <w:szCs w:val="22"/>
                <w:u w:val="double"/>
              </w:rPr>
            </w:pPr>
          </w:p>
        </w:tc>
        <w:tc>
          <w:tcPr>
            <w:tcW w:w="2430"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($271,216)</w:t>
            </w:r>
          </w:p>
        </w:tc>
        <w:tc>
          <w:tcPr>
            <w:tcW w:w="360"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u w:val="double"/>
              </w:rPr>
            </w:pPr>
          </w:p>
        </w:tc>
      </w:tr>
      <w:tr w:rsidR="00F05335" w:rsidTr="00F05335">
        <w:trPr>
          <w:trHeight w:val="300"/>
        </w:trPr>
        <w:tc>
          <w:tcPr>
            <w:tcW w:w="326" w:type="dxa"/>
            <w:tcBorders>
              <w:top w:val="nil"/>
              <w:left w:val="single" w:sz="4" w:space="0" w:color="auto"/>
              <w:bottom w:val="single" w:sz="4" w:space="0" w:color="auto"/>
              <w:right w:val="nil"/>
            </w:tcBorders>
            <w:shd w:val="clear" w:color="000000" w:fill="FFFFFF"/>
            <w:noWrap/>
            <w:vAlign w:val="bottom"/>
            <w:hideMark/>
          </w:tcPr>
          <w:p w:rsidR="00F05335" w:rsidRDefault="00F05335" w:rsidP="00F05335">
            <w:pPr>
              <w:jc w:val="center"/>
              <w:rPr>
                <w:sz w:val="22"/>
                <w:szCs w:val="22"/>
              </w:rPr>
            </w:pPr>
            <w:r>
              <w:rPr>
                <w:sz w:val="22"/>
                <w:szCs w:val="22"/>
              </w:rPr>
              <w:t> </w:t>
            </w:r>
          </w:p>
        </w:tc>
        <w:tc>
          <w:tcPr>
            <w:tcW w:w="5979"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450"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430"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bl>
    <w:p w:rsidR="00F05335" w:rsidRDefault="00F05335" w:rsidP="00D57E57"/>
    <w:p w:rsidR="00E52407" w:rsidRDefault="00F05335" w:rsidP="00D57E57">
      <w:pPr>
        <w:sectPr w:rsidR="00E52407">
          <w:headerReference w:type="first" r:id="rId11"/>
          <w:pgSz w:w="12240" w:h="15840" w:code="1"/>
          <w:pgMar w:top="1440" w:right="1440" w:bottom="1440" w:left="1440" w:header="720" w:footer="720" w:gutter="0"/>
          <w:cols w:space="720"/>
          <w:titlePg/>
          <w:docGrid w:linePitch="360"/>
        </w:sectPr>
      </w:pPr>
      <w:r>
        <w:br w:type="page"/>
      </w:r>
    </w:p>
    <w:p w:rsidR="00F05335" w:rsidRDefault="00F05335" w:rsidP="00D57E57"/>
    <w:tbl>
      <w:tblPr>
        <w:tblW w:w="13069" w:type="dxa"/>
        <w:tblInd w:w="103" w:type="dxa"/>
        <w:tblLook w:val="04A0" w:firstRow="1" w:lastRow="0" w:firstColumn="1" w:lastColumn="0" w:noHBand="0" w:noVBand="1"/>
      </w:tblPr>
      <w:tblGrid>
        <w:gridCol w:w="905"/>
        <w:gridCol w:w="2382"/>
        <w:gridCol w:w="1276"/>
        <w:gridCol w:w="1276"/>
        <w:gridCol w:w="1276"/>
        <w:gridCol w:w="1362"/>
        <w:gridCol w:w="1276"/>
        <w:gridCol w:w="1012"/>
        <w:gridCol w:w="901"/>
        <w:gridCol w:w="1129"/>
        <w:gridCol w:w="274"/>
      </w:tblGrid>
      <w:tr w:rsidR="00F05335" w:rsidTr="00F05335">
        <w:trPr>
          <w:trHeight w:val="155"/>
        </w:trPr>
        <w:tc>
          <w:tcPr>
            <w:tcW w:w="3287" w:type="dxa"/>
            <w:gridSpan w:val="2"/>
            <w:tcBorders>
              <w:top w:val="single" w:sz="4" w:space="0" w:color="auto"/>
              <w:left w:val="single" w:sz="4" w:space="0" w:color="auto"/>
              <w:bottom w:val="nil"/>
              <w:right w:val="nil"/>
            </w:tcBorders>
            <w:shd w:val="clear" w:color="000000" w:fill="FFFFFF"/>
            <w:noWrap/>
            <w:vAlign w:val="bottom"/>
            <w:hideMark/>
          </w:tcPr>
          <w:p w:rsidR="00F05335" w:rsidRDefault="00F05335" w:rsidP="00F05335">
            <w:pPr>
              <w:rPr>
                <w:rFonts w:ascii="Arial" w:hAnsi="Arial" w:cs="Arial"/>
                <w:b/>
                <w:bCs/>
              </w:rPr>
            </w:pPr>
            <w:bookmarkStart w:id="13" w:name="RANGE!A4:J32"/>
            <w:r>
              <w:rPr>
                <w:rFonts w:ascii="Arial" w:hAnsi="Arial" w:cs="Arial"/>
                <w:b/>
                <w:bCs/>
              </w:rPr>
              <w:t>KWRU</w:t>
            </w:r>
            <w:bookmarkEnd w:id="13"/>
          </w:p>
        </w:tc>
        <w:tc>
          <w:tcPr>
            <w:tcW w:w="1276" w:type="dxa"/>
            <w:tcBorders>
              <w:top w:val="single" w:sz="4" w:space="0" w:color="auto"/>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1276" w:type="dxa"/>
            <w:tcBorders>
              <w:top w:val="single" w:sz="4" w:space="0" w:color="auto"/>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1276" w:type="dxa"/>
            <w:tcBorders>
              <w:top w:val="single" w:sz="4" w:space="0" w:color="auto"/>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1362" w:type="dxa"/>
            <w:tcBorders>
              <w:top w:val="single" w:sz="4" w:space="0" w:color="auto"/>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1276" w:type="dxa"/>
            <w:tcBorders>
              <w:top w:val="single" w:sz="4" w:space="0" w:color="auto"/>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3316" w:type="dxa"/>
            <w:gridSpan w:val="4"/>
            <w:tcBorders>
              <w:top w:val="single" w:sz="4" w:space="0" w:color="auto"/>
              <w:left w:val="nil"/>
              <w:bottom w:val="nil"/>
              <w:right w:val="single" w:sz="4" w:space="0" w:color="000000"/>
            </w:tcBorders>
            <w:shd w:val="clear" w:color="000000" w:fill="FFFFFF"/>
            <w:noWrap/>
            <w:vAlign w:val="bottom"/>
            <w:hideMark/>
          </w:tcPr>
          <w:p w:rsidR="00F05335" w:rsidRDefault="00F05335" w:rsidP="00F05335">
            <w:pPr>
              <w:jc w:val="right"/>
              <w:rPr>
                <w:rFonts w:ascii="Arial" w:hAnsi="Arial" w:cs="Arial"/>
                <w:b/>
                <w:bCs/>
              </w:rPr>
            </w:pPr>
            <w:r>
              <w:rPr>
                <w:rFonts w:ascii="Arial" w:hAnsi="Arial" w:cs="Arial"/>
                <w:b/>
                <w:bCs/>
              </w:rPr>
              <w:t>Schedule No. 2</w:t>
            </w:r>
          </w:p>
        </w:tc>
      </w:tr>
      <w:tr w:rsidR="00F05335" w:rsidTr="00F05335">
        <w:trPr>
          <w:trHeight w:val="155"/>
        </w:trPr>
        <w:tc>
          <w:tcPr>
            <w:tcW w:w="3287" w:type="dxa"/>
            <w:gridSpan w:val="2"/>
            <w:tcBorders>
              <w:top w:val="nil"/>
              <w:left w:val="single" w:sz="4" w:space="0" w:color="auto"/>
              <w:bottom w:val="nil"/>
              <w:right w:val="nil"/>
            </w:tcBorders>
            <w:shd w:val="clear" w:color="000000" w:fill="FFFFFF"/>
            <w:noWrap/>
            <w:vAlign w:val="bottom"/>
            <w:hideMark/>
          </w:tcPr>
          <w:p w:rsidR="00F05335" w:rsidRDefault="00F05335" w:rsidP="00F05335">
            <w:pPr>
              <w:rPr>
                <w:rFonts w:ascii="Arial" w:hAnsi="Arial" w:cs="Arial"/>
              </w:rPr>
            </w:pPr>
            <w:r>
              <w:rPr>
                <w:rFonts w:ascii="Arial" w:hAnsi="Arial" w:cs="Arial"/>
                <w:b/>
                <w:bCs/>
              </w:rPr>
              <w:t>Capital Structure</w:t>
            </w:r>
          </w:p>
        </w:tc>
        <w:tc>
          <w:tcPr>
            <w:tcW w:w="1276" w:type="dxa"/>
            <w:tcBorders>
              <w:top w:val="nil"/>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1362" w:type="dxa"/>
            <w:tcBorders>
              <w:top w:val="nil"/>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3316" w:type="dxa"/>
            <w:gridSpan w:val="4"/>
            <w:tcBorders>
              <w:top w:val="nil"/>
              <w:left w:val="nil"/>
              <w:bottom w:val="nil"/>
              <w:right w:val="single" w:sz="4" w:space="0" w:color="000000"/>
            </w:tcBorders>
            <w:shd w:val="clear" w:color="000000" w:fill="FFFFFF"/>
            <w:noWrap/>
            <w:vAlign w:val="bottom"/>
            <w:hideMark/>
          </w:tcPr>
          <w:p w:rsidR="00F05335" w:rsidRDefault="00F05335" w:rsidP="00F05335">
            <w:pPr>
              <w:jc w:val="right"/>
              <w:rPr>
                <w:rFonts w:ascii="Arial" w:hAnsi="Arial" w:cs="Arial"/>
                <w:b/>
                <w:bCs/>
              </w:rPr>
            </w:pPr>
            <w:r>
              <w:rPr>
                <w:rFonts w:ascii="Arial" w:hAnsi="Arial" w:cs="Arial"/>
                <w:b/>
                <w:bCs/>
              </w:rPr>
              <w:t>Docket No. 20170141-SU</w:t>
            </w:r>
          </w:p>
        </w:tc>
      </w:tr>
      <w:tr w:rsidR="00F05335" w:rsidTr="00F05335">
        <w:trPr>
          <w:trHeight w:val="155"/>
        </w:trPr>
        <w:tc>
          <w:tcPr>
            <w:tcW w:w="3287" w:type="dxa"/>
            <w:gridSpan w:val="2"/>
            <w:tcBorders>
              <w:top w:val="nil"/>
              <w:left w:val="single" w:sz="4" w:space="0" w:color="auto"/>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Test Year Ended 06/30/17</w:t>
            </w:r>
          </w:p>
        </w:tc>
        <w:tc>
          <w:tcPr>
            <w:tcW w:w="1276" w:type="dxa"/>
            <w:tcBorders>
              <w:top w:val="nil"/>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1362" w:type="dxa"/>
            <w:tcBorders>
              <w:top w:val="nil"/>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1012" w:type="dxa"/>
            <w:tcBorders>
              <w:top w:val="nil"/>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901" w:type="dxa"/>
            <w:tcBorders>
              <w:top w:val="nil"/>
              <w:left w:val="nil"/>
              <w:bottom w:val="nil"/>
              <w:right w:val="nil"/>
            </w:tcBorders>
            <w:shd w:val="clear" w:color="000000" w:fill="FFFFFF"/>
            <w:noWrap/>
            <w:vAlign w:val="bottom"/>
            <w:hideMark/>
          </w:tcPr>
          <w:p w:rsidR="00F05335" w:rsidRDefault="00F05335" w:rsidP="00F05335">
            <w:pPr>
              <w:rPr>
                <w:rFonts w:ascii="Arial" w:hAnsi="Arial" w:cs="Arial"/>
                <w:b/>
                <w:bCs/>
              </w:rPr>
            </w:pPr>
            <w:r>
              <w:rPr>
                <w:rFonts w:ascii="Arial" w:hAnsi="Arial" w:cs="Arial"/>
                <w:b/>
                <w:bCs/>
              </w:rPr>
              <w:t> </w:t>
            </w:r>
          </w:p>
        </w:tc>
        <w:tc>
          <w:tcPr>
            <w:tcW w:w="1129" w:type="dxa"/>
            <w:tcBorders>
              <w:top w:val="nil"/>
              <w:left w:val="nil"/>
              <w:bottom w:val="nil"/>
              <w:right w:val="nil"/>
            </w:tcBorders>
            <w:shd w:val="clear" w:color="000000" w:fill="FFFFFF"/>
            <w:noWrap/>
            <w:vAlign w:val="bottom"/>
            <w:hideMark/>
          </w:tcPr>
          <w:p w:rsidR="00F05335" w:rsidRDefault="00F05335" w:rsidP="00F05335">
            <w:pPr>
              <w:rPr>
                <w:rFonts w:ascii="Arial" w:hAnsi="Arial" w:cs="Arial"/>
              </w:rPr>
            </w:pPr>
            <w:r>
              <w:rPr>
                <w:rFonts w:ascii="Arial" w:hAnsi="Arial" w:cs="Arial"/>
              </w:rPr>
              <w:t> </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F05335">
        <w:trPr>
          <w:trHeight w:val="155"/>
        </w:trPr>
        <w:tc>
          <w:tcPr>
            <w:tcW w:w="905" w:type="dxa"/>
            <w:tcBorders>
              <w:top w:val="single" w:sz="4" w:space="0" w:color="auto"/>
              <w:left w:val="single" w:sz="4" w:space="0" w:color="auto"/>
              <w:bottom w:val="nil"/>
              <w:right w:val="nil"/>
            </w:tcBorders>
            <w:shd w:val="clear" w:color="auto" w:fill="auto"/>
            <w:noWrap/>
            <w:vAlign w:val="center"/>
            <w:hideMark/>
          </w:tcPr>
          <w:p w:rsidR="00F05335" w:rsidRDefault="00F05335" w:rsidP="00F05335">
            <w:pPr>
              <w:rPr>
                <w:b/>
                <w:bCs/>
                <w:sz w:val="22"/>
                <w:szCs w:val="22"/>
              </w:rPr>
            </w:pPr>
            <w:r>
              <w:rPr>
                <w:b/>
                <w:bCs/>
                <w:sz w:val="22"/>
                <w:szCs w:val="22"/>
              </w:rPr>
              <w:t> </w:t>
            </w:r>
          </w:p>
        </w:tc>
        <w:tc>
          <w:tcPr>
            <w:tcW w:w="2382" w:type="dxa"/>
            <w:vMerge w:val="restart"/>
            <w:tcBorders>
              <w:top w:val="single" w:sz="4" w:space="0" w:color="auto"/>
              <w:left w:val="nil"/>
              <w:bottom w:val="single" w:sz="4" w:space="0" w:color="000000"/>
              <w:right w:val="nil"/>
            </w:tcBorders>
            <w:shd w:val="clear" w:color="auto" w:fill="auto"/>
            <w:noWrap/>
            <w:vAlign w:val="center"/>
            <w:hideMark/>
          </w:tcPr>
          <w:p w:rsidR="00F05335" w:rsidRDefault="00F05335" w:rsidP="00F05335">
            <w:pPr>
              <w:rPr>
                <w:b/>
                <w:bCs/>
                <w:sz w:val="22"/>
                <w:szCs w:val="22"/>
              </w:rPr>
            </w:pPr>
            <w:r>
              <w:rPr>
                <w:b/>
                <w:bCs/>
                <w:sz w:val="22"/>
                <w:szCs w:val="22"/>
              </w:rPr>
              <w:t>Description</w:t>
            </w:r>
          </w:p>
        </w:tc>
        <w:tc>
          <w:tcPr>
            <w:tcW w:w="1276" w:type="dxa"/>
            <w:vMerge w:val="restart"/>
            <w:tcBorders>
              <w:top w:val="single" w:sz="4" w:space="0" w:color="auto"/>
              <w:left w:val="nil"/>
              <w:bottom w:val="single" w:sz="4" w:space="0" w:color="000000"/>
              <w:right w:val="nil"/>
            </w:tcBorders>
            <w:shd w:val="clear" w:color="auto" w:fill="auto"/>
            <w:vAlign w:val="center"/>
            <w:hideMark/>
          </w:tcPr>
          <w:p w:rsidR="00F05335" w:rsidRDefault="00F05335" w:rsidP="00F05335">
            <w:pPr>
              <w:jc w:val="center"/>
              <w:rPr>
                <w:b/>
                <w:bCs/>
                <w:sz w:val="22"/>
                <w:szCs w:val="22"/>
              </w:rPr>
            </w:pPr>
            <w:r>
              <w:rPr>
                <w:b/>
                <w:bCs/>
                <w:sz w:val="22"/>
                <w:szCs w:val="22"/>
              </w:rPr>
              <w:t>Total           Capital</w:t>
            </w:r>
          </w:p>
        </w:tc>
        <w:tc>
          <w:tcPr>
            <w:tcW w:w="1276" w:type="dxa"/>
            <w:tcBorders>
              <w:top w:val="single" w:sz="4" w:space="0" w:color="auto"/>
              <w:left w:val="nil"/>
              <w:bottom w:val="nil"/>
              <w:right w:val="nil"/>
            </w:tcBorders>
            <w:shd w:val="clear" w:color="auto" w:fill="auto"/>
            <w:noWrap/>
            <w:hideMark/>
          </w:tcPr>
          <w:p w:rsidR="00F05335" w:rsidRDefault="00F05335" w:rsidP="00F05335">
            <w:pPr>
              <w:jc w:val="center"/>
              <w:rPr>
                <w:b/>
                <w:bCs/>
                <w:sz w:val="22"/>
                <w:szCs w:val="22"/>
              </w:rPr>
            </w:pPr>
            <w:r>
              <w:rPr>
                <w:b/>
                <w:bCs/>
                <w:sz w:val="22"/>
                <w:szCs w:val="22"/>
              </w:rPr>
              <w:t>Specific</w:t>
            </w:r>
          </w:p>
        </w:tc>
        <w:tc>
          <w:tcPr>
            <w:tcW w:w="1276" w:type="dxa"/>
            <w:tcBorders>
              <w:top w:val="single" w:sz="4" w:space="0" w:color="auto"/>
              <w:left w:val="nil"/>
              <w:bottom w:val="nil"/>
              <w:right w:val="nil"/>
            </w:tcBorders>
            <w:shd w:val="clear" w:color="auto" w:fill="auto"/>
            <w:noWrap/>
            <w:hideMark/>
          </w:tcPr>
          <w:p w:rsidR="00F05335" w:rsidRDefault="00F05335" w:rsidP="00F05335">
            <w:pPr>
              <w:jc w:val="center"/>
              <w:rPr>
                <w:b/>
                <w:bCs/>
                <w:sz w:val="22"/>
                <w:szCs w:val="22"/>
              </w:rPr>
            </w:pPr>
            <w:r>
              <w:rPr>
                <w:b/>
                <w:bCs/>
                <w:sz w:val="22"/>
                <w:szCs w:val="22"/>
              </w:rPr>
              <w:t>Subtotal</w:t>
            </w:r>
          </w:p>
        </w:tc>
        <w:tc>
          <w:tcPr>
            <w:tcW w:w="1362" w:type="dxa"/>
            <w:tcBorders>
              <w:top w:val="single" w:sz="4" w:space="0" w:color="auto"/>
              <w:left w:val="nil"/>
              <w:bottom w:val="nil"/>
              <w:right w:val="nil"/>
            </w:tcBorders>
            <w:shd w:val="clear" w:color="auto" w:fill="auto"/>
            <w:noWrap/>
            <w:hideMark/>
          </w:tcPr>
          <w:p w:rsidR="00F05335" w:rsidRDefault="00F05335" w:rsidP="00F05335">
            <w:pPr>
              <w:jc w:val="center"/>
              <w:rPr>
                <w:b/>
                <w:bCs/>
                <w:sz w:val="22"/>
                <w:szCs w:val="22"/>
              </w:rPr>
            </w:pPr>
            <w:r>
              <w:rPr>
                <w:b/>
                <w:bCs/>
                <w:sz w:val="22"/>
                <w:szCs w:val="22"/>
              </w:rPr>
              <w:t>Prorata</w:t>
            </w:r>
          </w:p>
        </w:tc>
        <w:tc>
          <w:tcPr>
            <w:tcW w:w="1276" w:type="dxa"/>
            <w:tcBorders>
              <w:top w:val="single" w:sz="4" w:space="0" w:color="auto"/>
              <w:left w:val="nil"/>
              <w:bottom w:val="nil"/>
              <w:right w:val="nil"/>
            </w:tcBorders>
            <w:shd w:val="clear" w:color="auto" w:fill="auto"/>
            <w:noWrap/>
            <w:hideMark/>
          </w:tcPr>
          <w:p w:rsidR="00F05335" w:rsidRDefault="00F05335" w:rsidP="00F05335">
            <w:pPr>
              <w:jc w:val="center"/>
              <w:rPr>
                <w:b/>
                <w:bCs/>
                <w:sz w:val="22"/>
                <w:szCs w:val="22"/>
              </w:rPr>
            </w:pPr>
            <w:r>
              <w:rPr>
                <w:b/>
                <w:bCs/>
                <w:sz w:val="22"/>
                <w:szCs w:val="22"/>
              </w:rPr>
              <w:t>Capital</w:t>
            </w:r>
          </w:p>
        </w:tc>
        <w:tc>
          <w:tcPr>
            <w:tcW w:w="1012" w:type="dxa"/>
            <w:vMerge w:val="restart"/>
            <w:tcBorders>
              <w:top w:val="single" w:sz="4" w:space="0" w:color="auto"/>
              <w:left w:val="nil"/>
              <w:bottom w:val="single" w:sz="4" w:space="0" w:color="000000"/>
              <w:right w:val="nil"/>
            </w:tcBorders>
            <w:shd w:val="clear" w:color="auto" w:fill="auto"/>
            <w:noWrap/>
            <w:vAlign w:val="center"/>
            <w:hideMark/>
          </w:tcPr>
          <w:p w:rsidR="00F05335" w:rsidRDefault="00F05335" w:rsidP="00F05335">
            <w:pPr>
              <w:jc w:val="center"/>
              <w:rPr>
                <w:b/>
                <w:bCs/>
                <w:sz w:val="22"/>
                <w:szCs w:val="22"/>
              </w:rPr>
            </w:pPr>
            <w:r>
              <w:rPr>
                <w:b/>
                <w:bCs/>
                <w:sz w:val="22"/>
                <w:szCs w:val="22"/>
              </w:rPr>
              <w:t>Ratio</w:t>
            </w:r>
          </w:p>
        </w:tc>
        <w:tc>
          <w:tcPr>
            <w:tcW w:w="901" w:type="dxa"/>
            <w:vMerge w:val="restart"/>
            <w:tcBorders>
              <w:top w:val="single" w:sz="4" w:space="0" w:color="auto"/>
              <w:left w:val="nil"/>
              <w:bottom w:val="single" w:sz="4" w:space="0" w:color="000000"/>
              <w:right w:val="nil"/>
            </w:tcBorders>
            <w:shd w:val="clear" w:color="auto" w:fill="auto"/>
            <w:vAlign w:val="center"/>
            <w:hideMark/>
          </w:tcPr>
          <w:p w:rsidR="00F05335" w:rsidRDefault="00F05335" w:rsidP="00F05335">
            <w:pPr>
              <w:jc w:val="center"/>
              <w:rPr>
                <w:b/>
                <w:bCs/>
                <w:sz w:val="22"/>
                <w:szCs w:val="22"/>
              </w:rPr>
            </w:pPr>
            <w:r>
              <w:rPr>
                <w:b/>
                <w:bCs/>
                <w:sz w:val="22"/>
                <w:szCs w:val="22"/>
              </w:rPr>
              <w:t>Cost Rate</w:t>
            </w:r>
          </w:p>
        </w:tc>
        <w:tc>
          <w:tcPr>
            <w:tcW w:w="1129" w:type="dxa"/>
            <w:vMerge w:val="restart"/>
            <w:tcBorders>
              <w:top w:val="single" w:sz="4" w:space="0" w:color="auto"/>
              <w:left w:val="nil"/>
              <w:bottom w:val="single" w:sz="4" w:space="0" w:color="000000"/>
              <w:right w:val="nil"/>
            </w:tcBorders>
            <w:shd w:val="clear" w:color="auto" w:fill="auto"/>
            <w:vAlign w:val="center"/>
            <w:hideMark/>
          </w:tcPr>
          <w:p w:rsidR="00F05335" w:rsidRDefault="00F05335" w:rsidP="00F05335">
            <w:pPr>
              <w:jc w:val="center"/>
              <w:rPr>
                <w:b/>
                <w:bCs/>
                <w:sz w:val="22"/>
                <w:szCs w:val="22"/>
              </w:rPr>
            </w:pPr>
            <w:r>
              <w:rPr>
                <w:b/>
                <w:bCs/>
                <w:sz w:val="22"/>
                <w:szCs w:val="22"/>
              </w:rPr>
              <w:t>Weighted Cost</w:t>
            </w:r>
          </w:p>
        </w:tc>
        <w:tc>
          <w:tcPr>
            <w:tcW w:w="274" w:type="dxa"/>
            <w:tcBorders>
              <w:top w:val="single" w:sz="4" w:space="0" w:color="auto"/>
              <w:left w:val="nil"/>
              <w:bottom w:val="nil"/>
              <w:right w:val="single" w:sz="4" w:space="0" w:color="auto"/>
            </w:tcBorders>
            <w:shd w:val="clear" w:color="auto" w:fill="auto"/>
            <w:noWrap/>
            <w:vAlign w:val="center"/>
            <w:hideMark/>
          </w:tcPr>
          <w:p w:rsidR="00F05335" w:rsidRDefault="00F05335" w:rsidP="00F05335">
            <w:pPr>
              <w:rPr>
                <w:b/>
                <w:bCs/>
                <w:sz w:val="22"/>
                <w:szCs w:val="22"/>
              </w:rPr>
            </w:pPr>
            <w:r>
              <w:rPr>
                <w:b/>
                <w:bCs/>
                <w:sz w:val="22"/>
                <w:szCs w:val="22"/>
              </w:rPr>
              <w:t> </w:t>
            </w:r>
          </w:p>
        </w:tc>
      </w:tr>
      <w:tr w:rsidR="00F05335" w:rsidTr="00F05335">
        <w:trPr>
          <w:trHeight w:val="70"/>
        </w:trPr>
        <w:tc>
          <w:tcPr>
            <w:tcW w:w="905" w:type="dxa"/>
            <w:tcBorders>
              <w:top w:val="nil"/>
              <w:left w:val="single" w:sz="4" w:space="0" w:color="auto"/>
              <w:bottom w:val="nil"/>
              <w:right w:val="nil"/>
            </w:tcBorders>
            <w:shd w:val="clear" w:color="auto" w:fill="auto"/>
            <w:noWrap/>
            <w:vAlign w:val="center"/>
            <w:hideMark/>
          </w:tcPr>
          <w:p w:rsidR="00F05335" w:rsidRDefault="00F05335" w:rsidP="00F05335">
            <w:pPr>
              <w:rPr>
                <w:b/>
                <w:bCs/>
                <w:sz w:val="22"/>
                <w:szCs w:val="22"/>
              </w:rPr>
            </w:pPr>
            <w:r>
              <w:rPr>
                <w:b/>
                <w:bCs/>
                <w:sz w:val="22"/>
                <w:szCs w:val="22"/>
              </w:rPr>
              <w:t> </w:t>
            </w:r>
          </w:p>
        </w:tc>
        <w:tc>
          <w:tcPr>
            <w:tcW w:w="2382" w:type="dxa"/>
            <w:vMerge/>
            <w:tcBorders>
              <w:top w:val="single" w:sz="4" w:space="0" w:color="auto"/>
              <w:left w:val="nil"/>
              <w:bottom w:val="single" w:sz="4" w:space="0" w:color="000000"/>
              <w:right w:val="nil"/>
            </w:tcBorders>
            <w:vAlign w:val="center"/>
            <w:hideMark/>
          </w:tcPr>
          <w:p w:rsidR="00F05335" w:rsidRDefault="00F05335" w:rsidP="00F05335">
            <w:pPr>
              <w:rPr>
                <w:b/>
                <w:bCs/>
                <w:sz w:val="22"/>
                <w:szCs w:val="22"/>
              </w:rPr>
            </w:pPr>
          </w:p>
        </w:tc>
        <w:tc>
          <w:tcPr>
            <w:tcW w:w="1276" w:type="dxa"/>
            <w:vMerge/>
            <w:tcBorders>
              <w:top w:val="single" w:sz="4" w:space="0" w:color="auto"/>
              <w:left w:val="nil"/>
              <w:bottom w:val="single" w:sz="4" w:space="0" w:color="000000"/>
              <w:right w:val="nil"/>
            </w:tcBorders>
            <w:hideMark/>
          </w:tcPr>
          <w:p w:rsidR="00F05335" w:rsidRDefault="00F05335" w:rsidP="00F05335">
            <w:pPr>
              <w:jc w:val="center"/>
              <w:rPr>
                <w:b/>
                <w:bCs/>
                <w:sz w:val="22"/>
                <w:szCs w:val="22"/>
              </w:rPr>
            </w:pPr>
          </w:p>
        </w:tc>
        <w:tc>
          <w:tcPr>
            <w:tcW w:w="1276" w:type="dxa"/>
            <w:tcBorders>
              <w:top w:val="nil"/>
              <w:left w:val="nil"/>
              <w:bottom w:val="nil"/>
              <w:right w:val="nil"/>
            </w:tcBorders>
            <w:shd w:val="clear" w:color="auto" w:fill="auto"/>
            <w:noWrap/>
            <w:hideMark/>
          </w:tcPr>
          <w:p w:rsidR="00F05335" w:rsidRDefault="00F05335" w:rsidP="00F05335">
            <w:pPr>
              <w:jc w:val="center"/>
              <w:rPr>
                <w:b/>
                <w:bCs/>
                <w:sz w:val="22"/>
                <w:szCs w:val="22"/>
              </w:rPr>
            </w:pPr>
            <w:r>
              <w:rPr>
                <w:b/>
                <w:bCs/>
                <w:sz w:val="22"/>
                <w:szCs w:val="22"/>
              </w:rPr>
              <w:t>Adjust-</w:t>
            </w:r>
          </w:p>
        </w:tc>
        <w:tc>
          <w:tcPr>
            <w:tcW w:w="1276" w:type="dxa"/>
            <w:tcBorders>
              <w:top w:val="nil"/>
              <w:left w:val="nil"/>
              <w:bottom w:val="nil"/>
              <w:right w:val="nil"/>
            </w:tcBorders>
            <w:shd w:val="clear" w:color="auto" w:fill="auto"/>
            <w:noWrap/>
            <w:hideMark/>
          </w:tcPr>
          <w:p w:rsidR="00F05335" w:rsidRDefault="00F05335" w:rsidP="00F05335">
            <w:pPr>
              <w:jc w:val="center"/>
              <w:rPr>
                <w:b/>
                <w:bCs/>
                <w:sz w:val="22"/>
                <w:szCs w:val="22"/>
              </w:rPr>
            </w:pPr>
            <w:r>
              <w:rPr>
                <w:b/>
                <w:bCs/>
                <w:sz w:val="22"/>
                <w:szCs w:val="22"/>
              </w:rPr>
              <w:t>Adjusted</w:t>
            </w:r>
          </w:p>
        </w:tc>
        <w:tc>
          <w:tcPr>
            <w:tcW w:w="1362" w:type="dxa"/>
            <w:tcBorders>
              <w:top w:val="nil"/>
              <w:left w:val="nil"/>
              <w:bottom w:val="nil"/>
              <w:right w:val="nil"/>
            </w:tcBorders>
            <w:shd w:val="clear" w:color="auto" w:fill="auto"/>
            <w:noWrap/>
            <w:hideMark/>
          </w:tcPr>
          <w:p w:rsidR="00F05335" w:rsidRDefault="00F05335" w:rsidP="00F05335">
            <w:pPr>
              <w:jc w:val="center"/>
              <w:rPr>
                <w:b/>
                <w:bCs/>
                <w:sz w:val="22"/>
                <w:szCs w:val="22"/>
              </w:rPr>
            </w:pPr>
            <w:r>
              <w:rPr>
                <w:b/>
                <w:bCs/>
                <w:sz w:val="22"/>
                <w:szCs w:val="22"/>
              </w:rPr>
              <w:t>Adjust-</w:t>
            </w:r>
          </w:p>
        </w:tc>
        <w:tc>
          <w:tcPr>
            <w:tcW w:w="1276" w:type="dxa"/>
            <w:tcBorders>
              <w:top w:val="nil"/>
              <w:left w:val="nil"/>
              <w:bottom w:val="nil"/>
              <w:right w:val="nil"/>
            </w:tcBorders>
            <w:shd w:val="clear" w:color="auto" w:fill="auto"/>
            <w:noWrap/>
            <w:hideMark/>
          </w:tcPr>
          <w:p w:rsidR="00F05335" w:rsidRDefault="00F05335" w:rsidP="00F05335">
            <w:pPr>
              <w:jc w:val="center"/>
              <w:rPr>
                <w:b/>
                <w:bCs/>
                <w:sz w:val="22"/>
                <w:szCs w:val="22"/>
              </w:rPr>
            </w:pPr>
            <w:r>
              <w:rPr>
                <w:b/>
                <w:bCs/>
                <w:sz w:val="22"/>
                <w:szCs w:val="22"/>
              </w:rPr>
              <w:t>Reconciled</w:t>
            </w:r>
          </w:p>
        </w:tc>
        <w:tc>
          <w:tcPr>
            <w:tcW w:w="1012" w:type="dxa"/>
            <w:vMerge/>
            <w:tcBorders>
              <w:top w:val="single" w:sz="4" w:space="0" w:color="auto"/>
              <w:left w:val="nil"/>
              <w:bottom w:val="single" w:sz="4" w:space="0" w:color="000000"/>
              <w:right w:val="nil"/>
            </w:tcBorders>
            <w:vAlign w:val="center"/>
            <w:hideMark/>
          </w:tcPr>
          <w:p w:rsidR="00F05335" w:rsidRDefault="00F05335" w:rsidP="00F05335">
            <w:pPr>
              <w:rPr>
                <w:b/>
                <w:bCs/>
                <w:sz w:val="22"/>
                <w:szCs w:val="22"/>
              </w:rPr>
            </w:pPr>
          </w:p>
        </w:tc>
        <w:tc>
          <w:tcPr>
            <w:tcW w:w="901" w:type="dxa"/>
            <w:vMerge/>
            <w:tcBorders>
              <w:top w:val="single" w:sz="4" w:space="0" w:color="auto"/>
              <w:left w:val="nil"/>
              <w:bottom w:val="single" w:sz="4" w:space="0" w:color="000000"/>
              <w:right w:val="nil"/>
            </w:tcBorders>
            <w:vAlign w:val="center"/>
            <w:hideMark/>
          </w:tcPr>
          <w:p w:rsidR="00F05335" w:rsidRDefault="00F05335" w:rsidP="00F05335">
            <w:pPr>
              <w:rPr>
                <w:b/>
                <w:bCs/>
                <w:sz w:val="22"/>
                <w:szCs w:val="22"/>
              </w:rPr>
            </w:pPr>
          </w:p>
        </w:tc>
        <w:tc>
          <w:tcPr>
            <w:tcW w:w="1129" w:type="dxa"/>
            <w:vMerge/>
            <w:tcBorders>
              <w:top w:val="single" w:sz="4" w:space="0" w:color="auto"/>
              <w:left w:val="nil"/>
              <w:bottom w:val="single" w:sz="4" w:space="0" w:color="000000"/>
              <w:right w:val="nil"/>
            </w:tcBorders>
            <w:vAlign w:val="center"/>
            <w:hideMark/>
          </w:tcPr>
          <w:p w:rsidR="00F05335" w:rsidRDefault="00F05335" w:rsidP="00F05335">
            <w:pPr>
              <w:rPr>
                <w:b/>
                <w:bCs/>
                <w:sz w:val="22"/>
                <w:szCs w:val="22"/>
              </w:rPr>
            </w:pPr>
          </w:p>
        </w:tc>
        <w:tc>
          <w:tcPr>
            <w:tcW w:w="274" w:type="dxa"/>
            <w:tcBorders>
              <w:top w:val="nil"/>
              <w:left w:val="nil"/>
              <w:bottom w:val="nil"/>
              <w:right w:val="single" w:sz="4" w:space="0" w:color="auto"/>
            </w:tcBorders>
            <w:shd w:val="clear" w:color="auto" w:fill="auto"/>
            <w:noWrap/>
            <w:vAlign w:val="center"/>
            <w:hideMark/>
          </w:tcPr>
          <w:p w:rsidR="00F05335" w:rsidRDefault="00F05335" w:rsidP="00F05335">
            <w:pPr>
              <w:rPr>
                <w:b/>
                <w:bCs/>
                <w:sz w:val="22"/>
                <w:szCs w:val="22"/>
              </w:rPr>
            </w:pPr>
            <w:r>
              <w:rPr>
                <w:b/>
                <w:bCs/>
                <w:sz w:val="22"/>
                <w:szCs w:val="22"/>
              </w:rPr>
              <w:t> </w:t>
            </w:r>
          </w:p>
        </w:tc>
      </w:tr>
      <w:tr w:rsidR="00F05335" w:rsidTr="00F05335">
        <w:trPr>
          <w:trHeight w:val="188"/>
        </w:trPr>
        <w:tc>
          <w:tcPr>
            <w:tcW w:w="905" w:type="dxa"/>
            <w:tcBorders>
              <w:top w:val="nil"/>
              <w:left w:val="single" w:sz="4" w:space="0" w:color="auto"/>
              <w:bottom w:val="single" w:sz="4" w:space="0" w:color="auto"/>
              <w:right w:val="nil"/>
            </w:tcBorders>
            <w:shd w:val="clear" w:color="auto" w:fill="auto"/>
            <w:noWrap/>
            <w:vAlign w:val="center"/>
            <w:hideMark/>
          </w:tcPr>
          <w:p w:rsidR="00F05335" w:rsidRDefault="00F05335" w:rsidP="00F05335">
            <w:pPr>
              <w:rPr>
                <w:b/>
                <w:bCs/>
                <w:sz w:val="22"/>
                <w:szCs w:val="22"/>
              </w:rPr>
            </w:pPr>
            <w:r>
              <w:rPr>
                <w:b/>
                <w:bCs/>
                <w:sz w:val="22"/>
                <w:szCs w:val="22"/>
              </w:rPr>
              <w:t> </w:t>
            </w:r>
          </w:p>
        </w:tc>
        <w:tc>
          <w:tcPr>
            <w:tcW w:w="2382" w:type="dxa"/>
            <w:vMerge/>
            <w:tcBorders>
              <w:top w:val="single" w:sz="4" w:space="0" w:color="auto"/>
              <w:left w:val="nil"/>
              <w:bottom w:val="single" w:sz="4" w:space="0" w:color="000000"/>
              <w:right w:val="nil"/>
            </w:tcBorders>
            <w:vAlign w:val="center"/>
            <w:hideMark/>
          </w:tcPr>
          <w:p w:rsidR="00F05335" w:rsidRDefault="00F05335" w:rsidP="00F05335">
            <w:pPr>
              <w:rPr>
                <w:b/>
                <w:bCs/>
                <w:sz w:val="22"/>
                <w:szCs w:val="22"/>
              </w:rPr>
            </w:pPr>
          </w:p>
        </w:tc>
        <w:tc>
          <w:tcPr>
            <w:tcW w:w="1276" w:type="dxa"/>
            <w:vMerge/>
            <w:tcBorders>
              <w:top w:val="single" w:sz="4" w:space="0" w:color="auto"/>
              <w:left w:val="nil"/>
              <w:bottom w:val="single" w:sz="4" w:space="0" w:color="000000"/>
              <w:right w:val="nil"/>
            </w:tcBorders>
            <w:hideMark/>
          </w:tcPr>
          <w:p w:rsidR="00F05335" w:rsidRDefault="00F05335" w:rsidP="00F05335">
            <w:pPr>
              <w:jc w:val="center"/>
              <w:rPr>
                <w:b/>
                <w:bCs/>
                <w:sz w:val="22"/>
                <w:szCs w:val="22"/>
              </w:rPr>
            </w:pPr>
          </w:p>
        </w:tc>
        <w:tc>
          <w:tcPr>
            <w:tcW w:w="1276" w:type="dxa"/>
            <w:tcBorders>
              <w:top w:val="nil"/>
              <w:left w:val="nil"/>
              <w:bottom w:val="single" w:sz="4" w:space="0" w:color="auto"/>
              <w:right w:val="nil"/>
            </w:tcBorders>
            <w:shd w:val="clear" w:color="auto" w:fill="auto"/>
            <w:noWrap/>
            <w:hideMark/>
          </w:tcPr>
          <w:p w:rsidR="00F05335" w:rsidRDefault="00F05335" w:rsidP="00F05335">
            <w:pPr>
              <w:jc w:val="center"/>
              <w:rPr>
                <w:b/>
                <w:bCs/>
                <w:sz w:val="22"/>
                <w:szCs w:val="22"/>
              </w:rPr>
            </w:pPr>
            <w:r>
              <w:rPr>
                <w:b/>
                <w:bCs/>
                <w:sz w:val="22"/>
                <w:szCs w:val="22"/>
              </w:rPr>
              <w:t>ments</w:t>
            </w:r>
          </w:p>
        </w:tc>
        <w:tc>
          <w:tcPr>
            <w:tcW w:w="1276" w:type="dxa"/>
            <w:tcBorders>
              <w:top w:val="nil"/>
              <w:left w:val="nil"/>
              <w:bottom w:val="single" w:sz="4" w:space="0" w:color="auto"/>
              <w:right w:val="nil"/>
            </w:tcBorders>
            <w:shd w:val="clear" w:color="auto" w:fill="auto"/>
            <w:noWrap/>
            <w:hideMark/>
          </w:tcPr>
          <w:p w:rsidR="00F05335" w:rsidRDefault="00F05335" w:rsidP="00F05335">
            <w:pPr>
              <w:jc w:val="center"/>
              <w:rPr>
                <w:b/>
                <w:bCs/>
                <w:sz w:val="22"/>
                <w:szCs w:val="22"/>
              </w:rPr>
            </w:pPr>
            <w:r>
              <w:rPr>
                <w:b/>
                <w:bCs/>
                <w:sz w:val="22"/>
                <w:szCs w:val="22"/>
              </w:rPr>
              <w:t>Capital</w:t>
            </w:r>
          </w:p>
        </w:tc>
        <w:tc>
          <w:tcPr>
            <w:tcW w:w="1362" w:type="dxa"/>
            <w:tcBorders>
              <w:top w:val="nil"/>
              <w:left w:val="nil"/>
              <w:bottom w:val="single" w:sz="4" w:space="0" w:color="auto"/>
              <w:right w:val="nil"/>
            </w:tcBorders>
            <w:shd w:val="clear" w:color="auto" w:fill="auto"/>
            <w:noWrap/>
            <w:hideMark/>
          </w:tcPr>
          <w:p w:rsidR="00F05335" w:rsidRDefault="00F05335" w:rsidP="00F05335">
            <w:pPr>
              <w:jc w:val="center"/>
              <w:rPr>
                <w:b/>
                <w:bCs/>
                <w:sz w:val="22"/>
                <w:szCs w:val="22"/>
              </w:rPr>
            </w:pPr>
            <w:r>
              <w:rPr>
                <w:b/>
                <w:bCs/>
                <w:sz w:val="22"/>
                <w:szCs w:val="22"/>
              </w:rPr>
              <w:t>ments</w:t>
            </w:r>
          </w:p>
        </w:tc>
        <w:tc>
          <w:tcPr>
            <w:tcW w:w="1276" w:type="dxa"/>
            <w:tcBorders>
              <w:top w:val="nil"/>
              <w:left w:val="nil"/>
              <w:bottom w:val="single" w:sz="4" w:space="0" w:color="auto"/>
              <w:right w:val="nil"/>
            </w:tcBorders>
            <w:shd w:val="clear" w:color="auto" w:fill="auto"/>
            <w:noWrap/>
            <w:hideMark/>
          </w:tcPr>
          <w:p w:rsidR="00F05335" w:rsidRDefault="00F05335" w:rsidP="00F05335">
            <w:pPr>
              <w:jc w:val="center"/>
              <w:rPr>
                <w:b/>
                <w:bCs/>
                <w:sz w:val="22"/>
                <w:szCs w:val="22"/>
              </w:rPr>
            </w:pPr>
            <w:r>
              <w:rPr>
                <w:b/>
                <w:bCs/>
                <w:sz w:val="22"/>
                <w:szCs w:val="22"/>
              </w:rPr>
              <w:t>to Rate Base</w:t>
            </w:r>
          </w:p>
        </w:tc>
        <w:tc>
          <w:tcPr>
            <w:tcW w:w="1012" w:type="dxa"/>
            <w:vMerge/>
            <w:tcBorders>
              <w:top w:val="single" w:sz="4" w:space="0" w:color="auto"/>
              <w:left w:val="nil"/>
              <w:bottom w:val="single" w:sz="4" w:space="0" w:color="000000"/>
              <w:right w:val="nil"/>
            </w:tcBorders>
            <w:vAlign w:val="center"/>
            <w:hideMark/>
          </w:tcPr>
          <w:p w:rsidR="00F05335" w:rsidRDefault="00F05335" w:rsidP="00F05335">
            <w:pPr>
              <w:rPr>
                <w:b/>
                <w:bCs/>
                <w:sz w:val="22"/>
                <w:szCs w:val="22"/>
              </w:rPr>
            </w:pPr>
          </w:p>
        </w:tc>
        <w:tc>
          <w:tcPr>
            <w:tcW w:w="901" w:type="dxa"/>
            <w:vMerge/>
            <w:tcBorders>
              <w:top w:val="single" w:sz="4" w:space="0" w:color="auto"/>
              <w:left w:val="nil"/>
              <w:bottom w:val="single" w:sz="4" w:space="0" w:color="000000"/>
              <w:right w:val="nil"/>
            </w:tcBorders>
            <w:vAlign w:val="center"/>
            <w:hideMark/>
          </w:tcPr>
          <w:p w:rsidR="00F05335" w:rsidRDefault="00F05335" w:rsidP="00F05335">
            <w:pPr>
              <w:rPr>
                <w:b/>
                <w:bCs/>
                <w:sz w:val="22"/>
                <w:szCs w:val="22"/>
              </w:rPr>
            </w:pPr>
          </w:p>
        </w:tc>
        <w:tc>
          <w:tcPr>
            <w:tcW w:w="1129" w:type="dxa"/>
            <w:vMerge/>
            <w:tcBorders>
              <w:top w:val="single" w:sz="4" w:space="0" w:color="auto"/>
              <w:left w:val="nil"/>
              <w:bottom w:val="single" w:sz="4" w:space="0" w:color="000000"/>
              <w:right w:val="nil"/>
            </w:tcBorders>
            <w:vAlign w:val="center"/>
            <w:hideMark/>
          </w:tcPr>
          <w:p w:rsidR="00F05335" w:rsidRDefault="00F05335" w:rsidP="00F05335">
            <w:pPr>
              <w:rPr>
                <w:b/>
                <w:bCs/>
                <w:sz w:val="22"/>
                <w:szCs w:val="22"/>
              </w:rPr>
            </w:pPr>
          </w:p>
        </w:tc>
        <w:tc>
          <w:tcPr>
            <w:tcW w:w="274" w:type="dxa"/>
            <w:tcBorders>
              <w:top w:val="nil"/>
              <w:left w:val="nil"/>
              <w:bottom w:val="single" w:sz="4" w:space="0" w:color="auto"/>
              <w:right w:val="single" w:sz="4" w:space="0" w:color="auto"/>
            </w:tcBorders>
            <w:shd w:val="clear" w:color="auto" w:fill="auto"/>
            <w:noWrap/>
            <w:vAlign w:val="center"/>
            <w:hideMark/>
          </w:tcPr>
          <w:p w:rsidR="00F05335" w:rsidRDefault="00F05335" w:rsidP="00F05335">
            <w:pPr>
              <w:jc w:val="center"/>
              <w:rPr>
                <w:b/>
                <w:bCs/>
                <w:sz w:val="22"/>
                <w:szCs w:val="22"/>
              </w:rPr>
            </w:pPr>
            <w:r>
              <w:rPr>
                <w:b/>
                <w:bCs/>
                <w:sz w:val="22"/>
                <w:szCs w:val="22"/>
              </w:rPr>
              <w:t> </w:t>
            </w:r>
          </w:p>
        </w:tc>
      </w:tr>
      <w:tr w:rsidR="00F05335" w:rsidTr="00F05335">
        <w:trPr>
          <w:trHeight w:val="155"/>
        </w:trPr>
        <w:tc>
          <w:tcPr>
            <w:tcW w:w="905" w:type="dxa"/>
            <w:tcBorders>
              <w:top w:val="nil"/>
              <w:left w:val="single" w:sz="4" w:space="0" w:color="auto"/>
              <w:bottom w:val="nil"/>
              <w:right w:val="nil"/>
            </w:tcBorders>
            <w:shd w:val="clear" w:color="auto" w:fill="auto"/>
            <w:noWrap/>
            <w:vAlign w:val="center"/>
            <w:hideMark/>
          </w:tcPr>
          <w:p w:rsidR="00F05335" w:rsidRDefault="00F05335" w:rsidP="00F05335">
            <w:pPr>
              <w:rPr>
                <w:b/>
                <w:bCs/>
                <w:sz w:val="22"/>
                <w:szCs w:val="22"/>
              </w:rPr>
            </w:pPr>
            <w:r>
              <w:rPr>
                <w:b/>
                <w:bCs/>
                <w:sz w:val="22"/>
                <w:szCs w:val="22"/>
              </w:rPr>
              <w:t> </w:t>
            </w:r>
          </w:p>
        </w:tc>
        <w:tc>
          <w:tcPr>
            <w:tcW w:w="2382" w:type="dxa"/>
            <w:tcBorders>
              <w:top w:val="nil"/>
              <w:left w:val="nil"/>
              <w:bottom w:val="nil"/>
              <w:right w:val="nil"/>
            </w:tcBorders>
            <w:shd w:val="clear" w:color="auto" w:fill="auto"/>
            <w:noWrap/>
            <w:vAlign w:val="center"/>
            <w:hideMark/>
          </w:tcPr>
          <w:p w:rsidR="00F05335" w:rsidRDefault="00F05335" w:rsidP="00F05335">
            <w:pPr>
              <w:rPr>
                <w:rFonts w:ascii="Arial" w:hAnsi="Arial" w:cs="Arial"/>
              </w:rPr>
            </w:pPr>
          </w:p>
        </w:tc>
        <w:tc>
          <w:tcPr>
            <w:tcW w:w="1276" w:type="dxa"/>
            <w:tcBorders>
              <w:top w:val="nil"/>
              <w:left w:val="nil"/>
              <w:bottom w:val="nil"/>
              <w:right w:val="nil"/>
            </w:tcBorders>
            <w:shd w:val="clear" w:color="auto" w:fill="auto"/>
            <w:vAlign w:val="center"/>
            <w:hideMark/>
          </w:tcPr>
          <w:p w:rsidR="00F05335" w:rsidRDefault="00F05335" w:rsidP="00F05335">
            <w:pPr>
              <w:rPr>
                <w:rFonts w:ascii="Arial" w:hAnsi="Arial" w:cs="Arial"/>
              </w:rPr>
            </w:pPr>
          </w:p>
        </w:tc>
        <w:tc>
          <w:tcPr>
            <w:tcW w:w="1276" w:type="dxa"/>
            <w:tcBorders>
              <w:top w:val="nil"/>
              <w:left w:val="nil"/>
              <w:bottom w:val="nil"/>
              <w:right w:val="nil"/>
            </w:tcBorders>
            <w:shd w:val="clear" w:color="auto" w:fill="auto"/>
            <w:noWrap/>
            <w:vAlign w:val="center"/>
            <w:hideMark/>
          </w:tcPr>
          <w:p w:rsidR="00F05335" w:rsidRDefault="00F05335" w:rsidP="00F05335">
            <w:pPr>
              <w:jc w:val="center"/>
              <w:rPr>
                <w:b/>
                <w:bCs/>
                <w:sz w:val="22"/>
                <w:szCs w:val="22"/>
              </w:rPr>
            </w:pPr>
          </w:p>
        </w:tc>
        <w:tc>
          <w:tcPr>
            <w:tcW w:w="1276" w:type="dxa"/>
            <w:tcBorders>
              <w:top w:val="nil"/>
              <w:left w:val="nil"/>
              <w:bottom w:val="nil"/>
              <w:right w:val="nil"/>
            </w:tcBorders>
            <w:shd w:val="clear" w:color="auto" w:fill="auto"/>
            <w:noWrap/>
            <w:vAlign w:val="center"/>
            <w:hideMark/>
          </w:tcPr>
          <w:p w:rsidR="00F05335" w:rsidRDefault="00F05335" w:rsidP="00F05335">
            <w:pPr>
              <w:jc w:val="center"/>
              <w:rPr>
                <w:b/>
                <w:bCs/>
                <w:sz w:val="22"/>
                <w:szCs w:val="22"/>
              </w:rPr>
            </w:pPr>
          </w:p>
        </w:tc>
        <w:tc>
          <w:tcPr>
            <w:tcW w:w="1362" w:type="dxa"/>
            <w:tcBorders>
              <w:top w:val="nil"/>
              <w:left w:val="nil"/>
              <w:bottom w:val="nil"/>
              <w:right w:val="nil"/>
            </w:tcBorders>
            <w:shd w:val="clear" w:color="auto" w:fill="auto"/>
            <w:noWrap/>
            <w:vAlign w:val="center"/>
            <w:hideMark/>
          </w:tcPr>
          <w:p w:rsidR="00F05335" w:rsidRDefault="00F05335" w:rsidP="00F05335">
            <w:pPr>
              <w:jc w:val="center"/>
              <w:rPr>
                <w:b/>
                <w:bCs/>
                <w:sz w:val="22"/>
                <w:szCs w:val="22"/>
              </w:rPr>
            </w:pPr>
          </w:p>
        </w:tc>
        <w:tc>
          <w:tcPr>
            <w:tcW w:w="1276" w:type="dxa"/>
            <w:tcBorders>
              <w:top w:val="nil"/>
              <w:left w:val="nil"/>
              <w:bottom w:val="nil"/>
              <w:right w:val="nil"/>
            </w:tcBorders>
            <w:shd w:val="clear" w:color="auto" w:fill="auto"/>
            <w:noWrap/>
            <w:vAlign w:val="center"/>
            <w:hideMark/>
          </w:tcPr>
          <w:p w:rsidR="00F05335" w:rsidRDefault="00F05335" w:rsidP="00F05335">
            <w:pPr>
              <w:jc w:val="center"/>
              <w:rPr>
                <w:b/>
                <w:bCs/>
                <w:sz w:val="22"/>
                <w:szCs w:val="22"/>
              </w:rPr>
            </w:pPr>
          </w:p>
        </w:tc>
        <w:tc>
          <w:tcPr>
            <w:tcW w:w="1012" w:type="dxa"/>
            <w:tcBorders>
              <w:top w:val="nil"/>
              <w:left w:val="nil"/>
              <w:bottom w:val="nil"/>
              <w:right w:val="nil"/>
            </w:tcBorders>
            <w:shd w:val="clear" w:color="auto" w:fill="auto"/>
            <w:noWrap/>
            <w:vAlign w:val="center"/>
            <w:hideMark/>
          </w:tcPr>
          <w:p w:rsidR="00F05335" w:rsidRDefault="00F05335" w:rsidP="00F05335">
            <w:pPr>
              <w:rPr>
                <w:rFonts w:ascii="Arial" w:hAnsi="Arial" w:cs="Arial"/>
              </w:rPr>
            </w:pPr>
          </w:p>
        </w:tc>
        <w:tc>
          <w:tcPr>
            <w:tcW w:w="901" w:type="dxa"/>
            <w:tcBorders>
              <w:top w:val="nil"/>
              <w:left w:val="nil"/>
              <w:bottom w:val="nil"/>
              <w:right w:val="nil"/>
            </w:tcBorders>
            <w:shd w:val="clear" w:color="auto" w:fill="auto"/>
            <w:vAlign w:val="center"/>
            <w:hideMark/>
          </w:tcPr>
          <w:p w:rsidR="00F05335" w:rsidRDefault="00F05335" w:rsidP="00F05335">
            <w:pPr>
              <w:rPr>
                <w:rFonts w:ascii="Arial" w:hAnsi="Arial" w:cs="Arial"/>
              </w:rPr>
            </w:pPr>
          </w:p>
        </w:tc>
        <w:tc>
          <w:tcPr>
            <w:tcW w:w="1129" w:type="dxa"/>
            <w:tcBorders>
              <w:top w:val="nil"/>
              <w:left w:val="nil"/>
              <w:bottom w:val="nil"/>
              <w:right w:val="nil"/>
            </w:tcBorders>
            <w:shd w:val="clear" w:color="auto" w:fill="auto"/>
            <w:vAlign w:val="center"/>
            <w:hideMark/>
          </w:tcPr>
          <w:p w:rsidR="00F05335" w:rsidRDefault="00F05335" w:rsidP="00F05335">
            <w:pPr>
              <w:rPr>
                <w:rFonts w:ascii="Arial" w:hAnsi="Arial" w:cs="Arial"/>
              </w:rPr>
            </w:pPr>
          </w:p>
        </w:tc>
        <w:tc>
          <w:tcPr>
            <w:tcW w:w="274" w:type="dxa"/>
            <w:tcBorders>
              <w:top w:val="nil"/>
              <w:left w:val="nil"/>
              <w:bottom w:val="nil"/>
              <w:right w:val="single" w:sz="4" w:space="0" w:color="auto"/>
            </w:tcBorders>
            <w:shd w:val="clear" w:color="auto" w:fill="auto"/>
            <w:noWrap/>
            <w:vAlign w:val="center"/>
            <w:hideMark/>
          </w:tcPr>
          <w:p w:rsidR="00F05335" w:rsidRDefault="00F05335" w:rsidP="00F05335">
            <w:pPr>
              <w:jc w:val="center"/>
              <w:rPr>
                <w:b/>
                <w:bCs/>
                <w:sz w:val="22"/>
                <w:szCs w:val="22"/>
              </w:rPr>
            </w:pPr>
            <w:r>
              <w:rPr>
                <w:b/>
                <w:bCs/>
                <w:sz w:val="22"/>
                <w:szCs w:val="22"/>
              </w:rPr>
              <w:t> </w:t>
            </w:r>
          </w:p>
        </w:tc>
      </w:tr>
      <w:tr w:rsidR="00F05335" w:rsidTr="00F05335">
        <w:trPr>
          <w:trHeight w:val="155"/>
        </w:trPr>
        <w:tc>
          <w:tcPr>
            <w:tcW w:w="3287" w:type="dxa"/>
            <w:gridSpan w:val="2"/>
            <w:tcBorders>
              <w:top w:val="nil"/>
              <w:left w:val="single" w:sz="4" w:space="0" w:color="auto"/>
              <w:bottom w:val="nil"/>
              <w:right w:val="nil"/>
            </w:tcBorders>
            <w:shd w:val="clear" w:color="000000" w:fill="FFFFFF"/>
            <w:noWrap/>
            <w:vAlign w:val="bottom"/>
            <w:hideMark/>
          </w:tcPr>
          <w:p w:rsidR="00F05335" w:rsidRDefault="00F05335" w:rsidP="00F05335">
            <w:pPr>
              <w:rPr>
                <w:b/>
                <w:bCs/>
                <w:sz w:val="22"/>
                <w:szCs w:val="22"/>
              </w:rPr>
            </w:pPr>
            <w:r>
              <w:rPr>
                <w:b/>
                <w:bCs/>
                <w:sz w:val="22"/>
                <w:szCs w:val="22"/>
              </w:rPr>
              <w:t>Per Utility</w:t>
            </w:r>
          </w:p>
        </w:tc>
        <w:tc>
          <w:tcPr>
            <w:tcW w:w="1276"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362"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012"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901"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129"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1</w:t>
            </w:r>
          </w:p>
        </w:tc>
        <w:tc>
          <w:tcPr>
            <w:tcW w:w="2382"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Long-term Debt</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$3,454,167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$3,454,167 </w:t>
            </w:r>
          </w:p>
        </w:tc>
        <w:tc>
          <w:tcPr>
            <w:tcW w:w="136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($1,295,932)</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$2,158,235 </w:t>
            </w:r>
          </w:p>
        </w:tc>
        <w:tc>
          <w:tcPr>
            <w:tcW w:w="101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49.75%</w:t>
            </w:r>
          </w:p>
        </w:tc>
        <w:tc>
          <w:tcPr>
            <w:tcW w:w="901"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4.88%</w:t>
            </w:r>
          </w:p>
        </w:tc>
        <w:tc>
          <w:tcPr>
            <w:tcW w:w="1129"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2.43%</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2</w:t>
            </w:r>
          </w:p>
        </w:tc>
        <w:tc>
          <w:tcPr>
            <w:tcW w:w="2382"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Short-term Debt</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36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01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0.00%</w:t>
            </w:r>
          </w:p>
        </w:tc>
        <w:tc>
          <w:tcPr>
            <w:tcW w:w="901"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0.00%</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3</w:t>
            </w:r>
          </w:p>
        </w:tc>
        <w:tc>
          <w:tcPr>
            <w:tcW w:w="2382"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Preferred Stock</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36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01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0.00%</w:t>
            </w:r>
          </w:p>
        </w:tc>
        <w:tc>
          <w:tcPr>
            <w:tcW w:w="901"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0.00%</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4</w:t>
            </w:r>
          </w:p>
        </w:tc>
        <w:tc>
          <w:tcPr>
            <w:tcW w:w="2382"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Common Equity</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3,161,980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3,161,980 </w:t>
            </w:r>
          </w:p>
        </w:tc>
        <w:tc>
          <w:tcPr>
            <w:tcW w:w="136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(1,186,457)</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1,975,523 </w:t>
            </w:r>
          </w:p>
        </w:tc>
        <w:tc>
          <w:tcPr>
            <w:tcW w:w="101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45.54%</w:t>
            </w:r>
          </w:p>
        </w:tc>
        <w:tc>
          <w:tcPr>
            <w:tcW w:w="901"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10.16%</w:t>
            </w:r>
          </w:p>
        </w:tc>
        <w:tc>
          <w:tcPr>
            <w:tcW w:w="1129"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4.63%</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5</w:t>
            </w:r>
          </w:p>
        </w:tc>
        <w:tc>
          <w:tcPr>
            <w:tcW w:w="2382"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Customer Deposits</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204,389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204,389 </w:t>
            </w:r>
          </w:p>
        </w:tc>
        <w:tc>
          <w:tcPr>
            <w:tcW w:w="136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204,389 </w:t>
            </w:r>
          </w:p>
        </w:tc>
        <w:tc>
          <w:tcPr>
            <w:tcW w:w="101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4.71%</w:t>
            </w:r>
          </w:p>
        </w:tc>
        <w:tc>
          <w:tcPr>
            <w:tcW w:w="901"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2.00%</w:t>
            </w:r>
          </w:p>
        </w:tc>
        <w:tc>
          <w:tcPr>
            <w:tcW w:w="1129"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0.09%</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6</w:t>
            </w:r>
          </w:p>
        </w:tc>
        <w:tc>
          <w:tcPr>
            <w:tcW w:w="2382"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Deferred Income Taxes</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362"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012"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0.00%</w:t>
            </w:r>
          </w:p>
        </w:tc>
        <w:tc>
          <w:tcPr>
            <w:tcW w:w="901"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0.00%</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7</w:t>
            </w:r>
          </w:p>
        </w:tc>
        <w:tc>
          <w:tcPr>
            <w:tcW w:w="2382" w:type="dxa"/>
            <w:tcBorders>
              <w:top w:val="nil"/>
              <w:left w:val="nil"/>
              <w:bottom w:val="nil"/>
              <w:right w:val="nil"/>
            </w:tcBorders>
            <w:shd w:val="clear" w:color="000000" w:fill="FFFFFF"/>
            <w:noWrap/>
            <w:vAlign w:val="bottom"/>
            <w:hideMark/>
          </w:tcPr>
          <w:p w:rsidR="00F05335" w:rsidRDefault="00F05335" w:rsidP="00F05335">
            <w:pPr>
              <w:rPr>
                <w:b/>
                <w:bCs/>
                <w:sz w:val="22"/>
                <w:szCs w:val="22"/>
              </w:rPr>
            </w:pPr>
            <w:r>
              <w:rPr>
                <w:b/>
                <w:bCs/>
                <w:sz w:val="22"/>
                <w:szCs w:val="22"/>
              </w:rPr>
              <w:t>Total Capital</w:t>
            </w:r>
          </w:p>
        </w:tc>
        <w:tc>
          <w:tcPr>
            <w:tcW w:w="1276"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 xml:space="preserve">$6,820,536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 xml:space="preserve">$6,820,536 </w:t>
            </w:r>
          </w:p>
        </w:tc>
        <w:tc>
          <w:tcPr>
            <w:tcW w:w="1362"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($2,482,389)</w:t>
            </w:r>
          </w:p>
        </w:tc>
        <w:tc>
          <w:tcPr>
            <w:tcW w:w="1276"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 xml:space="preserve">$4,338,147 </w:t>
            </w:r>
          </w:p>
        </w:tc>
        <w:tc>
          <w:tcPr>
            <w:tcW w:w="1012"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100.00%</w:t>
            </w:r>
          </w:p>
        </w:tc>
        <w:tc>
          <w:tcPr>
            <w:tcW w:w="901" w:type="dxa"/>
            <w:tcBorders>
              <w:top w:val="nil"/>
              <w:left w:val="nil"/>
              <w:bottom w:val="nil"/>
              <w:right w:val="nil"/>
            </w:tcBorders>
            <w:shd w:val="clear" w:color="auto" w:fill="auto"/>
            <w:noWrap/>
            <w:vAlign w:val="bottom"/>
            <w:hideMark/>
          </w:tcPr>
          <w:p w:rsidR="00F05335" w:rsidRDefault="00F05335" w:rsidP="00F05335">
            <w:pPr>
              <w:rPr>
                <w:sz w:val="22"/>
                <w:szCs w:val="22"/>
                <w:u w:val="double"/>
              </w:rPr>
            </w:pPr>
          </w:p>
        </w:tc>
        <w:tc>
          <w:tcPr>
            <w:tcW w:w="1129"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7.15%</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u w:val="double"/>
              </w:rPr>
            </w:pP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76" w:type="dxa"/>
            <w:tcBorders>
              <w:top w:val="nil"/>
              <w:left w:val="nil"/>
              <w:bottom w:val="nil"/>
              <w:right w:val="nil"/>
            </w:tcBorders>
            <w:shd w:val="clear" w:color="auto" w:fill="auto"/>
            <w:noWrap/>
            <w:vAlign w:val="bottom"/>
            <w:hideMark/>
          </w:tcPr>
          <w:p w:rsidR="00F05335" w:rsidRDefault="00F05335" w:rsidP="00F05335">
            <w:pPr>
              <w:rPr>
                <w:color w:val="000000"/>
                <w:sz w:val="22"/>
                <w:szCs w:val="22"/>
              </w:rPr>
            </w:pPr>
          </w:p>
        </w:tc>
        <w:tc>
          <w:tcPr>
            <w:tcW w:w="1276" w:type="dxa"/>
            <w:tcBorders>
              <w:top w:val="nil"/>
              <w:left w:val="nil"/>
              <w:bottom w:val="nil"/>
              <w:right w:val="nil"/>
            </w:tcBorders>
            <w:shd w:val="clear" w:color="auto" w:fill="auto"/>
            <w:noWrap/>
            <w:vAlign w:val="bottom"/>
            <w:hideMark/>
          </w:tcPr>
          <w:p w:rsidR="00F05335" w:rsidRDefault="00F05335" w:rsidP="00F05335">
            <w:pPr>
              <w:rPr>
                <w:color w:val="000000"/>
                <w:sz w:val="22"/>
                <w:szCs w:val="22"/>
              </w:rPr>
            </w:pPr>
          </w:p>
        </w:tc>
        <w:tc>
          <w:tcPr>
            <w:tcW w:w="1276" w:type="dxa"/>
            <w:tcBorders>
              <w:top w:val="nil"/>
              <w:left w:val="nil"/>
              <w:bottom w:val="nil"/>
              <w:right w:val="nil"/>
            </w:tcBorders>
            <w:shd w:val="clear" w:color="auto" w:fill="auto"/>
            <w:noWrap/>
            <w:vAlign w:val="bottom"/>
            <w:hideMark/>
          </w:tcPr>
          <w:p w:rsidR="00F05335" w:rsidRDefault="00F05335" w:rsidP="00F05335">
            <w:pPr>
              <w:rPr>
                <w:color w:val="000000"/>
                <w:sz w:val="22"/>
                <w:szCs w:val="22"/>
              </w:rPr>
            </w:pPr>
          </w:p>
        </w:tc>
        <w:tc>
          <w:tcPr>
            <w:tcW w:w="1362" w:type="dxa"/>
            <w:tcBorders>
              <w:top w:val="nil"/>
              <w:left w:val="nil"/>
              <w:bottom w:val="nil"/>
              <w:right w:val="nil"/>
            </w:tcBorders>
            <w:shd w:val="clear" w:color="auto" w:fill="auto"/>
            <w:noWrap/>
            <w:vAlign w:val="bottom"/>
            <w:hideMark/>
          </w:tcPr>
          <w:p w:rsidR="00F05335" w:rsidRDefault="00F05335" w:rsidP="00F05335">
            <w:pPr>
              <w:rPr>
                <w:color w:val="000000"/>
                <w:sz w:val="22"/>
                <w:szCs w:val="22"/>
              </w:rPr>
            </w:pPr>
          </w:p>
        </w:tc>
        <w:tc>
          <w:tcPr>
            <w:tcW w:w="1276" w:type="dxa"/>
            <w:tcBorders>
              <w:top w:val="nil"/>
              <w:left w:val="nil"/>
              <w:bottom w:val="nil"/>
              <w:right w:val="nil"/>
            </w:tcBorders>
            <w:shd w:val="clear" w:color="auto" w:fill="auto"/>
            <w:noWrap/>
            <w:vAlign w:val="bottom"/>
            <w:hideMark/>
          </w:tcPr>
          <w:p w:rsidR="00F05335" w:rsidRDefault="00F05335" w:rsidP="00F05335">
            <w:pPr>
              <w:rPr>
                <w:color w:val="000000"/>
                <w:sz w:val="22"/>
                <w:szCs w:val="22"/>
              </w:rPr>
            </w:pPr>
          </w:p>
        </w:tc>
        <w:tc>
          <w:tcPr>
            <w:tcW w:w="1012" w:type="dxa"/>
            <w:tcBorders>
              <w:top w:val="nil"/>
              <w:left w:val="nil"/>
              <w:bottom w:val="nil"/>
              <w:right w:val="nil"/>
            </w:tcBorders>
            <w:shd w:val="clear" w:color="auto" w:fill="auto"/>
            <w:noWrap/>
            <w:vAlign w:val="bottom"/>
            <w:hideMark/>
          </w:tcPr>
          <w:p w:rsidR="00F05335" w:rsidRDefault="00F05335" w:rsidP="00F05335">
            <w:pPr>
              <w:rPr>
                <w:color w:val="000000"/>
                <w:sz w:val="22"/>
                <w:szCs w:val="22"/>
              </w:rPr>
            </w:pPr>
          </w:p>
        </w:tc>
        <w:tc>
          <w:tcPr>
            <w:tcW w:w="901" w:type="dxa"/>
            <w:tcBorders>
              <w:top w:val="nil"/>
              <w:left w:val="nil"/>
              <w:bottom w:val="nil"/>
              <w:right w:val="nil"/>
            </w:tcBorders>
            <w:shd w:val="clear" w:color="auto" w:fill="auto"/>
            <w:noWrap/>
            <w:vAlign w:val="bottom"/>
            <w:hideMark/>
          </w:tcPr>
          <w:p w:rsidR="00F05335" w:rsidRDefault="00F05335" w:rsidP="00F05335">
            <w:pPr>
              <w:rPr>
                <w:color w:val="000000"/>
                <w:sz w:val="22"/>
                <w:szCs w:val="22"/>
              </w:rPr>
            </w:pPr>
          </w:p>
        </w:tc>
        <w:tc>
          <w:tcPr>
            <w:tcW w:w="1129"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3287" w:type="dxa"/>
            <w:gridSpan w:val="2"/>
            <w:tcBorders>
              <w:top w:val="nil"/>
              <w:left w:val="single" w:sz="4" w:space="0" w:color="auto"/>
              <w:bottom w:val="nil"/>
              <w:right w:val="nil"/>
            </w:tcBorders>
            <w:shd w:val="clear" w:color="000000" w:fill="FFFFFF"/>
            <w:noWrap/>
            <w:vAlign w:val="bottom"/>
            <w:hideMark/>
          </w:tcPr>
          <w:p w:rsidR="00F05335" w:rsidRDefault="00F05335" w:rsidP="003449BB">
            <w:pPr>
              <w:rPr>
                <w:b/>
                <w:bCs/>
                <w:sz w:val="22"/>
                <w:szCs w:val="22"/>
              </w:rPr>
            </w:pPr>
            <w:r>
              <w:rPr>
                <w:b/>
                <w:bCs/>
                <w:sz w:val="22"/>
                <w:szCs w:val="22"/>
              </w:rPr>
              <w:t xml:space="preserve">Per </w:t>
            </w:r>
            <w:r w:rsidR="003449BB">
              <w:rPr>
                <w:b/>
                <w:bCs/>
                <w:sz w:val="22"/>
                <w:szCs w:val="22"/>
              </w:rPr>
              <w:t>Commission</w:t>
            </w:r>
          </w:p>
        </w:tc>
        <w:tc>
          <w:tcPr>
            <w:tcW w:w="1276" w:type="dxa"/>
            <w:tcBorders>
              <w:top w:val="nil"/>
              <w:left w:val="nil"/>
              <w:bottom w:val="nil"/>
              <w:right w:val="nil"/>
            </w:tcBorders>
            <w:shd w:val="clear" w:color="auto" w:fill="auto"/>
            <w:noWrap/>
            <w:vAlign w:val="bottom"/>
            <w:hideMark/>
          </w:tcPr>
          <w:p w:rsidR="00F05335" w:rsidRDefault="00F05335" w:rsidP="00F05335">
            <w:pPr>
              <w:rPr>
                <w:color w:val="000000"/>
                <w:sz w:val="22"/>
                <w:szCs w:val="22"/>
              </w:rPr>
            </w:pPr>
          </w:p>
        </w:tc>
        <w:tc>
          <w:tcPr>
            <w:tcW w:w="1276" w:type="dxa"/>
            <w:tcBorders>
              <w:top w:val="nil"/>
              <w:left w:val="nil"/>
              <w:bottom w:val="nil"/>
              <w:right w:val="nil"/>
            </w:tcBorders>
            <w:shd w:val="clear" w:color="auto" w:fill="auto"/>
            <w:noWrap/>
            <w:vAlign w:val="bottom"/>
            <w:hideMark/>
          </w:tcPr>
          <w:p w:rsidR="00F05335" w:rsidRDefault="00F05335" w:rsidP="00F05335">
            <w:pPr>
              <w:rPr>
                <w:color w:val="000000"/>
                <w:sz w:val="22"/>
                <w:szCs w:val="22"/>
              </w:rPr>
            </w:pPr>
          </w:p>
        </w:tc>
        <w:tc>
          <w:tcPr>
            <w:tcW w:w="1276" w:type="dxa"/>
            <w:tcBorders>
              <w:top w:val="nil"/>
              <w:left w:val="nil"/>
              <w:bottom w:val="nil"/>
              <w:right w:val="nil"/>
            </w:tcBorders>
            <w:shd w:val="clear" w:color="auto" w:fill="auto"/>
            <w:noWrap/>
            <w:vAlign w:val="bottom"/>
            <w:hideMark/>
          </w:tcPr>
          <w:p w:rsidR="00F05335" w:rsidRDefault="00F05335" w:rsidP="00F05335">
            <w:pPr>
              <w:rPr>
                <w:color w:val="000000"/>
                <w:sz w:val="22"/>
                <w:szCs w:val="22"/>
              </w:rPr>
            </w:pPr>
          </w:p>
        </w:tc>
        <w:tc>
          <w:tcPr>
            <w:tcW w:w="1362" w:type="dxa"/>
            <w:tcBorders>
              <w:top w:val="nil"/>
              <w:left w:val="nil"/>
              <w:bottom w:val="nil"/>
              <w:right w:val="nil"/>
            </w:tcBorders>
            <w:shd w:val="clear" w:color="auto" w:fill="auto"/>
            <w:noWrap/>
            <w:vAlign w:val="bottom"/>
            <w:hideMark/>
          </w:tcPr>
          <w:p w:rsidR="00F05335" w:rsidRDefault="00F05335" w:rsidP="00F05335">
            <w:pPr>
              <w:rPr>
                <w:color w:val="000000"/>
                <w:sz w:val="22"/>
                <w:szCs w:val="22"/>
              </w:rPr>
            </w:pPr>
          </w:p>
        </w:tc>
        <w:tc>
          <w:tcPr>
            <w:tcW w:w="1276" w:type="dxa"/>
            <w:tcBorders>
              <w:top w:val="nil"/>
              <w:left w:val="nil"/>
              <w:bottom w:val="nil"/>
              <w:right w:val="nil"/>
            </w:tcBorders>
            <w:shd w:val="clear" w:color="auto" w:fill="auto"/>
            <w:noWrap/>
            <w:vAlign w:val="bottom"/>
            <w:hideMark/>
          </w:tcPr>
          <w:p w:rsidR="00F05335" w:rsidRDefault="00F05335" w:rsidP="00F05335">
            <w:pPr>
              <w:rPr>
                <w:color w:val="000000"/>
                <w:sz w:val="22"/>
                <w:szCs w:val="22"/>
              </w:rPr>
            </w:pPr>
          </w:p>
        </w:tc>
        <w:tc>
          <w:tcPr>
            <w:tcW w:w="1012" w:type="dxa"/>
            <w:tcBorders>
              <w:top w:val="nil"/>
              <w:left w:val="nil"/>
              <w:bottom w:val="nil"/>
              <w:right w:val="nil"/>
            </w:tcBorders>
            <w:shd w:val="clear" w:color="auto" w:fill="auto"/>
            <w:noWrap/>
            <w:vAlign w:val="bottom"/>
            <w:hideMark/>
          </w:tcPr>
          <w:p w:rsidR="00F05335" w:rsidRDefault="00F05335" w:rsidP="00F05335">
            <w:pPr>
              <w:rPr>
                <w:color w:val="000000"/>
                <w:sz w:val="22"/>
                <w:szCs w:val="22"/>
              </w:rPr>
            </w:pPr>
          </w:p>
        </w:tc>
        <w:tc>
          <w:tcPr>
            <w:tcW w:w="901" w:type="dxa"/>
            <w:tcBorders>
              <w:top w:val="nil"/>
              <w:left w:val="nil"/>
              <w:bottom w:val="nil"/>
              <w:right w:val="nil"/>
            </w:tcBorders>
            <w:shd w:val="clear" w:color="auto" w:fill="auto"/>
            <w:noWrap/>
            <w:vAlign w:val="bottom"/>
            <w:hideMark/>
          </w:tcPr>
          <w:p w:rsidR="00F05335" w:rsidRDefault="00F05335" w:rsidP="00F05335">
            <w:pPr>
              <w:rPr>
                <w:color w:val="000000"/>
                <w:sz w:val="22"/>
                <w:szCs w:val="22"/>
              </w:rPr>
            </w:pPr>
          </w:p>
        </w:tc>
        <w:tc>
          <w:tcPr>
            <w:tcW w:w="1129"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8</w:t>
            </w:r>
          </w:p>
        </w:tc>
        <w:tc>
          <w:tcPr>
            <w:tcW w:w="2382"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Long-term Debt</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$3,454,167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$3,454,167 </w:t>
            </w:r>
          </w:p>
        </w:tc>
        <w:tc>
          <w:tcPr>
            <w:tcW w:w="136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($1,392,520)</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$2,061,647 </w:t>
            </w:r>
          </w:p>
        </w:tc>
        <w:tc>
          <w:tcPr>
            <w:tcW w:w="101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49.64%</w:t>
            </w:r>
          </w:p>
        </w:tc>
        <w:tc>
          <w:tcPr>
            <w:tcW w:w="901"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4.88%</w:t>
            </w:r>
          </w:p>
        </w:tc>
        <w:tc>
          <w:tcPr>
            <w:tcW w:w="1129"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2.42%</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9</w:t>
            </w:r>
          </w:p>
        </w:tc>
        <w:tc>
          <w:tcPr>
            <w:tcW w:w="2382"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Short-term Debt</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36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01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0.00%</w:t>
            </w:r>
          </w:p>
        </w:tc>
        <w:tc>
          <w:tcPr>
            <w:tcW w:w="901"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0.00%</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10</w:t>
            </w:r>
          </w:p>
        </w:tc>
        <w:tc>
          <w:tcPr>
            <w:tcW w:w="2382"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Preferred Stock</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36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01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0.00%</w:t>
            </w:r>
          </w:p>
        </w:tc>
        <w:tc>
          <w:tcPr>
            <w:tcW w:w="901"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0.00%</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11</w:t>
            </w:r>
          </w:p>
        </w:tc>
        <w:tc>
          <w:tcPr>
            <w:tcW w:w="2382"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Common Equity</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3,161,980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3,161,980 </w:t>
            </w:r>
          </w:p>
        </w:tc>
        <w:tc>
          <w:tcPr>
            <w:tcW w:w="136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(1,274,727)</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1,887,253 </w:t>
            </w:r>
          </w:p>
        </w:tc>
        <w:tc>
          <w:tcPr>
            <w:tcW w:w="101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45.44%</w:t>
            </w:r>
          </w:p>
        </w:tc>
        <w:tc>
          <w:tcPr>
            <w:tcW w:w="901" w:type="dxa"/>
            <w:tcBorders>
              <w:top w:val="nil"/>
              <w:left w:val="nil"/>
              <w:bottom w:val="nil"/>
              <w:right w:val="nil"/>
            </w:tcBorders>
            <w:shd w:val="clear" w:color="000000" w:fill="FFFFFF"/>
            <w:noWrap/>
            <w:vAlign w:val="bottom"/>
            <w:hideMark/>
          </w:tcPr>
          <w:p w:rsidR="00F05335" w:rsidRDefault="00F05335" w:rsidP="00F05335">
            <w:pPr>
              <w:jc w:val="right"/>
              <w:rPr>
                <w:sz w:val="22"/>
                <w:szCs w:val="22"/>
              </w:rPr>
            </w:pPr>
            <w:r>
              <w:rPr>
                <w:sz w:val="22"/>
                <w:szCs w:val="22"/>
              </w:rPr>
              <w:t>10.16%</w:t>
            </w:r>
          </w:p>
        </w:tc>
        <w:tc>
          <w:tcPr>
            <w:tcW w:w="1129"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4.62%</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12</w:t>
            </w:r>
          </w:p>
        </w:tc>
        <w:tc>
          <w:tcPr>
            <w:tcW w:w="2382"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Customer Deposits</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204,389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204,389 </w:t>
            </w:r>
          </w:p>
        </w:tc>
        <w:tc>
          <w:tcPr>
            <w:tcW w:w="136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204,389 </w:t>
            </w:r>
          </w:p>
        </w:tc>
        <w:tc>
          <w:tcPr>
            <w:tcW w:w="1012"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4.92%</w:t>
            </w:r>
          </w:p>
        </w:tc>
        <w:tc>
          <w:tcPr>
            <w:tcW w:w="901"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2.00%</w:t>
            </w:r>
          </w:p>
        </w:tc>
        <w:tc>
          <w:tcPr>
            <w:tcW w:w="1129"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0.10%</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13</w:t>
            </w:r>
          </w:p>
        </w:tc>
        <w:tc>
          <w:tcPr>
            <w:tcW w:w="2382"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Deferred Income Taxes</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362"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012"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0.00%</w:t>
            </w:r>
          </w:p>
        </w:tc>
        <w:tc>
          <w:tcPr>
            <w:tcW w:w="901"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0.00%</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jc w:val="center"/>
              <w:rPr>
                <w:sz w:val="22"/>
                <w:szCs w:val="22"/>
              </w:rPr>
            </w:pPr>
            <w:r>
              <w:rPr>
                <w:sz w:val="22"/>
                <w:szCs w:val="22"/>
              </w:rPr>
              <w:t>14</w:t>
            </w:r>
          </w:p>
        </w:tc>
        <w:tc>
          <w:tcPr>
            <w:tcW w:w="2382" w:type="dxa"/>
            <w:tcBorders>
              <w:top w:val="nil"/>
              <w:left w:val="nil"/>
              <w:bottom w:val="nil"/>
              <w:right w:val="nil"/>
            </w:tcBorders>
            <w:shd w:val="clear" w:color="000000" w:fill="FFFFFF"/>
            <w:noWrap/>
            <w:vAlign w:val="bottom"/>
            <w:hideMark/>
          </w:tcPr>
          <w:p w:rsidR="00F05335" w:rsidRDefault="00F05335" w:rsidP="00F05335">
            <w:pPr>
              <w:rPr>
                <w:b/>
                <w:bCs/>
                <w:sz w:val="22"/>
                <w:szCs w:val="22"/>
              </w:rPr>
            </w:pPr>
            <w:r>
              <w:rPr>
                <w:b/>
                <w:bCs/>
                <w:sz w:val="22"/>
                <w:szCs w:val="22"/>
              </w:rPr>
              <w:t>Total Capital</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 xml:space="preserve">$6,820,536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 xml:space="preserve">$0 </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 xml:space="preserve">$6,820,536 </w:t>
            </w:r>
          </w:p>
        </w:tc>
        <w:tc>
          <w:tcPr>
            <w:tcW w:w="1362"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($2,667,248)</w:t>
            </w:r>
          </w:p>
        </w:tc>
        <w:tc>
          <w:tcPr>
            <w:tcW w:w="1276"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 xml:space="preserve">$4,153,288 </w:t>
            </w:r>
          </w:p>
        </w:tc>
        <w:tc>
          <w:tcPr>
            <w:tcW w:w="1012"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100.00%</w:t>
            </w:r>
          </w:p>
        </w:tc>
        <w:tc>
          <w:tcPr>
            <w:tcW w:w="901" w:type="dxa"/>
            <w:tcBorders>
              <w:top w:val="nil"/>
              <w:left w:val="nil"/>
              <w:bottom w:val="nil"/>
              <w:right w:val="nil"/>
            </w:tcBorders>
            <w:shd w:val="clear" w:color="auto" w:fill="auto"/>
            <w:noWrap/>
            <w:vAlign w:val="bottom"/>
            <w:hideMark/>
          </w:tcPr>
          <w:p w:rsidR="00F05335" w:rsidRDefault="00F05335" w:rsidP="00F05335">
            <w:pPr>
              <w:rPr>
                <w:sz w:val="22"/>
                <w:szCs w:val="22"/>
                <w:u w:val="double"/>
              </w:rPr>
            </w:pPr>
          </w:p>
        </w:tc>
        <w:tc>
          <w:tcPr>
            <w:tcW w:w="1129"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7.14%</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u w:val="double"/>
              </w:rPr>
            </w:pP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362"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012"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901"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129"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362" w:type="dxa"/>
            <w:tcBorders>
              <w:top w:val="nil"/>
              <w:left w:val="nil"/>
              <w:bottom w:val="nil"/>
              <w:right w:val="nil"/>
            </w:tcBorders>
            <w:shd w:val="clear" w:color="000000" w:fill="FFFFFF"/>
            <w:noWrap/>
            <w:vAlign w:val="bottom"/>
            <w:hideMark/>
          </w:tcPr>
          <w:p w:rsidR="00F05335" w:rsidRDefault="00F05335" w:rsidP="00F05335">
            <w:pPr>
              <w:rPr>
                <w:b/>
                <w:bCs/>
                <w:sz w:val="22"/>
                <w:szCs w:val="22"/>
              </w:rPr>
            </w:pPr>
            <w:r>
              <w:rPr>
                <w:b/>
                <w:bCs/>
                <w:sz w:val="22"/>
                <w:szCs w:val="22"/>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b/>
                <w:bCs/>
                <w:sz w:val="22"/>
                <w:szCs w:val="22"/>
              </w:rPr>
            </w:pPr>
            <w:r>
              <w:rPr>
                <w:b/>
                <w:bCs/>
                <w:sz w:val="22"/>
                <w:szCs w:val="22"/>
              </w:rPr>
              <w:t> </w:t>
            </w:r>
          </w:p>
        </w:tc>
        <w:tc>
          <w:tcPr>
            <w:tcW w:w="1012" w:type="dxa"/>
            <w:tcBorders>
              <w:top w:val="nil"/>
              <w:left w:val="nil"/>
              <w:bottom w:val="nil"/>
              <w:right w:val="nil"/>
            </w:tcBorders>
            <w:shd w:val="clear" w:color="000000" w:fill="FFFFFF"/>
            <w:noWrap/>
            <w:vAlign w:val="bottom"/>
            <w:hideMark/>
          </w:tcPr>
          <w:p w:rsidR="00F05335" w:rsidRDefault="00F05335" w:rsidP="00F05335">
            <w:pPr>
              <w:jc w:val="center"/>
              <w:rPr>
                <w:b/>
                <w:bCs/>
                <w:sz w:val="22"/>
                <w:szCs w:val="22"/>
                <w:u w:val="single"/>
              </w:rPr>
            </w:pPr>
            <w:r>
              <w:rPr>
                <w:b/>
                <w:bCs/>
                <w:sz w:val="22"/>
                <w:szCs w:val="22"/>
                <w:u w:val="single"/>
              </w:rPr>
              <w:t>LOW</w:t>
            </w:r>
          </w:p>
        </w:tc>
        <w:tc>
          <w:tcPr>
            <w:tcW w:w="901" w:type="dxa"/>
            <w:tcBorders>
              <w:top w:val="nil"/>
              <w:left w:val="nil"/>
              <w:bottom w:val="nil"/>
              <w:right w:val="nil"/>
            </w:tcBorders>
            <w:shd w:val="clear" w:color="000000" w:fill="FFFFFF"/>
            <w:noWrap/>
            <w:vAlign w:val="bottom"/>
            <w:hideMark/>
          </w:tcPr>
          <w:p w:rsidR="00F05335" w:rsidRDefault="00F05335" w:rsidP="00F05335">
            <w:pPr>
              <w:jc w:val="center"/>
              <w:rPr>
                <w:b/>
                <w:bCs/>
                <w:sz w:val="22"/>
                <w:szCs w:val="22"/>
                <w:u w:val="single"/>
              </w:rPr>
            </w:pPr>
            <w:r>
              <w:rPr>
                <w:b/>
                <w:bCs/>
                <w:sz w:val="22"/>
                <w:szCs w:val="22"/>
                <w:u w:val="single"/>
              </w:rPr>
              <w:t>HIGH</w:t>
            </w:r>
          </w:p>
        </w:tc>
        <w:tc>
          <w:tcPr>
            <w:tcW w:w="1129"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3914" w:type="dxa"/>
            <w:gridSpan w:val="3"/>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RETURN ON EQUITY</w:t>
            </w:r>
          </w:p>
        </w:tc>
        <w:tc>
          <w:tcPr>
            <w:tcW w:w="1012"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10.16%</w:t>
            </w:r>
          </w:p>
        </w:tc>
        <w:tc>
          <w:tcPr>
            <w:tcW w:w="901"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12.16%</w:t>
            </w:r>
          </w:p>
        </w:tc>
        <w:tc>
          <w:tcPr>
            <w:tcW w:w="1129"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F05335" w:rsidRDefault="00F05335" w:rsidP="00F05335">
            <w:pPr>
              <w:rPr>
                <w:color w:val="000000"/>
                <w:sz w:val="22"/>
                <w:szCs w:val="22"/>
              </w:rPr>
            </w:pPr>
            <w:r>
              <w:rPr>
                <w:color w:val="000000"/>
                <w:sz w:val="22"/>
                <w:szCs w:val="22"/>
              </w:rPr>
              <w:t> </w:t>
            </w:r>
          </w:p>
        </w:tc>
        <w:tc>
          <w:tcPr>
            <w:tcW w:w="1276"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3914" w:type="dxa"/>
            <w:gridSpan w:val="3"/>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OVERALL RATE OF RETURN</w:t>
            </w:r>
          </w:p>
        </w:tc>
        <w:tc>
          <w:tcPr>
            <w:tcW w:w="1012"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7.14%</w:t>
            </w:r>
          </w:p>
        </w:tc>
        <w:tc>
          <w:tcPr>
            <w:tcW w:w="901"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8.05%</w:t>
            </w:r>
          </w:p>
        </w:tc>
        <w:tc>
          <w:tcPr>
            <w:tcW w:w="1129" w:type="dxa"/>
            <w:tcBorders>
              <w:top w:val="nil"/>
              <w:left w:val="nil"/>
              <w:bottom w:val="nil"/>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r w:rsidR="00F05335" w:rsidTr="00F05335">
        <w:trPr>
          <w:trHeight w:val="155"/>
        </w:trPr>
        <w:tc>
          <w:tcPr>
            <w:tcW w:w="905" w:type="dxa"/>
            <w:tcBorders>
              <w:top w:val="nil"/>
              <w:left w:val="single" w:sz="4" w:space="0" w:color="auto"/>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382"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362"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012"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901"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1129" w:type="dxa"/>
            <w:tcBorders>
              <w:top w:val="nil"/>
              <w:left w:val="nil"/>
              <w:bottom w:val="single" w:sz="4" w:space="0" w:color="auto"/>
              <w:right w:val="nil"/>
            </w:tcBorders>
            <w:shd w:val="clear" w:color="000000" w:fill="FFFFFF"/>
            <w:noWrap/>
            <w:vAlign w:val="bottom"/>
            <w:hideMark/>
          </w:tcPr>
          <w:p w:rsidR="00F05335" w:rsidRDefault="00F05335" w:rsidP="00F05335">
            <w:pPr>
              <w:rPr>
                <w:sz w:val="22"/>
                <w:szCs w:val="22"/>
              </w:rPr>
            </w:pPr>
            <w:r>
              <w:rPr>
                <w:sz w:val="22"/>
                <w:szCs w:val="22"/>
              </w:rPr>
              <w:t> </w:t>
            </w:r>
          </w:p>
        </w:tc>
        <w:tc>
          <w:tcPr>
            <w:tcW w:w="274" w:type="dxa"/>
            <w:tcBorders>
              <w:top w:val="nil"/>
              <w:left w:val="nil"/>
              <w:bottom w:val="single" w:sz="4" w:space="0" w:color="auto"/>
              <w:right w:val="single" w:sz="4" w:space="0" w:color="auto"/>
            </w:tcBorders>
            <w:shd w:val="clear" w:color="000000" w:fill="FFFFFF"/>
            <w:noWrap/>
            <w:vAlign w:val="bottom"/>
            <w:hideMark/>
          </w:tcPr>
          <w:p w:rsidR="00F05335" w:rsidRDefault="00F05335" w:rsidP="00F05335">
            <w:pPr>
              <w:rPr>
                <w:sz w:val="22"/>
                <w:szCs w:val="22"/>
              </w:rPr>
            </w:pPr>
            <w:r>
              <w:rPr>
                <w:sz w:val="22"/>
                <w:szCs w:val="22"/>
              </w:rPr>
              <w:t> </w:t>
            </w:r>
          </w:p>
        </w:tc>
      </w:tr>
    </w:tbl>
    <w:p w:rsidR="00F05335" w:rsidRDefault="00F05335" w:rsidP="00D57E57"/>
    <w:p w:rsidR="00F05335" w:rsidRDefault="00F05335" w:rsidP="00D57E57">
      <w:r>
        <w:br w:type="page"/>
      </w:r>
    </w:p>
    <w:tbl>
      <w:tblPr>
        <w:tblW w:w="11881" w:type="dxa"/>
        <w:jc w:val="center"/>
        <w:tblInd w:w="-1080" w:type="dxa"/>
        <w:tblLayout w:type="fixed"/>
        <w:tblLook w:val="04A0" w:firstRow="1" w:lastRow="0" w:firstColumn="1" w:lastColumn="0" w:noHBand="0" w:noVBand="1"/>
      </w:tblPr>
      <w:tblGrid>
        <w:gridCol w:w="436"/>
        <w:gridCol w:w="2414"/>
        <w:gridCol w:w="408"/>
        <w:gridCol w:w="1046"/>
        <w:gridCol w:w="160"/>
        <w:gridCol w:w="1044"/>
        <w:gridCol w:w="1243"/>
        <w:gridCol w:w="1277"/>
        <w:gridCol w:w="1077"/>
        <w:gridCol w:w="183"/>
        <w:gridCol w:w="1080"/>
        <w:gridCol w:w="1237"/>
        <w:gridCol w:w="276"/>
      </w:tblGrid>
      <w:tr w:rsidR="00F05335" w:rsidTr="00D71D97">
        <w:trPr>
          <w:trHeight w:val="301"/>
          <w:jc w:val="center"/>
        </w:trPr>
        <w:tc>
          <w:tcPr>
            <w:tcW w:w="2850" w:type="dxa"/>
            <w:gridSpan w:val="2"/>
            <w:tcBorders>
              <w:top w:val="single" w:sz="4" w:space="0" w:color="auto"/>
              <w:left w:val="single" w:sz="4" w:space="0" w:color="auto"/>
              <w:bottom w:val="nil"/>
              <w:right w:val="nil"/>
            </w:tcBorders>
            <w:shd w:val="clear" w:color="auto" w:fill="auto"/>
            <w:noWrap/>
            <w:vAlign w:val="bottom"/>
            <w:hideMark/>
          </w:tcPr>
          <w:p w:rsidR="00F05335" w:rsidRDefault="00F05335" w:rsidP="00F05335">
            <w:pPr>
              <w:rPr>
                <w:rFonts w:ascii="Arial" w:hAnsi="Arial" w:cs="Arial"/>
                <w:b/>
                <w:bCs/>
              </w:rPr>
            </w:pPr>
            <w:bookmarkStart w:id="14" w:name="RANGE!A39:I66"/>
            <w:r>
              <w:rPr>
                <w:rFonts w:ascii="Arial" w:hAnsi="Arial" w:cs="Arial"/>
                <w:b/>
                <w:bCs/>
              </w:rPr>
              <w:lastRenderedPageBreak/>
              <w:t>KWRU</w:t>
            </w:r>
            <w:bookmarkEnd w:id="14"/>
          </w:p>
        </w:tc>
        <w:tc>
          <w:tcPr>
            <w:tcW w:w="1454" w:type="dxa"/>
            <w:gridSpan w:val="2"/>
            <w:tcBorders>
              <w:top w:val="single" w:sz="4" w:space="0" w:color="auto"/>
              <w:left w:val="nil"/>
              <w:bottom w:val="nil"/>
              <w:right w:val="nil"/>
            </w:tcBorders>
            <w:shd w:val="clear" w:color="auto" w:fill="auto"/>
            <w:noWrap/>
            <w:vAlign w:val="bottom"/>
            <w:hideMark/>
          </w:tcPr>
          <w:p w:rsidR="00F05335" w:rsidRDefault="00F05335" w:rsidP="00F05335">
            <w:pPr>
              <w:rPr>
                <w:rFonts w:ascii="SWISS" w:hAnsi="SWISS" w:cs="Arial"/>
                <w:b/>
                <w:bCs/>
              </w:rPr>
            </w:pPr>
            <w:r>
              <w:rPr>
                <w:rFonts w:ascii="SWISS" w:hAnsi="SWISS" w:cs="Arial"/>
                <w:b/>
                <w:bCs/>
              </w:rPr>
              <w:t> </w:t>
            </w:r>
          </w:p>
        </w:tc>
        <w:tc>
          <w:tcPr>
            <w:tcW w:w="1204" w:type="dxa"/>
            <w:gridSpan w:val="2"/>
            <w:tcBorders>
              <w:top w:val="single" w:sz="4" w:space="0" w:color="auto"/>
              <w:left w:val="nil"/>
              <w:bottom w:val="nil"/>
              <w:right w:val="nil"/>
            </w:tcBorders>
            <w:shd w:val="clear" w:color="auto" w:fill="auto"/>
            <w:noWrap/>
            <w:vAlign w:val="bottom"/>
            <w:hideMark/>
          </w:tcPr>
          <w:p w:rsidR="00F05335" w:rsidRDefault="00F05335" w:rsidP="00F05335">
            <w:pPr>
              <w:rPr>
                <w:rFonts w:ascii="SWISS" w:hAnsi="SWISS" w:cs="Arial"/>
                <w:b/>
                <w:bCs/>
              </w:rPr>
            </w:pPr>
            <w:r>
              <w:rPr>
                <w:rFonts w:ascii="SWISS" w:hAnsi="SWISS" w:cs="Arial"/>
                <w:b/>
                <w:bCs/>
              </w:rPr>
              <w:t> </w:t>
            </w:r>
          </w:p>
        </w:tc>
        <w:tc>
          <w:tcPr>
            <w:tcW w:w="1243" w:type="dxa"/>
            <w:tcBorders>
              <w:top w:val="single" w:sz="4" w:space="0" w:color="auto"/>
              <w:left w:val="nil"/>
              <w:bottom w:val="nil"/>
              <w:right w:val="nil"/>
            </w:tcBorders>
            <w:shd w:val="clear" w:color="auto" w:fill="auto"/>
            <w:noWrap/>
            <w:vAlign w:val="bottom"/>
            <w:hideMark/>
          </w:tcPr>
          <w:p w:rsidR="00F05335" w:rsidRDefault="00F05335" w:rsidP="00F05335">
            <w:pPr>
              <w:rPr>
                <w:rFonts w:ascii="SWISS" w:hAnsi="SWISS" w:cs="Arial"/>
                <w:b/>
                <w:bCs/>
              </w:rPr>
            </w:pPr>
            <w:r>
              <w:rPr>
                <w:rFonts w:ascii="SWISS" w:hAnsi="SWISS" w:cs="Arial"/>
                <w:b/>
                <w:bCs/>
              </w:rPr>
              <w:t> </w:t>
            </w:r>
          </w:p>
        </w:tc>
        <w:tc>
          <w:tcPr>
            <w:tcW w:w="1277" w:type="dxa"/>
            <w:tcBorders>
              <w:top w:val="single" w:sz="4" w:space="0" w:color="auto"/>
              <w:left w:val="nil"/>
              <w:bottom w:val="nil"/>
              <w:right w:val="nil"/>
            </w:tcBorders>
            <w:shd w:val="clear" w:color="auto" w:fill="auto"/>
            <w:noWrap/>
            <w:vAlign w:val="bottom"/>
            <w:hideMark/>
          </w:tcPr>
          <w:p w:rsidR="00F05335" w:rsidRDefault="00F05335" w:rsidP="00F05335">
            <w:pPr>
              <w:rPr>
                <w:rFonts w:ascii="SWISS" w:hAnsi="SWISS" w:cs="Arial"/>
                <w:b/>
                <w:bCs/>
              </w:rPr>
            </w:pPr>
            <w:r>
              <w:rPr>
                <w:rFonts w:ascii="SWISS" w:hAnsi="SWISS" w:cs="Arial"/>
                <w:b/>
                <w:bCs/>
              </w:rPr>
              <w:t> </w:t>
            </w:r>
          </w:p>
        </w:tc>
        <w:tc>
          <w:tcPr>
            <w:tcW w:w="1077" w:type="dxa"/>
            <w:tcBorders>
              <w:top w:val="single" w:sz="4" w:space="0" w:color="auto"/>
              <w:left w:val="nil"/>
              <w:bottom w:val="nil"/>
              <w:right w:val="nil"/>
            </w:tcBorders>
            <w:shd w:val="clear" w:color="auto" w:fill="auto"/>
            <w:noWrap/>
            <w:vAlign w:val="bottom"/>
            <w:hideMark/>
          </w:tcPr>
          <w:p w:rsidR="00F05335" w:rsidRDefault="00F05335" w:rsidP="00F05335">
            <w:pPr>
              <w:rPr>
                <w:rFonts w:ascii="SWISS" w:hAnsi="SWISS" w:cs="Arial"/>
                <w:b/>
                <w:bCs/>
              </w:rPr>
            </w:pPr>
            <w:r>
              <w:rPr>
                <w:rFonts w:ascii="SWISS" w:hAnsi="SWISS" w:cs="Arial"/>
                <w:b/>
                <w:bCs/>
              </w:rPr>
              <w:t> </w:t>
            </w:r>
          </w:p>
        </w:tc>
        <w:tc>
          <w:tcPr>
            <w:tcW w:w="2776" w:type="dxa"/>
            <w:gridSpan w:val="4"/>
            <w:tcBorders>
              <w:top w:val="single" w:sz="4" w:space="0" w:color="auto"/>
              <w:left w:val="nil"/>
              <w:bottom w:val="nil"/>
              <w:right w:val="single" w:sz="4" w:space="0" w:color="000000"/>
            </w:tcBorders>
            <w:shd w:val="clear" w:color="auto" w:fill="auto"/>
            <w:noWrap/>
            <w:vAlign w:val="bottom"/>
            <w:hideMark/>
          </w:tcPr>
          <w:p w:rsidR="00F05335" w:rsidRDefault="00F05335" w:rsidP="00F05335">
            <w:pPr>
              <w:jc w:val="right"/>
              <w:rPr>
                <w:rFonts w:ascii="Arial" w:hAnsi="Arial" w:cs="Arial"/>
                <w:b/>
                <w:bCs/>
              </w:rPr>
            </w:pPr>
            <w:r>
              <w:rPr>
                <w:rFonts w:ascii="Arial" w:hAnsi="Arial" w:cs="Arial"/>
                <w:b/>
                <w:bCs/>
              </w:rPr>
              <w:t>Schedule No. 3-A</w:t>
            </w:r>
          </w:p>
        </w:tc>
      </w:tr>
      <w:tr w:rsidR="00F05335" w:rsidTr="00D71D97">
        <w:trPr>
          <w:trHeight w:val="301"/>
          <w:jc w:val="center"/>
        </w:trPr>
        <w:tc>
          <w:tcPr>
            <w:tcW w:w="5508" w:type="dxa"/>
            <w:gridSpan w:val="6"/>
            <w:tcBorders>
              <w:top w:val="nil"/>
              <w:left w:val="single" w:sz="4" w:space="0" w:color="auto"/>
              <w:bottom w:val="nil"/>
              <w:right w:val="nil"/>
            </w:tcBorders>
            <w:shd w:val="clear" w:color="auto" w:fill="auto"/>
            <w:noWrap/>
            <w:vAlign w:val="bottom"/>
            <w:hideMark/>
          </w:tcPr>
          <w:p w:rsidR="00F05335" w:rsidRDefault="00F05335" w:rsidP="00F05335">
            <w:pPr>
              <w:rPr>
                <w:rFonts w:ascii="SWISS" w:hAnsi="SWISS" w:cs="Arial"/>
                <w:b/>
                <w:bCs/>
              </w:rPr>
            </w:pPr>
            <w:r>
              <w:rPr>
                <w:rFonts w:ascii="Arial" w:hAnsi="Arial" w:cs="Arial"/>
                <w:b/>
                <w:bCs/>
              </w:rPr>
              <w:t>Statement of Wastewater Operations</w:t>
            </w:r>
          </w:p>
        </w:tc>
        <w:tc>
          <w:tcPr>
            <w:tcW w:w="1243" w:type="dxa"/>
            <w:tcBorders>
              <w:top w:val="nil"/>
              <w:left w:val="nil"/>
              <w:bottom w:val="nil"/>
              <w:right w:val="nil"/>
            </w:tcBorders>
            <w:shd w:val="clear" w:color="auto" w:fill="auto"/>
            <w:noWrap/>
            <w:vAlign w:val="bottom"/>
            <w:hideMark/>
          </w:tcPr>
          <w:p w:rsidR="00F05335" w:rsidRDefault="00F05335" w:rsidP="00F05335">
            <w:pPr>
              <w:rPr>
                <w:rFonts w:ascii="SWISS" w:hAnsi="SWISS" w:cs="Arial"/>
                <w:b/>
                <w:bCs/>
              </w:rPr>
            </w:pPr>
          </w:p>
        </w:tc>
        <w:tc>
          <w:tcPr>
            <w:tcW w:w="1277" w:type="dxa"/>
            <w:tcBorders>
              <w:top w:val="nil"/>
              <w:left w:val="nil"/>
              <w:bottom w:val="nil"/>
              <w:right w:val="nil"/>
            </w:tcBorders>
            <w:shd w:val="clear" w:color="auto" w:fill="auto"/>
            <w:noWrap/>
            <w:vAlign w:val="bottom"/>
            <w:hideMark/>
          </w:tcPr>
          <w:p w:rsidR="00F05335" w:rsidRDefault="00F05335" w:rsidP="00F05335">
            <w:pPr>
              <w:rPr>
                <w:rFonts w:ascii="SWISS" w:hAnsi="SWISS" w:cs="Arial"/>
                <w:b/>
                <w:bCs/>
              </w:rPr>
            </w:pPr>
          </w:p>
        </w:tc>
        <w:tc>
          <w:tcPr>
            <w:tcW w:w="3853" w:type="dxa"/>
            <w:gridSpan w:val="5"/>
            <w:tcBorders>
              <w:top w:val="nil"/>
              <w:left w:val="nil"/>
              <w:bottom w:val="nil"/>
              <w:right w:val="single" w:sz="4" w:space="0" w:color="000000"/>
            </w:tcBorders>
            <w:shd w:val="clear" w:color="auto" w:fill="auto"/>
            <w:noWrap/>
            <w:vAlign w:val="bottom"/>
            <w:hideMark/>
          </w:tcPr>
          <w:p w:rsidR="00F05335" w:rsidRDefault="00F05335" w:rsidP="00F05335">
            <w:pPr>
              <w:jc w:val="right"/>
              <w:rPr>
                <w:rFonts w:ascii="Arial" w:hAnsi="Arial" w:cs="Arial"/>
                <w:b/>
                <w:bCs/>
              </w:rPr>
            </w:pPr>
            <w:r>
              <w:rPr>
                <w:rFonts w:ascii="Arial" w:hAnsi="Arial" w:cs="Arial"/>
                <w:b/>
                <w:bCs/>
              </w:rPr>
              <w:t>Docket No. 20170141-SU</w:t>
            </w:r>
          </w:p>
        </w:tc>
      </w:tr>
      <w:tr w:rsidR="00F05335" w:rsidTr="00D71D97">
        <w:trPr>
          <w:trHeight w:val="301"/>
          <w:jc w:val="center"/>
        </w:trPr>
        <w:tc>
          <w:tcPr>
            <w:tcW w:w="4464" w:type="dxa"/>
            <w:gridSpan w:val="5"/>
            <w:tcBorders>
              <w:top w:val="nil"/>
              <w:left w:val="single" w:sz="4" w:space="0" w:color="auto"/>
              <w:bottom w:val="single" w:sz="4" w:space="0" w:color="auto"/>
              <w:right w:val="nil"/>
            </w:tcBorders>
            <w:shd w:val="clear" w:color="auto" w:fill="auto"/>
            <w:noWrap/>
            <w:vAlign w:val="bottom"/>
            <w:hideMark/>
          </w:tcPr>
          <w:p w:rsidR="00F05335" w:rsidRDefault="00F05335" w:rsidP="00F05335">
            <w:pPr>
              <w:rPr>
                <w:rFonts w:ascii="SWISS" w:hAnsi="SWISS" w:cs="Arial"/>
                <w:b/>
                <w:bCs/>
              </w:rPr>
            </w:pPr>
            <w:r>
              <w:rPr>
                <w:rFonts w:ascii="Arial" w:hAnsi="Arial" w:cs="Arial"/>
                <w:b/>
                <w:bCs/>
              </w:rPr>
              <w:t>Test Year Ended 06/30/17</w:t>
            </w:r>
            <w:r>
              <w:rPr>
                <w:rFonts w:ascii="SWISS" w:hAnsi="SWISS" w:cs="Arial"/>
                <w:b/>
                <w:bCs/>
              </w:rPr>
              <w:t> </w:t>
            </w:r>
          </w:p>
        </w:tc>
        <w:tc>
          <w:tcPr>
            <w:tcW w:w="1044" w:type="dxa"/>
            <w:tcBorders>
              <w:top w:val="nil"/>
              <w:left w:val="nil"/>
              <w:bottom w:val="single" w:sz="4" w:space="0" w:color="auto"/>
              <w:right w:val="nil"/>
            </w:tcBorders>
            <w:shd w:val="clear" w:color="auto" w:fill="auto"/>
            <w:noWrap/>
            <w:vAlign w:val="bottom"/>
            <w:hideMark/>
          </w:tcPr>
          <w:p w:rsidR="00F05335" w:rsidRDefault="00F05335" w:rsidP="00F05335">
            <w:pPr>
              <w:rPr>
                <w:rFonts w:ascii="SWISS" w:hAnsi="SWISS" w:cs="Arial"/>
                <w:b/>
                <w:bCs/>
              </w:rPr>
            </w:pPr>
            <w:r>
              <w:rPr>
                <w:rFonts w:ascii="SWISS" w:hAnsi="SWISS" w:cs="Arial"/>
                <w:b/>
                <w:bCs/>
              </w:rPr>
              <w:t> </w:t>
            </w:r>
          </w:p>
        </w:tc>
        <w:tc>
          <w:tcPr>
            <w:tcW w:w="1243" w:type="dxa"/>
            <w:tcBorders>
              <w:top w:val="nil"/>
              <w:left w:val="nil"/>
              <w:bottom w:val="single" w:sz="4" w:space="0" w:color="auto"/>
              <w:right w:val="nil"/>
            </w:tcBorders>
            <w:shd w:val="clear" w:color="auto" w:fill="auto"/>
            <w:noWrap/>
            <w:vAlign w:val="bottom"/>
            <w:hideMark/>
          </w:tcPr>
          <w:p w:rsidR="00F05335" w:rsidRDefault="00F05335" w:rsidP="00F05335">
            <w:pPr>
              <w:rPr>
                <w:rFonts w:ascii="SWISS" w:hAnsi="SWISS" w:cs="Arial"/>
                <w:b/>
                <w:bCs/>
              </w:rPr>
            </w:pPr>
            <w:r>
              <w:rPr>
                <w:rFonts w:ascii="SWISS" w:hAnsi="SWISS" w:cs="Arial"/>
                <w:b/>
                <w:bCs/>
              </w:rPr>
              <w:t> </w:t>
            </w:r>
          </w:p>
        </w:tc>
        <w:tc>
          <w:tcPr>
            <w:tcW w:w="1277" w:type="dxa"/>
            <w:tcBorders>
              <w:top w:val="nil"/>
              <w:left w:val="nil"/>
              <w:bottom w:val="single" w:sz="4" w:space="0" w:color="auto"/>
              <w:right w:val="nil"/>
            </w:tcBorders>
            <w:shd w:val="clear" w:color="auto" w:fill="auto"/>
            <w:noWrap/>
            <w:vAlign w:val="bottom"/>
            <w:hideMark/>
          </w:tcPr>
          <w:p w:rsidR="00F05335" w:rsidRDefault="00F05335" w:rsidP="00F05335">
            <w:pPr>
              <w:rPr>
                <w:rFonts w:ascii="SWISS" w:hAnsi="SWISS" w:cs="Arial"/>
                <w:b/>
                <w:bCs/>
              </w:rPr>
            </w:pPr>
            <w:r>
              <w:rPr>
                <w:rFonts w:ascii="SWISS" w:hAnsi="SWISS" w:cs="Arial"/>
                <w:b/>
                <w:bCs/>
              </w:rPr>
              <w:t> </w:t>
            </w:r>
          </w:p>
        </w:tc>
        <w:tc>
          <w:tcPr>
            <w:tcW w:w="1260" w:type="dxa"/>
            <w:gridSpan w:val="2"/>
            <w:tcBorders>
              <w:top w:val="nil"/>
              <w:left w:val="nil"/>
              <w:bottom w:val="single" w:sz="4" w:space="0" w:color="auto"/>
              <w:right w:val="nil"/>
            </w:tcBorders>
            <w:shd w:val="clear" w:color="auto" w:fill="auto"/>
            <w:noWrap/>
            <w:vAlign w:val="bottom"/>
            <w:hideMark/>
          </w:tcPr>
          <w:p w:rsidR="00F05335" w:rsidRDefault="00F05335" w:rsidP="00F05335">
            <w:pPr>
              <w:rPr>
                <w:rFonts w:ascii="SWISS" w:hAnsi="SWISS" w:cs="Arial"/>
                <w:b/>
                <w:bCs/>
              </w:rPr>
            </w:pPr>
            <w:r>
              <w:rPr>
                <w:rFonts w:ascii="SWISS" w:hAnsi="SWISS" w:cs="Arial"/>
                <w:b/>
                <w:bCs/>
              </w:rPr>
              <w:t> </w:t>
            </w:r>
          </w:p>
        </w:tc>
        <w:tc>
          <w:tcPr>
            <w:tcW w:w="1080" w:type="dxa"/>
            <w:tcBorders>
              <w:top w:val="nil"/>
              <w:left w:val="nil"/>
              <w:bottom w:val="single" w:sz="4" w:space="0" w:color="auto"/>
              <w:right w:val="nil"/>
            </w:tcBorders>
            <w:shd w:val="clear" w:color="auto" w:fill="auto"/>
            <w:noWrap/>
            <w:vAlign w:val="bottom"/>
            <w:hideMark/>
          </w:tcPr>
          <w:p w:rsidR="00F05335" w:rsidRDefault="00F05335" w:rsidP="00F05335">
            <w:pPr>
              <w:rPr>
                <w:rFonts w:ascii="SWISS" w:hAnsi="SWISS" w:cs="Arial"/>
                <w:b/>
                <w:bCs/>
              </w:rPr>
            </w:pPr>
            <w:r>
              <w:rPr>
                <w:rFonts w:ascii="SWISS" w:hAnsi="SWISS" w:cs="Arial"/>
                <w:b/>
                <w:bCs/>
              </w:rPr>
              <w:t> </w:t>
            </w:r>
          </w:p>
        </w:tc>
        <w:tc>
          <w:tcPr>
            <w:tcW w:w="1237" w:type="dxa"/>
            <w:tcBorders>
              <w:top w:val="nil"/>
              <w:left w:val="nil"/>
              <w:bottom w:val="single" w:sz="4" w:space="0" w:color="auto"/>
              <w:right w:val="nil"/>
            </w:tcBorders>
            <w:shd w:val="clear" w:color="auto" w:fill="auto"/>
            <w:noWrap/>
            <w:vAlign w:val="bottom"/>
            <w:hideMark/>
          </w:tcPr>
          <w:p w:rsidR="00F05335" w:rsidRDefault="00F05335" w:rsidP="00F05335">
            <w:pPr>
              <w:rPr>
                <w:rFonts w:ascii="SWISS" w:hAnsi="SWISS" w:cs="Arial"/>
                <w:b/>
                <w:bCs/>
              </w:rPr>
            </w:pPr>
            <w:r>
              <w:rPr>
                <w:rFonts w:ascii="SWISS" w:hAnsi="SWISS" w:cs="Arial"/>
                <w:b/>
                <w:bCs/>
              </w:rPr>
              <w:t> </w:t>
            </w:r>
          </w:p>
        </w:tc>
        <w:tc>
          <w:tcPr>
            <w:tcW w:w="276" w:type="dxa"/>
            <w:tcBorders>
              <w:top w:val="nil"/>
              <w:left w:val="nil"/>
              <w:bottom w:val="single" w:sz="4" w:space="0" w:color="auto"/>
              <w:right w:val="single" w:sz="4" w:space="0" w:color="auto"/>
            </w:tcBorders>
            <w:shd w:val="clear" w:color="auto" w:fill="auto"/>
            <w:noWrap/>
            <w:vAlign w:val="bottom"/>
            <w:hideMark/>
          </w:tcPr>
          <w:p w:rsidR="00F05335" w:rsidRDefault="00F05335" w:rsidP="00F05335">
            <w:pPr>
              <w:rPr>
                <w:rFonts w:ascii="SWISS" w:hAnsi="SWISS" w:cs="Arial"/>
                <w:b/>
                <w:bCs/>
              </w:rPr>
            </w:pPr>
            <w:r>
              <w:rPr>
                <w:rFonts w:ascii="SWISS" w:hAnsi="SWISS" w:cs="Arial"/>
                <w:b/>
                <w:bCs/>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rPr>
                <w:b/>
                <w:bCs/>
                <w:sz w:val="22"/>
                <w:szCs w:val="22"/>
              </w:rPr>
            </w:pPr>
            <w:r>
              <w:rPr>
                <w:b/>
                <w:bCs/>
                <w:sz w:val="22"/>
                <w:szCs w:val="22"/>
              </w:rPr>
              <w:t> </w:t>
            </w:r>
          </w:p>
        </w:tc>
        <w:tc>
          <w:tcPr>
            <w:tcW w:w="2822" w:type="dxa"/>
            <w:gridSpan w:val="2"/>
            <w:vMerge w:val="restart"/>
            <w:tcBorders>
              <w:top w:val="nil"/>
              <w:left w:val="nil"/>
              <w:bottom w:val="nil"/>
              <w:right w:val="nil"/>
            </w:tcBorders>
            <w:shd w:val="clear" w:color="auto" w:fill="auto"/>
            <w:vAlign w:val="center"/>
            <w:hideMark/>
          </w:tcPr>
          <w:p w:rsidR="00F05335" w:rsidRDefault="00F05335" w:rsidP="00F05335">
            <w:pPr>
              <w:jc w:val="center"/>
              <w:rPr>
                <w:b/>
                <w:bCs/>
                <w:sz w:val="22"/>
                <w:szCs w:val="22"/>
              </w:rPr>
            </w:pPr>
            <w:r>
              <w:rPr>
                <w:b/>
                <w:bCs/>
                <w:sz w:val="22"/>
                <w:szCs w:val="22"/>
              </w:rPr>
              <w:t>Description</w:t>
            </w:r>
          </w:p>
        </w:tc>
        <w:tc>
          <w:tcPr>
            <w:tcW w:w="1206" w:type="dxa"/>
            <w:gridSpan w:val="2"/>
            <w:vMerge w:val="restart"/>
            <w:tcBorders>
              <w:top w:val="nil"/>
              <w:left w:val="nil"/>
              <w:bottom w:val="nil"/>
              <w:right w:val="nil"/>
            </w:tcBorders>
            <w:shd w:val="clear" w:color="auto" w:fill="auto"/>
            <w:vAlign w:val="center"/>
            <w:hideMark/>
          </w:tcPr>
          <w:p w:rsidR="00F05335" w:rsidRDefault="00F05335" w:rsidP="00F05335">
            <w:pPr>
              <w:jc w:val="center"/>
              <w:rPr>
                <w:b/>
                <w:bCs/>
                <w:sz w:val="22"/>
                <w:szCs w:val="22"/>
              </w:rPr>
            </w:pPr>
            <w:r>
              <w:rPr>
                <w:b/>
                <w:bCs/>
                <w:sz w:val="22"/>
                <w:szCs w:val="22"/>
              </w:rPr>
              <w:t>Test Year            Per             Utility</w:t>
            </w:r>
          </w:p>
        </w:tc>
        <w:tc>
          <w:tcPr>
            <w:tcW w:w="1044" w:type="dxa"/>
            <w:vMerge w:val="restart"/>
            <w:tcBorders>
              <w:top w:val="nil"/>
              <w:left w:val="nil"/>
              <w:bottom w:val="nil"/>
              <w:right w:val="nil"/>
            </w:tcBorders>
            <w:shd w:val="clear" w:color="auto" w:fill="auto"/>
            <w:vAlign w:val="center"/>
            <w:hideMark/>
          </w:tcPr>
          <w:p w:rsidR="00F05335" w:rsidRDefault="00F05335" w:rsidP="00F05335">
            <w:pPr>
              <w:jc w:val="center"/>
              <w:rPr>
                <w:b/>
                <w:bCs/>
                <w:sz w:val="22"/>
                <w:szCs w:val="22"/>
              </w:rPr>
            </w:pPr>
            <w:r>
              <w:rPr>
                <w:b/>
                <w:bCs/>
                <w:sz w:val="22"/>
                <w:szCs w:val="22"/>
              </w:rPr>
              <w:t>Utility      Adjust-      ments</w:t>
            </w:r>
          </w:p>
        </w:tc>
        <w:tc>
          <w:tcPr>
            <w:tcW w:w="1243" w:type="dxa"/>
            <w:vMerge w:val="restart"/>
            <w:tcBorders>
              <w:top w:val="nil"/>
              <w:left w:val="nil"/>
              <w:bottom w:val="nil"/>
              <w:right w:val="nil"/>
            </w:tcBorders>
            <w:shd w:val="clear" w:color="auto" w:fill="auto"/>
            <w:vAlign w:val="center"/>
            <w:hideMark/>
          </w:tcPr>
          <w:p w:rsidR="00F05335" w:rsidRDefault="00F05335" w:rsidP="00F05335">
            <w:pPr>
              <w:jc w:val="center"/>
              <w:rPr>
                <w:b/>
                <w:bCs/>
                <w:sz w:val="22"/>
                <w:szCs w:val="22"/>
              </w:rPr>
            </w:pPr>
            <w:r>
              <w:rPr>
                <w:b/>
                <w:bCs/>
                <w:sz w:val="22"/>
                <w:szCs w:val="22"/>
              </w:rPr>
              <w:t>Adjusted       Test Year      Per Utility</w:t>
            </w:r>
          </w:p>
        </w:tc>
        <w:tc>
          <w:tcPr>
            <w:tcW w:w="1277" w:type="dxa"/>
            <w:vMerge w:val="restart"/>
            <w:tcBorders>
              <w:top w:val="nil"/>
              <w:left w:val="nil"/>
              <w:bottom w:val="nil"/>
              <w:right w:val="nil"/>
            </w:tcBorders>
            <w:shd w:val="clear" w:color="auto" w:fill="auto"/>
            <w:vAlign w:val="center"/>
            <w:hideMark/>
          </w:tcPr>
          <w:p w:rsidR="00F05335" w:rsidRDefault="00D71D97" w:rsidP="00F05335">
            <w:pPr>
              <w:jc w:val="center"/>
              <w:rPr>
                <w:b/>
                <w:bCs/>
                <w:sz w:val="22"/>
                <w:szCs w:val="22"/>
              </w:rPr>
            </w:pPr>
            <w:r>
              <w:rPr>
                <w:b/>
                <w:bCs/>
                <w:sz w:val="22"/>
                <w:szCs w:val="22"/>
              </w:rPr>
              <w:t>Comm.</w:t>
            </w:r>
            <w:r w:rsidR="00F05335">
              <w:rPr>
                <w:b/>
                <w:bCs/>
                <w:sz w:val="22"/>
                <w:szCs w:val="22"/>
              </w:rPr>
              <w:t xml:space="preserve">      Adjust-    ments</w:t>
            </w:r>
          </w:p>
        </w:tc>
        <w:tc>
          <w:tcPr>
            <w:tcW w:w="1260" w:type="dxa"/>
            <w:gridSpan w:val="2"/>
            <w:vMerge w:val="restart"/>
            <w:tcBorders>
              <w:top w:val="nil"/>
              <w:left w:val="nil"/>
              <w:bottom w:val="nil"/>
              <w:right w:val="nil"/>
            </w:tcBorders>
            <w:shd w:val="clear" w:color="auto" w:fill="auto"/>
            <w:vAlign w:val="center"/>
            <w:hideMark/>
          </w:tcPr>
          <w:p w:rsidR="00F05335" w:rsidRDefault="00D71D97" w:rsidP="00F05335">
            <w:pPr>
              <w:jc w:val="center"/>
              <w:rPr>
                <w:b/>
                <w:bCs/>
                <w:sz w:val="22"/>
                <w:szCs w:val="22"/>
              </w:rPr>
            </w:pPr>
            <w:r w:rsidRPr="00D71D97">
              <w:rPr>
                <w:b/>
                <w:bCs/>
                <w:sz w:val="22"/>
                <w:szCs w:val="22"/>
              </w:rPr>
              <w:t>C</w:t>
            </w:r>
            <w:r>
              <w:rPr>
                <w:b/>
                <w:bCs/>
                <w:sz w:val="22"/>
                <w:szCs w:val="22"/>
              </w:rPr>
              <w:t>omm.</w:t>
            </w:r>
            <w:r w:rsidR="00F05335" w:rsidRPr="00D71D97">
              <w:rPr>
                <w:b/>
                <w:bCs/>
                <w:sz w:val="22"/>
                <w:szCs w:val="22"/>
              </w:rPr>
              <w:t xml:space="preserve">  </w:t>
            </w:r>
            <w:r w:rsidR="00F05335">
              <w:rPr>
                <w:b/>
                <w:bCs/>
                <w:sz w:val="22"/>
                <w:szCs w:val="22"/>
              </w:rPr>
              <w:t>Adjusted    Test Year</w:t>
            </w:r>
          </w:p>
        </w:tc>
        <w:tc>
          <w:tcPr>
            <w:tcW w:w="1080" w:type="dxa"/>
            <w:vMerge w:val="restart"/>
            <w:tcBorders>
              <w:top w:val="nil"/>
              <w:left w:val="nil"/>
              <w:bottom w:val="nil"/>
              <w:right w:val="nil"/>
            </w:tcBorders>
            <w:shd w:val="clear" w:color="auto" w:fill="auto"/>
            <w:vAlign w:val="center"/>
            <w:hideMark/>
          </w:tcPr>
          <w:p w:rsidR="00F05335" w:rsidRDefault="00F05335" w:rsidP="00F05335">
            <w:pPr>
              <w:jc w:val="center"/>
              <w:rPr>
                <w:b/>
                <w:bCs/>
                <w:sz w:val="22"/>
                <w:szCs w:val="22"/>
              </w:rPr>
            </w:pPr>
            <w:r>
              <w:rPr>
                <w:b/>
                <w:bCs/>
                <w:sz w:val="22"/>
                <w:szCs w:val="22"/>
              </w:rPr>
              <w:t>Revenue Increase</w:t>
            </w:r>
          </w:p>
        </w:tc>
        <w:tc>
          <w:tcPr>
            <w:tcW w:w="1237" w:type="dxa"/>
            <w:vMerge w:val="restart"/>
            <w:tcBorders>
              <w:top w:val="nil"/>
              <w:left w:val="nil"/>
              <w:bottom w:val="nil"/>
              <w:right w:val="nil"/>
            </w:tcBorders>
            <w:shd w:val="clear" w:color="auto" w:fill="auto"/>
            <w:vAlign w:val="center"/>
            <w:hideMark/>
          </w:tcPr>
          <w:p w:rsidR="00F05335" w:rsidRDefault="00F05335" w:rsidP="00F05335">
            <w:pPr>
              <w:jc w:val="center"/>
              <w:rPr>
                <w:b/>
                <w:bCs/>
                <w:sz w:val="22"/>
                <w:szCs w:val="22"/>
              </w:rPr>
            </w:pPr>
            <w:r>
              <w:rPr>
                <w:b/>
                <w:bCs/>
                <w:sz w:val="22"/>
                <w:szCs w:val="22"/>
              </w:rPr>
              <w:t>Revenue Require</w:t>
            </w:r>
            <w:r w:rsidR="00E673FD">
              <w:rPr>
                <w:b/>
                <w:bCs/>
                <w:sz w:val="22"/>
                <w:szCs w:val="22"/>
              </w:rPr>
              <w:t>-</w:t>
            </w:r>
            <w:r>
              <w:rPr>
                <w:b/>
                <w:bCs/>
                <w:sz w:val="22"/>
                <w:szCs w:val="22"/>
              </w:rPr>
              <w:t>ment</w:t>
            </w: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b/>
                <w:bCs/>
                <w:sz w:val="22"/>
                <w:szCs w:val="22"/>
              </w:rPr>
            </w:pPr>
            <w:r>
              <w:rPr>
                <w:b/>
                <w:bCs/>
                <w:sz w:val="22"/>
                <w:szCs w:val="22"/>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rPr>
                <w:b/>
                <w:bCs/>
                <w:sz w:val="22"/>
                <w:szCs w:val="22"/>
              </w:rPr>
            </w:pPr>
            <w:r>
              <w:rPr>
                <w:b/>
                <w:bCs/>
                <w:sz w:val="22"/>
                <w:szCs w:val="22"/>
              </w:rPr>
              <w:t> </w:t>
            </w:r>
          </w:p>
        </w:tc>
        <w:tc>
          <w:tcPr>
            <w:tcW w:w="2822" w:type="dxa"/>
            <w:gridSpan w:val="2"/>
            <w:vMerge/>
            <w:tcBorders>
              <w:top w:val="nil"/>
              <w:left w:val="nil"/>
              <w:bottom w:val="nil"/>
              <w:right w:val="nil"/>
            </w:tcBorders>
            <w:vAlign w:val="center"/>
            <w:hideMark/>
          </w:tcPr>
          <w:p w:rsidR="00F05335" w:rsidRDefault="00F05335" w:rsidP="00F05335">
            <w:pPr>
              <w:rPr>
                <w:b/>
                <w:bCs/>
                <w:sz w:val="22"/>
                <w:szCs w:val="22"/>
              </w:rPr>
            </w:pPr>
          </w:p>
        </w:tc>
        <w:tc>
          <w:tcPr>
            <w:tcW w:w="1206" w:type="dxa"/>
            <w:gridSpan w:val="2"/>
            <w:vMerge/>
            <w:tcBorders>
              <w:top w:val="nil"/>
              <w:left w:val="nil"/>
              <w:bottom w:val="nil"/>
              <w:right w:val="nil"/>
            </w:tcBorders>
            <w:vAlign w:val="center"/>
            <w:hideMark/>
          </w:tcPr>
          <w:p w:rsidR="00F05335" w:rsidRDefault="00F05335" w:rsidP="00F05335">
            <w:pPr>
              <w:rPr>
                <w:b/>
                <w:bCs/>
                <w:sz w:val="22"/>
                <w:szCs w:val="22"/>
              </w:rPr>
            </w:pPr>
          </w:p>
        </w:tc>
        <w:tc>
          <w:tcPr>
            <w:tcW w:w="1044" w:type="dxa"/>
            <w:vMerge/>
            <w:tcBorders>
              <w:top w:val="nil"/>
              <w:left w:val="nil"/>
              <w:bottom w:val="nil"/>
              <w:right w:val="nil"/>
            </w:tcBorders>
            <w:vAlign w:val="center"/>
            <w:hideMark/>
          </w:tcPr>
          <w:p w:rsidR="00F05335" w:rsidRDefault="00F05335" w:rsidP="00F05335">
            <w:pPr>
              <w:rPr>
                <w:b/>
                <w:bCs/>
                <w:sz w:val="22"/>
                <w:szCs w:val="22"/>
              </w:rPr>
            </w:pPr>
          </w:p>
        </w:tc>
        <w:tc>
          <w:tcPr>
            <w:tcW w:w="1243" w:type="dxa"/>
            <w:vMerge/>
            <w:tcBorders>
              <w:top w:val="nil"/>
              <w:left w:val="nil"/>
              <w:bottom w:val="nil"/>
              <w:right w:val="nil"/>
            </w:tcBorders>
            <w:vAlign w:val="center"/>
            <w:hideMark/>
          </w:tcPr>
          <w:p w:rsidR="00F05335" w:rsidRDefault="00F05335" w:rsidP="00F05335">
            <w:pPr>
              <w:rPr>
                <w:b/>
                <w:bCs/>
                <w:sz w:val="22"/>
                <w:szCs w:val="22"/>
              </w:rPr>
            </w:pPr>
          </w:p>
        </w:tc>
        <w:tc>
          <w:tcPr>
            <w:tcW w:w="1277" w:type="dxa"/>
            <w:vMerge/>
            <w:tcBorders>
              <w:top w:val="nil"/>
              <w:left w:val="nil"/>
              <w:bottom w:val="nil"/>
              <w:right w:val="nil"/>
            </w:tcBorders>
            <w:vAlign w:val="center"/>
            <w:hideMark/>
          </w:tcPr>
          <w:p w:rsidR="00F05335" w:rsidRDefault="00F05335" w:rsidP="00F05335">
            <w:pPr>
              <w:rPr>
                <w:b/>
                <w:bCs/>
                <w:sz w:val="22"/>
                <w:szCs w:val="22"/>
              </w:rPr>
            </w:pPr>
          </w:p>
        </w:tc>
        <w:tc>
          <w:tcPr>
            <w:tcW w:w="1260" w:type="dxa"/>
            <w:gridSpan w:val="2"/>
            <w:vMerge/>
            <w:tcBorders>
              <w:top w:val="nil"/>
              <w:left w:val="nil"/>
              <w:bottom w:val="nil"/>
              <w:right w:val="nil"/>
            </w:tcBorders>
            <w:vAlign w:val="center"/>
            <w:hideMark/>
          </w:tcPr>
          <w:p w:rsidR="00F05335" w:rsidRDefault="00F05335" w:rsidP="00F05335">
            <w:pPr>
              <w:rPr>
                <w:b/>
                <w:bCs/>
                <w:sz w:val="22"/>
                <w:szCs w:val="22"/>
              </w:rPr>
            </w:pPr>
          </w:p>
        </w:tc>
        <w:tc>
          <w:tcPr>
            <w:tcW w:w="1080" w:type="dxa"/>
            <w:vMerge/>
            <w:tcBorders>
              <w:top w:val="nil"/>
              <w:left w:val="nil"/>
              <w:bottom w:val="nil"/>
              <w:right w:val="nil"/>
            </w:tcBorders>
            <w:vAlign w:val="center"/>
            <w:hideMark/>
          </w:tcPr>
          <w:p w:rsidR="00F05335" w:rsidRDefault="00F05335" w:rsidP="00F05335">
            <w:pPr>
              <w:rPr>
                <w:b/>
                <w:bCs/>
                <w:sz w:val="22"/>
                <w:szCs w:val="22"/>
              </w:rPr>
            </w:pPr>
          </w:p>
        </w:tc>
        <w:tc>
          <w:tcPr>
            <w:tcW w:w="1237" w:type="dxa"/>
            <w:vMerge/>
            <w:tcBorders>
              <w:top w:val="nil"/>
              <w:left w:val="nil"/>
              <w:bottom w:val="nil"/>
              <w:right w:val="nil"/>
            </w:tcBorders>
            <w:vAlign w:val="center"/>
            <w:hideMark/>
          </w:tcPr>
          <w:p w:rsidR="00F05335" w:rsidRDefault="00F05335" w:rsidP="00F05335">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jc w:val="center"/>
              <w:rPr>
                <w:b/>
                <w:bCs/>
                <w:sz w:val="22"/>
                <w:szCs w:val="22"/>
              </w:rPr>
            </w:pPr>
            <w:r>
              <w:rPr>
                <w:b/>
                <w:bCs/>
                <w:sz w:val="22"/>
                <w:szCs w:val="22"/>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rPr>
                <w:b/>
                <w:bCs/>
                <w:sz w:val="22"/>
                <w:szCs w:val="22"/>
              </w:rPr>
            </w:pPr>
            <w:r>
              <w:rPr>
                <w:b/>
                <w:bCs/>
                <w:sz w:val="22"/>
                <w:szCs w:val="22"/>
              </w:rPr>
              <w:t> </w:t>
            </w:r>
          </w:p>
        </w:tc>
        <w:tc>
          <w:tcPr>
            <w:tcW w:w="2822" w:type="dxa"/>
            <w:gridSpan w:val="2"/>
            <w:vMerge/>
            <w:tcBorders>
              <w:top w:val="nil"/>
              <w:left w:val="nil"/>
              <w:bottom w:val="nil"/>
              <w:right w:val="nil"/>
            </w:tcBorders>
            <w:vAlign w:val="center"/>
            <w:hideMark/>
          </w:tcPr>
          <w:p w:rsidR="00F05335" w:rsidRDefault="00F05335" w:rsidP="00F05335">
            <w:pPr>
              <w:rPr>
                <w:b/>
                <w:bCs/>
                <w:sz w:val="22"/>
                <w:szCs w:val="22"/>
              </w:rPr>
            </w:pPr>
          </w:p>
        </w:tc>
        <w:tc>
          <w:tcPr>
            <w:tcW w:w="1206" w:type="dxa"/>
            <w:gridSpan w:val="2"/>
            <w:vMerge/>
            <w:tcBorders>
              <w:top w:val="nil"/>
              <w:left w:val="nil"/>
              <w:bottom w:val="nil"/>
              <w:right w:val="nil"/>
            </w:tcBorders>
            <w:vAlign w:val="center"/>
            <w:hideMark/>
          </w:tcPr>
          <w:p w:rsidR="00F05335" w:rsidRDefault="00F05335" w:rsidP="00F05335">
            <w:pPr>
              <w:rPr>
                <w:b/>
                <w:bCs/>
                <w:sz w:val="22"/>
                <w:szCs w:val="22"/>
              </w:rPr>
            </w:pPr>
          </w:p>
        </w:tc>
        <w:tc>
          <w:tcPr>
            <w:tcW w:w="1044" w:type="dxa"/>
            <w:vMerge/>
            <w:tcBorders>
              <w:top w:val="nil"/>
              <w:left w:val="nil"/>
              <w:bottom w:val="nil"/>
              <w:right w:val="nil"/>
            </w:tcBorders>
            <w:vAlign w:val="center"/>
            <w:hideMark/>
          </w:tcPr>
          <w:p w:rsidR="00F05335" w:rsidRDefault="00F05335" w:rsidP="00F05335">
            <w:pPr>
              <w:rPr>
                <w:b/>
                <w:bCs/>
                <w:sz w:val="22"/>
                <w:szCs w:val="22"/>
              </w:rPr>
            </w:pPr>
          </w:p>
        </w:tc>
        <w:tc>
          <w:tcPr>
            <w:tcW w:w="1243" w:type="dxa"/>
            <w:vMerge/>
            <w:tcBorders>
              <w:top w:val="nil"/>
              <w:left w:val="nil"/>
              <w:bottom w:val="nil"/>
              <w:right w:val="nil"/>
            </w:tcBorders>
            <w:vAlign w:val="center"/>
            <w:hideMark/>
          </w:tcPr>
          <w:p w:rsidR="00F05335" w:rsidRDefault="00F05335" w:rsidP="00F05335">
            <w:pPr>
              <w:rPr>
                <w:b/>
                <w:bCs/>
                <w:sz w:val="22"/>
                <w:szCs w:val="22"/>
              </w:rPr>
            </w:pPr>
          </w:p>
        </w:tc>
        <w:tc>
          <w:tcPr>
            <w:tcW w:w="1277" w:type="dxa"/>
            <w:vMerge/>
            <w:tcBorders>
              <w:top w:val="nil"/>
              <w:left w:val="nil"/>
              <w:bottom w:val="nil"/>
              <w:right w:val="nil"/>
            </w:tcBorders>
            <w:vAlign w:val="center"/>
            <w:hideMark/>
          </w:tcPr>
          <w:p w:rsidR="00F05335" w:rsidRDefault="00F05335" w:rsidP="00F05335">
            <w:pPr>
              <w:rPr>
                <w:b/>
                <w:bCs/>
                <w:sz w:val="22"/>
                <w:szCs w:val="22"/>
              </w:rPr>
            </w:pPr>
          </w:p>
        </w:tc>
        <w:tc>
          <w:tcPr>
            <w:tcW w:w="1260" w:type="dxa"/>
            <w:gridSpan w:val="2"/>
            <w:vMerge/>
            <w:tcBorders>
              <w:top w:val="nil"/>
              <w:left w:val="nil"/>
              <w:bottom w:val="nil"/>
              <w:right w:val="nil"/>
            </w:tcBorders>
            <w:vAlign w:val="center"/>
            <w:hideMark/>
          </w:tcPr>
          <w:p w:rsidR="00F05335" w:rsidRDefault="00F05335" w:rsidP="00F05335">
            <w:pPr>
              <w:rPr>
                <w:b/>
                <w:bCs/>
                <w:sz w:val="22"/>
                <w:szCs w:val="22"/>
              </w:rPr>
            </w:pPr>
          </w:p>
        </w:tc>
        <w:tc>
          <w:tcPr>
            <w:tcW w:w="1080" w:type="dxa"/>
            <w:vMerge/>
            <w:tcBorders>
              <w:top w:val="nil"/>
              <w:left w:val="nil"/>
              <w:bottom w:val="nil"/>
              <w:right w:val="nil"/>
            </w:tcBorders>
            <w:vAlign w:val="center"/>
            <w:hideMark/>
          </w:tcPr>
          <w:p w:rsidR="00F05335" w:rsidRDefault="00F05335" w:rsidP="00F05335">
            <w:pPr>
              <w:rPr>
                <w:b/>
                <w:bCs/>
                <w:sz w:val="22"/>
                <w:szCs w:val="22"/>
              </w:rPr>
            </w:pPr>
          </w:p>
        </w:tc>
        <w:tc>
          <w:tcPr>
            <w:tcW w:w="1237" w:type="dxa"/>
            <w:vMerge/>
            <w:tcBorders>
              <w:top w:val="nil"/>
              <w:left w:val="nil"/>
              <w:bottom w:val="nil"/>
              <w:right w:val="nil"/>
            </w:tcBorders>
            <w:vAlign w:val="center"/>
            <w:hideMark/>
          </w:tcPr>
          <w:p w:rsidR="00F05335" w:rsidRDefault="00F05335" w:rsidP="00F05335">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jc w:val="center"/>
              <w:rPr>
                <w:b/>
                <w:bCs/>
                <w:sz w:val="22"/>
                <w:szCs w:val="22"/>
              </w:rPr>
            </w:pPr>
            <w:r>
              <w:rPr>
                <w:b/>
                <w:bCs/>
                <w:sz w:val="22"/>
                <w:szCs w:val="22"/>
              </w:rPr>
              <w:t> </w:t>
            </w:r>
          </w:p>
        </w:tc>
      </w:tr>
      <w:tr w:rsidR="00F05335" w:rsidTr="00D71D97">
        <w:trPr>
          <w:trHeight w:val="301"/>
          <w:jc w:val="center"/>
        </w:trPr>
        <w:tc>
          <w:tcPr>
            <w:tcW w:w="436" w:type="dxa"/>
            <w:tcBorders>
              <w:top w:val="single" w:sz="4" w:space="0" w:color="000000"/>
              <w:left w:val="single" w:sz="4" w:space="0" w:color="auto"/>
              <w:bottom w:val="nil"/>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2822" w:type="dxa"/>
            <w:gridSpan w:val="2"/>
            <w:tcBorders>
              <w:top w:val="single" w:sz="4" w:space="0" w:color="000000"/>
              <w:left w:val="nil"/>
              <w:bottom w:val="nil"/>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1206" w:type="dxa"/>
            <w:gridSpan w:val="2"/>
            <w:tcBorders>
              <w:top w:val="single" w:sz="4" w:space="0" w:color="000000"/>
              <w:left w:val="nil"/>
              <w:bottom w:val="nil"/>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1044" w:type="dxa"/>
            <w:tcBorders>
              <w:top w:val="single" w:sz="4" w:space="0" w:color="000000"/>
              <w:left w:val="nil"/>
              <w:bottom w:val="nil"/>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1243" w:type="dxa"/>
            <w:tcBorders>
              <w:top w:val="single" w:sz="4" w:space="0" w:color="000000"/>
              <w:left w:val="nil"/>
              <w:bottom w:val="nil"/>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1277" w:type="dxa"/>
            <w:tcBorders>
              <w:top w:val="single" w:sz="4" w:space="0" w:color="000000"/>
              <w:left w:val="nil"/>
              <w:bottom w:val="nil"/>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1260" w:type="dxa"/>
            <w:gridSpan w:val="2"/>
            <w:tcBorders>
              <w:top w:val="single" w:sz="4" w:space="0" w:color="000000"/>
              <w:left w:val="nil"/>
              <w:bottom w:val="nil"/>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1080" w:type="dxa"/>
            <w:tcBorders>
              <w:top w:val="single" w:sz="4" w:space="0" w:color="000000"/>
              <w:left w:val="nil"/>
              <w:bottom w:val="nil"/>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1237" w:type="dxa"/>
            <w:tcBorders>
              <w:top w:val="single" w:sz="4" w:space="0" w:color="000000"/>
              <w:left w:val="nil"/>
              <w:bottom w:val="nil"/>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276" w:type="dxa"/>
            <w:tcBorders>
              <w:top w:val="single" w:sz="4" w:space="0" w:color="000000"/>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1</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b/>
                <w:bCs/>
                <w:sz w:val="22"/>
                <w:szCs w:val="22"/>
              </w:rPr>
            </w:pPr>
            <w:r>
              <w:rPr>
                <w:b/>
                <w:bCs/>
                <w:sz w:val="22"/>
                <w:szCs w:val="22"/>
              </w:rPr>
              <w:t>Operating Revenues:</w:t>
            </w:r>
          </w:p>
        </w:tc>
        <w:tc>
          <w:tcPr>
            <w:tcW w:w="1206"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$2,130,307 </w:t>
            </w:r>
          </w:p>
        </w:tc>
        <w:tc>
          <w:tcPr>
            <w:tcW w:w="1044"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$348,261 </w:t>
            </w:r>
          </w:p>
        </w:tc>
        <w:tc>
          <w:tcPr>
            <w:tcW w:w="1243"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$2,478,568 </w:t>
            </w:r>
          </w:p>
        </w:tc>
        <w:tc>
          <w:tcPr>
            <w:tcW w:w="1277"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($138,293)</w:t>
            </w:r>
          </w:p>
        </w:tc>
        <w:tc>
          <w:tcPr>
            <w:tcW w:w="1260"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$2,340,275 </w:t>
            </w:r>
          </w:p>
        </w:tc>
        <w:tc>
          <w:tcPr>
            <w:tcW w:w="1080"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$85,629 </w:t>
            </w:r>
          </w:p>
        </w:tc>
        <w:tc>
          <w:tcPr>
            <w:tcW w:w="1237"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$2,425,904 </w:t>
            </w: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u w:val="single"/>
              </w:rPr>
            </w:pP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06"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44"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43"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7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60"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80"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3.66%</w:t>
            </w:r>
          </w:p>
        </w:tc>
        <w:tc>
          <w:tcPr>
            <w:tcW w:w="123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b/>
                <w:bCs/>
                <w:sz w:val="22"/>
                <w:szCs w:val="22"/>
              </w:rPr>
            </w:pPr>
            <w:r>
              <w:rPr>
                <w:b/>
                <w:bCs/>
                <w:sz w:val="22"/>
                <w:szCs w:val="22"/>
              </w:rPr>
              <w:t>Operating Expenses</w:t>
            </w:r>
          </w:p>
        </w:tc>
        <w:tc>
          <w:tcPr>
            <w:tcW w:w="1206"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44"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43"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7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60"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80"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3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2</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r>
              <w:rPr>
                <w:sz w:val="22"/>
                <w:szCs w:val="22"/>
              </w:rPr>
              <w:t xml:space="preserve">    Operation &amp; Maintenance</w:t>
            </w:r>
          </w:p>
        </w:tc>
        <w:tc>
          <w:tcPr>
            <w:tcW w:w="1206"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$1,720,331 </w:t>
            </w:r>
          </w:p>
        </w:tc>
        <w:tc>
          <w:tcPr>
            <w:tcW w:w="1044"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$184,650 </w:t>
            </w:r>
          </w:p>
        </w:tc>
        <w:tc>
          <w:tcPr>
            <w:tcW w:w="1243"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$1,904,981 </w:t>
            </w:r>
          </w:p>
        </w:tc>
        <w:tc>
          <w:tcPr>
            <w:tcW w:w="1277"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($24,241)</w:t>
            </w:r>
          </w:p>
        </w:tc>
        <w:tc>
          <w:tcPr>
            <w:tcW w:w="1260"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$1,880,740 </w:t>
            </w:r>
          </w:p>
        </w:tc>
        <w:tc>
          <w:tcPr>
            <w:tcW w:w="1080"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37"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$1,880,740 </w:t>
            </w: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06"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44"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43"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7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60"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80"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3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3</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r>
              <w:rPr>
                <w:sz w:val="22"/>
                <w:szCs w:val="22"/>
              </w:rPr>
              <w:t xml:space="preserve">    Depreciation</w:t>
            </w:r>
          </w:p>
        </w:tc>
        <w:tc>
          <w:tcPr>
            <w:tcW w:w="1206"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144,159 </w:t>
            </w:r>
          </w:p>
        </w:tc>
        <w:tc>
          <w:tcPr>
            <w:tcW w:w="1044"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(69,456)</w:t>
            </w:r>
          </w:p>
        </w:tc>
        <w:tc>
          <w:tcPr>
            <w:tcW w:w="1243"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74,703 </w:t>
            </w:r>
          </w:p>
        </w:tc>
        <w:tc>
          <w:tcPr>
            <w:tcW w:w="1277"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(12,315)</w:t>
            </w:r>
          </w:p>
        </w:tc>
        <w:tc>
          <w:tcPr>
            <w:tcW w:w="1260"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62,388 </w:t>
            </w:r>
          </w:p>
        </w:tc>
        <w:tc>
          <w:tcPr>
            <w:tcW w:w="1080"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37"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62,388 </w:t>
            </w: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06"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44"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43"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7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60"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80"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3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4</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r>
              <w:rPr>
                <w:sz w:val="22"/>
                <w:szCs w:val="22"/>
              </w:rPr>
              <w:t xml:space="preserve">    Amortization</w:t>
            </w:r>
          </w:p>
        </w:tc>
        <w:tc>
          <w:tcPr>
            <w:tcW w:w="1206"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044"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43"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77"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260"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1080"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37"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0 </w:t>
            </w: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06"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44"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43"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7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60"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80"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3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5</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r>
              <w:rPr>
                <w:sz w:val="22"/>
                <w:szCs w:val="22"/>
              </w:rPr>
              <w:t xml:space="preserve">    Taxes Other Than Income</w:t>
            </w:r>
          </w:p>
        </w:tc>
        <w:tc>
          <w:tcPr>
            <w:tcW w:w="1206"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175,513 </w:t>
            </w:r>
          </w:p>
        </w:tc>
        <w:tc>
          <w:tcPr>
            <w:tcW w:w="1044"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13,192 </w:t>
            </w:r>
          </w:p>
        </w:tc>
        <w:tc>
          <w:tcPr>
            <w:tcW w:w="1243"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188,705 </w:t>
            </w:r>
          </w:p>
        </w:tc>
        <w:tc>
          <w:tcPr>
            <w:tcW w:w="1277"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(6,223)</w:t>
            </w:r>
          </w:p>
        </w:tc>
        <w:tc>
          <w:tcPr>
            <w:tcW w:w="1260"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182,482 </w:t>
            </w:r>
          </w:p>
        </w:tc>
        <w:tc>
          <w:tcPr>
            <w:tcW w:w="1080"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3,853 </w:t>
            </w:r>
          </w:p>
        </w:tc>
        <w:tc>
          <w:tcPr>
            <w:tcW w:w="1237" w:type="dxa"/>
            <w:tcBorders>
              <w:top w:val="nil"/>
              <w:left w:val="nil"/>
              <w:bottom w:val="nil"/>
              <w:right w:val="nil"/>
            </w:tcBorders>
            <w:shd w:val="clear" w:color="auto" w:fill="auto"/>
            <w:noWrap/>
            <w:vAlign w:val="bottom"/>
            <w:hideMark/>
          </w:tcPr>
          <w:p w:rsidR="00F05335" w:rsidRDefault="00F05335" w:rsidP="00F05335">
            <w:pPr>
              <w:jc w:val="right"/>
              <w:rPr>
                <w:sz w:val="22"/>
                <w:szCs w:val="22"/>
              </w:rPr>
            </w:pPr>
            <w:r>
              <w:rPr>
                <w:sz w:val="22"/>
                <w:szCs w:val="22"/>
              </w:rPr>
              <w:t xml:space="preserve">186,335 </w:t>
            </w: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06"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44"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43"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7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60"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80"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3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6</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r>
              <w:rPr>
                <w:sz w:val="22"/>
                <w:szCs w:val="22"/>
              </w:rPr>
              <w:t xml:space="preserve">    Income Taxes</w:t>
            </w:r>
          </w:p>
        </w:tc>
        <w:tc>
          <w:tcPr>
            <w:tcW w:w="1206"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044"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243"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277"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260"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080"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1237"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0 </w:t>
            </w: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u w:val="single"/>
              </w:rPr>
            </w:pP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06"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44"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43"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7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60"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80"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3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7</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b/>
                <w:bCs/>
                <w:sz w:val="22"/>
                <w:szCs w:val="22"/>
              </w:rPr>
            </w:pPr>
            <w:r>
              <w:rPr>
                <w:b/>
                <w:bCs/>
                <w:sz w:val="22"/>
                <w:szCs w:val="22"/>
              </w:rPr>
              <w:t>Total Operating Expense</w:t>
            </w:r>
          </w:p>
        </w:tc>
        <w:tc>
          <w:tcPr>
            <w:tcW w:w="1206"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2,040,003 </w:t>
            </w:r>
          </w:p>
        </w:tc>
        <w:tc>
          <w:tcPr>
            <w:tcW w:w="1044"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128,386 </w:t>
            </w:r>
          </w:p>
        </w:tc>
        <w:tc>
          <w:tcPr>
            <w:tcW w:w="1243"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2,168,389 </w:t>
            </w:r>
          </w:p>
        </w:tc>
        <w:tc>
          <w:tcPr>
            <w:tcW w:w="1277"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(42,779)</w:t>
            </w:r>
          </w:p>
        </w:tc>
        <w:tc>
          <w:tcPr>
            <w:tcW w:w="1260"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2,125,610 </w:t>
            </w:r>
          </w:p>
        </w:tc>
        <w:tc>
          <w:tcPr>
            <w:tcW w:w="1080"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3,853 </w:t>
            </w:r>
          </w:p>
        </w:tc>
        <w:tc>
          <w:tcPr>
            <w:tcW w:w="1237" w:type="dxa"/>
            <w:tcBorders>
              <w:top w:val="nil"/>
              <w:left w:val="nil"/>
              <w:bottom w:val="nil"/>
              <w:right w:val="nil"/>
            </w:tcBorders>
            <w:shd w:val="clear" w:color="auto" w:fill="auto"/>
            <w:noWrap/>
            <w:vAlign w:val="bottom"/>
            <w:hideMark/>
          </w:tcPr>
          <w:p w:rsidR="00F05335" w:rsidRDefault="00F05335" w:rsidP="00F05335">
            <w:pPr>
              <w:jc w:val="right"/>
              <w:rPr>
                <w:sz w:val="22"/>
                <w:szCs w:val="22"/>
                <w:u w:val="single"/>
              </w:rPr>
            </w:pPr>
            <w:r>
              <w:rPr>
                <w:sz w:val="22"/>
                <w:szCs w:val="22"/>
                <w:u w:val="single"/>
              </w:rPr>
              <w:t xml:space="preserve">2,129,463 </w:t>
            </w: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u w:val="single"/>
              </w:rPr>
            </w:pP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06"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44"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43"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7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60"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80"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3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8</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b/>
                <w:bCs/>
                <w:sz w:val="22"/>
                <w:szCs w:val="22"/>
              </w:rPr>
            </w:pPr>
            <w:r>
              <w:rPr>
                <w:b/>
                <w:bCs/>
                <w:sz w:val="22"/>
                <w:szCs w:val="22"/>
              </w:rPr>
              <w:t>Operating Income</w:t>
            </w:r>
          </w:p>
        </w:tc>
        <w:tc>
          <w:tcPr>
            <w:tcW w:w="1206" w:type="dxa"/>
            <w:gridSpan w:val="2"/>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 xml:space="preserve">$90,304 </w:t>
            </w:r>
          </w:p>
        </w:tc>
        <w:tc>
          <w:tcPr>
            <w:tcW w:w="1044"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 xml:space="preserve">$219,875 </w:t>
            </w:r>
          </w:p>
        </w:tc>
        <w:tc>
          <w:tcPr>
            <w:tcW w:w="1243" w:type="dxa"/>
            <w:tcBorders>
              <w:top w:val="nil"/>
              <w:left w:val="nil"/>
              <w:bottom w:val="nil"/>
              <w:right w:val="nil"/>
            </w:tcBorders>
            <w:shd w:val="clear" w:color="000000" w:fill="FFFFFF"/>
            <w:noWrap/>
            <w:vAlign w:val="bottom"/>
            <w:hideMark/>
          </w:tcPr>
          <w:p w:rsidR="00F05335" w:rsidRDefault="00F05335" w:rsidP="00F05335">
            <w:pPr>
              <w:jc w:val="right"/>
              <w:rPr>
                <w:sz w:val="22"/>
                <w:szCs w:val="22"/>
                <w:u w:val="double"/>
              </w:rPr>
            </w:pPr>
            <w:r>
              <w:rPr>
                <w:sz w:val="22"/>
                <w:szCs w:val="22"/>
                <w:u w:val="double"/>
              </w:rPr>
              <w:t xml:space="preserve">$310,179 </w:t>
            </w:r>
          </w:p>
        </w:tc>
        <w:tc>
          <w:tcPr>
            <w:tcW w:w="1277"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($95,514)</w:t>
            </w:r>
          </w:p>
        </w:tc>
        <w:tc>
          <w:tcPr>
            <w:tcW w:w="1260"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 xml:space="preserve">$214,665 </w:t>
            </w:r>
          </w:p>
        </w:tc>
        <w:tc>
          <w:tcPr>
            <w:tcW w:w="1080"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 xml:space="preserve">$81,776 </w:t>
            </w:r>
          </w:p>
        </w:tc>
        <w:tc>
          <w:tcPr>
            <w:tcW w:w="1237"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 xml:space="preserve">$296,441 </w:t>
            </w: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u w:val="double"/>
              </w:rPr>
            </w:pP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06"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44"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43"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7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60"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80"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3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9</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b/>
                <w:bCs/>
                <w:sz w:val="22"/>
                <w:szCs w:val="22"/>
              </w:rPr>
            </w:pPr>
            <w:r>
              <w:rPr>
                <w:b/>
                <w:bCs/>
                <w:sz w:val="22"/>
                <w:szCs w:val="22"/>
              </w:rPr>
              <w:t>Rate Base</w:t>
            </w:r>
          </w:p>
        </w:tc>
        <w:tc>
          <w:tcPr>
            <w:tcW w:w="1206"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 xml:space="preserve">$4,778,146 </w:t>
            </w:r>
          </w:p>
        </w:tc>
        <w:tc>
          <w:tcPr>
            <w:tcW w:w="1044"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43"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 xml:space="preserve">$4,338,148 </w:t>
            </w:r>
          </w:p>
        </w:tc>
        <w:tc>
          <w:tcPr>
            <w:tcW w:w="127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60"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 xml:space="preserve">$4,153,288 </w:t>
            </w:r>
          </w:p>
        </w:tc>
        <w:tc>
          <w:tcPr>
            <w:tcW w:w="1080"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37"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 xml:space="preserve">$4,153,288 </w:t>
            </w: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u w:val="double"/>
              </w:rPr>
            </w:pP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06"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44"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43"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7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60" w:type="dxa"/>
            <w:gridSpan w:val="2"/>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080"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3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r w:rsidR="00F05335" w:rsidTr="00D71D97">
        <w:trPr>
          <w:trHeight w:val="301"/>
          <w:jc w:val="center"/>
        </w:trPr>
        <w:tc>
          <w:tcPr>
            <w:tcW w:w="436" w:type="dxa"/>
            <w:tcBorders>
              <w:top w:val="nil"/>
              <w:left w:val="single" w:sz="4" w:space="0" w:color="auto"/>
              <w:bottom w:val="nil"/>
              <w:right w:val="nil"/>
            </w:tcBorders>
            <w:shd w:val="clear" w:color="auto" w:fill="auto"/>
            <w:noWrap/>
            <w:vAlign w:val="bottom"/>
            <w:hideMark/>
          </w:tcPr>
          <w:p w:rsidR="00F05335" w:rsidRDefault="00F05335" w:rsidP="00F05335">
            <w:pPr>
              <w:jc w:val="center"/>
              <w:rPr>
                <w:sz w:val="22"/>
                <w:szCs w:val="22"/>
              </w:rPr>
            </w:pPr>
            <w:r>
              <w:rPr>
                <w:sz w:val="22"/>
                <w:szCs w:val="22"/>
              </w:rPr>
              <w:t>10</w:t>
            </w:r>
          </w:p>
        </w:tc>
        <w:tc>
          <w:tcPr>
            <w:tcW w:w="2822" w:type="dxa"/>
            <w:gridSpan w:val="2"/>
            <w:tcBorders>
              <w:top w:val="nil"/>
              <w:left w:val="nil"/>
              <w:bottom w:val="nil"/>
              <w:right w:val="nil"/>
            </w:tcBorders>
            <w:shd w:val="clear" w:color="auto" w:fill="auto"/>
            <w:noWrap/>
            <w:vAlign w:val="bottom"/>
            <w:hideMark/>
          </w:tcPr>
          <w:p w:rsidR="00F05335" w:rsidRDefault="00F05335" w:rsidP="00F05335">
            <w:pPr>
              <w:rPr>
                <w:b/>
                <w:bCs/>
                <w:sz w:val="22"/>
                <w:szCs w:val="22"/>
              </w:rPr>
            </w:pPr>
            <w:r>
              <w:rPr>
                <w:b/>
                <w:bCs/>
                <w:sz w:val="22"/>
                <w:szCs w:val="22"/>
              </w:rPr>
              <w:t>Rate of Return</w:t>
            </w:r>
          </w:p>
        </w:tc>
        <w:tc>
          <w:tcPr>
            <w:tcW w:w="1206"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1.89%</w:t>
            </w:r>
          </w:p>
        </w:tc>
        <w:tc>
          <w:tcPr>
            <w:tcW w:w="1044"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43"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7.15%</w:t>
            </w:r>
          </w:p>
        </w:tc>
        <w:tc>
          <w:tcPr>
            <w:tcW w:w="1277"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60" w:type="dxa"/>
            <w:gridSpan w:val="2"/>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5.17%</w:t>
            </w:r>
          </w:p>
        </w:tc>
        <w:tc>
          <w:tcPr>
            <w:tcW w:w="1080" w:type="dxa"/>
            <w:tcBorders>
              <w:top w:val="nil"/>
              <w:left w:val="nil"/>
              <w:bottom w:val="nil"/>
              <w:right w:val="nil"/>
            </w:tcBorders>
            <w:shd w:val="clear" w:color="auto" w:fill="auto"/>
            <w:noWrap/>
            <w:vAlign w:val="bottom"/>
            <w:hideMark/>
          </w:tcPr>
          <w:p w:rsidR="00F05335" w:rsidRDefault="00F05335" w:rsidP="00F05335">
            <w:pPr>
              <w:rPr>
                <w:sz w:val="22"/>
                <w:szCs w:val="22"/>
              </w:rPr>
            </w:pPr>
          </w:p>
        </w:tc>
        <w:tc>
          <w:tcPr>
            <w:tcW w:w="1237" w:type="dxa"/>
            <w:tcBorders>
              <w:top w:val="nil"/>
              <w:left w:val="nil"/>
              <w:bottom w:val="nil"/>
              <w:right w:val="nil"/>
            </w:tcBorders>
            <w:shd w:val="clear" w:color="auto" w:fill="auto"/>
            <w:noWrap/>
            <w:vAlign w:val="bottom"/>
            <w:hideMark/>
          </w:tcPr>
          <w:p w:rsidR="00F05335" w:rsidRDefault="00F05335" w:rsidP="00F05335">
            <w:pPr>
              <w:jc w:val="right"/>
              <w:rPr>
                <w:sz w:val="22"/>
                <w:szCs w:val="22"/>
                <w:u w:val="double"/>
              </w:rPr>
            </w:pPr>
            <w:r>
              <w:rPr>
                <w:sz w:val="22"/>
                <w:szCs w:val="22"/>
                <w:u w:val="double"/>
              </w:rPr>
              <w:t>7.14%</w:t>
            </w:r>
          </w:p>
        </w:tc>
        <w:tc>
          <w:tcPr>
            <w:tcW w:w="276" w:type="dxa"/>
            <w:tcBorders>
              <w:top w:val="nil"/>
              <w:left w:val="nil"/>
              <w:bottom w:val="nil"/>
              <w:right w:val="single" w:sz="4" w:space="0" w:color="auto"/>
            </w:tcBorders>
            <w:shd w:val="clear" w:color="auto" w:fill="auto"/>
            <w:noWrap/>
            <w:vAlign w:val="bottom"/>
            <w:hideMark/>
          </w:tcPr>
          <w:p w:rsidR="00F05335" w:rsidRDefault="00F05335" w:rsidP="00F05335">
            <w:pPr>
              <w:rPr>
                <w:rFonts w:ascii="Arial" w:hAnsi="Arial" w:cs="Arial"/>
                <w:sz w:val="20"/>
                <w:szCs w:val="20"/>
                <w:u w:val="double"/>
              </w:rPr>
            </w:pPr>
          </w:p>
        </w:tc>
      </w:tr>
      <w:tr w:rsidR="00F05335" w:rsidTr="00D71D97">
        <w:trPr>
          <w:trHeight w:val="301"/>
          <w:jc w:val="center"/>
        </w:trPr>
        <w:tc>
          <w:tcPr>
            <w:tcW w:w="436" w:type="dxa"/>
            <w:tcBorders>
              <w:top w:val="nil"/>
              <w:left w:val="single" w:sz="4" w:space="0" w:color="auto"/>
              <w:bottom w:val="single" w:sz="4" w:space="0" w:color="auto"/>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2822" w:type="dxa"/>
            <w:gridSpan w:val="2"/>
            <w:tcBorders>
              <w:top w:val="nil"/>
              <w:left w:val="nil"/>
              <w:bottom w:val="single" w:sz="4" w:space="0" w:color="auto"/>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1206" w:type="dxa"/>
            <w:gridSpan w:val="2"/>
            <w:tcBorders>
              <w:top w:val="nil"/>
              <w:left w:val="nil"/>
              <w:bottom w:val="single" w:sz="4" w:space="0" w:color="auto"/>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1044" w:type="dxa"/>
            <w:tcBorders>
              <w:top w:val="nil"/>
              <w:left w:val="nil"/>
              <w:bottom w:val="single" w:sz="4" w:space="0" w:color="auto"/>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1243" w:type="dxa"/>
            <w:tcBorders>
              <w:top w:val="nil"/>
              <w:left w:val="nil"/>
              <w:bottom w:val="single" w:sz="4" w:space="0" w:color="auto"/>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1277" w:type="dxa"/>
            <w:tcBorders>
              <w:top w:val="nil"/>
              <w:left w:val="nil"/>
              <w:bottom w:val="single" w:sz="4" w:space="0" w:color="auto"/>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1260" w:type="dxa"/>
            <w:gridSpan w:val="2"/>
            <w:tcBorders>
              <w:top w:val="nil"/>
              <w:left w:val="nil"/>
              <w:bottom w:val="single" w:sz="4" w:space="0" w:color="auto"/>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1080" w:type="dxa"/>
            <w:tcBorders>
              <w:top w:val="nil"/>
              <w:left w:val="nil"/>
              <w:bottom w:val="single" w:sz="4" w:space="0" w:color="auto"/>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1237" w:type="dxa"/>
            <w:tcBorders>
              <w:top w:val="nil"/>
              <w:left w:val="nil"/>
              <w:bottom w:val="single" w:sz="4" w:space="0" w:color="auto"/>
              <w:right w:val="nil"/>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c>
          <w:tcPr>
            <w:tcW w:w="276" w:type="dxa"/>
            <w:tcBorders>
              <w:top w:val="nil"/>
              <w:left w:val="nil"/>
              <w:bottom w:val="single" w:sz="4" w:space="0" w:color="auto"/>
              <w:right w:val="single" w:sz="4" w:space="0" w:color="auto"/>
            </w:tcBorders>
            <w:shd w:val="clear" w:color="auto" w:fill="auto"/>
            <w:noWrap/>
            <w:vAlign w:val="bottom"/>
            <w:hideMark/>
          </w:tcPr>
          <w:p w:rsidR="00F05335" w:rsidRDefault="00F05335" w:rsidP="00F05335">
            <w:pPr>
              <w:rPr>
                <w:rFonts w:ascii="Arial" w:hAnsi="Arial" w:cs="Arial"/>
                <w:sz w:val="20"/>
                <w:szCs w:val="20"/>
              </w:rPr>
            </w:pPr>
            <w:r>
              <w:rPr>
                <w:rFonts w:ascii="Arial" w:hAnsi="Arial" w:cs="Arial"/>
                <w:sz w:val="20"/>
                <w:szCs w:val="20"/>
              </w:rPr>
              <w:t> </w:t>
            </w:r>
          </w:p>
        </w:tc>
      </w:tr>
    </w:tbl>
    <w:p w:rsidR="00E52407" w:rsidRDefault="00E52407" w:rsidP="00D57E57">
      <w:pPr>
        <w:sectPr w:rsidR="00E52407" w:rsidSect="00E52407">
          <w:headerReference w:type="default" r:id="rId12"/>
          <w:headerReference w:type="first" r:id="rId13"/>
          <w:pgSz w:w="15840" w:h="12240" w:orient="landscape" w:code="1"/>
          <w:pgMar w:top="1440" w:right="1440" w:bottom="1440" w:left="1440" w:header="720" w:footer="720" w:gutter="0"/>
          <w:cols w:space="720"/>
          <w:titlePg/>
          <w:docGrid w:linePitch="360"/>
        </w:sectPr>
      </w:pPr>
    </w:p>
    <w:p w:rsidR="00F05335" w:rsidRDefault="00F05335" w:rsidP="00D57E57"/>
    <w:tbl>
      <w:tblPr>
        <w:tblW w:w="9756" w:type="dxa"/>
        <w:tblInd w:w="78" w:type="dxa"/>
        <w:tblLayout w:type="fixed"/>
        <w:tblLook w:val="0000" w:firstRow="0" w:lastRow="0" w:firstColumn="0" w:lastColumn="0" w:noHBand="0" w:noVBand="0"/>
      </w:tblPr>
      <w:tblGrid>
        <w:gridCol w:w="510"/>
        <w:gridCol w:w="6000"/>
        <w:gridCol w:w="337"/>
        <w:gridCol w:w="923"/>
        <w:gridCol w:w="1618"/>
        <w:gridCol w:w="368"/>
      </w:tblGrid>
      <w:tr w:rsidR="00F05335" w:rsidTr="00F05335">
        <w:trPr>
          <w:trHeight w:val="204"/>
        </w:trPr>
        <w:tc>
          <w:tcPr>
            <w:tcW w:w="6510" w:type="dxa"/>
            <w:gridSpan w:val="2"/>
            <w:tcBorders>
              <w:top w:val="single" w:sz="6" w:space="0" w:color="auto"/>
              <w:left w:val="single" w:sz="6" w:space="0" w:color="auto"/>
              <w:bottom w:val="nil"/>
              <w:right w:val="nil"/>
            </w:tcBorders>
            <w:shd w:val="solid" w:color="FFFFFF" w:fill="auto"/>
          </w:tcPr>
          <w:p w:rsidR="00F05335" w:rsidRDefault="00F05335" w:rsidP="00F05335">
            <w:pPr>
              <w:autoSpaceDE w:val="0"/>
              <w:autoSpaceDN w:val="0"/>
              <w:adjustRightInd w:val="0"/>
              <w:rPr>
                <w:rFonts w:ascii="Arial" w:hAnsi="Arial" w:cs="Arial"/>
                <w:b/>
                <w:bCs/>
                <w:color w:val="000000"/>
              </w:rPr>
            </w:pPr>
            <w:r>
              <w:rPr>
                <w:rFonts w:ascii="Arial" w:hAnsi="Arial" w:cs="Arial"/>
                <w:b/>
                <w:bCs/>
                <w:color w:val="000000"/>
              </w:rPr>
              <w:t>KWRU</w:t>
            </w:r>
          </w:p>
        </w:tc>
        <w:tc>
          <w:tcPr>
            <w:tcW w:w="3246" w:type="dxa"/>
            <w:gridSpan w:val="4"/>
            <w:tcBorders>
              <w:top w:val="single" w:sz="6" w:space="0" w:color="auto"/>
              <w:left w:val="nil"/>
              <w:bottom w:val="nil"/>
              <w:right w:val="single" w:sz="6" w:space="0" w:color="auto"/>
            </w:tcBorders>
            <w:shd w:val="solid" w:color="FFFFFF" w:fill="auto"/>
          </w:tcPr>
          <w:p w:rsidR="00F05335" w:rsidRDefault="00F05335" w:rsidP="00F05335">
            <w:pPr>
              <w:autoSpaceDE w:val="0"/>
              <w:autoSpaceDN w:val="0"/>
              <w:adjustRightInd w:val="0"/>
              <w:jc w:val="right"/>
              <w:rPr>
                <w:rFonts w:ascii="Arial" w:hAnsi="Arial" w:cs="Arial"/>
                <w:b/>
                <w:bCs/>
                <w:color w:val="000000"/>
              </w:rPr>
            </w:pPr>
            <w:r>
              <w:rPr>
                <w:rFonts w:ascii="Arial" w:hAnsi="Arial" w:cs="Arial"/>
                <w:b/>
                <w:bCs/>
                <w:color w:val="000000"/>
              </w:rPr>
              <w:t>Schedule No. 3-B</w:t>
            </w:r>
          </w:p>
        </w:tc>
      </w:tr>
      <w:tr w:rsidR="00F05335" w:rsidTr="00F05335">
        <w:trPr>
          <w:trHeight w:val="204"/>
        </w:trPr>
        <w:tc>
          <w:tcPr>
            <w:tcW w:w="6510" w:type="dxa"/>
            <w:gridSpan w:val="2"/>
            <w:tcBorders>
              <w:top w:val="nil"/>
              <w:left w:val="single" w:sz="6" w:space="0" w:color="auto"/>
              <w:bottom w:val="nil"/>
              <w:right w:val="nil"/>
            </w:tcBorders>
            <w:shd w:val="solid" w:color="FFFFFF" w:fill="auto"/>
          </w:tcPr>
          <w:p w:rsidR="00F05335" w:rsidRDefault="00F05335" w:rsidP="00F05335">
            <w:pPr>
              <w:autoSpaceDE w:val="0"/>
              <w:autoSpaceDN w:val="0"/>
              <w:adjustRightInd w:val="0"/>
              <w:rPr>
                <w:rFonts w:ascii="Arial" w:hAnsi="Arial" w:cs="Arial"/>
                <w:b/>
                <w:bCs/>
                <w:color w:val="000000"/>
              </w:rPr>
            </w:pPr>
            <w:r>
              <w:rPr>
                <w:rFonts w:ascii="Arial" w:hAnsi="Arial" w:cs="Arial"/>
                <w:b/>
                <w:bCs/>
                <w:color w:val="000000"/>
              </w:rPr>
              <w:t>Adjustments to Operating Income</w:t>
            </w:r>
          </w:p>
        </w:tc>
        <w:tc>
          <w:tcPr>
            <w:tcW w:w="3246" w:type="dxa"/>
            <w:gridSpan w:val="4"/>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rFonts w:ascii="Arial" w:hAnsi="Arial" w:cs="Arial"/>
                <w:b/>
                <w:bCs/>
                <w:color w:val="000000"/>
              </w:rPr>
            </w:pPr>
            <w:r>
              <w:rPr>
                <w:rFonts w:ascii="Arial" w:hAnsi="Arial" w:cs="Arial"/>
                <w:b/>
                <w:bCs/>
                <w:color w:val="000000"/>
              </w:rPr>
              <w:t>Docket No. 20170141-SU</w:t>
            </w:r>
          </w:p>
        </w:tc>
      </w:tr>
      <w:tr w:rsidR="00F05335" w:rsidTr="00F05335">
        <w:trPr>
          <w:trHeight w:val="204"/>
        </w:trPr>
        <w:tc>
          <w:tcPr>
            <w:tcW w:w="6510" w:type="dxa"/>
            <w:gridSpan w:val="2"/>
            <w:tcBorders>
              <w:top w:val="nil"/>
              <w:left w:val="single" w:sz="6" w:space="0" w:color="auto"/>
              <w:bottom w:val="nil"/>
              <w:right w:val="nil"/>
            </w:tcBorders>
            <w:shd w:val="solid" w:color="FFFFFF" w:fill="auto"/>
          </w:tcPr>
          <w:p w:rsidR="00F05335" w:rsidRDefault="00F05335" w:rsidP="00F05335">
            <w:pPr>
              <w:autoSpaceDE w:val="0"/>
              <w:autoSpaceDN w:val="0"/>
              <w:adjustRightInd w:val="0"/>
              <w:rPr>
                <w:rFonts w:ascii="Arial" w:hAnsi="Arial" w:cs="Arial"/>
                <w:b/>
                <w:bCs/>
                <w:color w:val="000000"/>
              </w:rPr>
            </w:pPr>
            <w:r>
              <w:rPr>
                <w:rFonts w:ascii="Arial" w:hAnsi="Arial" w:cs="Arial"/>
                <w:b/>
                <w:bCs/>
                <w:color w:val="000000"/>
              </w:rPr>
              <w:t>Test Year Ended 06/30/17</w:t>
            </w:r>
          </w:p>
        </w:tc>
        <w:tc>
          <w:tcPr>
            <w:tcW w:w="1260" w:type="dxa"/>
            <w:gridSpan w:val="2"/>
            <w:tcBorders>
              <w:top w:val="nil"/>
              <w:left w:val="nil"/>
              <w:bottom w:val="nil"/>
              <w:right w:val="nil"/>
            </w:tcBorders>
            <w:shd w:val="solid" w:color="FFFFFF" w:fill="auto"/>
          </w:tcPr>
          <w:p w:rsidR="00F05335" w:rsidRDefault="00F05335" w:rsidP="00F05335">
            <w:pPr>
              <w:autoSpaceDE w:val="0"/>
              <w:autoSpaceDN w:val="0"/>
              <w:adjustRightInd w:val="0"/>
              <w:jc w:val="right"/>
              <w:rPr>
                <w:rFonts w:ascii="Arial" w:hAnsi="Arial" w:cs="Arial"/>
                <w:b/>
                <w:bCs/>
                <w:color w:val="000000"/>
              </w:rPr>
            </w:pP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rFonts w:ascii="Arial" w:hAnsi="Arial" w:cs="Arial"/>
                <w:b/>
                <w:bCs/>
                <w:color w:val="000000"/>
              </w:rPr>
            </w:pP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rFonts w:ascii="Arial" w:hAnsi="Arial" w:cs="Arial"/>
                <w:color w:val="000000"/>
              </w:rPr>
            </w:pPr>
          </w:p>
        </w:tc>
      </w:tr>
      <w:tr w:rsidR="00F05335" w:rsidTr="00F05335">
        <w:trPr>
          <w:trHeight w:val="204"/>
        </w:trPr>
        <w:tc>
          <w:tcPr>
            <w:tcW w:w="510" w:type="dxa"/>
            <w:tcBorders>
              <w:top w:val="single" w:sz="6" w:space="0" w:color="000000"/>
              <w:left w:val="single" w:sz="6" w:space="0" w:color="auto"/>
              <w:bottom w:val="nil"/>
              <w:right w:val="nil"/>
            </w:tcBorders>
          </w:tcPr>
          <w:p w:rsidR="00F05335" w:rsidRDefault="00F05335" w:rsidP="00F05335">
            <w:pPr>
              <w:autoSpaceDE w:val="0"/>
              <w:autoSpaceDN w:val="0"/>
              <w:adjustRightInd w:val="0"/>
              <w:jc w:val="right"/>
              <w:rPr>
                <w:rFonts w:ascii="Arial" w:hAnsi="Arial" w:cs="Arial"/>
                <w:color w:val="000000"/>
                <w:sz w:val="20"/>
                <w:szCs w:val="20"/>
              </w:rPr>
            </w:pPr>
          </w:p>
        </w:tc>
        <w:tc>
          <w:tcPr>
            <w:tcW w:w="6000" w:type="dxa"/>
            <w:tcBorders>
              <w:top w:val="single" w:sz="6" w:space="0" w:color="000000"/>
              <w:left w:val="nil"/>
              <w:bottom w:val="nil"/>
              <w:right w:val="nil"/>
            </w:tcBorders>
          </w:tcPr>
          <w:p w:rsidR="00F05335" w:rsidRDefault="00F05335" w:rsidP="00F05335">
            <w:pPr>
              <w:autoSpaceDE w:val="0"/>
              <w:autoSpaceDN w:val="0"/>
              <w:adjustRightInd w:val="0"/>
              <w:jc w:val="right"/>
              <w:rPr>
                <w:rFonts w:ascii="Arial" w:hAnsi="Arial" w:cs="Arial"/>
                <w:color w:val="000000"/>
                <w:sz w:val="20"/>
                <w:szCs w:val="20"/>
              </w:rPr>
            </w:pPr>
          </w:p>
        </w:tc>
        <w:tc>
          <w:tcPr>
            <w:tcW w:w="1260" w:type="dxa"/>
            <w:gridSpan w:val="2"/>
            <w:tcBorders>
              <w:top w:val="single" w:sz="6" w:space="0" w:color="000000"/>
              <w:left w:val="nil"/>
              <w:bottom w:val="nil"/>
              <w:right w:val="nil"/>
            </w:tcBorders>
          </w:tcPr>
          <w:p w:rsidR="00F05335" w:rsidRDefault="00F05335" w:rsidP="00F05335">
            <w:pPr>
              <w:autoSpaceDE w:val="0"/>
              <w:autoSpaceDN w:val="0"/>
              <w:adjustRightInd w:val="0"/>
              <w:jc w:val="center"/>
              <w:rPr>
                <w:rFonts w:ascii="Arial" w:hAnsi="Arial" w:cs="Arial"/>
                <w:color w:val="000000"/>
                <w:sz w:val="20"/>
                <w:szCs w:val="20"/>
              </w:rPr>
            </w:pPr>
          </w:p>
        </w:tc>
        <w:tc>
          <w:tcPr>
            <w:tcW w:w="1618" w:type="dxa"/>
            <w:tcBorders>
              <w:top w:val="single" w:sz="6" w:space="0" w:color="000000"/>
              <w:left w:val="nil"/>
              <w:bottom w:val="nil"/>
              <w:right w:val="nil"/>
            </w:tcBorders>
          </w:tcPr>
          <w:p w:rsidR="00F05335" w:rsidRDefault="00F05335" w:rsidP="00F05335">
            <w:pPr>
              <w:autoSpaceDE w:val="0"/>
              <w:autoSpaceDN w:val="0"/>
              <w:adjustRightInd w:val="0"/>
              <w:jc w:val="center"/>
              <w:rPr>
                <w:rFonts w:ascii="Arial" w:hAnsi="Arial" w:cs="Arial"/>
                <w:color w:val="000000"/>
                <w:sz w:val="20"/>
                <w:szCs w:val="20"/>
              </w:rPr>
            </w:pPr>
          </w:p>
        </w:tc>
        <w:tc>
          <w:tcPr>
            <w:tcW w:w="368" w:type="dxa"/>
            <w:tcBorders>
              <w:top w:val="single" w:sz="6" w:space="0" w:color="000000"/>
              <w:left w:val="nil"/>
              <w:bottom w:val="nil"/>
              <w:right w:val="single" w:sz="6" w:space="0" w:color="auto"/>
            </w:tcBorders>
          </w:tcPr>
          <w:p w:rsidR="00F05335" w:rsidRDefault="00F05335" w:rsidP="00F05335">
            <w:pPr>
              <w:autoSpaceDE w:val="0"/>
              <w:autoSpaceDN w:val="0"/>
              <w:adjustRightInd w:val="0"/>
              <w:jc w:val="right"/>
              <w:rPr>
                <w:rFonts w:ascii="Arial" w:hAnsi="Arial" w:cs="Arial"/>
                <w:color w:val="000000"/>
                <w:sz w:val="20"/>
                <w:szCs w:val="20"/>
              </w:rPr>
            </w:pPr>
          </w:p>
        </w:tc>
      </w:tr>
      <w:tr w:rsidR="00F05335" w:rsidTr="00F05335">
        <w:trPr>
          <w:trHeight w:val="204"/>
        </w:trPr>
        <w:tc>
          <w:tcPr>
            <w:tcW w:w="510" w:type="dxa"/>
            <w:tcBorders>
              <w:top w:val="nil"/>
              <w:left w:val="single" w:sz="6" w:space="0" w:color="auto"/>
              <w:bottom w:val="nil"/>
              <w:right w:val="nil"/>
            </w:tcBorders>
          </w:tcPr>
          <w:p w:rsidR="00F05335" w:rsidRDefault="00F05335" w:rsidP="00F05335">
            <w:pPr>
              <w:autoSpaceDE w:val="0"/>
              <w:autoSpaceDN w:val="0"/>
              <w:adjustRightInd w:val="0"/>
              <w:jc w:val="right"/>
              <w:rPr>
                <w:rFonts w:ascii="Arial" w:hAnsi="Arial" w:cs="Arial"/>
                <w:color w:val="000000"/>
                <w:sz w:val="20"/>
                <w:szCs w:val="20"/>
              </w:rPr>
            </w:pPr>
          </w:p>
        </w:tc>
        <w:tc>
          <w:tcPr>
            <w:tcW w:w="6000" w:type="dxa"/>
            <w:tcBorders>
              <w:top w:val="nil"/>
              <w:left w:val="nil"/>
              <w:bottom w:val="nil"/>
              <w:right w:val="nil"/>
            </w:tcBorders>
          </w:tcPr>
          <w:p w:rsidR="00F05335" w:rsidRDefault="00F05335" w:rsidP="00F05335">
            <w:pPr>
              <w:autoSpaceDE w:val="0"/>
              <w:autoSpaceDN w:val="0"/>
              <w:adjustRightInd w:val="0"/>
              <w:rPr>
                <w:b/>
                <w:bCs/>
                <w:color w:val="000000"/>
                <w:sz w:val="22"/>
                <w:szCs w:val="22"/>
              </w:rPr>
            </w:pPr>
            <w:r>
              <w:rPr>
                <w:b/>
                <w:bCs/>
                <w:color w:val="000000"/>
                <w:sz w:val="22"/>
                <w:szCs w:val="22"/>
              </w:rPr>
              <w:t>Explanation</w:t>
            </w:r>
          </w:p>
        </w:tc>
        <w:tc>
          <w:tcPr>
            <w:tcW w:w="1260" w:type="dxa"/>
            <w:gridSpan w:val="2"/>
            <w:tcBorders>
              <w:top w:val="nil"/>
              <w:left w:val="nil"/>
              <w:bottom w:val="nil"/>
              <w:right w:val="nil"/>
            </w:tcBorders>
          </w:tcPr>
          <w:p w:rsidR="00F05335" w:rsidRDefault="00F05335" w:rsidP="00F05335">
            <w:pPr>
              <w:autoSpaceDE w:val="0"/>
              <w:autoSpaceDN w:val="0"/>
              <w:adjustRightInd w:val="0"/>
              <w:jc w:val="center"/>
              <w:rPr>
                <w:b/>
                <w:bCs/>
                <w:color w:val="000000"/>
                <w:sz w:val="22"/>
                <w:szCs w:val="22"/>
              </w:rPr>
            </w:pPr>
          </w:p>
        </w:tc>
        <w:tc>
          <w:tcPr>
            <w:tcW w:w="1618" w:type="dxa"/>
            <w:tcBorders>
              <w:top w:val="nil"/>
              <w:left w:val="nil"/>
              <w:bottom w:val="nil"/>
              <w:right w:val="nil"/>
            </w:tcBorders>
          </w:tcPr>
          <w:p w:rsidR="00F05335" w:rsidRDefault="00F05335" w:rsidP="00F05335">
            <w:pPr>
              <w:autoSpaceDE w:val="0"/>
              <w:autoSpaceDN w:val="0"/>
              <w:adjustRightInd w:val="0"/>
              <w:jc w:val="center"/>
              <w:rPr>
                <w:b/>
                <w:bCs/>
                <w:color w:val="000000"/>
                <w:sz w:val="22"/>
                <w:szCs w:val="22"/>
              </w:rPr>
            </w:pPr>
            <w:r>
              <w:rPr>
                <w:b/>
                <w:bCs/>
                <w:color w:val="000000"/>
                <w:sz w:val="22"/>
                <w:szCs w:val="22"/>
              </w:rPr>
              <w:t>Wastewater</w:t>
            </w:r>
          </w:p>
        </w:tc>
        <w:tc>
          <w:tcPr>
            <w:tcW w:w="368" w:type="dxa"/>
            <w:tcBorders>
              <w:top w:val="nil"/>
              <w:left w:val="nil"/>
              <w:bottom w:val="nil"/>
              <w:right w:val="single" w:sz="6" w:space="0" w:color="auto"/>
            </w:tcBorders>
          </w:tcPr>
          <w:p w:rsidR="00F05335" w:rsidRDefault="00F05335" w:rsidP="00F05335">
            <w:pPr>
              <w:autoSpaceDE w:val="0"/>
              <w:autoSpaceDN w:val="0"/>
              <w:adjustRightInd w:val="0"/>
              <w:jc w:val="center"/>
              <w:rPr>
                <w:rFonts w:ascii="Arial" w:hAnsi="Arial" w:cs="Arial"/>
                <w:color w:val="000000"/>
                <w:sz w:val="20"/>
                <w:szCs w:val="20"/>
              </w:rPr>
            </w:pPr>
          </w:p>
        </w:tc>
      </w:tr>
      <w:tr w:rsidR="00F05335" w:rsidTr="00F05335">
        <w:trPr>
          <w:trHeight w:val="204"/>
        </w:trPr>
        <w:tc>
          <w:tcPr>
            <w:tcW w:w="510" w:type="dxa"/>
            <w:tcBorders>
              <w:top w:val="nil"/>
              <w:left w:val="single" w:sz="6" w:space="0" w:color="auto"/>
              <w:bottom w:val="nil"/>
              <w:right w:val="nil"/>
            </w:tcBorders>
          </w:tcPr>
          <w:p w:rsidR="00F05335" w:rsidRDefault="00F05335" w:rsidP="00F05335">
            <w:pPr>
              <w:autoSpaceDE w:val="0"/>
              <w:autoSpaceDN w:val="0"/>
              <w:adjustRightInd w:val="0"/>
              <w:jc w:val="right"/>
              <w:rPr>
                <w:rFonts w:ascii="Arial" w:hAnsi="Arial" w:cs="Arial"/>
                <w:color w:val="000000"/>
                <w:sz w:val="20"/>
                <w:szCs w:val="20"/>
              </w:rPr>
            </w:pPr>
          </w:p>
        </w:tc>
        <w:tc>
          <w:tcPr>
            <w:tcW w:w="6000" w:type="dxa"/>
            <w:tcBorders>
              <w:top w:val="nil"/>
              <w:left w:val="nil"/>
              <w:bottom w:val="nil"/>
              <w:right w:val="nil"/>
            </w:tcBorders>
          </w:tcPr>
          <w:p w:rsidR="00F05335" w:rsidRDefault="00F05335" w:rsidP="00F05335">
            <w:pPr>
              <w:autoSpaceDE w:val="0"/>
              <w:autoSpaceDN w:val="0"/>
              <w:adjustRightInd w:val="0"/>
              <w:jc w:val="right"/>
              <w:rPr>
                <w:rFonts w:ascii="Arial" w:hAnsi="Arial" w:cs="Arial"/>
                <w:color w:val="000000"/>
                <w:sz w:val="20"/>
                <w:szCs w:val="20"/>
              </w:rPr>
            </w:pPr>
          </w:p>
        </w:tc>
        <w:tc>
          <w:tcPr>
            <w:tcW w:w="1260" w:type="dxa"/>
            <w:gridSpan w:val="2"/>
            <w:tcBorders>
              <w:top w:val="nil"/>
              <w:left w:val="nil"/>
              <w:bottom w:val="nil"/>
              <w:right w:val="nil"/>
            </w:tcBorders>
          </w:tcPr>
          <w:p w:rsidR="00F05335" w:rsidRDefault="00F05335" w:rsidP="00F05335">
            <w:pPr>
              <w:autoSpaceDE w:val="0"/>
              <w:autoSpaceDN w:val="0"/>
              <w:adjustRightInd w:val="0"/>
              <w:jc w:val="center"/>
              <w:rPr>
                <w:rFonts w:ascii="Arial" w:hAnsi="Arial" w:cs="Arial"/>
                <w:color w:val="000000"/>
                <w:sz w:val="20"/>
                <w:szCs w:val="20"/>
              </w:rPr>
            </w:pPr>
          </w:p>
        </w:tc>
        <w:tc>
          <w:tcPr>
            <w:tcW w:w="1618" w:type="dxa"/>
            <w:tcBorders>
              <w:top w:val="nil"/>
              <w:left w:val="nil"/>
              <w:bottom w:val="nil"/>
              <w:right w:val="nil"/>
            </w:tcBorders>
          </w:tcPr>
          <w:p w:rsidR="00F05335" w:rsidRDefault="00F05335" w:rsidP="00F05335">
            <w:pPr>
              <w:autoSpaceDE w:val="0"/>
              <w:autoSpaceDN w:val="0"/>
              <w:adjustRightInd w:val="0"/>
              <w:jc w:val="center"/>
              <w:rPr>
                <w:rFonts w:ascii="Arial" w:hAnsi="Arial" w:cs="Arial"/>
                <w:color w:val="000000"/>
                <w:sz w:val="20"/>
                <w:szCs w:val="20"/>
              </w:rPr>
            </w:pPr>
          </w:p>
        </w:tc>
        <w:tc>
          <w:tcPr>
            <w:tcW w:w="368" w:type="dxa"/>
            <w:tcBorders>
              <w:top w:val="nil"/>
              <w:left w:val="nil"/>
              <w:bottom w:val="nil"/>
              <w:right w:val="single" w:sz="6" w:space="0" w:color="auto"/>
            </w:tcBorders>
          </w:tcPr>
          <w:p w:rsidR="00F05335" w:rsidRDefault="00F05335" w:rsidP="00F05335">
            <w:pPr>
              <w:autoSpaceDE w:val="0"/>
              <w:autoSpaceDN w:val="0"/>
              <w:adjustRightInd w:val="0"/>
              <w:jc w:val="right"/>
              <w:rPr>
                <w:rFonts w:ascii="Arial" w:hAnsi="Arial" w:cs="Arial"/>
                <w:color w:val="000000"/>
                <w:sz w:val="20"/>
                <w:szCs w:val="20"/>
              </w:rPr>
            </w:pPr>
          </w:p>
        </w:tc>
      </w:tr>
      <w:tr w:rsidR="00F05335" w:rsidTr="00F05335">
        <w:trPr>
          <w:trHeight w:val="204"/>
        </w:trPr>
        <w:tc>
          <w:tcPr>
            <w:tcW w:w="510" w:type="dxa"/>
            <w:tcBorders>
              <w:top w:val="single" w:sz="6" w:space="0" w:color="000000"/>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p>
        </w:tc>
        <w:tc>
          <w:tcPr>
            <w:tcW w:w="6000" w:type="dxa"/>
            <w:tcBorders>
              <w:top w:val="single" w:sz="6" w:space="0" w:color="000000"/>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1260" w:type="dxa"/>
            <w:gridSpan w:val="2"/>
            <w:tcBorders>
              <w:top w:val="single" w:sz="6" w:space="0" w:color="000000"/>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1618" w:type="dxa"/>
            <w:tcBorders>
              <w:top w:val="single" w:sz="6" w:space="0" w:color="000000"/>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368" w:type="dxa"/>
            <w:tcBorders>
              <w:top w:val="single" w:sz="6" w:space="0" w:color="000000"/>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p>
        </w:tc>
        <w:tc>
          <w:tcPr>
            <w:tcW w:w="6000" w:type="dxa"/>
            <w:tcBorders>
              <w:top w:val="nil"/>
              <w:left w:val="nil"/>
              <w:bottom w:val="nil"/>
              <w:right w:val="nil"/>
            </w:tcBorders>
            <w:shd w:val="solid" w:color="FFFFFF" w:fill="auto"/>
          </w:tcPr>
          <w:p w:rsidR="00F05335" w:rsidRDefault="00F05335" w:rsidP="00F05335">
            <w:pPr>
              <w:autoSpaceDE w:val="0"/>
              <w:autoSpaceDN w:val="0"/>
              <w:adjustRightInd w:val="0"/>
              <w:rPr>
                <w:b/>
                <w:bCs/>
                <w:color w:val="000000"/>
                <w:sz w:val="22"/>
                <w:szCs w:val="22"/>
              </w:rPr>
            </w:pPr>
            <w:r>
              <w:rPr>
                <w:b/>
                <w:bCs/>
                <w:color w:val="000000"/>
                <w:sz w:val="22"/>
                <w:szCs w:val="22"/>
              </w:rPr>
              <w:t>Operating Revenues</w:t>
            </w:r>
          </w:p>
        </w:tc>
        <w:tc>
          <w:tcPr>
            <w:tcW w:w="1260" w:type="dxa"/>
            <w:gridSpan w:val="2"/>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r>
              <w:rPr>
                <w:color w:val="000000"/>
                <w:sz w:val="22"/>
                <w:szCs w:val="22"/>
              </w:rPr>
              <w:t>1</w:t>
            </w:r>
          </w:p>
        </w:tc>
        <w:tc>
          <w:tcPr>
            <w:tcW w:w="6000" w:type="dxa"/>
            <w:tcBorders>
              <w:top w:val="nil"/>
              <w:left w:val="nil"/>
              <w:bottom w:val="nil"/>
              <w:right w:val="nil"/>
            </w:tcBorders>
            <w:shd w:val="solid" w:color="FFFFFF" w:fill="auto"/>
          </w:tcPr>
          <w:p w:rsidR="00F05335" w:rsidRDefault="00F05335" w:rsidP="00F05335">
            <w:pPr>
              <w:autoSpaceDE w:val="0"/>
              <w:autoSpaceDN w:val="0"/>
              <w:adjustRightInd w:val="0"/>
              <w:rPr>
                <w:color w:val="000000"/>
                <w:sz w:val="22"/>
                <w:szCs w:val="22"/>
              </w:rPr>
            </w:pPr>
            <w:r>
              <w:rPr>
                <w:color w:val="000000"/>
                <w:sz w:val="22"/>
                <w:szCs w:val="22"/>
              </w:rPr>
              <w:t>To remove requested interim revenue increase.</w:t>
            </w:r>
          </w:p>
        </w:tc>
        <w:tc>
          <w:tcPr>
            <w:tcW w:w="1260" w:type="dxa"/>
            <w:gridSpan w:val="2"/>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r>
              <w:rPr>
                <w:color w:val="000000"/>
                <w:sz w:val="22"/>
                <w:szCs w:val="22"/>
              </w:rPr>
              <w:t>($146,041)</w:t>
            </w: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r>
              <w:rPr>
                <w:color w:val="000000"/>
                <w:sz w:val="22"/>
                <w:szCs w:val="22"/>
              </w:rPr>
              <w:t>2</w:t>
            </w:r>
          </w:p>
        </w:tc>
        <w:tc>
          <w:tcPr>
            <w:tcW w:w="7260" w:type="dxa"/>
            <w:gridSpan w:val="3"/>
            <w:tcBorders>
              <w:top w:val="nil"/>
              <w:left w:val="nil"/>
              <w:bottom w:val="nil"/>
              <w:right w:val="nil"/>
            </w:tcBorders>
            <w:shd w:val="solid" w:color="FFFFFF" w:fill="auto"/>
          </w:tcPr>
          <w:p w:rsidR="00F05335" w:rsidRDefault="00F05335" w:rsidP="00F05335">
            <w:pPr>
              <w:autoSpaceDE w:val="0"/>
              <w:autoSpaceDN w:val="0"/>
              <w:adjustRightInd w:val="0"/>
              <w:rPr>
                <w:color w:val="000000"/>
                <w:sz w:val="22"/>
                <w:szCs w:val="22"/>
              </w:rPr>
            </w:pPr>
            <w:r>
              <w:rPr>
                <w:color w:val="000000"/>
                <w:sz w:val="22"/>
                <w:szCs w:val="22"/>
              </w:rPr>
              <w:t>To reflect the appropriate amount of annualized revenues.</w:t>
            </w: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u w:val="single"/>
              </w:rPr>
            </w:pPr>
            <w:r>
              <w:rPr>
                <w:color w:val="000000"/>
                <w:sz w:val="22"/>
                <w:szCs w:val="22"/>
                <w:u w:val="single"/>
              </w:rPr>
              <w:t xml:space="preserve">7,748 </w:t>
            </w: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F05335" w:rsidRDefault="00F05335" w:rsidP="00F05335">
            <w:pPr>
              <w:autoSpaceDE w:val="0"/>
              <w:autoSpaceDN w:val="0"/>
              <w:adjustRightInd w:val="0"/>
              <w:rPr>
                <w:b/>
                <w:bCs/>
                <w:color w:val="000000"/>
                <w:sz w:val="22"/>
                <w:szCs w:val="22"/>
              </w:rPr>
            </w:pPr>
            <w:r>
              <w:rPr>
                <w:b/>
                <w:bCs/>
                <w:color w:val="000000"/>
                <w:sz w:val="22"/>
                <w:szCs w:val="22"/>
              </w:rPr>
              <w:t xml:space="preserve">    Total</w:t>
            </w:r>
          </w:p>
        </w:tc>
        <w:tc>
          <w:tcPr>
            <w:tcW w:w="923"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u w:val="double"/>
              </w:rPr>
            </w:pP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u w:val="double"/>
              </w:rPr>
            </w:pPr>
            <w:r>
              <w:rPr>
                <w:color w:val="000000"/>
                <w:sz w:val="22"/>
                <w:szCs w:val="22"/>
                <w:u w:val="double"/>
              </w:rPr>
              <w:t>($138,293)</w:t>
            </w: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923"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u w:val="single"/>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F05335" w:rsidRDefault="00F05335" w:rsidP="00F05335">
            <w:pPr>
              <w:autoSpaceDE w:val="0"/>
              <w:autoSpaceDN w:val="0"/>
              <w:adjustRightInd w:val="0"/>
              <w:rPr>
                <w:b/>
                <w:bCs/>
                <w:color w:val="000000"/>
                <w:sz w:val="22"/>
                <w:szCs w:val="22"/>
              </w:rPr>
            </w:pPr>
            <w:r>
              <w:rPr>
                <w:b/>
                <w:bCs/>
                <w:color w:val="000000"/>
                <w:sz w:val="22"/>
                <w:szCs w:val="22"/>
              </w:rPr>
              <w:t>Operation and Maintenance Expense</w:t>
            </w:r>
          </w:p>
        </w:tc>
        <w:tc>
          <w:tcPr>
            <w:tcW w:w="923"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u w:val="double"/>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r>
              <w:rPr>
                <w:color w:val="000000"/>
                <w:sz w:val="22"/>
                <w:szCs w:val="22"/>
              </w:rPr>
              <w:t>1</w:t>
            </w:r>
          </w:p>
        </w:tc>
        <w:tc>
          <w:tcPr>
            <w:tcW w:w="6337" w:type="dxa"/>
            <w:gridSpan w:val="2"/>
            <w:tcBorders>
              <w:top w:val="nil"/>
              <w:left w:val="nil"/>
              <w:bottom w:val="nil"/>
              <w:right w:val="nil"/>
            </w:tcBorders>
            <w:shd w:val="solid" w:color="FFFFFF" w:fill="auto"/>
          </w:tcPr>
          <w:p w:rsidR="00F05335" w:rsidRDefault="00F05335" w:rsidP="00F05335">
            <w:pPr>
              <w:autoSpaceDE w:val="0"/>
              <w:autoSpaceDN w:val="0"/>
              <w:adjustRightInd w:val="0"/>
              <w:rPr>
                <w:color w:val="000000"/>
                <w:sz w:val="22"/>
                <w:szCs w:val="22"/>
              </w:rPr>
            </w:pPr>
            <w:r>
              <w:rPr>
                <w:color w:val="000000"/>
                <w:sz w:val="22"/>
                <w:szCs w:val="22"/>
              </w:rPr>
              <w:t>To remove salaries &amp; wages adjustment.</w:t>
            </w:r>
          </w:p>
        </w:tc>
        <w:tc>
          <w:tcPr>
            <w:tcW w:w="923"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r>
              <w:rPr>
                <w:color w:val="000000"/>
                <w:sz w:val="22"/>
                <w:szCs w:val="22"/>
              </w:rPr>
              <w:t>($18,879)</w:t>
            </w: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r>
              <w:rPr>
                <w:color w:val="000000"/>
                <w:sz w:val="22"/>
                <w:szCs w:val="22"/>
              </w:rPr>
              <w:t>2</w:t>
            </w:r>
          </w:p>
        </w:tc>
        <w:tc>
          <w:tcPr>
            <w:tcW w:w="7260" w:type="dxa"/>
            <w:gridSpan w:val="3"/>
            <w:tcBorders>
              <w:top w:val="nil"/>
              <w:left w:val="nil"/>
              <w:bottom w:val="nil"/>
              <w:right w:val="nil"/>
            </w:tcBorders>
            <w:shd w:val="solid" w:color="FFFFFF" w:fill="auto"/>
          </w:tcPr>
          <w:p w:rsidR="00F05335" w:rsidRDefault="00F05335" w:rsidP="00F05335">
            <w:pPr>
              <w:autoSpaceDE w:val="0"/>
              <w:autoSpaceDN w:val="0"/>
              <w:adjustRightInd w:val="0"/>
              <w:rPr>
                <w:color w:val="000000"/>
                <w:sz w:val="22"/>
                <w:szCs w:val="22"/>
              </w:rPr>
            </w:pPr>
            <w:r>
              <w:rPr>
                <w:color w:val="000000"/>
                <w:sz w:val="22"/>
                <w:szCs w:val="22"/>
              </w:rPr>
              <w:t>To remove employee pensions &amp; benefits adjustment.</w:t>
            </w: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r>
              <w:rPr>
                <w:color w:val="000000"/>
                <w:sz w:val="22"/>
                <w:szCs w:val="22"/>
              </w:rPr>
              <w:t>(4,531)</w:t>
            </w: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r>
              <w:rPr>
                <w:color w:val="000000"/>
                <w:sz w:val="22"/>
                <w:szCs w:val="22"/>
              </w:rPr>
              <w:t>3</w:t>
            </w:r>
          </w:p>
        </w:tc>
        <w:tc>
          <w:tcPr>
            <w:tcW w:w="7260" w:type="dxa"/>
            <w:gridSpan w:val="3"/>
            <w:tcBorders>
              <w:top w:val="nil"/>
              <w:left w:val="nil"/>
              <w:bottom w:val="nil"/>
              <w:right w:val="nil"/>
            </w:tcBorders>
            <w:shd w:val="solid" w:color="FFFFFF" w:fill="auto"/>
          </w:tcPr>
          <w:p w:rsidR="00F05335" w:rsidRDefault="00F05335" w:rsidP="00F05335">
            <w:pPr>
              <w:autoSpaceDE w:val="0"/>
              <w:autoSpaceDN w:val="0"/>
              <w:adjustRightInd w:val="0"/>
              <w:rPr>
                <w:color w:val="000000"/>
                <w:sz w:val="22"/>
                <w:szCs w:val="22"/>
              </w:rPr>
            </w:pPr>
            <w:r>
              <w:rPr>
                <w:color w:val="000000"/>
                <w:sz w:val="22"/>
                <w:szCs w:val="22"/>
              </w:rPr>
              <w:t>To remove insurance - workman's comp adjustment.</w:t>
            </w: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u w:val="single"/>
              </w:rPr>
            </w:pPr>
            <w:r>
              <w:rPr>
                <w:color w:val="000000"/>
                <w:sz w:val="22"/>
                <w:szCs w:val="22"/>
                <w:u w:val="single"/>
              </w:rPr>
              <w:t>(831)</w:t>
            </w: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F05335" w:rsidRDefault="00F05335" w:rsidP="00F05335">
            <w:pPr>
              <w:autoSpaceDE w:val="0"/>
              <w:autoSpaceDN w:val="0"/>
              <w:adjustRightInd w:val="0"/>
              <w:rPr>
                <w:b/>
                <w:bCs/>
                <w:color w:val="000000"/>
                <w:sz w:val="22"/>
                <w:szCs w:val="22"/>
              </w:rPr>
            </w:pPr>
            <w:r>
              <w:rPr>
                <w:b/>
                <w:bCs/>
                <w:color w:val="000000"/>
                <w:sz w:val="22"/>
                <w:szCs w:val="22"/>
              </w:rPr>
              <w:t xml:space="preserve">    Total</w:t>
            </w:r>
          </w:p>
        </w:tc>
        <w:tc>
          <w:tcPr>
            <w:tcW w:w="923"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u w:val="double"/>
              </w:rPr>
            </w:pP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u w:val="double"/>
              </w:rPr>
            </w:pPr>
            <w:r>
              <w:rPr>
                <w:color w:val="000000"/>
                <w:sz w:val="22"/>
                <w:szCs w:val="22"/>
                <w:u w:val="double"/>
              </w:rPr>
              <w:t>($24,241)</w:t>
            </w: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923"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F05335" w:rsidRDefault="00F05335" w:rsidP="00F05335">
            <w:pPr>
              <w:autoSpaceDE w:val="0"/>
              <w:autoSpaceDN w:val="0"/>
              <w:adjustRightInd w:val="0"/>
              <w:rPr>
                <w:b/>
                <w:bCs/>
                <w:color w:val="000000"/>
                <w:sz w:val="22"/>
                <w:szCs w:val="22"/>
              </w:rPr>
            </w:pPr>
            <w:r>
              <w:rPr>
                <w:b/>
                <w:bCs/>
                <w:color w:val="000000"/>
                <w:sz w:val="22"/>
                <w:szCs w:val="22"/>
              </w:rPr>
              <w:t>Depreciation Expense - Net</w:t>
            </w:r>
          </w:p>
        </w:tc>
        <w:tc>
          <w:tcPr>
            <w:tcW w:w="923"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p>
        </w:tc>
        <w:tc>
          <w:tcPr>
            <w:tcW w:w="7260" w:type="dxa"/>
            <w:gridSpan w:val="3"/>
            <w:tcBorders>
              <w:top w:val="nil"/>
              <w:left w:val="nil"/>
              <w:bottom w:val="nil"/>
              <w:right w:val="nil"/>
            </w:tcBorders>
            <w:shd w:val="solid" w:color="FFFFFF" w:fill="auto"/>
          </w:tcPr>
          <w:p w:rsidR="00F05335" w:rsidRDefault="00F05335" w:rsidP="00F05335">
            <w:pPr>
              <w:autoSpaceDE w:val="0"/>
              <w:autoSpaceDN w:val="0"/>
              <w:adjustRightInd w:val="0"/>
              <w:rPr>
                <w:color w:val="000000"/>
                <w:sz w:val="22"/>
                <w:szCs w:val="22"/>
              </w:rPr>
            </w:pPr>
            <w:r>
              <w:rPr>
                <w:color w:val="000000"/>
                <w:sz w:val="22"/>
                <w:szCs w:val="22"/>
              </w:rPr>
              <w:t>To remove depreciation expense on non U&amp;U adjustment.</w:t>
            </w: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u w:val="double"/>
              </w:rPr>
            </w:pPr>
            <w:r>
              <w:rPr>
                <w:color w:val="000000"/>
                <w:sz w:val="22"/>
                <w:szCs w:val="22"/>
                <w:u w:val="double"/>
              </w:rPr>
              <w:t>($12,315)</w:t>
            </w: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923"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u w:val="single"/>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F05335" w:rsidRDefault="00F05335" w:rsidP="00F05335">
            <w:pPr>
              <w:autoSpaceDE w:val="0"/>
              <w:autoSpaceDN w:val="0"/>
              <w:adjustRightInd w:val="0"/>
              <w:rPr>
                <w:b/>
                <w:bCs/>
                <w:color w:val="000000"/>
                <w:sz w:val="22"/>
                <w:szCs w:val="22"/>
              </w:rPr>
            </w:pPr>
            <w:r>
              <w:rPr>
                <w:b/>
                <w:bCs/>
                <w:color w:val="000000"/>
                <w:sz w:val="22"/>
                <w:szCs w:val="22"/>
              </w:rPr>
              <w:t>Taxes Other Than Income</w:t>
            </w:r>
          </w:p>
        </w:tc>
        <w:tc>
          <w:tcPr>
            <w:tcW w:w="923"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rPr>
            </w:pPr>
          </w:p>
        </w:tc>
      </w:tr>
      <w:tr w:rsidR="00F05335" w:rsidTr="00F05335">
        <w:trPr>
          <w:trHeight w:val="204"/>
        </w:trPr>
        <w:tc>
          <w:tcPr>
            <w:tcW w:w="510" w:type="dxa"/>
            <w:tcBorders>
              <w:top w:val="nil"/>
              <w:left w:val="single" w:sz="6" w:space="0" w:color="auto"/>
              <w:bottom w:val="nil"/>
              <w:right w:val="nil"/>
            </w:tcBorders>
            <w:shd w:val="solid" w:color="FFFFFF" w:fill="auto"/>
          </w:tcPr>
          <w:p w:rsidR="00F05335" w:rsidRDefault="00F05335" w:rsidP="00F05335">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F05335" w:rsidRDefault="00F05335" w:rsidP="00F05335">
            <w:pPr>
              <w:autoSpaceDE w:val="0"/>
              <w:autoSpaceDN w:val="0"/>
              <w:adjustRightInd w:val="0"/>
              <w:rPr>
                <w:color w:val="000000"/>
                <w:sz w:val="22"/>
                <w:szCs w:val="22"/>
              </w:rPr>
            </w:pPr>
            <w:r>
              <w:rPr>
                <w:color w:val="000000"/>
                <w:sz w:val="22"/>
                <w:szCs w:val="22"/>
              </w:rPr>
              <w:t>To remove RAFs on revenue increase.</w:t>
            </w:r>
          </w:p>
        </w:tc>
        <w:tc>
          <w:tcPr>
            <w:tcW w:w="923"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F05335" w:rsidRDefault="00F05335" w:rsidP="00F05335">
            <w:pPr>
              <w:autoSpaceDE w:val="0"/>
              <w:autoSpaceDN w:val="0"/>
              <w:adjustRightInd w:val="0"/>
              <w:jc w:val="right"/>
              <w:rPr>
                <w:color w:val="000000"/>
                <w:sz w:val="22"/>
                <w:szCs w:val="22"/>
                <w:u w:val="double"/>
              </w:rPr>
            </w:pPr>
            <w:r>
              <w:rPr>
                <w:color w:val="000000"/>
                <w:sz w:val="22"/>
                <w:szCs w:val="22"/>
                <w:u w:val="double"/>
              </w:rPr>
              <w:t>($6,223)</w:t>
            </w:r>
          </w:p>
        </w:tc>
        <w:tc>
          <w:tcPr>
            <w:tcW w:w="368" w:type="dxa"/>
            <w:tcBorders>
              <w:top w:val="nil"/>
              <w:left w:val="nil"/>
              <w:bottom w:val="nil"/>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rPr>
            </w:pPr>
          </w:p>
        </w:tc>
      </w:tr>
      <w:tr w:rsidR="00F05335" w:rsidTr="00F05335">
        <w:trPr>
          <w:trHeight w:val="204"/>
        </w:trPr>
        <w:tc>
          <w:tcPr>
            <w:tcW w:w="510" w:type="dxa"/>
            <w:tcBorders>
              <w:top w:val="nil"/>
              <w:left w:val="single" w:sz="6" w:space="0" w:color="auto"/>
              <w:bottom w:val="single" w:sz="6" w:space="0" w:color="auto"/>
              <w:right w:val="nil"/>
            </w:tcBorders>
            <w:shd w:val="solid" w:color="FFFFFF" w:fill="auto"/>
          </w:tcPr>
          <w:p w:rsidR="00F05335" w:rsidRDefault="00F05335" w:rsidP="00F05335">
            <w:pPr>
              <w:autoSpaceDE w:val="0"/>
              <w:autoSpaceDN w:val="0"/>
              <w:adjustRightInd w:val="0"/>
              <w:jc w:val="center"/>
              <w:rPr>
                <w:color w:val="000000"/>
                <w:sz w:val="22"/>
                <w:szCs w:val="22"/>
              </w:rPr>
            </w:pPr>
          </w:p>
        </w:tc>
        <w:tc>
          <w:tcPr>
            <w:tcW w:w="6337" w:type="dxa"/>
            <w:gridSpan w:val="2"/>
            <w:tcBorders>
              <w:top w:val="nil"/>
              <w:left w:val="nil"/>
              <w:bottom w:val="single" w:sz="6" w:space="0" w:color="auto"/>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923" w:type="dxa"/>
            <w:tcBorders>
              <w:top w:val="nil"/>
              <w:left w:val="nil"/>
              <w:bottom w:val="single" w:sz="6" w:space="0" w:color="auto"/>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1618" w:type="dxa"/>
            <w:tcBorders>
              <w:top w:val="nil"/>
              <w:left w:val="nil"/>
              <w:bottom w:val="single" w:sz="6" w:space="0" w:color="auto"/>
              <w:right w:val="nil"/>
            </w:tcBorders>
            <w:shd w:val="solid" w:color="FFFFFF" w:fill="auto"/>
          </w:tcPr>
          <w:p w:rsidR="00F05335" w:rsidRDefault="00F05335" w:rsidP="00F05335">
            <w:pPr>
              <w:autoSpaceDE w:val="0"/>
              <w:autoSpaceDN w:val="0"/>
              <w:adjustRightInd w:val="0"/>
              <w:jc w:val="right"/>
              <w:rPr>
                <w:color w:val="000000"/>
                <w:sz w:val="22"/>
                <w:szCs w:val="22"/>
              </w:rPr>
            </w:pPr>
          </w:p>
        </w:tc>
        <w:tc>
          <w:tcPr>
            <w:tcW w:w="368" w:type="dxa"/>
            <w:tcBorders>
              <w:top w:val="nil"/>
              <w:left w:val="nil"/>
              <w:bottom w:val="single" w:sz="6" w:space="0" w:color="auto"/>
              <w:right w:val="single" w:sz="6" w:space="0" w:color="auto"/>
            </w:tcBorders>
            <w:shd w:val="solid" w:color="FFFFFF" w:fill="auto"/>
          </w:tcPr>
          <w:p w:rsidR="00F05335" w:rsidRDefault="00F05335" w:rsidP="00F05335">
            <w:pPr>
              <w:autoSpaceDE w:val="0"/>
              <w:autoSpaceDN w:val="0"/>
              <w:adjustRightInd w:val="0"/>
              <w:jc w:val="right"/>
              <w:rPr>
                <w:color w:val="000000"/>
                <w:sz w:val="22"/>
                <w:szCs w:val="22"/>
              </w:rPr>
            </w:pPr>
          </w:p>
        </w:tc>
      </w:tr>
    </w:tbl>
    <w:p w:rsidR="0055595D" w:rsidRDefault="0055595D" w:rsidP="00922944"/>
    <w:p w:rsidR="00922944" w:rsidRDefault="00922944" w:rsidP="00922944"/>
    <w:p w:rsidR="00E21F3B" w:rsidRDefault="00E21F3B" w:rsidP="00922944"/>
    <w:p w:rsidR="00E21F3B" w:rsidRDefault="00E21F3B" w:rsidP="00922944">
      <w:pPr>
        <w:sectPr w:rsidR="00E21F3B" w:rsidSect="00E52407">
          <w:headerReference w:type="first" r:id="rId14"/>
          <w:pgSz w:w="12240" w:h="15840" w:code="1"/>
          <w:pgMar w:top="1440" w:right="1440" w:bottom="1440" w:left="1440" w:header="720" w:footer="720" w:gutter="0"/>
          <w:cols w:space="720"/>
          <w:titlePg/>
          <w:docGrid w:linePitch="360"/>
        </w:sectPr>
      </w:pPr>
    </w:p>
    <w:tbl>
      <w:tblPr>
        <w:tblW w:w="11557" w:type="dxa"/>
        <w:jc w:val="center"/>
        <w:tblInd w:w="353" w:type="dxa"/>
        <w:tblLook w:val="04A0" w:firstRow="1" w:lastRow="0" w:firstColumn="1" w:lastColumn="0" w:noHBand="0" w:noVBand="1"/>
      </w:tblPr>
      <w:tblGrid>
        <w:gridCol w:w="5013"/>
        <w:gridCol w:w="1205"/>
        <w:gridCol w:w="1595"/>
        <w:gridCol w:w="1872"/>
        <w:gridCol w:w="1872"/>
      </w:tblGrid>
      <w:tr w:rsidR="00E21F3B" w:rsidRPr="00697F65" w:rsidTr="00BD7524">
        <w:trPr>
          <w:trHeight w:val="60"/>
          <w:jc w:val="center"/>
        </w:trPr>
        <w:tc>
          <w:tcPr>
            <w:tcW w:w="5013" w:type="dxa"/>
            <w:tcBorders>
              <w:top w:val="single" w:sz="8" w:space="0" w:color="000000"/>
              <w:left w:val="single" w:sz="8" w:space="0" w:color="000000"/>
              <w:bottom w:val="nil"/>
              <w:right w:val="nil"/>
            </w:tcBorders>
            <w:shd w:val="clear" w:color="auto" w:fill="auto"/>
            <w:noWrap/>
            <w:vAlign w:val="center"/>
            <w:hideMark/>
          </w:tcPr>
          <w:p w:rsidR="00E21F3B" w:rsidRPr="00697F65" w:rsidRDefault="00E21F3B" w:rsidP="00BD7524">
            <w:pPr>
              <w:rPr>
                <w:b/>
                <w:bCs/>
                <w:color w:val="000000"/>
                <w:sz w:val="20"/>
                <w:szCs w:val="20"/>
              </w:rPr>
            </w:pPr>
            <w:r w:rsidRPr="00697F65">
              <w:rPr>
                <w:b/>
                <w:bCs/>
                <w:color w:val="000000"/>
                <w:sz w:val="20"/>
                <w:szCs w:val="20"/>
              </w:rPr>
              <w:lastRenderedPageBreak/>
              <w:t>KWRU</w:t>
            </w:r>
          </w:p>
        </w:tc>
        <w:tc>
          <w:tcPr>
            <w:tcW w:w="1205" w:type="dxa"/>
            <w:tcBorders>
              <w:top w:val="single" w:sz="8" w:space="0" w:color="000000"/>
              <w:left w:val="nil"/>
              <w:bottom w:val="nil"/>
              <w:right w:val="nil"/>
            </w:tcBorders>
            <w:shd w:val="clear" w:color="auto" w:fill="auto"/>
            <w:noWrap/>
            <w:vAlign w:val="center"/>
            <w:hideMark/>
          </w:tcPr>
          <w:p w:rsidR="00E21F3B" w:rsidRPr="00697F65" w:rsidRDefault="00E21F3B" w:rsidP="00BD7524">
            <w:pPr>
              <w:rPr>
                <w:b/>
                <w:bCs/>
                <w:color w:val="000000"/>
                <w:sz w:val="20"/>
                <w:szCs w:val="20"/>
              </w:rPr>
            </w:pPr>
            <w:r w:rsidRPr="00697F65">
              <w:rPr>
                <w:b/>
                <w:bCs/>
                <w:color w:val="000000"/>
                <w:sz w:val="20"/>
                <w:szCs w:val="20"/>
              </w:rPr>
              <w:t> </w:t>
            </w:r>
          </w:p>
        </w:tc>
        <w:tc>
          <w:tcPr>
            <w:tcW w:w="1595" w:type="dxa"/>
            <w:tcBorders>
              <w:top w:val="single" w:sz="8" w:space="0" w:color="000000"/>
              <w:left w:val="nil"/>
              <w:bottom w:val="nil"/>
              <w:right w:val="nil"/>
            </w:tcBorders>
            <w:shd w:val="clear" w:color="auto" w:fill="auto"/>
            <w:noWrap/>
            <w:vAlign w:val="center"/>
            <w:hideMark/>
          </w:tcPr>
          <w:p w:rsidR="00E21F3B" w:rsidRPr="00697F65" w:rsidRDefault="00E21F3B" w:rsidP="00BD7524">
            <w:pPr>
              <w:rPr>
                <w:b/>
                <w:bCs/>
                <w:color w:val="000000"/>
                <w:sz w:val="20"/>
                <w:szCs w:val="20"/>
              </w:rPr>
            </w:pPr>
            <w:r w:rsidRPr="00697F65">
              <w:rPr>
                <w:b/>
                <w:bCs/>
                <w:color w:val="000000"/>
                <w:sz w:val="20"/>
                <w:szCs w:val="20"/>
              </w:rPr>
              <w:t> </w:t>
            </w:r>
          </w:p>
        </w:tc>
        <w:tc>
          <w:tcPr>
            <w:tcW w:w="3744" w:type="dxa"/>
            <w:gridSpan w:val="2"/>
            <w:tcBorders>
              <w:top w:val="single" w:sz="8" w:space="0" w:color="000000"/>
              <w:left w:val="nil"/>
              <w:bottom w:val="nil"/>
              <w:right w:val="single" w:sz="8" w:space="0" w:color="000000"/>
            </w:tcBorders>
            <w:shd w:val="clear" w:color="auto" w:fill="auto"/>
            <w:noWrap/>
            <w:vAlign w:val="center"/>
            <w:hideMark/>
          </w:tcPr>
          <w:p w:rsidR="00E21F3B" w:rsidRPr="00697F65" w:rsidRDefault="00E21F3B" w:rsidP="00BD7524">
            <w:pPr>
              <w:jc w:val="right"/>
              <w:rPr>
                <w:b/>
                <w:bCs/>
                <w:color w:val="000000"/>
                <w:sz w:val="20"/>
                <w:szCs w:val="20"/>
              </w:rPr>
            </w:pPr>
            <w:r w:rsidRPr="00697F65">
              <w:rPr>
                <w:b/>
                <w:bCs/>
                <w:color w:val="000000"/>
                <w:sz w:val="20"/>
                <w:szCs w:val="20"/>
              </w:rPr>
              <w:t>SCHEDULE NO. 4</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center"/>
            <w:hideMark/>
          </w:tcPr>
          <w:p w:rsidR="00E21F3B" w:rsidRPr="00697F65" w:rsidRDefault="00E21F3B" w:rsidP="00BD7524">
            <w:pPr>
              <w:rPr>
                <w:b/>
                <w:bCs/>
                <w:color w:val="000000"/>
                <w:sz w:val="20"/>
                <w:szCs w:val="20"/>
              </w:rPr>
            </w:pPr>
            <w:r w:rsidRPr="00697F65">
              <w:rPr>
                <w:b/>
                <w:bCs/>
                <w:color w:val="000000"/>
                <w:sz w:val="20"/>
                <w:szCs w:val="20"/>
              </w:rPr>
              <w:t>TEST YEAR ENDED JUNE 30, 2017</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5339" w:type="dxa"/>
            <w:gridSpan w:val="3"/>
            <w:tcBorders>
              <w:top w:val="nil"/>
              <w:left w:val="nil"/>
              <w:bottom w:val="nil"/>
              <w:right w:val="single" w:sz="8" w:space="0" w:color="000000"/>
            </w:tcBorders>
            <w:shd w:val="clear" w:color="auto" w:fill="auto"/>
            <w:noWrap/>
            <w:vAlign w:val="center"/>
            <w:hideMark/>
          </w:tcPr>
          <w:p w:rsidR="00E21F3B" w:rsidRPr="00697F65" w:rsidRDefault="00E21F3B" w:rsidP="00BD7524">
            <w:pPr>
              <w:jc w:val="right"/>
              <w:rPr>
                <w:b/>
                <w:bCs/>
                <w:color w:val="000000"/>
                <w:sz w:val="20"/>
                <w:szCs w:val="20"/>
              </w:rPr>
            </w:pPr>
            <w:r w:rsidRPr="00697F65">
              <w:rPr>
                <w:b/>
                <w:bCs/>
                <w:color w:val="000000"/>
                <w:sz w:val="20"/>
                <w:szCs w:val="20"/>
              </w:rPr>
              <w:t>DOCKET NO. 20170141-SU</w:t>
            </w:r>
          </w:p>
        </w:tc>
      </w:tr>
      <w:tr w:rsidR="00E21F3B" w:rsidRPr="00697F65" w:rsidTr="00BD7524">
        <w:trPr>
          <w:trHeight w:val="80"/>
          <w:jc w:val="center"/>
        </w:trPr>
        <w:tc>
          <w:tcPr>
            <w:tcW w:w="5013" w:type="dxa"/>
            <w:tcBorders>
              <w:top w:val="nil"/>
              <w:left w:val="single" w:sz="8" w:space="0" w:color="000000"/>
              <w:bottom w:val="single" w:sz="8" w:space="0" w:color="000000"/>
              <w:right w:val="nil"/>
            </w:tcBorders>
            <w:shd w:val="clear" w:color="auto" w:fill="auto"/>
            <w:noWrap/>
            <w:vAlign w:val="center"/>
            <w:hideMark/>
          </w:tcPr>
          <w:p w:rsidR="00E21F3B" w:rsidRPr="00697F65" w:rsidRDefault="00E21F3B" w:rsidP="00BD7524">
            <w:pPr>
              <w:rPr>
                <w:b/>
                <w:bCs/>
                <w:color w:val="000000"/>
                <w:sz w:val="20"/>
                <w:szCs w:val="20"/>
              </w:rPr>
            </w:pPr>
            <w:r w:rsidRPr="00697F65">
              <w:rPr>
                <w:b/>
                <w:bCs/>
                <w:color w:val="000000"/>
                <w:sz w:val="20"/>
                <w:szCs w:val="20"/>
              </w:rPr>
              <w:t>MONTHLY WASTEWATER RATES</w:t>
            </w:r>
          </w:p>
        </w:tc>
        <w:tc>
          <w:tcPr>
            <w:tcW w:w="1205" w:type="dxa"/>
            <w:tcBorders>
              <w:top w:val="nil"/>
              <w:left w:val="nil"/>
              <w:bottom w:val="single" w:sz="8" w:space="0" w:color="000000"/>
              <w:right w:val="nil"/>
            </w:tcBorders>
            <w:shd w:val="clear" w:color="auto" w:fill="auto"/>
            <w:noWrap/>
            <w:vAlign w:val="bottom"/>
            <w:hideMark/>
          </w:tcPr>
          <w:p w:rsidR="00E21F3B" w:rsidRPr="00697F65" w:rsidRDefault="00E21F3B" w:rsidP="00BD7524">
            <w:pPr>
              <w:rPr>
                <w:sz w:val="20"/>
                <w:szCs w:val="20"/>
              </w:rPr>
            </w:pPr>
            <w:r w:rsidRPr="00697F65">
              <w:rPr>
                <w:sz w:val="20"/>
                <w:szCs w:val="20"/>
              </w:rPr>
              <w:t> </w:t>
            </w:r>
          </w:p>
        </w:tc>
        <w:tc>
          <w:tcPr>
            <w:tcW w:w="1595" w:type="dxa"/>
            <w:tcBorders>
              <w:top w:val="nil"/>
              <w:left w:val="nil"/>
              <w:bottom w:val="single" w:sz="8" w:space="0" w:color="000000"/>
              <w:right w:val="nil"/>
            </w:tcBorders>
            <w:shd w:val="clear" w:color="auto" w:fill="auto"/>
            <w:noWrap/>
            <w:vAlign w:val="bottom"/>
            <w:hideMark/>
          </w:tcPr>
          <w:p w:rsidR="00E21F3B" w:rsidRPr="00697F65" w:rsidRDefault="00E21F3B" w:rsidP="00BD7524">
            <w:pPr>
              <w:rPr>
                <w:sz w:val="20"/>
                <w:szCs w:val="20"/>
              </w:rPr>
            </w:pPr>
            <w:r w:rsidRPr="00697F65">
              <w:rPr>
                <w:sz w:val="20"/>
                <w:szCs w:val="20"/>
              </w:rPr>
              <w:t> </w:t>
            </w:r>
          </w:p>
        </w:tc>
        <w:tc>
          <w:tcPr>
            <w:tcW w:w="1872" w:type="dxa"/>
            <w:tcBorders>
              <w:top w:val="nil"/>
              <w:left w:val="nil"/>
              <w:bottom w:val="single" w:sz="8" w:space="0" w:color="000000"/>
            </w:tcBorders>
            <w:shd w:val="clear" w:color="auto" w:fill="auto"/>
            <w:noWrap/>
            <w:vAlign w:val="center"/>
            <w:hideMark/>
          </w:tcPr>
          <w:p w:rsidR="00E21F3B" w:rsidRPr="00697F65" w:rsidRDefault="00E21F3B" w:rsidP="00BD7524">
            <w:pPr>
              <w:rPr>
                <w:b/>
                <w:bCs/>
                <w:sz w:val="20"/>
                <w:szCs w:val="20"/>
              </w:rPr>
            </w:pPr>
            <w:r w:rsidRPr="00697F65">
              <w:rPr>
                <w:b/>
                <w:bCs/>
                <w:sz w:val="20"/>
                <w:szCs w:val="20"/>
              </w:rPr>
              <w:t> </w:t>
            </w:r>
          </w:p>
        </w:tc>
        <w:tc>
          <w:tcPr>
            <w:tcW w:w="1872" w:type="dxa"/>
            <w:tcBorders>
              <w:top w:val="nil"/>
              <w:left w:val="nil"/>
              <w:bottom w:val="single" w:sz="8" w:space="0" w:color="000000"/>
              <w:right w:val="single" w:sz="8" w:space="0" w:color="000000"/>
            </w:tcBorders>
          </w:tcPr>
          <w:p w:rsidR="00E21F3B" w:rsidRPr="00697F65" w:rsidRDefault="00E21F3B" w:rsidP="00BD7524">
            <w:pPr>
              <w:rPr>
                <w:b/>
                <w:bCs/>
                <w:sz w:val="20"/>
                <w:szCs w:val="20"/>
              </w:rPr>
            </w:pPr>
          </w:p>
        </w:tc>
      </w:tr>
      <w:tr w:rsidR="00E21F3B" w:rsidRPr="00697F65" w:rsidTr="00BD7524">
        <w:trPr>
          <w:trHeight w:val="60"/>
          <w:jc w:val="center"/>
        </w:trPr>
        <w:tc>
          <w:tcPr>
            <w:tcW w:w="5013" w:type="dxa"/>
            <w:tcBorders>
              <w:top w:val="nil"/>
              <w:left w:val="single" w:sz="8" w:space="0" w:color="000000"/>
              <w:bottom w:val="nil"/>
              <w:right w:val="nil"/>
            </w:tcBorders>
            <w:shd w:val="clear" w:color="000000" w:fill="D9D9D9"/>
            <w:noWrap/>
            <w:vAlign w:val="center"/>
            <w:hideMark/>
          </w:tcPr>
          <w:p w:rsidR="00E21F3B" w:rsidRPr="00697F65" w:rsidRDefault="00E21F3B" w:rsidP="00BD7524">
            <w:pPr>
              <w:rPr>
                <w:b/>
                <w:bCs/>
                <w:sz w:val="20"/>
                <w:szCs w:val="20"/>
              </w:rPr>
            </w:pPr>
            <w:r w:rsidRPr="00697F65">
              <w:rPr>
                <w:b/>
                <w:bCs/>
                <w:sz w:val="20"/>
                <w:szCs w:val="20"/>
              </w:rPr>
              <w:t> </w:t>
            </w:r>
          </w:p>
        </w:tc>
        <w:tc>
          <w:tcPr>
            <w:tcW w:w="1205" w:type="dxa"/>
            <w:tcBorders>
              <w:top w:val="nil"/>
              <w:left w:val="nil"/>
              <w:bottom w:val="nil"/>
              <w:right w:val="nil"/>
            </w:tcBorders>
            <w:shd w:val="clear" w:color="000000" w:fill="D9D9D9"/>
            <w:noWrap/>
            <w:vAlign w:val="center"/>
            <w:hideMark/>
          </w:tcPr>
          <w:p w:rsidR="00E21F3B" w:rsidRPr="00697F65" w:rsidRDefault="00E21F3B" w:rsidP="00BD7524">
            <w:pPr>
              <w:jc w:val="center"/>
              <w:rPr>
                <w:b/>
                <w:bCs/>
                <w:color w:val="000000"/>
                <w:sz w:val="20"/>
                <w:szCs w:val="20"/>
              </w:rPr>
            </w:pPr>
            <w:r w:rsidRPr="00697F65">
              <w:rPr>
                <w:b/>
                <w:bCs/>
                <w:color w:val="000000"/>
                <w:sz w:val="20"/>
                <w:szCs w:val="20"/>
              </w:rPr>
              <w:t>UTILITY</w:t>
            </w:r>
          </w:p>
        </w:tc>
        <w:tc>
          <w:tcPr>
            <w:tcW w:w="1595" w:type="dxa"/>
            <w:tcBorders>
              <w:top w:val="nil"/>
              <w:left w:val="nil"/>
              <w:bottom w:val="nil"/>
              <w:right w:val="nil"/>
            </w:tcBorders>
            <w:shd w:val="clear" w:color="000000" w:fill="D9D9D9"/>
            <w:noWrap/>
            <w:vAlign w:val="center"/>
            <w:hideMark/>
          </w:tcPr>
          <w:p w:rsidR="00E21F3B" w:rsidRPr="00697F65" w:rsidRDefault="00E21F3B" w:rsidP="00BD7524">
            <w:pPr>
              <w:jc w:val="center"/>
              <w:rPr>
                <w:b/>
                <w:bCs/>
                <w:color w:val="000000"/>
                <w:sz w:val="20"/>
                <w:szCs w:val="20"/>
              </w:rPr>
            </w:pPr>
            <w:r w:rsidRPr="00697F65">
              <w:rPr>
                <w:b/>
                <w:bCs/>
                <w:color w:val="000000"/>
                <w:sz w:val="20"/>
                <w:szCs w:val="20"/>
              </w:rPr>
              <w:t>UTILITY REQUESTED</w:t>
            </w:r>
          </w:p>
        </w:tc>
        <w:tc>
          <w:tcPr>
            <w:tcW w:w="1872" w:type="dxa"/>
            <w:tcBorders>
              <w:top w:val="nil"/>
              <w:left w:val="nil"/>
              <w:bottom w:val="nil"/>
            </w:tcBorders>
            <w:shd w:val="clear" w:color="000000" w:fill="D9D9D9"/>
            <w:noWrap/>
            <w:vAlign w:val="center"/>
            <w:hideMark/>
          </w:tcPr>
          <w:p w:rsidR="00E21F3B" w:rsidRPr="00697F65" w:rsidRDefault="00A11DFD" w:rsidP="00BD7524">
            <w:pPr>
              <w:jc w:val="center"/>
              <w:rPr>
                <w:b/>
                <w:bCs/>
                <w:color w:val="000000"/>
                <w:sz w:val="20"/>
                <w:szCs w:val="20"/>
              </w:rPr>
            </w:pPr>
            <w:r>
              <w:rPr>
                <w:b/>
                <w:bCs/>
                <w:color w:val="000000"/>
                <w:sz w:val="20"/>
                <w:szCs w:val="20"/>
              </w:rPr>
              <w:t>COMMISSION APPROVED</w:t>
            </w:r>
          </w:p>
        </w:tc>
        <w:tc>
          <w:tcPr>
            <w:tcW w:w="1872" w:type="dxa"/>
            <w:tcBorders>
              <w:top w:val="nil"/>
              <w:left w:val="nil"/>
              <w:bottom w:val="nil"/>
              <w:right w:val="single" w:sz="8" w:space="0" w:color="000000"/>
            </w:tcBorders>
            <w:shd w:val="clear" w:color="000000" w:fill="D9D9D9"/>
            <w:vAlign w:val="center"/>
          </w:tcPr>
          <w:p w:rsidR="00E21F3B" w:rsidRPr="00697F65" w:rsidRDefault="00A11DFD" w:rsidP="00BD7524">
            <w:pPr>
              <w:jc w:val="center"/>
              <w:rPr>
                <w:b/>
                <w:bCs/>
                <w:color w:val="000000"/>
                <w:sz w:val="20"/>
                <w:szCs w:val="20"/>
              </w:rPr>
            </w:pPr>
            <w:r>
              <w:rPr>
                <w:b/>
                <w:bCs/>
                <w:color w:val="000000"/>
                <w:sz w:val="20"/>
                <w:szCs w:val="20"/>
              </w:rPr>
              <w:t>COMMISSION</w:t>
            </w:r>
          </w:p>
        </w:tc>
      </w:tr>
      <w:tr w:rsidR="00E21F3B" w:rsidRPr="00697F65" w:rsidTr="00BD7524">
        <w:trPr>
          <w:trHeight w:val="80"/>
          <w:jc w:val="center"/>
        </w:trPr>
        <w:tc>
          <w:tcPr>
            <w:tcW w:w="5013" w:type="dxa"/>
            <w:tcBorders>
              <w:top w:val="nil"/>
              <w:left w:val="single" w:sz="8" w:space="0" w:color="000000"/>
              <w:bottom w:val="nil"/>
              <w:right w:val="nil"/>
            </w:tcBorders>
            <w:shd w:val="clear" w:color="000000" w:fill="D9D9D9"/>
            <w:noWrap/>
            <w:vAlign w:val="bottom"/>
            <w:hideMark/>
          </w:tcPr>
          <w:p w:rsidR="00E21F3B" w:rsidRPr="00697F65" w:rsidRDefault="00E21F3B" w:rsidP="00BD7524">
            <w:pPr>
              <w:rPr>
                <w:sz w:val="20"/>
                <w:szCs w:val="20"/>
              </w:rPr>
            </w:pPr>
            <w:r w:rsidRPr="00697F65">
              <w:rPr>
                <w:sz w:val="20"/>
                <w:szCs w:val="20"/>
              </w:rPr>
              <w:t> </w:t>
            </w:r>
          </w:p>
        </w:tc>
        <w:tc>
          <w:tcPr>
            <w:tcW w:w="1205" w:type="dxa"/>
            <w:tcBorders>
              <w:top w:val="nil"/>
              <w:left w:val="nil"/>
              <w:bottom w:val="nil"/>
              <w:right w:val="nil"/>
            </w:tcBorders>
            <w:shd w:val="clear" w:color="000000" w:fill="D9D9D9"/>
            <w:noWrap/>
            <w:vAlign w:val="center"/>
            <w:hideMark/>
          </w:tcPr>
          <w:p w:rsidR="00E21F3B" w:rsidRPr="00697F65" w:rsidRDefault="00E21F3B" w:rsidP="00BD7524">
            <w:pPr>
              <w:jc w:val="center"/>
              <w:rPr>
                <w:b/>
                <w:bCs/>
                <w:color w:val="000000"/>
                <w:sz w:val="20"/>
                <w:szCs w:val="20"/>
              </w:rPr>
            </w:pPr>
            <w:r w:rsidRPr="00697F65">
              <w:rPr>
                <w:b/>
                <w:bCs/>
                <w:color w:val="000000"/>
                <w:sz w:val="20"/>
                <w:szCs w:val="20"/>
              </w:rPr>
              <w:t>CURRENT</w:t>
            </w:r>
          </w:p>
        </w:tc>
        <w:tc>
          <w:tcPr>
            <w:tcW w:w="1595" w:type="dxa"/>
            <w:tcBorders>
              <w:top w:val="nil"/>
              <w:left w:val="nil"/>
              <w:bottom w:val="nil"/>
              <w:right w:val="nil"/>
            </w:tcBorders>
            <w:shd w:val="clear" w:color="000000" w:fill="D9D9D9"/>
            <w:noWrap/>
            <w:vAlign w:val="center"/>
            <w:hideMark/>
          </w:tcPr>
          <w:p w:rsidR="00E21F3B" w:rsidRPr="00697F65" w:rsidRDefault="00E21F3B" w:rsidP="00BD7524">
            <w:pPr>
              <w:jc w:val="center"/>
              <w:rPr>
                <w:b/>
                <w:bCs/>
                <w:color w:val="000000"/>
                <w:sz w:val="20"/>
                <w:szCs w:val="20"/>
              </w:rPr>
            </w:pPr>
            <w:r w:rsidRPr="00697F65">
              <w:rPr>
                <w:b/>
                <w:bCs/>
                <w:color w:val="000000"/>
                <w:sz w:val="20"/>
                <w:szCs w:val="20"/>
              </w:rPr>
              <w:t>INTERIM</w:t>
            </w:r>
          </w:p>
        </w:tc>
        <w:tc>
          <w:tcPr>
            <w:tcW w:w="1872" w:type="dxa"/>
            <w:tcBorders>
              <w:top w:val="nil"/>
              <w:left w:val="nil"/>
              <w:bottom w:val="nil"/>
            </w:tcBorders>
            <w:shd w:val="clear" w:color="000000" w:fill="D9D9D9"/>
            <w:noWrap/>
            <w:vAlign w:val="center"/>
            <w:hideMark/>
          </w:tcPr>
          <w:p w:rsidR="00E21F3B" w:rsidRPr="00697F65" w:rsidRDefault="00E21F3B" w:rsidP="00BD7524">
            <w:pPr>
              <w:jc w:val="center"/>
              <w:rPr>
                <w:b/>
                <w:bCs/>
                <w:color w:val="000000"/>
                <w:sz w:val="20"/>
                <w:szCs w:val="20"/>
              </w:rPr>
            </w:pPr>
            <w:r w:rsidRPr="00697F65">
              <w:rPr>
                <w:b/>
                <w:bCs/>
                <w:color w:val="000000"/>
                <w:sz w:val="20"/>
                <w:szCs w:val="20"/>
              </w:rPr>
              <w:t>INTERIM</w:t>
            </w:r>
          </w:p>
        </w:tc>
        <w:tc>
          <w:tcPr>
            <w:tcW w:w="1872" w:type="dxa"/>
            <w:tcBorders>
              <w:top w:val="nil"/>
              <w:left w:val="nil"/>
              <w:bottom w:val="nil"/>
              <w:right w:val="single" w:sz="8" w:space="0" w:color="000000"/>
            </w:tcBorders>
            <w:shd w:val="clear" w:color="000000" w:fill="D9D9D9"/>
          </w:tcPr>
          <w:p w:rsidR="00E21F3B" w:rsidRPr="00697F65" w:rsidRDefault="00A11DFD" w:rsidP="00BD7524">
            <w:pPr>
              <w:jc w:val="center"/>
              <w:rPr>
                <w:b/>
                <w:bCs/>
                <w:color w:val="000000"/>
                <w:sz w:val="20"/>
                <w:szCs w:val="20"/>
              </w:rPr>
            </w:pPr>
            <w:r>
              <w:rPr>
                <w:b/>
                <w:bCs/>
                <w:color w:val="000000"/>
                <w:sz w:val="20"/>
                <w:szCs w:val="20"/>
              </w:rPr>
              <w:t>APPROVED</w:t>
            </w:r>
          </w:p>
        </w:tc>
      </w:tr>
      <w:tr w:rsidR="00E21F3B" w:rsidRPr="00697F65" w:rsidTr="00BD7524">
        <w:trPr>
          <w:trHeight w:val="80"/>
          <w:jc w:val="center"/>
        </w:trPr>
        <w:tc>
          <w:tcPr>
            <w:tcW w:w="5013" w:type="dxa"/>
            <w:tcBorders>
              <w:top w:val="nil"/>
              <w:left w:val="single" w:sz="8" w:space="0" w:color="000000"/>
              <w:bottom w:val="single" w:sz="8" w:space="0" w:color="000000"/>
              <w:right w:val="nil"/>
            </w:tcBorders>
            <w:shd w:val="clear" w:color="000000" w:fill="D9D9D9"/>
            <w:noWrap/>
            <w:vAlign w:val="bottom"/>
            <w:hideMark/>
          </w:tcPr>
          <w:p w:rsidR="00E21F3B" w:rsidRPr="00697F65" w:rsidRDefault="00E21F3B" w:rsidP="00BD7524">
            <w:pPr>
              <w:rPr>
                <w:sz w:val="20"/>
                <w:szCs w:val="20"/>
              </w:rPr>
            </w:pPr>
            <w:r w:rsidRPr="00697F65">
              <w:rPr>
                <w:sz w:val="20"/>
                <w:szCs w:val="20"/>
              </w:rPr>
              <w:t> </w:t>
            </w:r>
          </w:p>
        </w:tc>
        <w:tc>
          <w:tcPr>
            <w:tcW w:w="1205" w:type="dxa"/>
            <w:tcBorders>
              <w:top w:val="nil"/>
              <w:left w:val="nil"/>
              <w:bottom w:val="single" w:sz="8" w:space="0" w:color="000000"/>
              <w:right w:val="nil"/>
            </w:tcBorders>
            <w:shd w:val="clear" w:color="000000" w:fill="D9D9D9"/>
            <w:noWrap/>
            <w:vAlign w:val="center"/>
            <w:hideMark/>
          </w:tcPr>
          <w:p w:rsidR="00E21F3B" w:rsidRPr="00697F65" w:rsidRDefault="00E21F3B" w:rsidP="00BD7524">
            <w:pPr>
              <w:jc w:val="center"/>
              <w:rPr>
                <w:b/>
                <w:bCs/>
                <w:color w:val="000000"/>
                <w:sz w:val="20"/>
                <w:szCs w:val="20"/>
              </w:rPr>
            </w:pPr>
            <w:r w:rsidRPr="00697F65">
              <w:rPr>
                <w:b/>
                <w:bCs/>
                <w:color w:val="000000"/>
                <w:sz w:val="20"/>
                <w:szCs w:val="20"/>
              </w:rPr>
              <w:t xml:space="preserve">RATES </w:t>
            </w:r>
          </w:p>
        </w:tc>
        <w:tc>
          <w:tcPr>
            <w:tcW w:w="1595" w:type="dxa"/>
            <w:tcBorders>
              <w:top w:val="nil"/>
              <w:left w:val="nil"/>
              <w:bottom w:val="single" w:sz="8" w:space="0" w:color="000000"/>
              <w:right w:val="nil"/>
            </w:tcBorders>
            <w:shd w:val="clear" w:color="000000" w:fill="D9D9D9"/>
            <w:noWrap/>
            <w:vAlign w:val="center"/>
            <w:hideMark/>
          </w:tcPr>
          <w:p w:rsidR="00E21F3B" w:rsidRPr="00697F65" w:rsidRDefault="00E21F3B" w:rsidP="00BD7524">
            <w:pPr>
              <w:jc w:val="center"/>
              <w:rPr>
                <w:b/>
                <w:bCs/>
                <w:color w:val="000000"/>
                <w:sz w:val="20"/>
                <w:szCs w:val="20"/>
              </w:rPr>
            </w:pPr>
            <w:r w:rsidRPr="00697F65">
              <w:rPr>
                <w:b/>
                <w:bCs/>
                <w:color w:val="000000"/>
                <w:sz w:val="20"/>
                <w:szCs w:val="20"/>
              </w:rPr>
              <w:t>RATES</w:t>
            </w:r>
          </w:p>
        </w:tc>
        <w:tc>
          <w:tcPr>
            <w:tcW w:w="1872" w:type="dxa"/>
            <w:tcBorders>
              <w:top w:val="nil"/>
              <w:left w:val="nil"/>
              <w:bottom w:val="single" w:sz="8" w:space="0" w:color="000000"/>
            </w:tcBorders>
            <w:shd w:val="clear" w:color="000000" w:fill="D9D9D9"/>
            <w:noWrap/>
            <w:vAlign w:val="center"/>
            <w:hideMark/>
          </w:tcPr>
          <w:p w:rsidR="00E21F3B" w:rsidRPr="00697F65" w:rsidRDefault="00E21F3B" w:rsidP="00BD7524">
            <w:pPr>
              <w:jc w:val="center"/>
              <w:rPr>
                <w:b/>
                <w:bCs/>
                <w:color w:val="000000"/>
                <w:sz w:val="20"/>
                <w:szCs w:val="20"/>
              </w:rPr>
            </w:pPr>
            <w:r w:rsidRPr="00697F65">
              <w:rPr>
                <w:b/>
                <w:bCs/>
                <w:color w:val="000000"/>
                <w:sz w:val="20"/>
                <w:szCs w:val="20"/>
              </w:rPr>
              <w:t>RATES</w:t>
            </w:r>
          </w:p>
        </w:tc>
        <w:tc>
          <w:tcPr>
            <w:tcW w:w="1872" w:type="dxa"/>
            <w:tcBorders>
              <w:top w:val="nil"/>
              <w:left w:val="nil"/>
              <w:bottom w:val="single" w:sz="8" w:space="0" w:color="000000"/>
              <w:right w:val="single" w:sz="8" w:space="0" w:color="000000"/>
            </w:tcBorders>
            <w:shd w:val="clear" w:color="000000" w:fill="D9D9D9"/>
          </w:tcPr>
          <w:p w:rsidR="00E21F3B" w:rsidRPr="00697F65" w:rsidRDefault="00E21F3B" w:rsidP="00BD7524">
            <w:pPr>
              <w:jc w:val="center"/>
              <w:rPr>
                <w:b/>
                <w:bCs/>
                <w:color w:val="000000"/>
                <w:sz w:val="20"/>
                <w:szCs w:val="20"/>
              </w:rPr>
            </w:pPr>
            <w:r w:rsidRPr="00697F65">
              <w:rPr>
                <w:b/>
                <w:bCs/>
                <w:color w:val="000000"/>
                <w:sz w:val="20"/>
                <w:szCs w:val="20"/>
              </w:rPr>
              <w:t>SURCHARGE</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center"/>
            <w:hideMark/>
          </w:tcPr>
          <w:p w:rsidR="00E21F3B" w:rsidRPr="00697F65" w:rsidRDefault="00E21F3B" w:rsidP="00BD7524">
            <w:pPr>
              <w:rPr>
                <w:b/>
                <w:bCs/>
                <w:sz w:val="20"/>
                <w:szCs w:val="20"/>
                <w:u w:val="single"/>
              </w:rPr>
            </w:pPr>
            <w:r w:rsidRPr="00697F65">
              <w:rPr>
                <w:b/>
                <w:bCs/>
                <w:sz w:val="20"/>
                <w:szCs w:val="20"/>
                <w:u w:val="single"/>
              </w:rPr>
              <w:t>Residential Service</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center"/>
            <w:hideMark/>
          </w:tcPr>
          <w:p w:rsidR="00E21F3B" w:rsidRPr="00697F65" w:rsidRDefault="00E21F3B" w:rsidP="00BD7524">
            <w:pPr>
              <w:rPr>
                <w:sz w:val="20"/>
                <w:szCs w:val="20"/>
              </w:rPr>
            </w:pPr>
            <w:r w:rsidRPr="00697F65">
              <w:rPr>
                <w:sz w:val="20"/>
                <w:szCs w:val="20"/>
              </w:rPr>
              <w:t>Base Facility Charge- All Meter Sizes</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 xml:space="preserve">$31.86 </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$33.79</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Pr>
                <w:color w:val="000000"/>
                <w:sz w:val="20"/>
                <w:szCs w:val="20"/>
              </w:rPr>
              <w:t>$33.07</w:t>
            </w:r>
            <w:r w:rsidRPr="00697F65">
              <w:rPr>
                <w:color w:val="000000"/>
                <w:sz w:val="20"/>
                <w:szCs w:val="20"/>
              </w:rPr>
              <w:t xml:space="preserve">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$2.30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center"/>
            <w:hideMark/>
          </w:tcPr>
          <w:p w:rsidR="00E21F3B" w:rsidRPr="00697F65" w:rsidRDefault="00E21F3B" w:rsidP="00BD7524">
            <w:pPr>
              <w:rPr>
                <w:color w:val="000000"/>
                <w:sz w:val="20"/>
                <w:szCs w:val="20"/>
              </w:rPr>
            </w:pPr>
            <w:r w:rsidRPr="00697F65">
              <w:rPr>
                <w:color w:val="000000"/>
                <w:sz w:val="20"/>
                <w:szCs w:val="20"/>
              </w:rPr>
              <w:t xml:space="preserve">Charge per 1,000 gallons </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 xml:space="preserve">$5.28 </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$5.60</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xml:space="preserve">$5.48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$0.16</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center"/>
            <w:hideMark/>
          </w:tcPr>
          <w:p w:rsidR="00E21F3B" w:rsidRPr="00697F65" w:rsidRDefault="00E21F3B" w:rsidP="00BD7524">
            <w:pPr>
              <w:rPr>
                <w:color w:val="000000"/>
                <w:sz w:val="20"/>
                <w:szCs w:val="20"/>
              </w:rPr>
            </w:pPr>
            <w:r w:rsidRPr="00697F65">
              <w:rPr>
                <w:color w:val="000000"/>
                <w:sz w:val="20"/>
                <w:szCs w:val="20"/>
              </w:rPr>
              <w:t>10,000 gallon cap</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center"/>
            <w:hideMark/>
          </w:tcPr>
          <w:p w:rsidR="00E21F3B" w:rsidRPr="00697F65" w:rsidRDefault="00E21F3B" w:rsidP="00BD7524">
            <w:pPr>
              <w:rPr>
                <w:color w:val="000000"/>
                <w:sz w:val="20"/>
                <w:szCs w:val="20"/>
              </w:rPr>
            </w:pPr>
            <w:r w:rsidRPr="00697F65">
              <w:rPr>
                <w:color w:val="000000"/>
                <w:sz w:val="20"/>
                <w:szCs w:val="20"/>
              </w:rPr>
              <w:t> </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center"/>
            <w:hideMark/>
          </w:tcPr>
          <w:p w:rsidR="00E21F3B" w:rsidRPr="00697F65" w:rsidRDefault="00E21F3B" w:rsidP="00BD7524">
            <w:pPr>
              <w:rPr>
                <w:b/>
                <w:bCs/>
                <w:color w:val="000000"/>
                <w:sz w:val="20"/>
                <w:szCs w:val="20"/>
                <w:u w:val="single"/>
              </w:rPr>
            </w:pPr>
            <w:r w:rsidRPr="00697F65">
              <w:rPr>
                <w:b/>
                <w:bCs/>
                <w:color w:val="000000"/>
                <w:sz w:val="20"/>
                <w:szCs w:val="20"/>
                <w:u w:val="single"/>
              </w:rPr>
              <w:t>General Service</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center"/>
            <w:hideMark/>
          </w:tcPr>
          <w:p w:rsidR="00E21F3B" w:rsidRPr="00697F65" w:rsidRDefault="00E21F3B" w:rsidP="00BD7524">
            <w:pPr>
              <w:jc w:val="right"/>
              <w:rPr>
                <w:color w:val="000000"/>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center"/>
            <w:hideMark/>
          </w:tcPr>
          <w:p w:rsidR="00E21F3B" w:rsidRPr="00697F65" w:rsidRDefault="00E21F3B" w:rsidP="00BD7524">
            <w:pPr>
              <w:rPr>
                <w:color w:val="000000"/>
                <w:sz w:val="20"/>
                <w:szCs w:val="20"/>
              </w:rPr>
            </w:pPr>
            <w:r w:rsidRPr="00697F65">
              <w:rPr>
                <w:color w:val="000000"/>
                <w:sz w:val="20"/>
                <w:szCs w:val="20"/>
              </w:rPr>
              <w:t>Base Facility Charge by Meter Size</w:t>
            </w:r>
          </w:p>
        </w:tc>
        <w:tc>
          <w:tcPr>
            <w:tcW w:w="1205" w:type="dxa"/>
            <w:tcBorders>
              <w:top w:val="nil"/>
              <w:left w:val="nil"/>
              <w:bottom w:val="nil"/>
              <w:right w:val="nil"/>
            </w:tcBorders>
            <w:shd w:val="clear" w:color="auto" w:fill="auto"/>
            <w:noWrap/>
            <w:vAlign w:val="center"/>
            <w:hideMark/>
          </w:tcPr>
          <w:p w:rsidR="00E21F3B" w:rsidRPr="00697F65" w:rsidRDefault="00E21F3B" w:rsidP="00BD7524">
            <w:pPr>
              <w:jc w:val="right"/>
              <w:rPr>
                <w:color w:val="000000"/>
                <w:sz w:val="20"/>
                <w:szCs w:val="20"/>
              </w:rPr>
            </w:pPr>
          </w:p>
        </w:tc>
        <w:tc>
          <w:tcPr>
            <w:tcW w:w="1595" w:type="dxa"/>
            <w:tcBorders>
              <w:top w:val="nil"/>
              <w:left w:val="nil"/>
              <w:bottom w:val="nil"/>
              <w:right w:val="nil"/>
            </w:tcBorders>
            <w:shd w:val="clear" w:color="auto" w:fill="auto"/>
            <w:noWrap/>
            <w:vAlign w:val="center"/>
            <w:hideMark/>
          </w:tcPr>
          <w:p w:rsidR="00E21F3B" w:rsidRPr="00697F65" w:rsidRDefault="00E21F3B" w:rsidP="00BD7524">
            <w:pPr>
              <w:jc w:val="right"/>
              <w:rPr>
                <w:color w:val="000000"/>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center"/>
            <w:hideMark/>
          </w:tcPr>
          <w:p w:rsidR="00E21F3B" w:rsidRPr="00697F65" w:rsidRDefault="00E21F3B" w:rsidP="00BD7524">
            <w:pPr>
              <w:rPr>
                <w:color w:val="000000"/>
                <w:sz w:val="20"/>
                <w:szCs w:val="20"/>
              </w:rPr>
            </w:pPr>
            <w:r w:rsidRPr="00697F65">
              <w:rPr>
                <w:color w:val="000000"/>
                <w:sz w:val="20"/>
                <w:szCs w:val="20"/>
              </w:rPr>
              <w:t>5/8" x 3/4"</w:t>
            </w:r>
          </w:p>
        </w:tc>
        <w:tc>
          <w:tcPr>
            <w:tcW w:w="1205" w:type="dxa"/>
            <w:tcBorders>
              <w:top w:val="nil"/>
              <w:left w:val="nil"/>
              <w:bottom w:val="nil"/>
              <w:right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$31.86</w:t>
            </w:r>
          </w:p>
        </w:tc>
        <w:tc>
          <w:tcPr>
            <w:tcW w:w="1595" w:type="dxa"/>
            <w:tcBorders>
              <w:top w:val="nil"/>
              <w:left w:val="nil"/>
              <w:bottom w:val="nil"/>
              <w:right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$33.79</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$33.0</w:t>
            </w:r>
            <w:r>
              <w:rPr>
                <w:color w:val="000000"/>
                <w:sz w:val="20"/>
                <w:szCs w:val="20"/>
              </w:rPr>
              <w:t>7</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$2.30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center"/>
            <w:hideMark/>
          </w:tcPr>
          <w:p w:rsidR="00E21F3B" w:rsidRPr="00697F65" w:rsidRDefault="00E21F3B" w:rsidP="00BD7524">
            <w:pPr>
              <w:rPr>
                <w:color w:val="000000"/>
                <w:sz w:val="20"/>
                <w:szCs w:val="20"/>
              </w:rPr>
            </w:pPr>
            <w:r w:rsidRPr="00697F65">
              <w:rPr>
                <w:color w:val="000000"/>
                <w:sz w:val="20"/>
                <w:szCs w:val="20"/>
              </w:rPr>
              <w:t>1"</w:t>
            </w:r>
          </w:p>
        </w:tc>
        <w:tc>
          <w:tcPr>
            <w:tcW w:w="1205" w:type="dxa"/>
            <w:tcBorders>
              <w:top w:val="nil"/>
              <w:left w:val="nil"/>
              <w:bottom w:val="nil"/>
              <w:right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$79.65</w:t>
            </w:r>
          </w:p>
        </w:tc>
        <w:tc>
          <w:tcPr>
            <w:tcW w:w="1595" w:type="dxa"/>
            <w:tcBorders>
              <w:top w:val="nil"/>
              <w:left w:val="nil"/>
              <w:bottom w:val="nil"/>
              <w:right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$84.48</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Pr>
                <w:color w:val="000000"/>
                <w:sz w:val="20"/>
                <w:szCs w:val="20"/>
              </w:rPr>
              <w:t>$82.66</w:t>
            </w:r>
            <w:r w:rsidRPr="00697F65">
              <w:rPr>
                <w:color w:val="000000"/>
                <w:sz w:val="20"/>
                <w:szCs w:val="20"/>
              </w:rPr>
              <w:t xml:space="preserve">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$5.75</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center"/>
            <w:hideMark/>
          </w:tcPr>
          <w:p w:rsidR="00E21F3B" w:rsidRPr="00697F65" w:rsidRDefault="00E21F3B" w:rsidP="00BD7524">
            <w:pPr>
              <w:rPr>
                <w:color w:val="000000"/>
                <w:sz w:val="20"/>
                <w:szCs w:val="20"/>
              </w:rPr>
            </w:pPr>
            <w:r w:rsidRPr="00697F65">
              <w:rPr>
                <w:color w:val="000000"/>
                <w:sz w:val="20"/>
                <w:szCs w:val="20"/>
              </w:rPr>
              <w:t>1.5"</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$159.30</w:t>
            </w:r>
          </w:p>
        </w:tc>
        <w:tc>
          <w:tcPr>
            <w:tcW w:w="1595" w:type="dxa"/>
            <w:tcBorders>
              <w:top w:val="nil"/>
              <w:left w:val="nil"/>
              <w:bottom w:val="nil"/>
              <w:right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$168.95</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Pr>
                <w:color w:val="000000"/>
                <w:sz w:val="20"/>
                <w:szCs w:val="20"/>
              </w:rPr>
              <w:t>$165.33</w:t>
            </w:r>
            <w:r w:rsidRPr="00697F65">
              <w:rPr>
                <w:color w:val="000000"/>
                <w:sz w:val="20"/>
                <w:szCs w:val="20"/>
              </w:rPr>
              <w:t xml:space="preserve">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$11.50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center"/>
            <w:hideMark/>
          </w:tcPr>
          <w:p w:rsidR="00E21F3B" w:rsidRPr="00697F65" w:rsidRDefault="00E21F3B" w:rsidP="00BD7524">
            <w:pPr>
              <w:rPr>
                <w:color w:val="000000"/>
                <w:sz w:val="20"/>
                <w:szCs w:val="20"/>
              </w:rPr>
            </w:pPr>
            <w:r w:rsidRPr="00697F65">
              <w:rPr>
                <w:color w:val="000000"/>
                <w:sz w:val="20"/>
                <w:szCs w:val="20"/>
              </w:rPr>
              <w:t>2"</w:t>
            </w:r>
          </w:p>
        </w:tc>
        <w:tc>
          <w:tcPr>
            <w:tcW w:w="1205" w:type="dxa"/>
            <w:tcBorders>
              <w:top w:val="nil"/>
              <w:left w:val="nil"/>
              <w:bottom w:val="nil"/>
              <w:right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$254.88</w:t>
            </w:r>
          </w:p>
        </w:tc>
        <w:tc>
          <w:tcPr>
            <w:tcW w:w="1595" w:type="dxa"/>
            <w:tcBorders>
              <w:top w:val="nil"/>
              <w:left w:val="nil"/>
              <w:bottom w:val="nil"/>
              <w:right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$270.33</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Pr>
                <w:color w:val="000000"/>
                <w:sz w:val="20"/>
                <w:szCs w:val="20"/>
              </w:rPr>
              <w:t>$264.53</w:t>
            </w:r>
            <w:r w:rsidRPr="00697F65">
              <w:rPr>
                <w:color w:val="000000"/>
                <w:sz w:val="20"/>
                <w:szCs w:val="20"/>
              </w:rPr>
              <w:t xml:space="preserve">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$18.40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3"</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$509.76</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$540.65</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$52</w:t>
            </w:r>
            <w:r>
              <w:rPr>
                <w:color w:val="000000"/>
                <w:sz w:val="20"/>
                <w:szCs w:val="20"/>
              </w:rPr>
              <w:t>9.05</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$36.80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4"</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$796.50</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$844.77</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$826.</w:t>
            </w:r>
            <w:r>
              <w:rPr>
                <w:color w:val="000000"/>
                <w:sz w:val="20"/>
                <w:szCs w:val="20"/>
              </w:rPr>
              <w:t>64</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$57.50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6"</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$1,593.00</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$1,689.54</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$1,65</w:t>
            </w:r>
            <w:r>
              <w:rPr>
                <w:color w:val="000000"/>
                <w:sz w:val="20"/>
                <w:szCs w:val="20"/>
              </w:rPr>
              <w:t>3.28</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$115.00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8"</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$2,548.80</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$2,703.26</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$2,64</w:t>
            </w:r>
            <w:r>
              <w:rPr>
                <w:color w:val="000000"/>
                <w:sz w:val="20"/>
                <w:szCs w:val="20"/>
              </w:rPr>
              <w:t>5.25</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$184.00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8" Turbo</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$2,867.40</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$3,041.16</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$2,975.</w:t>
            </w:r>
            <w:r>
              <w:rPr>
                <w:color w:val="000000"/>
                <w:sz w:val="20"/>
                <w:szCs w:val="20"/>
              </w:rPr>
              <w:t>91</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$207.00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Charge per 1,000 gallons</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$6.33</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$6.71</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$6.57</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$0.20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b/>
                <w:bCs/>
                <w:sz w:val="20"/>
                <w:szCs w:val="20"/>
                <w:u w:val="single"/>
              </w:rPr>
            </w:pPr>
            <w:r w:rsidRPr="00697F65">
              <w:rPr>
                <w:b/>
                <w:bCs/>
                <w:sz w:val="20"/>
                <w:szCs w:val="20"/>
                <w:u w:val="single"/>
              </w:rPr>
              <w:t>Harbor Shores</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Base Facility Charge</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$2,198.34</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$2,331.56</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$2,28</w:t>
            </w:r>
            <w:r>
              <w:rPr>
                <w:color w:val="000000"/>
                <w:sz w:val="20"/>
                <w:szCs w:val="20"/>
              </w:rPr>
              <w:t>1.53</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$158.70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Charge per 1,000 gallons</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$5.28</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$5.60</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$5.48</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$0.16</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690,000 gallon cap</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b/>
                <w:bCs/>
                <w:sz w:val="20"/>
                <w:szCs w:val="20"/>
                <w:u w:val="single"/>
              </w:rPr>
            </w:pPr>
            <w:r w:rsidRPr="00697F65">
              <w:rPr>
                <w:b/>
                <w:bCs/>
                <w:sz w:val="20"/>
                <w:szCs w:val="20"/>
                <w:u w:val="single"/>
              </w:rPr>
              <w:t>Private Lift Station Owners</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5/8" x 3/4"</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$25.49</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$27.03</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$26.45</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$2.30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1"</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$63.72</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$67.58</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$66.1</w:t>
            </w:r>
            <w:r>
              <w:rPr>
                <w:color w:val="000000"/>
                <w:sz w:val="20"/>
                <w:szCs w:val="20"/>
              </w:rPr>
              <w:t>4</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$5.75</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1.5"</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$127.44</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$135.16</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$132.2</w:t>
            </w:r>
            <w:r>
              <w:rPr>
                <w:color w:val="000000"/>
                <w:sz w:val="20"/>
                <w:szCs w:val="20"/>
              </w:rPr>
              <w:t>7</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$11.50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2"</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$203.90</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$216.26</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$211.</w:t>
            </w:r>
            <w:r>
              <w:rPr>
                <w:color w:val="000000"/>
                <w:sz w:val="20"/>
                <w:szCs w:val="20"/>
              </w:rPr>
              <w:t>64</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$18.40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3"</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$407.81</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$432.52</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$423.</w:t>
            </w:r>
            <w:r>
              <w:rPr>
                <w:color w:val="000000"/>
                <w:sz w:val="20"/>
                <w:szCs w:val="20"/>
              </w:rPr>
              <w:t>27</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$36.80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4"</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$637.20</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$675.81</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$661.</w:t>
            </w:r>
            <w:r>
              <w:rPr>
                <w:color w:val="000000"/>
                <w:sz w:val="20"/>
                <w:szCs w:val="20"/>
              </w:rPr>
              <w:t>37</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$57.50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6"</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$1,274.40</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$1,351.63</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$1,322.</w:t>
            </w:r>
            <w:r>
              <w:rPr>
                <w:color w:val="000000"/>
                <w:sz w:val="20"/>
                <w:szCs w:val="20"/>
              </w:rPr>
              <w:t>73</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$115.00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8"</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$2,039.04</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$2,162.61</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$2,11</w:t>
            </w:r>
            <w:r>
              <w:rPr>
                <w:color w:val="000000"/>
                <w:sz w:val="20"/>
                <w:szCs w:val="20"/>
              </w:rPr>
              <w:t>6.37</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$184.00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Charge per 1,000 gallons</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$6.33</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$6.71</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$6.57</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$0.20</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b/>
                <w:bCs/>
                <w:sz w:val="20"/>
                <w:szCs w:val="20"/>
                <w:u w:val="single"/>
              </w:rPr>
            </w:pPr>
            <w:r w:rsidRPr="00697F65">
              <w:rPr>
                <w:b/>
                <w:bCs/>
                <w:sz w:val="20"/>
                <w:szCs w:val="20"/>
                <w:u w:val="single"/>
              </w:rPr>
              <w:t>Reuse Service</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Charge per 1,000 gallons</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$1.34</w:t>
            </w:r>
          </w:p>
        </w:tc>
        <w:tc>
          <w:tcPr>
            <w:tcW w:w="1595" w:type="dxa"/>
            <w:tcBorders>
              <w:top w:val="nil"/>
              <w:left w:val="nil"/>
              <w:bottom w:val="nil"/>
              <w:right w:val="nil"/>
            </w:tcBorders>
            <w:shd w:val="clear" w:color="auto" w:fill="auto"/>
            <w:noWrap/>
            <w:vAlign w:val="bottom"/>
            <w:hideMark/>
          </w:tcPr>
          <w:p w:rsidR="00E21F3B" w:rsidRPr="00697F65" w:rsidRDefault="00E21F3B" w:rsidP="00BD7524">
            <w:pPr>
              <w:jc w:val="right"/>
              <w:rPr>
                <w:sz w:val="20"/>
                <w:szCs w:val="20"/>
              </w:rPr>
            </w:pPr>
            <w:r w:rsidRPr="00697F65">
              <w:rPr>
                <w:sz w:val="20"/>
                <w:szCs w:val="20"/>
              </w:rPr>
              <w:t>$1.42</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$1.39</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sidRPr="00697F65">
              <w:rPr>
                <w:color w:val="000000"/>
                <w:sz w:val="20"/>
                <w:szCs w:val="20"/>
              </w:rPr>
              <w:t>$0.16</w:t>
            </w: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bottom"/>
            <w:hideMark/>
          </w:tcPr>
          <w:p w:rsidR="00E21F3B" w:rsidRPr="00697F65" w:rsidRDefault="00E21F3B" w:rsidP="00BD7524">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center"/>
            <w:hideMark/>
          </w:tcPr>
          <w:p w:rsidR="00E21F3B" w:rsidRPr="00697F65" w:rsidRDefault="00E21F3B" w:rsidP="00BD7524">
            <w:pPr>
              <w:rPr>
                <w:b/>
                <w:bCs/>
                <w:color w:val="000000"/>
                <w:sz w:val="20"/>
                <w:szCs w:val="20"/>
                <w:u w:val="single"/>
              </w:rPr>
            </w:pPr>
            <w:r w:rsidRPr="00697F65">
              <w:rPr>
                <w:b/>
                <w:bCs/>
                <w:color w:val="000000"/>
                <w:sz w:val="20"/>
                <w:szCs w:val="20"/>
                <w:u w:val="single"/>
              </w:rPr>
              <w:t>Typical Residential 5/8" x 3/4" Meter Bill Comparison</w:t>
            </w:r>
          </w:p>
        </w:tc>
        <w:tc>
          <w:tcPr>
            <w:tcW w:w="120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595" w:type="dxa"/>
            <w:tcBorders>
              <w:top w:val="nil"/>
              <w:left w:val="nil"/>
              <w:bottom w:val="nil"/>
              <w:right w:val="nil"/>
            </w:tcBorders>
            <w:shd w:val="clear" w:color="auto" w:fill="auto"/>
            <w:noWrap/>
            <w:vAlign w:val="bottom"/>
            <w:hideMark/>
          </w:tcPr>
          <w:p w:rsidR="00E21F3B" w:rsidRPr="00697F65" w:rsidRDefault="00E21F3B" w:rsidP="00BD7524">
            <w:pPr>
              <w:rPr>
                <w:sz w:val="20"/>
                <w:szCs w:val="20"/>
              </w:rPr>
            </w:pP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p>
        </w:tc>
      </w:tr>
      <w:tr w:rsidR="00E21F3B" w:rsidRPr="00697F65" w:rsidTr="00BD7524">
        <w:trPr>
          <w:trHeight w:val="80"/>
          <w:jc w:val="center"/>
        </w:trPr>
        <w:tc>
          <w:tcPr>
            <w:tcW w:w="5013" w:type="dxa"/>
            <w:tcBorders>
              <w:top w:val="nil"/>
              <w:left w:val="single" w:sz="8" w:space="0" w:color="000000"/>
              <w:bottom w:val="nil"/>
              <w:right w:val="nil"/>
            </w:tcBorders>
            <w:shd w:val="clear" w:color="auto" w:fill="auto"/>
            <w:noWrap/>
            <w:vAlign w:val="center"/>
            <w:hideMark/>
          </w:tcPr>
          <w:p w:rsidR="00E21F3B" w:rsidRPr="00697F65" w:rsidRDefault="00E21F3B" w:rsidP="00BD7524">
            <w:pPr>
              <w:rPr>
                <w:color w:val="000000"/>
                <w:sz w:val="20"/>
                <w:szCs w:val="20"/>
              </w:rPr>
            </w:pPr>
            <w:r w:rsidRPr="00697F65">
              <w:rPr>
                <w:color w:val="000000"/>
                <w:sz w:val="20"/>
                <w:szCs w:val="20"/>
              </w:rPr>
              <w:t>5,000 Gallons</w:t>
            </w:r>
          </w:p>
        </w:tc>
        <w:tc>
          <w:tcPr>
            <w:tcW w:w="1205" w:type="dxa"/>
            <w:tcBorders>
              <w:top w:val="nil"/>
              <w:left w:val="nil"/>
              <w:bottom w:val="nil"/>
              <w:right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xml:space="preserve">$58.26 </w:t>
            </w:r>
          </w:p>
        </w:tc>
        <w:tc>
          <w:tcPr>
            <w:tcW w:w="1595" w:type="dxa"/>
            <w:tcBorders>
              <w:top w:val="nil"/>
              <w:left w:val="nil"/>
              <w:bottom w:val="nil"/>
              <w:right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xml:space="preserve">$61.79 </w:t>
            </w:r>
          </w:p>
        </w:tc>
        <w:tc>
          <w:tcPr>
            <w:tcW w:w="1872" w:type="dxa"/>
            <w:tcBorders>
              <w:top w:val="nil"/>
              <w:left w:val="nil"/>
              <w:bottom w:val="nil"/>
            </w:tcBorders>
            <w:shd w:val="clear" w:color="auto" w:fill="auto"/>
            <w:noWrap/>
            <w:vAlign w:val="center"/>
            <w:hideMark/>
          </w:tcPr>
          <w:p w:rsidR="00E21F3B" w:rsidRPr="00697F65" w:rsidRDefault="00E21F3B" w:rsidP="00BD7524">
            <w:pPr>
              <w:jc w:val="right"/>
              <w:rPr>
                <w:color w:val="000000"/>
                <w:sz w:val="20"/>
                <w:szCs w:val="20"/>
              </w:rPr>
            </w:pPr>
            <w:r>
              <w:rPr>
                <w:color w:val="000000"/>
                <w:sz w:val="20"/>
                <w:szCs w:val="20"/>
              </w:rPr>
              <w:t>$60.46</w:t>
            </w:r>
          </w:p>
        </w:tc>
        <w:tc>
          <w:tcPr>
            <w:tcW w:w="1872" w:type="dxa"/>
            <w:tcBorders>
              <w:top w:val="nil"/>
              <w:left w:val="nil"/>
              <w:bottom w:val="nil"/>
              <w:right w:val="single" w:sz="8" w:space="0" w:color="000000"/>
            </w:tcBorders>
          </w:tcPr>
          <w:p w:rsidR="00E21F3B" w:rsidRPr="00697F65" w:rsidRDefault="00E21F3B" w:rsidP="00BD7524">
            <w:pPr>
              <w:jc w:val="right"/>
              <w:rPr>
                <w:color w:val="000000"/>
                <w:sz w:val="20"/>
                <w:szCs w:val="20"/>
              </w:rPr>
            </w:pPr>
            <w:r>
              <w:rPr>
                <w:color w:val="000000"/>
                <w:sz w:val="20"/>
                <w:szCs w:val="20"/>
              </w:rPr>
              <w:t>$63.57*</w:t>
            </w:r>
          </w:p>
        </w:tc>
      </w:tr>
      <w:tr w:rsidR="00E21F3B" w:rsidRPr="00697F65" w:rsidTr="00BD7524">
        <w:trPr>
          <w:trHeight w:val="80"/>
          <w:jc w:val="center"/>
        </w:trPr>
        <w:tc>
          <w:tcPr>
            <w:tcW w:w="5013" w:type="dxa"/>
            <w:tcBorders>
              <w:top w:val="nil"/>
              <w:left w:val="single" w:sz="8" w:space="0" w:color="000000"/>
              <w:right w:val="nil"/>
            </w:tcBorders>
            <w:shd w:val="clear" w:color="auto" w:fill="auto"/>
            <w:noWrap/>
            <w:vAlign w:val="center"/>
            <w:hideMark/>
          </w:tcPr>
          <w:p w:rsidR="00E21F3B" w:rsidRPr="00697F65" w:rsidRDefault="00E21F3B" w:rsidP="00BD7524">
            <w:pPr>
              <w:rPr>
                <w:color w:val="000000"/>
                <w:sz w:val="20"/>
                <w:szCs w:val="20"/>
              </w:rPr>
            </w:pPr>
            <w:r w:rsidRPr="00697F65">
              <w:rPr>
                <w:color w:val="000000"/>
                <w:sz w:val="20"/>
                <w:szCs w:val="20"/>
              </w:rPr>
              <w:t>10,000 Gallons</w:t>
            </w:r>
          </w:p>
        </w:tc>
        <w:tc>
          <w:tcPr>
            <w:tcW w:w="1205" w:type="dxa"/>
            <w:tcBorders>
              <w:top w:val="nil"/>
              <w:left w:val="nil"/>
              <w:right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xml:space="preserve">$84.66 </w:t>
            </w:r>
          </w:p>
        </w:tc>
        <w:tc>
          <w:tcPr>
            <w:tcW w:w="1595" w:type="dxa"/>
            <w:tcBorders>
              <w:top w:val="nil"/>
              <w:left w:val="nil"/>
              <w:right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xml:space="preserve">$89.79 </w:t>
            </w:r>
          </w:p>
        </w:tc>
        <w:tc>
          <w:tcPr>
            <w:tcW w:w="1872" w:type="dxa"/>
            <w:tcBorders>
              <w:top w:val="nil"/>
              <w:left w:val="nil"/>
            </w:tcBorders>
            <w:shd w:val="clear" w:color="auto" w:fill="auto"/>
            <w:noWrap/>
            <w:vAlign w:val="center"/>
            <w:hideMark/>
          </w:tcPr>
          <w:p w:rsidR="00E21F3B" w:rsidRPr="00697F65" w:rsidRDefault="00E21F3B" w:rsidP="00BD7524">
            <w:pPr>
              <w:jc w:val="right"/>
              <w:rPr>
                <w:color w:val="000000"/>
                <w:sz w:val="20"/>
                <w:szCs w:val="20"/>
              </w:rPr>
            </w:pPr>
            <w:r>
              <w:rPr>
                <w:color w:val="000000"/>
                <w:sz w:val="20"/>
                <w:szCs w:val="20"/>
              </w:rPr>
              <w:t>$87.86</w:t>
            </w:r>
            <w:r w:rsidRPr="00697F65">
              <w:rPr>
                <w:color w:val="000000"/>
                <w:sz w:val="20"/>
                <w:szCs w:val="20"/>
              </w:rPr>
              <w:t xml:space="preserve"> </w:t>
            </w:r>
          </w:p>
        </w:tc>
        <w:tc>
          <w:tcPr>
            <w:tcW w:w="1872" w:type="dxa"/>
            <w:tcBorders>
              <w:top w:val="nil"/>
              <w:left w:val="nil"/>
              <w:right w:val="single" w:sz="8" w:space="0" w:color="000000"/>
            </w:tcBorders>
          </w:tcPr>
          <w:p w:rsidR="00E21F3B" w:rsidRPr="00697F65" w:rsidRDefault="00E21F3B" w:rsidP="00BD7524">
            <w:pPr>
              <w:jc w:val="right"/>
              <w:rPr>
                <w:color w:val="000000"/>
                <w:sz w:val="20"/>
                <w:szCs w:val="20"/>
              </w:rPr>
            </w:pPr>
            <w:r>
              <w:rPr>
                <w:color w:val="000000"/>
                <w:sz w:val="20"/>
                <w:szCs w:val="20"/>
              </w:rPr>
              <w:t>$91.77*</w:t>
            </w:r>
          </w:p>
        </w:tc>
      </w:tr>
      <w:tr w:rsidR="00E21F3B" w:rsidRPr="00697F65" w:rsidTr="00BD7524">
        <w:trPr>
          <w:trHeight w:val="80"/>
          <w:jc w:val="center"/>
        </w:trPr>
        <w:tc>
          <w:tcPr>
            <w:tcW w:w="5013" w:type="dxa"/>
            <w:tcBorders>
              <w:top w:val="nil"/>
              <w:left w:val="single" w:sz="8" w:space="0" w:color="000000"/>
              <w:bottom w:val="single" w:sz="4" w:space="0" w:color="auto"/>
              <w:right w:val="nil"/>
            </w:tcBorders>
            <w:shd w:val="clear" w:color="auto" w:fill="auto"/>
            <w:noWrap/>
            <w:vAlign w:val="center"/>
            <w:hideMark/>
          </w:tcPr>
          <w:p w:rsidR="00E21F3B" w:rsidRPr="00697F65" w:rsidRDefault="00E21F3B" w:rsidP="00BD7524">
            <w:pPr>
              <w:rPr>
                <w:color w:val="000000"/>
                <w:sz w:val="20"/>
                <w:szCs w:val="20"/>
              </w:rPr>
            </w:pPr>
            <w:r w:rsidRPr="00697F65">
              <w:rPr>
                <w:color w:val="000000"/>
                <w:sz w:val="20"/>
                <w:szCs w:val="20"/>
              </w:rPr>
              <w:t>15,000 Gallons</w:t>
            </w:r>
          </w:p>
        </w:tc>
        <w:tc>
          <w:tcPr>
            <w:tcW w:w="1205" w:type="dxa"/>
            <w:tcBorders>
              <w:top w:val="nil"/>
              <w:left w:val="nil"/>
              <w:bottom w:val="single" w:sz="4" w:space="0" w:color="auto"/>
              <w:right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xml:space="preserve">$84.66 </w:t>
            </w:r>
          </w:p>
        </w:tc>
        <w:tc>
          <w:tcPr>
            <w:tcW w:w="1595" w:type="dxa"/>
            <w:tcBorders>
              <w:top w:val="nil"/>
              <w:left w:val="nil"/>
              <w:bottom w:val="single" w:sz="4" w:space="0" w:color="auto"/>
              <w:right w:val="nil"/>
            </w:tcBorders>
            <w:shd w:val="clear" w:color="auto" w:fill="auto"/>
            <w:noWrap/>
            <w:vAlign w:val="center"/>
            <w:hideMark/>
          </w:tcPr>
          <w:p w:rsidR="00E21F3B" w:rsidRPr="00697F65" w:rsidRDefault="00E21F3B" w:rsidP="00BD7524">
            <w:pPr>
              <w:jc w:val="right"/>
              <w:rPr>
                <w:color w:val="000000"/>
                <w:sz w:val="20"/>
                <w:szCs w:val="20"/>
              </w:rPr>
            </w:pPr>
            <w:r w:rsidRPr="00697F65">
              <w:rPr>
                <w:color w:val="000000"/>
                <w:sz w:val="20"/>
                <w:szCs w:val="20"/>
              </w:rPr>
              <w:t xml:space="preserve">$89.79 </w:t>
            </w:r>
          </w:p>
        </w:tc>
        <w:tc>
          <w:tcPr>
            <w:tcW w:w="1872" w:type="dxa"/>
            <w:tcBorders>
              <w:top w:val="nil"/>
              <w:left w:val="nil"/>
              <w:bottom w:val="single" w:sz="4" w:space="0" w:color="auto"/>
            </w:tcBorders>
            <w:shd w:val="clear" w:color="auto" w:fill="auto"/>
            <w:noWrap/>
            <w:vAlign w:val="center"/>
            <w:hideMark/>
          </w:tcPr>
          <w:p w:rsidR="00E21F3B" w:rsidRPr="00697F65" w:rsidRDefault="00E21F3B" w:rsidP="00BD7524">
            <w:pPr>
              <w:jc w:val="right"/>
              <w:rPr>
                <w:color w:val="000000"/>
                <w:sz w:val="20"/>
                <w:szCs w:val="20"/>
              </w:rPr>
            </w:pPr>
            <w:r>
              <w:rPr>
                <w:color w:val="000000"/>
                <w:sz w:val="20"/>
                <w:szCs w:val="20"/>
              </w:rPr>
              <w:t>$87.86</w:t>
            </w:r>
            <w:r w:rsidRPr="00697F65">
              <w:rPr>
                <w:color w:val="000000"/>
                <w:sz w:val="20"/>
                <w:szCs w:val="20"/>
              </w:rPr>
              <w:t xml:space="preserve"> </w:t>
            </w:r>
          </w:p>
        </w:tc>
        <w:tc>
          <w:tcPr>
            <w:tcW w:w="1872" w:type="dxa"/>
            <w:tcBorders>
              <w:top w:val="nil"/>
              <w:left w:val="nil"/>
              <w:bottom w:val="single" w:sz="4" w:space="0" w:color="auto"/>
              <w:right w:val="single" w:sz="8" w:space="0" w:color="000000"/>
            </w:tcBorders>
          </w:tcPr>
          <w:p w:rsidR="00E21F3B" w:rsidRPr="00697F65" w:rsidRDefault="00E21F3B" w:rsidP="00BD7524">
            <w:pPr>
              <w:jc w:val="right"/>
              <w:rPr>
                <w:color w:val="000000"/>
                <w:sz w:val="20"/>
                <w:szCs w:val="20"/>
              </w:rPr>
            </w:pPr>
            <w:r>
              <w:rPr>
                <w:color w:val="000000"/>
                <w:sz w:val="20"/>
                <w:szCs w:val="20"/>
              </w:rPr>
              <w:t>$91.77*</w:t>
            </w:r>
          </w:p>
        </w:tc>
      </w:tr>
    </w:tbl>
    <w:p w:rsidR="00E21F3B" w:rsidRDefault="00E21F3B" w:rsidP="00922944">
      <w:r w:rsidRPr="00FB5BEA">
        <w:rPr>
          <w:sz w:val="22"/>
        </w:rPr>
        <w:t xml:space="preserve">*These bill comparisons utilize </w:t>
      </w:r>
      <w:r w:rsidR="00A11DFD">
        <w:rPr>
          <w:sz w:val="22"/>
        </w:rPr>
        <w:t>Commission approved</w:t>
      </w:r>
      <w:r w:rsidRPr="00FB5BEA">
        <w:rPr>
          <w:sz w:val="22"/>
        </w:rPr>
        <w:t xml:space="preserve"> interim rates and surcharges to exemplify a typical residential bill during the singe bill</w:t>
      </w:r>
      <w:r>
        <w:rPr>
          <w:sz w:val="22"/>
        </w:rPr>
        <w:t>ing period the surcharges will b</w:t>
      </w:r>
      <w:r w:rsidRPr="00FB5BEA">
        <w:rPr>
          <w:sz w:val="22"/>
        </w:rPr>
        <w:t>e effective at varying consumption</w:t>
      </w:r>
    </w:p>
    <w:sectPr w:rsidR="00E21F3B" w:rsidSect="00E52407">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55E" w:rsidRDefault="006C755E">
      <w:r>
        <w:separator/>
      </w:r>
    </w:p>
  </w:endnote>
  <w:endnote w:type="continuationSeparator" w:id="0">
    <w:p w:rsidR="006C755E" w:rsidRDefault="006C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WIS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55E" w:rsidRDefault="006C755E">
    <w:pPr>
      <w:pStyle w:val="Footer"/>
    </w:pPr>
  </w:p>
  <w:p w:rsidR="006C755E" w:rsidRDefault="006C7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55E" w:rsidRDefault="006C755E">
      <w:r>
        <w:separator/>
      </w:r>
    </w:p>
  </w:footnote>
  <w:footnote w:type="continuationSeparator" w:id="0">
    <w:p w:rsidR="006C755E" w:rsidRDefault="006C755E">
      <w:r>
        <w:continuationSeparator/>
      </w:r>
    </w:p>
  </w:footnote>
  <w:footnote w:id="1">
    <w:p w:rsidR="006C755E" w:rsidRPr="0024332C" w:rsidRDefault="006C755E" w:rsidP="00A208E9">
      <w:pPr>
        <w:pStyle w:val="FootnoteText"/>
        <w:rPr>
          <w:i/>
        </w:rPr>
      </w:pPr>
      <w:r>
        <w:rPr>
          <w:rStyle w:val="FootnoteReference"/>
        </w:rPr>
        <w:footnoteRef/>
      </w:r>
      <w:r>
        <w:t xml:space="preserve"> Order No. PSC-2017-0091-FOF-SU, issued March 13, 2017, in Docket No. 20150071-SU, </w:t>
      </w:r>
      <w:r w:rsidRPr="00E85CCD">
        <w:rPr>
          <w:u w:val="single"/>
        </w:rPr>
        <w:t>In re: Application for increase in wastewater rates in Monroe County by K W Resort Utilities Corp.</w:t>
      </w:r>
    </w:p>
  </w:footnote>
  <w:footnote w:id="2">
    <w:p w:rsidR="006C755E" w:rsidRPr="00BE63A4" w:rsidRDefault="006C755E" w:rsidP="00A208E9">
      <w:pPr>
        <w:pStyle w:val="FootnoteText"/>
        <w:rPr>
          <w:i/>
        </w:rPr>
      </w:pPr>
      <w:r>
        <w:rPr>
          <w:rStyle w:val="FootnoteReference"/>
        </w:rPr>
        <w:footnoteRef/>
      </w:r>
      <w:r>
        <w:t xml:space="preserve"> Order No. PSC-92-1359-FOF-WS, issued November 23, 1992, in Docket No. 920655-WS, </w:t>
      </w:r>
      <w:r w:rsidRPr="009170EE">
        <w:rPr>
          <w:u w:val="single"/>
        </w:rPr>
        <w:t>In re: Application for a rate increase in Collier County by Marco Island Utilities (Deltona)</w:t>
      </w:r>
      <w:r>
        <w:t xml:space="preserve">; Order No. PSC-93-1174-FOF-SU, issued August 10, 1993, in Docket No. 921293-SU, </w:t>
      </w:r>
      <w:r w:rsidRPr="009170EE">
        <w:rPr>
          <w:u w:val="single"/>
        </w:rPr>
        <w:t>In re: Application for a rate increase in Pinellas County by Mid-County Services, Inc.</w:t>
      </w:r>
      <w:r>
        <w:t xml:space="preserve">; Order No. PSC-95-0040-FOF-WS, issued January 10, 1995, in Docket No. 940765-WS, </w:t>
      </w:r>
      <w:r w:rsidRPr="009170EE">
        <w:rPr>
          <w:u w:val="single"/>
        </w:rPr>
        <w:t>In re: Application for a rate increase in Broward County by Ferncrest Utilities, Inc.</w:t>
      </w:r>
    </w:p>
  </w:footnote>
  <w:footnote w:id="3">
    <w:p w:rsidR="006C755E" w:rsidRPr="004C3813" w:rsidRDefault="006C755E" w:rsidP="00A208E9">
      <w:pPr>
        <w:autoSpaceDE w:val="0"/>
        <w:autoSpaceDN w:val="0"/>
        <w:adjustRightInd w:val="0"/>
        <w:jc w:val="both"/>
        <w:rPr>
          <w:sz w:val="20"/>
          <w:szCs w:val="20"/>
        </w:rPr>
      </w:pPr>
      <w:r>
        <w:rPr>
          <w:rStyle w:val="FootnoteReference"/>
        </w:rPr>
        <w:footnoteRef/>
      </w:r>
      <w:r>
        <w:t xml:space="preserve"> </w:t>
      </w:r>
      <w:r w:rsidRPr="004C3813">
        <w:rPr>
          <w:sz w:val="20"/>
          <w:szCs w:val="20"/>
        </w:rPr>
        <w:t>Order No</w:t>
      </w:r>
      <w:r>
        <w:rPr>
          <w:sz w:val="20"/>
          <w:szCs w:val="20"/>
        </w:rPr>
        <w:t>s</w:t>
      </w:r>
      <w:r w:rsidRPr="004C3813">
        <w:rPr>
          <w:sz w:val="20"/>
          <w:szCs w:val="20"/>
        </w:rPr>
        <w:t xml:space="preserve">. PSC-2017-0361-FOF-WS, issued September 25, 2017, in Docket No. 20160101-WS, </w:t>
      </w:r>
      <w:r w:rsidRPr="00F574C8">
        <w:rPr>
          <w:sz w:val="20"/>
          <w:szCs w:val="20"/>
          <w:u w:val="single"/>
        </w:rPr>
        <w:t>In re: Application for increase in water and wastewater rates in Charlotte, Highlands, Lake, Lee, Marion, Orange, Pasco, Pinellas, Polk, and Seminole Counties by Utilities, Inc. of Florida</w:t>
      </w:r>
      <w:r w:rsidRPr="004C3813">
        <w:rPr>
          <w:i/>
          <w:sz w:val="20"/>
          <w:szCs w:val="20"/>
        </w:rPr>
        <w:t xml:space="preserve">; </w:t>
      </w:r>
      <w:r w:rsidRPr="004C3813">
        <w:rPr>
          <w:sz w:val="20"/>
          <w:szCs w:val="20"/>
        </w:rPr>
        <w:t>and PSC-</w:t>
      </w:r>
      <w:r>
        <w:rPr>
          <w:sz w:val="20"/>
          <w:szCs w:val="20"/>
        </w:rPr>
        <w:t>20</w:t>
      </w:r>
      <w:r w:rsidRPr="004C3813">
        <w:rPr>
          <w:sz w:val="20"/>
          <w:szCs w:val="20"/>
        </w:rPr>
        <w:t xml:space="preserve">17-0091-FOF-SU, issued March 13, 2017, in Docket No. 20150071-SU, </w:t>
      </w:r>
      <w:r w:rsidRPr="00F574C8">
        <w:rPr>
          <w:sz w:val="20"/>
          <w:szCs w:val="20"/>
          <w:u w:val="single"/>
        </w:rPr>
        <w:t>In re: Application for increase in wastewater rates in Monroe County by K W Resort Utilities Corp.</w:t>
      </w:r>
    </w:p>
  </w:footnote>
  <w:footnote w:id="4">
    <w:p w:rsidR="006C755E" w:rsidRDefault="006C755E" w:rsidP="00A208E9">
      <w:pPr>
        <w:pStyle w:val="FootnoteText"/>
      </w:pPr>
      <w:r>
        <w:rPr>
          <w:rStyle w:val="FootnoteReference"/>
        </w:rPr>
        <w:footnoteRef/>
      </w:r>
      <w:r>
        <w:t xml:space="preserve"> Document No. 03435-16</w:t>
      </w:r>
    </w:p>
  </w:footnote>
  <w:footnote w:id="5">
    <w:p w:rsidR="006C755E" w:rsidRDefault="006C755E" w:rsidP="00A208E9">
      <w:pPr>
        <w:pStyle w:val="FootnoteText"/>
      </w:pPr>
      <w:r>
        <w:rPr>
          <w:rStyle w:val="FootnoteReference"/>
        </w:rPr>
        <w:footnoteRef/>
      </w:r>
      <w:r>
        <w:t xml:space="preserve"> Order No. PSC-2017-0091-FOF-SU, issued March 13, 2017, in Docket No. 20150071-SU, </w:t>
      </w:r>
      <w:r w:rsidRPr="00381671">
        <w:rPr>
          <w:u w:val="single"/>
        </w:rPr>
        <w:t>In re: Application for increase in wastewater rates in Monroe County by K W Resort Utilities Corp.</w:t>
      </w:r>
    </w:p>
  </w:footnote>
  <w:footnote w:id="6">
    <w:p w:rsidR="006C755E" w:rsidRDefault="006C755E" w:rsidP="00A208E9">
      <w:pPr>
        <w:pStyle w:val="FootnoteText"/>
      </w:pPr>
      <w:r>
        <w:rPr>
          <w:rStyle w:val="FootnoteReference"/>
        </w:rPr>
        <w:footnoteRef/>
      </w:r>
      <w:r>
        <w:t xml:space="preserve"> Document No. 0742-2017</w:t>
      </w:r>
    </w:p>
  </w:footnote>
  <w:footnote w:id="7">
    <w:p w:rsidR="006C755E" w:rsidRDefault="006C755E" w:rsidP="00A208E9">
      <w:pPr>
        <w:pStyle w:val="FootnoteText"/>
      </w:pPr>
      <w:r>
        <w:rPr>
          <w:rStyle w:val="FootnoteReference"/>
        </w:rPr>
        <w:footnoteRef/>
      </w:r>
      <w:r>
        <w:t xml:space="preserve"> Issued January 26, 1993, in Docket No. 921186-SU,  </w:t>
      </w:r>
      <w:r w:rsidRPr="000220D9">
        <w:rPr>
          <w:u w:val="single"/>
        </w:rPr>
        <w:t>In re: Application for Modification of Allowance for Funds Prudently Invested Charges by South Broward Utility, Inc. in Broward County</w:t>
      </w:r>
      <w:r w:rsidRPr="000220D9">
        <w:t>.</w:t>
      </w:r>
    </w:p>
  </w:footnote>
  <w:footnote w:id="8">
    <w:p w:rsidR="006C755E" w:rsidRDefault="006C755E" w:rsidP="00A208E9">
      <w:pPr>
        <w:pStyle w:val="FootnoteText"/>
      </w:pPr>
      <w:r>
        <w:rPr>
          <w:rStyle w:val="FootnoteReference"/>
        </w:rPr>
        <w:footnoteRef/>
      </w:r>
      <w:r>
        <w:t xml:space="preserve"> The Florida Statutes has since been revised, and this subsection is now numbered 367.091(6).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55E" w:rsidRDefault="006C755E">
    <w:pPr>
      <w:pStyle w:val="OrderHeader"/>
    </w:pPr>
    <w:r>
      <w:t xml:space="preserve">ORDER NO. </w:t>
    </w:r>
    <w:fldSimple w:instr=" REF OrderNo0102 ">
      <w:r w:rsidR="0060771B">
        <w:t>PSC-2018-0102-PCO-SU</w:t>
      </w:r>
    </w:fldSimple>
    <w:r>
      <w:tab/>
    </w:r>
    <w:r>
      <w:tab/>
    </w:r>
    <w:r>
      <w:tab/>
    </w:r>
  </w:p>
  <w:p w:rsidR="006C755E" w:rsidRDefault="006C755E">
    <w:pPr>
      <w:pStyle w:val="OrderHeader"/>
    </w:pPr>
    <w:bookmarkStart w:id="10" w:name="HeaderDocketNo"/>
    <w:bookmarkEnd w:id="10"/>
    <w:r>
      <w:t>DOCKET NO. 20170141-SU</w:t>
    </w:r>
  </w:p>
  <w:p w:rsidR="006C755E" w:rsidRDefault="006C755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771B">
      <w:rPr>
        <w:rStyle w:val="PageNumber"/>
        <w:noProof/>
      </w:rPr>
      <w:t>11</w:t>
    </w:r>
    <w:r>
      <w:rPr>
        <w:rStyle w:val="PageNumber"/>
      </w:rPr>
      <w:fldChar w:fldCharType="end"/>
    </w:r>
  </w:p>
  <w:p w:rsidR="006C755E" w:rsidRDefault="006C7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55E" w:rsidRDefault="006C755E" w:rsidP="00A002CF">
    <w:pPr>
      <w:pStyle w:val="OrderHeader"/>
    </w:pPr>
    <w:r>
      <w:t>ORDER NO.</w:t>
    </w:r>
    <w:r w:rsidR="0060771B">
      <w:t xml:space="preserve"> </w:t>
    </w:r>
    <w:r w:rsidR="0060771B" w:rsidRPr="0060771B">
      <w:t>PSC-2018-0102-PCO-SU</w:t>
    </w:r>
    <w:r>
      <w:tab/>
    </w:r>
    <w:r>
      <w:tab/>
      <w:t>Schedule 1- A</w:t>
    </w:r>
  </w:p>
  <w:p w:rsidR="006C755E" w:rsidRDefault="006C755E" w:rsidP="00A002CF">
    <w:pPr>
      <w:pStyle w:val="OrderHeader"/>
    </w:pPr>
    <w:r>
      <w:t>DOCKET NO. 20170141-SU</w:t>
    </w:r>
  </w:p>
  <w:p w:rsidR="006C755E" w:rsidRDefault="006C755E" w:rsidP="00A002C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771B">
      <w:rPr>
        <w:rStyle w:val="PageNumber"/>
        <w:noProof/>
      </w:rPr>
      <w:t>13</w:t>
    </w:r>
    <w:r>
      <w:rPr>
        <w:rStyle w:val="PageNumber"/>
      </w:rPr>
      <w:fldChar w:fldCharType="end"/>
    </w:r>
  </w:p>
  <w:p w:rsidR="006C755E" w:rsidRDefault="006C75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55E" w:rsidRDefault="006C755E" w:rsidP="00E52407">
    <w:pPr>
      <w:pStyle w:val="OrderHeader"/>
    </w:pPr>
    <w:r>
      <w:t xml:space="preserve">ORDER NO. </w:t>
    </w:r>
    <w:r w:rsidR="0060771B" w:rsidRPr="0060771B">
      <w:t>PSC-2018-0102-PCO-SU</w:t>
    </w:r>
    <w:r>
      <w:tab/>
    </w:r>
    <w:r>
      <w:tab/>
      <w:t>Schedule No. 1-B</w:t>
    </w:r>
  </w:p>
  <w:p w:rsidR="006C755E" w:rsidRDefault="006C755E" w:rsidP="00E52407">
    <w:pPr>
      <w:pStyle w:val="OrderHeader"/>
    </w:pPr>
    <w:r>
      <w:t>DOCKET NO. 20170141-SU</w:t>
    </w:r>
  </w:p>
  <w:p w:rsidR="006C755E" w:rsidRDefault="006C755E" w:rsidP="00E5240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771B">
      <w:rPr>
        <w:rStyle w:val="PageNumber"/>
        <w:noProof/>
      </w:rPr>
      <w:t>14</w:t>
    </w:r>
    <w:r>
      <w:rPr>
        <w:rStyle w:val="PageNumber"/>
      </w:rPr>
      <w:fldChar w:fldCharType="end"/>
    </w:r>
  </w:p>
  <w:p w:rsidR="006C755E" w:rsidRDefault="006C75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55E" w:rsidRDefault="006C755E">
    <w:pPr>
      <w:pStyle w:val="OrderHeader"/>
    </w:pPr>
    <w:r>
      <w:t xml:space="preserve">ORDER NO. </w:t>
    </w:r>
    <w:r w:rsidR="0060771B" w:rsidRPr="0060771B">
      <w:t>PSC-2018-0102-PCO-SU</w:t>
    </w:r>
    <w:r>
      <w:tab/>
    </w:r>
    <w:r>
      <w:tab/>
    </w:r>
    <w:r>
      <w:tab/>
    </w:r>
    <w:r>
      <w:tab/>
      <w:t>Schedule No. 3-A</w:t>
    </w:r>
  </w:p>
  <w:p w:rsidR="006C755E" w:rsidRDefault="006C755E">
    <w:pPr>
      <w:pStyle w:val="OrderHeader"/>
    </w:pPr>
    <w:r>
      <w:t>DOCKET NO. 20170141-SU</w:t>
    </w:r>
  </w:p>
  <w:p w:rsidR="006C755E" w:rsidRDefault="006C755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771B">
      <w:rPr>
        <w:rStyle w:val="PageNumber"/>
        <w:noProof/>
      </w:rPr>
      <w:t>16</w:t>
    </w:r>
    <w:r>
      <w:rPr>
        <w:rStyle w:val="PageNumber"/>
      </w:rPr>
      <w:fldChar w:fldCharType="end"/>
    </w:r>
  </w:p>
  <w:p w:rsidR="006C755E" w:rsidRDefault="006C755E">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55E" w:rsidRDefault="006C755E" w:rsidP="00E52407">
    <w:pPr>
      <w:pStyle w:val="OrderHeader"/>
    </w:pPr>
    <w:r>
      <w:t>ORDER NO.</w:t>
    </w:r>
    <w:r w:rsidR="0060771B">
      <w:t xml:space="preserve"> </w:t>
    </w:r>
    <w:r w:rsidR="0060771B" w:rsidRPr="0060771B">
      <w:t>PSC-2018-0102-PCO-SU</w:t>
    </w:r>
    <w:r>
      <w:t xml:space="preserve"> </w:t>
    </w:r>
    <w:r>
      <w:tab/>
    </w:r>
    <w:r>
      <w:tab/>
    </w:r>
    <w:r>
      <w:tab/>
    </w:r>
    <w:r>
      <w:tab/>
      <w:t>Schedule No. 2</w:t>
    </w:r>
  </w:p>
  <w:p w:rsidR="006C755E" w:rsidRDefault="006C755E" w:rsidP="00E52407">
    <w:pPr>
      <w:pStyle w:val="OrderHeader"/>
    </w:pPr>
    <w:r>
      <w:t>DOCKET NO. 20170141-SU</w:t>
    </w:r>
  </w:p>
  <w:p w:rsidR="006C755E" w:rsidRDefault="006C755E" w:rsidP="00E5240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771B">
      <w:rPr>
        <w:rStyle w:val="PageNumber"/>
        <w:noProof/>
      </w:rPr>
      <w:t>15</w:t>
    </w:r>
    <w:r>
      <w:rPr>
        <w:rStyle w:val="PageNumber"/>
      </w:rPr>
      <w:fldChar w:fldCharType="end"/>
    </w:r>
  </w:p>
  <w:p w:rsidR="006C755E" w:rsidRDefault="006C755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55E" w:rsidRDefault="006C755E" w:rsidP="00E52407">
    <w:pPr>
      <w:pStyle w:val="OrderHeader"/>
    </w:pPr>
    <w:r>
      <w:t>ORDER NO.</w:t>
    </w:r>
    <w:r w:rsidR="0060771B">
      <w:t xml:space="preserve"> </w:t>
    </w:r>
    <w:r w:rsidR="0060771B" w:rsidRPr="0060771B">
      <w:t>PSC-2018-0102-PCO-SU</w:t>
    </w:r>
    <w:r>
      <w:t xml:space="preserve"> </w:t>
    </w:r>
    <w:r>
      <w:tab/>
    </w:r>
    <w:r>
      <w:tab/>
      <w:t>Schedule No. 3-B</w:t>
    </w:r>
  </w:p>
  <w:p w:rsidR="006C755E" w:rsidRDefault="006C755E" w:rsidP="00E52407">
    <w:pPr>
      <w:pStyle w:val="OrderHeader"/>
    </w:pPr>
    <w:r>
      <w:t>DOCKET NO. 20170141-SU</w:t>
    </w:r>
  </w:p>
  <w:p w:rsidR="006C755E" w:rsidRDefault="006C755E" w:rsidP="00E5240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771B">
      <w:rPr>
        <w:rStyle w:val="PageNumber"/>
        <w:noProof/>
      </w:rPr>
      <w:t>17</w:t>
    </w:r>
    <w:r>
      <w:rPr>
        <w:rStyle w:val="PageNumber"/>
      </w:rPr>
      <w:fldChar w:fldCharType="end"/>
    </w:r>
  </w:p>
  <w:p w:rsidR="006C755E" w:rsidRDefault="006C755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55E" w:rsidRDefault="006C755E" w:rsidP="00E52407">
    <w:pPr>
      <w:pStyle w:val="OrderHeader"/>
    </w:pPr>
    <w:r>
      <w:t>ORDER NO.</w:t>
    </w:r>
    <w:r w:rsidR="0060771B" w:rsidRPr="0060771B">
      <w:t xml:space="preserve"> PSC-2018-0102-PCO-SU</w:t>
    </w:r>
    <w:r>
      <w:t xml:space="preserve"> </w:t>
    </w:r>
    <w:r>
      <w:tab/>
    </w:r>
    <w:r>
      <w:tab/>
      <w:t>Schedule No. 4</w:t>
    </w:r>
  </w:p>
  <w:p w:rsidR="006C755E" w:rsidRDefault="006C755E" w:rsidP="00E52407">
    <w:pPr>
      <w:pStyle w:val="OrderHeader"/>
    </w:pPr>
    <w:r>
      <w:t>DOCKET NO. 20170141-SU</w:t>
    </w:r>
  </w:p>
  <w:p w:rsidR="006C755E" w:rsidRDefault="006C755E" w:rsidP="00E5240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771B">
      <w:rPr>
        <w:rStyle w:val="PageNumber"/>
        <w:noProof/>
      </w:rPr>
      <w:t>18</w:t>
    </w:r>
    <w:r>
      <w:rPr>
        <w:rStyle w:val="PageNumber"/>
      </w:rPr>
      <w:fldChar w:fldCharType="end"/>
    </w:r>
  </w:p>
  <w:p w:rsidR="006C755E" w:rsidRDefault="006C75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1-SU"/>
  </w:docVars>
  <w:rsids>
    <w:rsidRoot w:val="00A208E9"/>
    <w:rsid w:val="000022B8"/>
    <w:rsid w:val="000220D9"/>
    <w:rsid w:val="00053AB9"/>
    <w:rsid w:val="00056229"/>
    <w:rsid w:val="00057AF1"/>
    <w:rsid w:val="00065FC2"/>
    <w:rsid w:val="00067685"/>
    <w:rsid w:val="00076E6B"/>
    <w:rsid w:val="0008247D"/>
    <w:rsid w:val="00090AFC"/>
    <w:rsid w:val="000B783E"/>
    <w:rsid w:val="000C1395"/>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4737D"/>
    <w:rsid w:val="001513DE"/>
    <w:rsid w:val="00180164"/>
    <w:rsid w:val="00187E32"/>
    <w:rsid w:val="00194E81"/>
    <w:rsid w:val="001A15E7"/>
    <w:rsid w:val="001A33C9"/>
    <w:rsid w:val="001A58F3"/>
    <w:rsid w:val="001A6738"/>
    <w:rsid w:val="001C2847"/>
    <w:rsid w:val="001C3F8C"/>
    <w:rsid w:val="001D008A"/>
    <w:rsid w:val="001E0152"/>
    <w:rsid w:val="001E0FF5"/>
    <w:rsid w:val="001E299D"/>
    <w:rsid w:val="002002ED"/>
    <w:rsid w:val="002170E5"/>
    <w:rsid w:val="00217590"/>
    <w:rsid w:val="00220D57"/>
    <w:rsid w:val="0022721A"/>
    <w:rsid w:val="00230BB9"/>
    <w:rsid w:val="00241CEF"/>
    <w:rsid w:val="00252B30"/>
    <w:rsid w:val="00257F22"/>
    <w:rsid w:val="0026544B"/>
    <w:rsid w:val="00265B33"/>
    <w:rsid w:val="00277655"/>
    <w:rsid w:val="002824B7"/>
    <w:rsid w:val="002A11AC"/>
    <w:rsid w:val="002A655A"/>
    <w:rsid w:val="002A6F30"/>
    <w:rsid w:val="002B3111"/>
    <w:rsid w:val="002C0E8F"/>
    <w:rsid w:val="002C7908"/>
    <w:rsid w:val="002D391B"/>
    <w:rsid w:val="002D4B1F"/>
    <w:rsid w:val="002D7D15"/>
    <w:rsid w:val="002E1B2E"/>
    <w:rsid w:val="002E27EB"/>
    <w:rsid w:val="002F2A9D"/>
    <w:rsid w:val="003020CB"/>
    <w:rsid w:val="00303FDE"/>
    <w:rsid w:val="00312C9C"/>
    <w:rsid w:val="003140E8"/>
    <w:rsid w:val="003231C7"/>
    <w:rsid w:val="003270C4"/>
    <w:rsid w:val="00331ED0"/>
    <w:rsid w:val="00332B0A"/>
    <w:rsid w:val="00333A41"/>
    <w:rsid w:val="003449BB"/>
    <w:rsid w:val="0035495B"/>
    <w:rsid w:val="00361522"/>
    <w:rsid w:val="00363093"/>
    <w:rsid w:val="0037196E"/>
    <w:rsid w:val="003744F5"/>
    <w:rsid w:val="00381671"/>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27E94"/>
    <w:rsid w:val="0055595D"/>
    <w:rsid w:val="00556A10"/>
    <w:rsid w:val="00557F50"/>
    <w:rsid w:val="00571D3D"/>
    <w:rsid w:val="005868AA"/>
    <w:rsid w:val="00590845"/>
    <w:rsid w:val="005963C2"/>
    <w:rsid w:val="005A0D69"/>
    <w:rsid w:val="005A31F4"/>
    <w:rsid w:val="005B45F7"/>
    <w:rsid w:val="005B63EA"/>
    <w:rsid w:val="005C1A88"/>
    <w:rsid w:val="005C5033"/>
    <w:rsid w:val="005E32CD"/>
    <w:rsid w:val="005E751B"/>
    <w:rsid w:val="005F3354"/>
    <w:rsid w:val="0060005E"/>
    <w:rsid w:val="00601266"/>
    <w:rsid w:val="0060771B"/>
    <w:rsid w:val="00610E73"/>
    <w:rsid w:val="0063168D"/>
    <w:rsid w:val="00660774"/>
    <w:rsid w:val="0066389A"/>
    <w:rsid w:val="0066495C"/>
    <w:rsid w:val="00665CC7"/>
    <w:rsid w:val="00672612"/>
    <w:rsid w:val="00673CD1"/>
    <w:rsid w:val="00677F18"/>
    <w:rsid w:val="006A0BF3"/>
    <w:rsid w:val="006B0DA6"/>
    <w:rsid w:val="006C547E"/>
    <w:rsid w:val="006C755E"/>
    <w:rsid w:val="006D5575"/>
    <w:rsid w:val="006F0BC4"/>
    <w:rsid w:val="00704C5D"/>
    <w:rsid w:val="007072BC"/>
    <w:rsid w:val="00715275"/>
    <w:rsid w:val="007232A2"/>
    <w:rsid w:val="00726366"/>
    <w:rsid w:val="00733B6B"/>
    <w:rsid w:val="00745C76"/>
    <w:rsid w:val="007467C4"/>
    <w:rsid w:val="0076170F"/>
    <w:rsid w:val="0076669C"/>
    <w:rsid w:val="00766E46"/>
    <w:rsid w:val="007761F0"/>
    <w:rsid w:val="00777727"/>
    <w:rsid w:val="00782B79"/>
    <w:rsid w:val="007865E9"/>
    <w:rsid w:val="00792383"/>
    <w:rsid w:val="00794D5A"/>
    <w:rsid w:val="007A060F"/>
    <w:rsid w:val="007C0FBC"/>
    <w:rsid w:val="007C19F3"/>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1FC6"/>
    <w:rsid w:val="00892B20"/>
    <w:rsid w:val="00896F45"/>
    <w:rsid w:val="008A12EC"/>
    <w:rsid w:val="008C21C8"/>
    <w:rsid w:val="008C6375"/>
    <w:rsid w:val="008C6A5B"/>
    <w:rsid w:val="008E26A5"/>
    <w:rsid w:val="008E42D2"/>
    <w:rsid w:val="009040EE"/>
    <w:rsid w:val="009057FD"/>
    <w:rsid w:val="00906FBA"/>
    <w:rsid w:val="009170EE"/>
    <w:rsid w:val="009228C7"/>
    <w:rsid w:val="00922944"/>
    <w:rsid w:val="00922A7F"/>
    <w:rsid w:val="00923A5E"/>
    <w:rsid w:val="00926B9E"/>
    <w:rsid w:val="00926E27"/>
    <w:rsid w:val="00931C8C"/>
    <w:rsid w:val="0094213C"/>
    <w:rsid w:val="0094504B"/>
    <w:rsid w:val="00966A9D"/>
    <w:rsid w:val="0096742B"/>
    <w:rsid w:val="0098340B"/>
    <w:rsid w:val="009924CF"/>
    <w:rsid w:val="00994100"/>
    <w:rsid w:val="009A6B17"/>
    <w:rsid w:val="009D4C29"/>
    <w:rsid w:val="009F6AD2"/>
    <w:rsid w:val="00A002CF"/>
    <w:rsid w:val="00A00D8D"/>
    <w:rsid w:val="00A00DB2"/>
    <w:rsid w:val="00A01BB6"/>
    <w:rsid w:val="00A06502"/>
    <w:rsid w:val="00A11DFD"/>
    <w:rsid w:val="00A208E9"/>
    <w:rsid w:val="00A25F7F"/>
    <w:rsid w:val="00A4303C"/>
    <w:rsid w:val="00A470FD"/>
    <w:rsid w:val="00A62DAB"/>
    <w:rsid w:val="00A726A6"/>
    <w:rsid w:val="00A767E3"/>
    <w:rsid w:val="00A97535"/>
    <w:rsid w:val="00AA2BAA"/>
    <w:rsid w:val="00AA73F1"/>
    <w:rsid w:val="00AB0E1A"/>
    <w:rsid w:val="00AB1A30"/>
    <w:rsid w:val="00AB3C36"/>
    <w:rsid w:val="00AD0C15"/>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D7524"/>
    <w:rsid w:val="00BF6691"/>
    <w:rsid w:val="00C028FC"/>
    <w:rsid w:val="00C0386D"/>
    <w:rsid w:val="00C065A1"/>
    <w:rsid w:val="00C10ED5"/>
    <w:rsid w:val="00C151A6"/>
    <w:rsid w:val="00C167DE"/>
    <w:rsid w:val="00C24098"/>
    <w:rsid w:val="00C30A4E"/>
    <w:rsid w:val="00C411F3"/>
    <w:rsid w:val="00C42C7F"/>
    <w:rsid w:val="00C44105"/>
    <w:rsid w:val="00C55A33"/>
    <w:rsid w:val="00C66692"/>
    <w:rsid w:val="00C673B5"/>
    <w:rsid w:val="00C8524D"/>
    <w:rsid w:val="00C91123"/>
    <w:rsid w:val="00CA71FF"/>
    <w:rsid w:val="00CB5276"/>
    <w:rsid w:val="00CB5BFC"/>
    <w:rsid w:val="00CB68D7"/>
    <w:rsid w:val="00CC750A"/>
    <w:rsid w:val="00CC7E68"/>
    <w:rsid w:val="00CD7132"/>
    <w:rsid w:val="00CE0E6F"/>
    <w:rsid w:val="00CE36D8"/>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1D97"/>
    <w:rsid w:val="00D7294E"/>
    <w:rsid w:val="00D80E2D"/>
    <w:rsid w:val="00D8560E"/>
    <w:rsid w:val="00D8758F"/>
    <w:rsid w:val="00DA6B78"/>
    <w:rsid w:val="00DC1D94"/>
    <w:rsid w:val="00DC42CF"/>
    <w:rsid w:val="00DE057F"/>
    <w:rsid w:val="00DE2082"/>
    <w:rsid w:val="00DE2289"/>
    <w:rsid w:val="00DF09A7"/>
    <w:rsid w:val="00DF5C82"/>
    <w:rsid w:val="00E001D6"/>
    <w:rsid w:val="00E03A76"/>
    <w:rsid w:val="00E04410"/>
    <w:rsid w:val="00E11351"/>
    <w:rsid w:val="00E21F3B"/>
    <w:rsid w:val="00E44879"/>
    <w:rsid w:val="00E52407"/>
    <w:rsid w:val="00E673FD"/>
    <w:rsid w:val="00E75AE0"/>
    <w:rsid w:val="00E83C1F"/>
    <w:rsid w:val="00E84EC1"/>
    <w:rsid w:val="00E85CCD"/>
    <w:rsid w:val="00EA172C"/>
    <w:rsid w:val="00EA259B"/>
    <w:rsid w:val="00EA3331"/>
    <w:rsid w:val="00EA35A3"/>
    <w:rsid w:val="00EA3E6A"/>
    <w:rsid w:val="00EB18EF"/>
    <w:rsid w:val="00EB7951"/>
    <w:rsid w:val="00ED6A79"/>
    <w:rsid w:val="00EE17DF"/>
    <w:rsid w:val="00EF4621"/>
    <w:rsid w:val="00EF6312"/>
    <w:rsid w:val="00F04753"/>
    <w:rsid w:val="00F05335"/>
    <w:rsid w:val="00F22B27"/>
    <w:rsid w:val="00F234A7"/>
    <w:rsid w:val="00F277B6"/>
    <w:rsid w:val="00F37E07"/>
    <w:rsid w:val="00F54380"/>
    <w:rsid w:val="00F54B47"/>
    <w:rsid w:val="00F574C8"/>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A208E9"/>
    <w:pPr>
      <w:keepNext w:val="0"/>
    </w:pPr>
    <w:rPr>
      <w:rFonts w:ascii="Arial" w:hAnsi="Arial"/>
      <w:b/>
      <w:i/>
    </w:rPr>
  </w:style>
  <w:style w:type="character" w:customStyle="1" w:styleId="IssueHeadingChar">
    <w:name w:val="Issue Heading Char"/>
    <w:link w:val="IssueHeading"/>
    <w:rsid w:val="00A208E9"/>
    <w:rPr>
      <w:rFonts w:ascii="Arial" w:hAnsi="Arial" w:cs="Arial"/>
      <w:b/>
      <w:bCs/>
      <w:i/>
      <w:kern w:val="32"/>
      <w:sz w:val="24"/>
      <w:szCs w:val="32"/>
    </w:rPr>
  </w:style>
  <w:style w:type="paragraph" w:styleId="BalloonText">
    <w:name w:val="Balloon Text"/>
    <w:basedOn w:val="Normal"/>
    <w:link w:val="BalloonTextChar"/>
    <w:rsid w:val="0060771B"/>
    <w:rPr>
      <w:rFonts w:ascii="Tahoma" w:hAnsi="Tahoma" w:cs="Tahoma"/>
      <w:sz w:val="16"/>
      <w:szCs w:val="16"/>
    </w:rPr>
  </w:style>
  <w:style w:type="character" w:customStyle="1" w:styleId="BalloonTextChar">
    <w:name w:val="Balloon Text Char"/>
    <w:basedOn w:val="DefaultParagraphFont"/>
    <w:link w:val="BalloonText"/>
    <w:rsid w:val="006077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A208E9"/>
    <w:pPr>
      <w:keepNext w:val="0"/>
    </w:pPr>
    <w:rPr>
      <w:rFonts w:ascii="Arial" w:hAnsi="Arial"/>
      <w:b/>
      <w:i/>
    </w:rPr>
  </w:style>
  <w:style w:type="character" w:customStyle="1" w:styleId="IssueHeadingChar">
    <w:name w:val="Issue Heading Char"/>
    <w:link w:val="IssueHeading"/>
    <w:rsid w:val="00A208E9"/>
    <w:rPr>
      <w:rFonts w:ascii="Arial" w:hAnsi="Arial" w:cs="Arial"/>
      <w:b/>
      <w:bCs/>
      <w:i/>
      <w:kern w:val="32"/>
      <w:sz w:val="24"/>
      <w:szCs w:val="32"/>
    </w:rPr>
  </w:style>
  <w:style w:type="paragraph" w:styleId="BalloonText">
    <w:name w:val="Balloon Text"/>
    <w:basedOn w:val="Normal"/>
    <w:link w:val="BalloonTextChar"/>
    <w:rsid w:val="0060771B"/>
    <w:rPr>
      <w:rFonts w:ascii="Tahoma" w:hAnsi="Tahoma" w:cs="Tahoma"/>
      <w:sz w:val="16"/>
      <w:szCs w:val="16"/>
    </w:rPr>
  </w:style>
  <w:style w:type="character" w:customStyle="1" w:styleId="BalloonTextChar">
    <w:name w:val="Balloon Text Char"/>
    <w:basedOn w:val="DefaultParagraphFont"/>
    <w:link w:val="BalloonText"/>
    <w:rsid w:val="00607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9C3A3-46FC-485F-BE93-3DD6A3FB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18</Pages>
  <Words>5553</Words>
  <Characters>31757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2018-02-26T16:52:00Z</dcterms:created>
  <dcterms:modified xsi:type="dcterms:W3CDTF">2018-02-26T17:21:00Z</dcterms:modified>
</cp:coreProperties>
</file>