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E4823" w:rsidP="00DE4823">
      <w:pPr>
        <w:pStyle w:val="OrderHeading"/>
      </w:pPr>
      <w:r>
        <w:t>BEFORE THE FLORIDA PUBLIC SERVICE COMMISSION</w:t>
      </w:r>
    </w:p>
    <w:p w:rsidR="00DE4823" w:rsidRDefault="00DE4823" w:rsidP="00DE4823">
      <w:pPr>
        <w:pStyle w:val="OrderHeading"/>
      </w:pPr>
    </w:p>
    <w:p w:rsidR="00DE4823" w:rsidRDefault="00DE4823" w:rsidP="00DE48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4823" w:rsidRPr="00C63FCF" w:rsidTr="00C63FCF">
        <w:trPr>
          <w:trHeight w:val="828"/>
        </w:trPr>
        <w:tc>
          <w:tcPr>
            <w:tcW w:w="4788" w:type="dxa"/>
            <w:tcBorders>
              <w:bottom w:val="single" w:sz="8" w:space="0" w:color="auto"/>
              <w:right w:val="double" w:sz="6" w:space="0" w:color="auto"/>
            </w:tcBorders>
            <w:shd w:val="clear" w:color="auto" w:fill="auto"/>
          </w:tcPr>
          <w:p w:rsidR="00DE4823" w:rsidRDefault="00DE4823" w:rsidP="00C63FCF">
            <w:pPr>
              <w:pStyle w:val="OrderBody"/>
              <w:tabs>
                <w:tab w:val="center" w:pos="4320"/>
                <w:tab w:val="right" w:pos="8640"/>
              </w:tabs>
              <w:jc w:val="left"/>
            </w:pPr>
            <w:r>
              <w:t xml:space="preserve">In re: </w:t>
            </w:r>
            <w:bookmarkStart w:id="0" w:name="SSInRe"/>
            <w:bookmarkEnd w:id="0"/>
            <w:r>
              <w:t>Petition to establish a generic docket to investigate and adjust rates for 2018 tax savings, by Office of Public Counsel.</w:t>
            </w:r>
          </w:p>
        </w:tc>
        <w:tc>
          <w:tcPr>
            <w:tcW w:w="4788" w:type="dxa"/>
            <w:tcBorders>
              <w:left w:val="double" w:sz="6" w:space="0" w:color="auto"/>
            </w:tcBorders>
            <w:shd w:val="clear" w:color="auto" w:fill="auto"/>
          </w:tcPr>
          <w:p w:rsidR="00DE4823" w:rsidRDefault="00DE4823" w:rsidP="00DE4823">
            <w:pPr>
              <w:pStyle w:val="OrderBody"/>
            </w:pPr>
            <w:r>
              <w:t xml:space="preserve">DOCKET NO. </w:t>
            </w:r>
            <w:bookmarkStart w:id="1" w:name="SSDocketNo"/>
            <w:bookmarkEnd w:id="1"/>
            <w:r>
              <w:t>20180013-PU</w:t>
            </w:r>
          </w:p>
          <w:p w:rsidR="00DE4823" w:rsidRDefault="00DE4823" w:rsidP="00C63FCF">
            <w:pPr>
              <w:pStyle w:val="OrderBody"/>
              <w:tabs>
                <w:tab w:val="center" w:pos="4320"/>
                <w:tab w:val="right" w:pos="8640"/>
              </w:tabs>
              <w:jc w:val="left"/>
            </w:pPr>
            <w:r>
              <w:t xml:space="preserve">ORDER NO. </w:t>
            </w:r>
            <w:bookmarkStart w:id="2" w:name="OrderNo0104"/>
            <w:r w:rsidR="0020026B">
              <w:t>PSC-2018-0104-PCO-PU</w:t>
            </w:r>
            <w:bookmarkEnd w:id="2"/>
          </w:p>
          <w:p w:rsidR="00DE4823" w:rsidRDefault="00DE4823" w:rsidP="00C63FCF">
            <w:pPr>
              <w:pStyle w:val="OrderBody"/>
              <w:tabs>
                <w:tab w:val="center" w:pos="4320"/>
                <w:tab w:val="right" w:pos="8640"/>
              </w:tabs>
              <w:jc w:val="left"/>
            </w:pPr>
            <w:r>
              <w:t xml:space="preserve">ISSUED: </w:t>
            </w:r>
            <w:r w:rsidR="0020026B">
              <w:t>February 26, 2018</w:t>
            </w:r>
          </w:p>
        </w:tc>
      </w:tr>
    </w:tbl>
    <w:p w:rsidR="00DE4823" w:rsidRDefault="00DE4823" w:rsidP="00DE4823"/>
    <w:p w:rsidR="00DE4823" w:rsidRDefault="00DE4823">
      <w:pPr>
        <w:ind w:firstLine="720"/>
        <w:jc w:val="both"/>
      </w:pPr>
      <w:bookmarkStart w:id="3" w:name="Commissioners"/>
      <w:bookmarkEnd w:id="3"/>
      <w:r>
        <w:t>The following Commissioners participated in the disposition of this matter:</w:t>
      </w:r>
    </w:p>
    <w:p w:rsidR="00DE4823" w:rsidRDefault="00DE4823"/>
    <w:p w:rsidR="00DE4823" w:rsidRDefault="00DE4823">
      <w:pPr>
        <w:jc w:val="center"/>
      </w:pPr>
      <w:r>
        <w:t>ART GRAHAM, Chairman</w:t>
      </w:r>
    </w:p>
    <w:p w:rsidR="00DE4823" w:rsidRDefault="00DE4823">
      <w:pPr>
        <w:jc w:val="center"/>
      </w:pPr>
      <w:r>
        <w:t xml:space="preserve">JULIE I. BROWN </w:t>
      </w:r>
    </w:p>
    <w:p w:rsidR="00DE4823" w:rsidRDefault="00DE4823">
      <w:pPr>
        <w:jc w:val="center"/>
      </w:pPr>
      <w:r>
        <w:t>DONALD J. POLMANN</w:t>
      </w:r>
    </w:p>
    <w:p w:rsidR="00DE4823" w:rsidRDefault="00DE4823">
      <w:pPr>
        <w:jc w:val="center"/>
      </w:pPr>
      <w:r>
        <w:t>GARY F. CLARK</w:t>
      </w:r>
    </w:p>
    <w:p w:rsidR="00CB5276" w:rsidRDefault="00CB5276">
      <w:pPr>
        <w:pStyle w:val="OrderBody"/>
      </w:pPr>
    </w:p>
    <w:p w:rsidR="00DE4823" w:rsidRDefault="00DE4823" w:rsidP="00DE4823">
      <w:pPr>
        <w:pStyle w:val="CenterUnderline"/>
      </w:pPr>
      <w:r>
        <w:t>ORDER</w:t>
      </w:r>
      <w:bookmarkStart w:id="4" w:name="OrderTitle"/>
      <w:r>
        <w:t xml:space="preserve"> ESTABLISHING EFFECTIVE DATES </w:t>
      </w:r>
      <w:bookmarkEnd w:id="4"/>
    </w:p>
    <w:p w:rsidR="00DE4823" w:rsidRDefault="00DE4823" w:rsidP="00DE4823">
      <w:pPr>
        <w:pStyle w:val="CenterUnderline"/>
      </w:pPr>
    </w:p>
    <w:p w:rsidR="00DE4823" w:rsidRDefault="00DE4823" w:rsidP="00DE4823">
      <w:pPr>
        <w:pStyle w:val="OrderBody"/>
      </w:pPr>
      <w:r>
        <w:t>BY THE COMMISSION:</w:t>
      </w:r>
    </w:p>
    <w:p w:rsidR="003E039E" w:rsidRDefault="003E039E" w:rsidP="00DE4823">
      <w:pPr>
        <w:pStyle w:val="OrderBody"/>
      </w:pPr>
    </w:p>
    <w:p w:rsidR="00DE4823" w:rsidRDefault="00DE4823" w:rsidP="00DE4823">
      <w:pPr>
        <w:pStyle w:val="OrderBody"/>
      </w:pPr>
      <w:r>
        <w:tab/>
        <w:t>On January 9, 2018, the Office of Public Counsel (OPC) filed a Petition to Establish Generic Docket to Investigate and Adjust Rates for 2018 Tax Savings.  Subsequent to this filing, OPC filed a letter on January 11, 2018, requesting that th</w:t>
      </w:r>
      <w:r w:rsidR="00861A6A">
        <w:t>is</w:t>
      </w:r>
      <w:r>
        <w:t xml:space="preserve"> Commission act on its petition at the earliest possible Agenda Conference.  </w:t>
      </w:r>
      <w:r w:rsidRPr="0059345E">
        <w:t>On January 22, 2018, Florida Power &amp; Light Company (FPL) filed its response to OPC’s petition.</w:t>
      </w:r>
      <w:r>
        <w:t xml:space="preserve">  Th</w:t>
      </w:r>
      <w:r w:rsidR="00861A6A">
        <w:t>is</w:t>
      </w:r>
      <w:r>
        <w:t xml:space="preserve"> Commission has jurisdiction over this subject matter pursuant to Sections 366.06, 366.07, and 367.081, Florida Statutes (F.S.).</w:t>
      </w:r>
    </w:p>
    <w:p w:rsidR="00DE4823" w:rsidRDefault="00DE4823" w:rsidP="00DE4823">
      <w:pPr>
        <w:pStyle w:val="OrderBody"/>
      </w:pPr>
    </w:p>
    <w:p w:rsidR="003A509F" w:rsidRPr="003A509F" w:rsidRDefault="003A509F" w:rsidP="003A509F">
      <w:pPr>
        <w:pStyle w:val="BodyText"/>
        <w:spacing w:after="0"/>
        <w:jc w:val="center"/>
        <w:rPr>
          <w:u w:val="single"/>
        </w:rPr>
      </w:pPr>
      <w:r w:rsidRPr="003A509F">
        <w:rPr>
          <w:u w:val="single"/>
        </w:rPr>
        <w:t>BACKGROUND</w:t>
      </w:r>
    </w:p>
    <w:p w:rsidR="003A509F" w:rsidRPr="003A509F" w:rsidRDefault="003A509F" w:rsidP="003A509F">
      <w:pPr>
        <w:pStyle w:val="BodyText"/>
        <w:spacing w:after="0"/>
        <w:jc w:val="center"/>
      </w:pPr>
    </w:p>
    <w:p w:rsidR="00DE4823" w:rsidRDefault="00DE4823" w:rsidP="00DE4823">
      <w:pPr>
        <w:pStyle w:val="BodyText"/>
        <w:spacing w:after="0"/>
        <w:rPr>
          <w:u w:val="single"/>
        </w:rPr>
      </w:pPr>
      <w:r>
        <w:rPr>
          <w:rFonts w:ascii="Arial" w:hAnsi="Arial" w:cs="Arial"/>
          <w:b/>
        </w:rPr>
        <w:tab/>
      </w:r>
      <w:r w:rsidRPr="00DE4823">
        <w:rPr>
          <w:u w:val="single"/>
        </w:rPr>
        <w:t>Tax Cuts and Jobs Act of 2017</w:t>
      </w:r>
    </w:p>
    <w:p w:rsidR="00DE4823" w:rsidRPr="00DE4823" w:rsidRDefault="00DE4823" w:rsidP="00DE4823">
      <w:pPr>
        <w:pStyle w:val="BodyText"/>
        <w:spacing w:after="0"/>
        <w:rPr>
          <w:u w:val="single"/>
        </w:rPr>
      </w:pPr>
    </w:p>
    <w:p w:rsidR="00DE4823" w:rsidRDefault="00DE4823" w:rsidP="00DE4823">
      <w:pPr>
        <w:pStyle w:val="BodyText"/>
        <w:spacing w:after="0"/>
        <w:jc w:val="both"/>
      </w:pPr>
      <w:r>
        <w:tab/>
        <w:t>The Tax Cuts and Jobs Act of 2017</w:t>
      </w:r>
      <w:r>
        <w:rPr>
          <w:rStyle w:val="FootnoteReference"/>
        </w:rPr>
        <w:footnoteReference w:id="1"/>
      </w:r>
      <w:r>
        <w:t xml:space="preserve"> (Act) was signed into law by President Trump on December 22, 2017, and applies to the taxable year beginning after December 31, 2017.  The Act affects many sections of the Internal Revenue Code that will impact the federal tax liability of regulated utilities.  Four areas are of particular importance: 1) the tax rate reduction for corporations from 35 to 21 percent; 2) limitations on the amount of interest expense corporations can deduct to lower their tax bill; 3) flow back of excess deferred taxes caused by the reduction in the corporate tax rate; and 4) treating Contributions in Aid of Construction (CIAC) as taxable income for water and wastewater utilities.</w:t>
      </w:r>
    </w:p>
    <w:p w:rsidR="00DE4823" w:rsidRDefault="00DE4823" w:rsidP="00DE4823">
      <w:pPr>
        <w:pStyle w:val="BodyText"/>
        <w:spacing w:after="0"/>
      </w:pPr>
    </w:p>
    <w:p w:rsidR="00DE4823" w:rsidRPr="00DE4823" w:rsidRDefault="00DE4823" w:rsidP="00DE4823">
      <w:pPr>
        <w:pStyle w:val="BodyText"/>
        <w:spacing w:after="0"/>
        <w:rPr>
          <w:u w:val="single"/>
        </w:rPr>
      </w:pPr>
      <w:r>
        <w:rPr>
          <w:b/>
        </w:rPr>
        <w:tab/>
      </w:r>
      <w:r w:rsidRPr="00DE4823">
        <w:rPr>
          <w:u w:val="single"/>
        </w:rPr>
        <w:t>Corporate Rate Change</w:t>
      </w:r>
    </w:p>
    <w:p w:rsidR="00DE4823" w:rsidRDefault="00DE4823" w:rsidP="00DE4823">
      <w:pPr>
        <w:pStyle w:val="BodyText"/>
        <w:spacing w:after="0"/>
      </w:pPr>
    </w:p>
    <w:p w:rsidR="00DE4823" w:rsidRDefault="00DE4823" w:rsidP="00DE4823">
      <w:pPr>
        <w:pStyle w:val="BodyText"/>
        <w:spacing w:after="0"/>
        <w:jc w:val="both"/>
      </w:pPr>
      <w:r>
        <w:tab/>
      </w:r>
      <w:r w:rsidRPr="00EA46D0">
        <w:t xml:space="preserve">The Act lowered the tax rate for corporations from 35 percent to 21 percent. </w:t>
      </w:r>
      <w:r>
        <w:t xml:space="preserve"> </w:t>
      </w:r>
      <w:r w:rsidRPr="00EA46D0">
        <w:t xml:space="preserve">Regulated utilities, like other corporate entities, will </w:t>
      </w:r>
      <w:r>
        <w:t>realize</w:t>
      </w:r>
      <w:r w:rsidRPr="00EA46D0">
        <w:t xml:space="preserve"> a reduction of 14 percentage points from the previous rate.</w:t>
      </w:r>
      <w:r>
        <w:t xml:space="preserve">  </w:t>
      </w:r>
      <w:r w:rsidRPr="00EA46D0">
        <w:t xml:space="preserve">For unregulated corporations, a lower tax rate means more cash flow and higher earnings. </w:t>
      </w:r>
      <w:r>
        <w:t xml:space="preserve"> </w:t>
      </w:r>
      <w:r w:rsidRPr="00EA46D0">
        <w:t xml:space="preserve">For </w:t>
      </w:r>
      <w:r>
        <w:t xml:space="preserve">most </w:t>
      </w:r>
      <w:r w:rsidRPr="00EA46D0">
        <w:t>regulated utilities, the tax cut benefit will accrete to customers.</w:t>
      </w:r>
      <w:r>
        <w:t xml:space="preserve">  For electric, </w:t>
      </w:r>
      <w:r>
        <w:lastRenderedPageBreak/>
        <w:t>natural gas, and certain water and wastewater utilities,</w:t>
      </w:r>
      <w:r>
        <w:rPr>
          <w:rStyle w:val="FootnoteReference"/>
        </w:rPr>
        <w:footnoteReference w:id="2"/>
      </w:r>
      <w:r>
        <w:t xml:space="preserve"> t</w:t>
      </w:r>
      <w:r w:rsidRPr="00EA46D0">
        <w:t xml:space="preserve">axes are part of </w:t>
      </w:r>
      <w:r>
        <w:t xml:space="preserve">the </w:t>
      </w:r>
      <w:r w:rsidRPr="00EA46D0">
        <w:t>utilities’ cost-of-service calculation.</w:t>
      </w:r>
      <w:r w:rsidR="00C577DD">
        <w:t xml:space="preserve">  </w:t>
      </w:r>
      <w:r w:rsidRPr="00EA46D0">
        <w:t xml:space="preserve">Therefore, </w:t>
      </w:r>
      <w:r>
        <w:t xml:space="preserve">a </w:t>
      </w:r>
      <w:r w:rsidRPr="00EA46D0">
        <w:t>lower tax</w:t>
      </w:r>
      <w:r>
        <w:t xml:space="preserve"> rate</w:t>
      </w:r>
      <w:r w:rsidRPr="00EA46D0">
        <w:t xml:space="preserve"> </w:t>
      </w:r>
      <w:r>
        <w:t xml:space="preserve">may </w:t>
      </w:r>
      <w:r w:rsidRPr="00EA46D0">
        <w:t xml:space="preserve">translate into lower </w:t>
      </w:r>
      <w:r>
        <w:t xml:space="preserve">utility </w:t>
      </w:r>
      <w:r w:rsidRPr="00EA46D0">
        <w:t>rates for customers.</w:t>
      </w:r>
    </w:p>
    <w:p w:rsidR="00DE4823" w:rsidRDefault="00DE4823" w:rsidP="00DE4823">
      <w:pPr>
        <w:pStyle w:val="BodyText"/>
        <w:spacing w:after="0"/>
        <w:jc w:val="both"/>
      </w:pPr>
    </w:p>
    <w:p w:rsidR="00DE4823" w:rsidRPr="00DE4823" w:rsidRDefault="00DE4823" w:rsidP="00DE4823">
      <w:pPr>
        <w:jc w:val="both"/>
        <w:rPr>
          <w:u w:val="single"/>
        </w:rPr>
      </w:pPr>
      <w:r>
        <w:rPr>
          <w:b/>
        </w:rPr>
        <w:tab/>
      </w:r>
      <w:r w:rsidRPr="00DE4823">
        <w:rPr>
          <w:u w:val="single"/>
        </w:rPr>
        <w:t>Deductibility of Interest Expense</w:t>
      </w:r>
    </w:p>
    <w:p w:rsidR="00DE4823" w:rsidRDefault="00DE4823" w:rsidP="00DE4823">
      <w:pPr>
        <w:jc w:val="both"/>
      </w:pPr>
    </w:p>
    <w:p w:rsidR="00DE4823" w:rsidRDefault="00DE4823" w:rsidP="00DE4823">
      <w:pPr>
        <w:jc w:val="both"/>
      </w:pPr>
      <w:r>
        <w:tab/>
      </w:r>
      <w:r w:rsidRPr="00EA46D0">
        <w:t xml:space="preserve">The new law puts limits on the amount of interest </w:t>
      </w:r>
      <w:r>
        <w:t xml:space="preserve">expense </w:t>
      </w:r>
      <w:r w:rsidRPr="00EA46D0">
        <w:t xml:space="preserve">corporations can deduct to lower their tax bill. </w:t>
      </w:r>
      <w:r>
        <w:t xml:space="preserve"> </w:t>
      </w:r>
      <w:r w:rsidRPr="00EA46D0">
        <w:t>The limit is set at 30</w:t>
      </w:r>
      <w:r>
        <w:t xml:space="preserve"> percent</w:t>
      </w:r>
      <w:r w:rsidRPr="00EA46D0">
        <w:t xml:space="preserve"> of</w:t>
      </w:r>
      <w:r w:rsidR="009204D1">
        <w:t xml:space="preserve"> </w:t>
      </w:r>
      <w:r>
        <w:t>E</w:t>
      </w:r>
      <w:r w:rsidRPr="00EA46D0">
        <w:t xml:space="preserve">arnings </w:t>
      </w:r>
      <w:r>
        <w:t>B</w:t>
      </w:r>
      <w:r w:rsidRPr="00EA46D0">
        <w:t>efore</w:t>
      </w:r>
      <w:r w:rsidR="003147B8">
        <w:t xml:space="preserve"> </w:t>
      </w:r>
      <w:r>
        <w:t>I</w:t>
      </w:r>
      <w:r w:rsidRPr="00EA46D0">
        <w:t xml:space="preserve">nterest, </w:t>
      </w:r>
      <w:r>
        <w:t>T</w:t>
      </w:r>
      <w:r w:rsidRPr="00EA46D0">
        <w:t xml:space="preserve">axes, </w:t>
      </w:r>
      <w:r>
        <w:t>D</w:t>
      </w:r>
      <w:r w:rsidRPr="00EA46D0">
        <w:t>e</w:t>
      </w:r>
      <w:r>
        <w:t>preciation,</w:t>
      </w:r>
      <w:r w:rsidRPr="00EA46D0">
        <w:t xml:space="preserve"> and </w:t>
      </w:r>
      <w:r>
        <w:t>A</w:t>
      </w:r>
      <w:r w:rsidRPr="00EA46D0">
        <w:t>mortization</w:t>
      </w:r>
      <w:r w:rsidR="003147B8">
        <w:t xml:space="preserve"> </w:t>
      </w:r>
      <w:r w:rsidRPr="00EA46D0">
        <w:t>and then drops to a more restrictive measure of 30</w:t>
      </w:r>
      <w:r>
        <w:t xml:space="preserve"> percent </w:t>
      </w:r>
      <w:r w:rsidRPr="00EA46D0">
        <w:t>of E</w:t>
      </w:r>
      <w:r w:rsidR="003147B8">
        <w:t xml:space="preserve">arnings </w:t>
      </w:r>
      <w:r w:rsidRPr="00EA46D0">
        <w:t>B</w:t>
      </w:r>
      <w:r w:rsidR="003147B8">
        <w:t xml:space="preserve">efore </w:t>
      </w:r>
      <w:r w:rsidRPr="00EA46D0">
        <w:t>I</w:t>
      </w:r>
      <w:r w:rsidR="003147B8">
        <w:t xml:space="preserve">nterest and </w:t>
      </w:r>
      <w:r w:rsidRPr="00EA46D0">
        <w:t>T</w:t>
      </w:r>
      <w:r w:rsidR="003147B8">
        <w:t>axes</w:t>
      </w:r>
      <w:r w:rsidRPr="00EA46D0">
        <w:t xml:space="preserve"> (leaving out the de</w:t>
      </w:r>
      <w:r>
        <w:t xml:space="preserve">preciation </w:t>
      </w:r>
      <w:r w:rsidRPr="00EA46D0">
        <w:t>and amortization).</w:t>
      </w:r>
      <w:r>
        <w:t xml:space="preserve">  </w:t>
      </w:r>
      <w:r w:rsidRPr="00EA46D0">
        <w:t>Regulated utilities, however, have a 100</w:t>
      </w:r>
      <w:r>
        <w:t xml:space="preserve"> percent</w:t>
      </w:r>
      <w:r w:rsidRPr="00EA46D0">
        <w:t xml:space="preserve"> exemption. </w:t>
      </w:r>
      <w:r>
        <w:t xml:space="preserve"> </w:t>
      </w:r>
      <w:r w:rsidRPr="00EA46D0">
        <w:t xml:space="preserve">Although regulated utilities maintained their 100 percent exemption, they lost bonus depreciation (which allows quicker recovery of capital investments for tax purposes) and utilities cannot write-off capital investments to expense in the year the investment is made as unregulated companies can do under the new law. </w:t>
      </w:r>
      <w:r>
        <w:t xml:space="preserve"> </w:t>
      </w:r>
      <w:r w:rsidRPr="00EA46D0">
        <w:t>That puts utilities back on the modified accelerated cost recovery system which is beneficial</w:t>
      </w:r>
      <w:r>
        <w:t>,</w:t>
      </w:r>
      <w:r w:rsidRPr="00EA46D0">
        <w:t xml:space="preserve"> but not as beneficial as bonus depreciation or immediate write-off.</w:t>
      </w:r>
    </w:p>
    <w:p w:rsidR="00DE4823" w:rsidRDefault="00DE4823" w:rsidP="00DE4823">
      <w:pPr>
        <w:pStyle w:val="OrderBody"/>
      </w:pPr>
    </w:p>
    <w:p w:rsidR="00DE4823" w:rsidRPr="00DE4823" w:rsidRDefault="00DE4823" w:rsidP="00DE4823">
      <w:pPr>
        <w:jc w:val="both"/>
        <w:rPr>
          <w:u w:val="single"/>
        </w:rPr>
      </w:pPr>
      <w:r>
        <w:rPr>
          <w:rFonts w:ascii="Arial" w:hAnsi="Arial" w:cs="Arial"/>
          <w:b/>
        </w:rPr>
        <w:tab/>
      </w:r>
      <w:r w:rsidRPr="00DE4823">
        <w:rPr>
          <w:u w:val="single"/>
        </w:rPr>
        <w:t>Deferred Taxes</w:t>
      </w:r>
    </w:p>
    <w:p w:rsidR="00DE4823" w:rsidRDefault="00DE4823" w:rsidP="00DE4823">
      <w:pPr>
        <w:pStyle w:val="NoSpacing"/>
        <w:jc w:val="both"/>
        <w:rPr>
          <w:rFonts w:ascii="Times New Roman" w:hAnsi="Times New Roman"/>
          <w:sz w:val="24"/>
          <w:szCs w:val="24"/>
        </w:rPr>
      </w:pPr>
    </w:p>
    <w:p w:rsidR="00DE4823" w:rsidRDefault="00DE4823" w:rsidP="00DE4823">
      <w:pPr>
        <w:pStyle w:val="NoSpacing"/>
        <w:jc w:val="both"/>
        <w:rPr>
          <w:rFonts w:ascii="Times New Roman" w:hAnsi="Times New Roman"/>
          <w:sz w:val="24"/>
          <w:szCs w:val="24"/>
        </w:rPr>
      </w:pPr>
      <w:r>
        <w:rPr>
          <w:rFonts w:ascii="Times New Roman" w:hAnsi="Times New Roman"/>
          <w:sz w:val="24"/>
          <w:szCs w:val="24"/>
        </w:rPr>
        <w:tab/>
      </w:r>
      <w:r w:rsidRPr="001E32AC">
        <w:rPr>
          <w:rFonts w:ascii="Times New Roman" w:hAnsi="Times New Roman"/>
          <w:sz w:val="24"/>
          <w:szCs w:val="24"/>
        </w:rPr>
        <w:t>Generally, deferred taxes arise for regulated utilities due to the book-tax timing difference associated with utilities being allowed to book higher depreciation expense (accelerated depreciation) for tax purposes as compared to the straight-line depreciation required by regulation.  Regulators require straight-line depreciation to allocate the recovery of investments in equal annual amounts over the life of the investments.  Deferred taxes can also arise from various other book-tax timing differences.</w:t>
      </w:r>
    </w:p>
    <w:p w:rsidR="00DE4823" w:rsidRDefault="00DE4823" w:rsidP="00DE4823">
      <w:pPr>
        <w:pStyle w:val="NoSpacing"/>
        <w:jc w:val="both"/>
        <w:rPr>
          <w:rFonts w:ascii="Times New Roman" w:hAnsi="Times New Roman"/>
          <w:sz w:val="24"/>
          <w:szCs w:val="24"/>
        </w:rPr>
      </w:pPr>
    </w:p>
    <w:p w:rsidR="00182080" w:rsidRDefault="00182080" w:rsidP="00DE4823">
      <w:pPr>
        <w:pStyle w:val="NoSpacing"/>
        <w:jc w:val="both"/>
        <w:rPr>
          <w:rFonts w:ascii="Times New Roman" w:hAnsi="Times New Roman"/>
          <w:sz w:val="24"/>
          <w:szCs w:val="24"/>
        </w:rPr>
      </w:pPr>
      <w:r>
        <w:rPr>
          <w:rFonts w:ascii="Times New Roman" w:hAnsi="Times New Roman"/>
          <w:sz w:val="24"/>
          <w:szCs w:val="24"/>
        </w:rPr>
        <w:tab/>
      </w:r>
      <w:r w:rsidRPr="00EA46D0">
        <w:rPr>
          <w:rFonts w:ascii="Times New Roman" w:hAnsi="Times New Roman"/>
          <w:sz w:val="24"/>
          <w:szCs w:val="24"/>
        </w:rPr>
        <w:t xml:space="preserve">Because taxes have been paid by the customer before the company </w:t>
      </w:r>
      <w:r>
        <w:rPr>
          <w:rFonts w:ascii="Times New Roman" w:hAnsi="Times New Roman"/>
          <w:sz w:val="24"/>
          <w:szCs w:val="24"/>
        </w:rPr>
        <w:t>pays</w:t>
      </w:r>
      <w:r w:rsidRPr="00EA46D0">
        <w:rPr>
          <w:rFonts w:ascii="Times New Roman" w:hAnsi="Times New Roman"/>
          <w:sz w:val="24"/>
          <w:szCs w:val="24"/>
        </w:rPr>
        <w:t xml:space="preserve"> them to the government, deferred taxes </w:t>
      </w:r>
      <w:r>
        <w:rPr>
          <w:rFonts w:ascii="Times New Roman" w:hAnsi="Times New Roman"/>
          <w:sz w:val="24"/>
          <w:szCs w:val="24"/>
        </w:rPr>
        <w:t>are</w:t>
      </w:r>
      <w:r w:rsidRPr="00EA46D0">
        <w:rPr>
          <w:rFonts w:ascii="Times New Roman" w:hAnsi="Times New Roman"/>
          <w:sz w:val="24"/>
          <w:szCs w:val="24"/>
        </w:rPr>
        <w:t xml:space="preserve"> recorded on the company’s balance sheet as a regulatory liability</w:t>
      </w:r>
      <w:r>
        <w:rPr>
          <w:rFonts w:ascii="Times New Roman" w:hAnsi="Times New Roman"/>
          <w:sz w:val="24"/>
          <w:szCs w:val="24"/>
        </w:rPr>
        <w:t>.  Deferred taxes</w:t>
      </w:r>
      <w:r w:rsidRPr="00EA46D0">
        <w:rPr>
          <w:rFonts w:ascii="Times New Roman" w:hAnsi="Times New Roman"/>
          <w:sz w:val="24"/>
          <w:szCs w:val="24"/>
        </w:rPr>
        <w:t xml:space="preserve"> are a cost-free source of capital to the </w:t>
      </w:r>
      <w:r>
        <w:rPr>
          <w:rFonts w:ascii="Times New Roman" w:hAnsi="Times New Roman"/>
          <w:sz w:val="24"/>
          <w:szCs w:val="24"/>
        </w:rPr>
        <w:t>utility, and for regulatory purposes, can be included in the capital structure as zero cost capital or used to reduce rate base.  Both treatments have exactly the same effect on the revenue requirement.</w:t>
      </w:r>
      <w:r w:rsidRPr="00EA46D0">
        <w:rPr>
          <w:rFonts w:ascii="Times New Roman" w:hAnsi="Times New Roman"/>
          <w:sz w:val="24"/>
          <w:szCs w:val="24"/>
        </w:rPr>
        <w:t xml:space="preserve"> </w:t>
      </w:r>
      <w:r>
        <w:rPr>
          <w:rFonts w:ascii="Times New Roman" w:hAnsi="Times New Roman"/>
          <w:sz w:val="24"/>
          <w:szCs w:val="24"/>
        </w:rPr>
        <w:t xml:space="preserve"> </w:t>
      </w:r>
      <w:r w:rsidRPr="00083B86">
        <w:rPr>
          <w:rFonts w:ascii="Times New Roman" w:hAnsi="Times New Roman"/>
          <w:sz w:val="24"/>
          <w:szCs w:val="24"/>
        </w:rPr>
        <w:t>In Florida, deferred taxes are included as a cost-free source of capital in the capital structure.</w:t>
      </w:r>
      <w:r>
        <w:rPr>
          <w:rFonts w:ascii="Times New Roman" w:hAnsi="Times New Roman"/>
          <w:sz w:val="24"/>
          <w:szCs w:val="24"/>
        </w:rPr>
        <w:t xml:space="preserve">  D</w:t>
      </w:r>
      <w:r w:rsidRPr="00EA46D0">
        <w:rPr>
          <w:rFonts w:ascii="Times New Roman" w:hAnsi="Times New Roman"/>
          <w:sz w:val="24"/>
          <w:szCs w:val="24"/>
        </w:rPr>
        <w:t>eferred taxes reverse over time as the annual straight-line depreciation expense exceeds the annual accelerated depreciation expense in the later years of an asset</w:t>
      </w:r>
      <w:r>
        <w:rPr>
          <w:rFonts w:ascii="Times New Roman" w:hAnsi="Times New Roman"/>
          <w:sz w:val="24"/>
          <w:szCs w:val="24"/>
        </w:rPr>
        <w:t>’</w:t>
      </w:r>
      <w:r w:rsidRPr="00EA46D0">
        <w:rPr>
          <w:rFonts w:ascii="Times New Roman" w:hAnsi="Times New Roman"/>
          <w:sz w:val="24"/>
          <w:szCs w:val="24"/>
        </w:rPr>
        <w:t xml:space="preserve">s useful life. </w:t>
      </w:r>
      <w:r>
        <w:rPr>
          <w:rFonts w:ascii="Times New Roman" w:hAnsi="Times New Roman"/>
          <w:sz w:val="24"/>
          <w:szCs w:val="24"/>
        </w:rPr>
        <w:t xml:space="preserve"> </w:t>
      </w:r>
      <w:r w:rsidRPr="00EA46D0">
        <w:rPr>
          <w:rFonts w:ascii="Times New Roman" w:hAnsi="Times New Roman"/>
          <w:sz w:val="24"/>
          <w:szCs w:val="24"/>
        </w:rPr>
        <w:t>This treatment is required by the I</w:t>
      </w:r>
      <w:r>
        <w:rPr>
          <w:rFonts w:ascii="Times New Roman" w:hAnsi="Times New Roman"/>
          <w:sz w:val="24"/>
          <w:szCs w:val="24"/>
        </w:rPr>
        <w:t xml:space="preserve">nternal </w:t>
      </w:r>
      <w:r w:rsidRPr="00EA46D0">
        <w:rPr>
          <w:rFonts w:ascii="Times New Roman" w:hAnsi="Times New Roman"/>
          <w:sz w:val="24"/>
          <w:szCs w:val="24"/>
        </w:rPr>
        <w:t>R</w:t>
      </w:r>
      <w:r>
        <w:rPr>
          <w:rFonts w:ascii="Times New Roman" w:hAnsi="Times New Roman"/>
          <w:sz w:val="24"/>
          <w:szCs w:val="24"/>
        </w:rPr>
        <w:t xml:space="preserve">evenue </w:t>
      </w:r>
      <w:r w:rsidRPr="00EA46D0">
        <w:rPr>
          <w:rFonts w:ascii="Times New Roman" w:hAnsi="Times New Roman"/>
          <w:sz w:val="24"/>
          <w:szCs w:val="24"/>
        </w:rPr>
        <w:t>S</w:t>
      </w:r>
      <w:r>
        <w:rPr>
          <w:rFonts w:ascii="Times New Roman" w:hAnsi="Times New Roman"/>
          <w:sz w:val="24"/>
          <w:szCs w:val="24"/>
        </w:rPr>
        <w:t>ervice (IRS)</w:t>
      </w:r>
      <w:r w:rsidRPr="00EA46D0">
        <w:rPr>
          <w:rFonts w:ascii="Times New Roman" w:hAnsi="Times New Roman"/>
          <w:sz w:val="24"/>
          <w:szCs w:val="24"/>
        </w:rPr>
        <w:t xml:space="preserve"> and is known as normalization accounting (i.e. spreading the benefit over time as opposed to flowing it immediately through to customers).</w:t>
      </w:r>
    </w:p>
    <w:p w:rsidR="00182080" w:rsidRDefault="00182080" w:rsidP="00DE4823">
      <w:pPr>
        <w:pStyle w:val="NoSpacing"/>
        <w:jc w:val="both"/>
        <w:rPr>
          <w:rFonts w:ascii="Times New Roman" w:hAnsi="Times New Roman"/>
          <w:sz w:val="24"/>
          <w:szCs w:val="24"/>
        </w:rPr>
      </w:pPr>
    </w:p>
    <w:p w:rsidR="00DE4823" w:rsidRPr="00EA46D0" w:rsidRDefault="003A509F" w:rsidP="00DE4823">
      <w:pPr>
        <w:pStyle w:val="NoSpacing"/>
        <w:jc w:val="both"/>
        <w:rPr>
          <w:rFonts w:ascii="Times New Roman" w:hAnsi="Times New Roman"/>
          <w:sz w:val="24"/>
          <w:szCs w:val="24"/>
        </w:rPr>
      </w:pPr>
      <w:r>
        <w:rPr>
          <w:rFonts w:ascii="Times New Roman" w:hAnsi="Times New Roman"/>
          <w:sz w:val="24"/>
          <w:szCs w:val="24"/>
        </w:rPr>
        <w:tab/>
      </w:r>
      <w:r w:rsidR="00DE4823" w:rsidRPr="00EA46D0">
        <w:rPr>
          <w:rFonts w:ascii="Times New Roman" w:hAnsi="Times New Roman"/>
          <w:sz w:val="24"/>
          <w:szCs w:val="24"/>
        </w:rPr>
        <w:t xml:space="preserve">The deferred taxes </w:t>
      </w:r>
      <w:r w:rsidR="00DE4823">
        <w:rPr>
          <w:rFonts w:ascii="Times New Roman" w:hAnsi="Times New Roman"/>
          <w:sz w:val="24"/>
          <w:szCs w:val="24"/>
        </w:rPr>
        <w:t xml:space="preserve">currently </w:t>
      </w:r>
      <w:r w:rsidR="00DE4823" w:rsidRPr="00EA46D0">
        <w:rPr>
          <w:rFonts w:ascii="Times New Roman" w:hAnsi="Times New Roman"/>
          <w:sz w:val="24"/>
          <w:szCs w:val="24"/>
        </w:rPr>
        <w:t xml:space="preserve">on </w:t>
      </w:r>
      <w:r w:rsidR="00DE4823">
        <w:rPr>
          <w:rFonts w:ascii="Times New Roman" w:hAnsi="Times New Roman"/>
          <w:sz w:val="24"/>
          <w:szCs w:val="24"/>
        </w:rPr>
        <w:t>utilitie</w:t>
      </w:r>
      <w:r w:rsidR="00DE4823" w:rsidRPr="00EA46D0">
        <w:rPr>
          <w:rFonts w:ascii="Times New Roman" w:hAnsi="Times New Roman"/>
          <w:sz w:val="24"/>
          <w:szCs w:val="24"/>
        </w:rPr>
        <w:t>s</w:t>
      </w:r>
      <w:r w:rsidR="00DE4823">
        <w:rPr>
          <w:rFonts w:ascii="Times New Roman" w:hAnsi="Times New Roman"/>
          <w:sz w:val="24"/>
          <w:szCs w:val="24"/>
        </w:rPr>
        <w:t>’</w:t>
      </w:r>
      <w:r w:rsidR="00DE4823" w:rsidRPr="00EA46D0">
        <w:rPr>
          <w:rFonts w:ascii="Times New Roman" w:hAnsi="Times New Roman"/>
          <w:sz w:val="24"/>
          <w:szCs w:val="24"/>
        </w:rPr>
        <w:t xml:space="preserve"> balance sheet</w:t>
      </w:r>
      <w:r w:rsidR="00DE4823">
        <w:rPr>
          <w:rFonts w:ascii="Times New Roman" w:hAnsi="Times New Roman"/>
          <w:sz w:val="24"/>
          <w:szCs w:val="24"/>
        </w:rPr>
        <w:t>s</w:t>
      </w:r>
      <w:r w:rsidR="00DE4823" w:rsidRPr="00EA46D0">
        <w:rPr>
          <w:rFonts w:ascii="Times New Roman" w:hAnsi="Times New Roman"/>
          <w:sz w:val="24"/>
          <w:szCs w:val="24"/>
        </w:rPr>
        <w:t xml:space="preserve"> were calculated at a 35 percent rate. However, the new lower 21 percent rate means the deferred taxes eventually will be paid to the government at a lower rate. </w:t>
      </w:r>
      <w:r w:rsidR="00DE4823">
        <w:rPr>
          <w:rFonts w:ascii="Times New Roman" w:hAnsi="Times New Roman"/>
          <w:sz w:val="24"/>
          <w:szCs w:val="24"/>
        </w:rPr>
        <w:t xml:space="preserve"> </w:t>
      </w:r>
      <w:r w:rsidR="00DE4823" w:rsidRPr="00EA46D0">
        <w:rPr>
          <w:rFonts w:ascii="Times New Roman" w:hAnsi="Times New Roman"/>
          <w:sz w:val="24"/>
          <w:szCs w:val="24"/>
        </w:rPr>
        <w:t xml:space="preserve">This is a benefit (lower cost) for customers. </w:t>
      </w:r>
      <w:r w:rsidR="00DE4823">
        <w:rPr>
          <w:rFonts w:ascii="Times New Roman" w:hAnsi="Times New Roman"/>
          <w:sz w:val="24"/>
          <w:szCs w:val="24"/>
        </w:rPr>
        <w:t xml:space="preserve"> </w:t>
      </w:r>
      <w:r w:rsidR="00DE4823" w:rsidRPr="00EA46D0">
        <w:rPr>
          <w:rFonts w:ascii="Times New Roman" w:hAnsi="Times New Roman"/>
          <w:sz w:val="24"/>
          <w:szCs w:val="24"/>
        </w:rPr>
        <w:t xml:space="preserve">The new law and normalization accounting require that the deferred tax difference between the 35 percent and 21 percent be booked as a regulatory liability and flowed back </w:t>
      </w:r>
      <w:r w:rsidR="00DE4823">
        <w:rPr>
          <w:rFonts w:ascii="Times New Roman" w:hAnsi="Times New Roman"/>
          <w:sz w:val="24"/>
          <w:szCs w:val="24"/>
        </w:rPr>
        <w:t xml:space="preserve">(returned) </w:t>
      </w:r>
      <w:r w:rsidR="00DE4823" w:rsidRPr="00EA46D0">
        <w:rPr>
          <w:rFonts w:ascii="Times New Roman" w:hAnsi="Times New Roman"/>
          <w:sz w:val="24"/>
          <w:szCs w:val="24"/>
        </w:rPr>
        <w:t xml:space="preserve">to customers over the </w:t>
      </w:r>
      <w:r w:rsidR="00DE4823" w:rsidRPr="00EA46D0">
        <w:rPr>
          <w:rFonts w:ascii="Times New Roman" w:hAnsi="Times New Roman"/>
          <w:sz w:val="24"/>
          <w:szCs w:val="24"/>
        </w:rPr>
        <w:lastRenderedPageBreak/>
        <w:t xml:space="preserve">regulatory remaining life of the asset. </w:t>
      </w:r>
      <w:r w:rsidR="00DE4823">
        <w:rPr>
          <w:rFonts w:ascii="Times New Roman" w:hAnsi="Times New Roman"/>
          <w:sz w:val="24"/>
          <w:szCs w:val="24"/>
        </w:rPr>
        <w:t xml:space="preserve"> For Florida utilities, t</w:t>
      </w:r>
      <w:r w:rsidR="00DE4823" w:rsidRPr="00EA46D0">
        <w:rPr>
          <w:rFonts w:ascii="Times New Roman" w:hAnsi="Times New Roman"/>
          <w:sz w:val="24"/>
          <w:szCs w:val="24"/>
        </w:rPr>
        <w:t xml:space="preserve">he annual flow back of the excess deferred taxes will be a benefit to customers </w:t>
      </w:r>
      <w:r w:rsidR="00DE4823">
        <w:rPr>
          <w:rFonts w:ascii="Times New Roman" w:hAnsi="Times New Roman"/>
          <w:sz w:val="24"/>
          <w:szCs w:val="24"/>
        </w:rPr>
        <w:t xml:space="preserve">that will be </w:t>
      </w:r>
      <w:r w:rsidR="00DE4823" w:rsidRPr="00EA46D0">
        <w:rPr>
          <w:rFonts w:ascii="Times New Roman" w:hAnsi="Times New Roman"/>
          <w:sz w:val="24"/>
          <w:szCs w:val="24"/>
        </w:rPr>
        <w:t xml:space="preserve">somewhat offset by the gradual reduction of zero cost capital in the capital structure </w:t>
      </w:r>
      <w:r w:rsidR="00DE4823">
        <w:rPr>
          <w:rFonts w:ascii="Times New Roman" w:hAnsi="Times New Roman"/>
          <w:sz w:val="24"/>
          <w:szCs w:val="24"/>
        </w:rPr>
        <w:t xml:space="preserve">which will </w:t>
      </w:r>
      <w:r w:rsidR="00DE4823" w:rsidRPr="00EA46D0">
        <w:rPr>
          <w:rFonts w:ascii="Times New Roman" w:hAnsi="Times New Roman"/>
          <w:sz w:val="24"/>
          <w:szCs w:val="24"/>
        </w:rPr>
        <w:t>somewhat increas</w:t>
      </w:r>
      <w:r w:rsidR="00DE4823">
        <w:rPr>
          <w:rFonts w:ascii="Times New Roman" w:hAnsi="Times New Roman"/>
          <w:sz w:val="24"/>
          <w:szCs w:val="24"/>
        </w:rPr>
        <w:t>e</w:t>
      </w:r>
      <w:r w:rsidR="00DE4823" w:rsidRPr="00EA46D0">
        <w:rPr>
          <w:rFonts w:ascii="Times New Roman" w:hAnsi="Times New Roman"/>
          <w:sz w:val="24"/>
          <w:szCs w:val="24"/>
        </w:rPr>
        <w:t xml:space="preserve"> the overall cost of capital.</w:t>
      </w:r>
    </w:p>
    <w:p w:rsidR="00DE4823" w:rsidRPr="00EA46D0" w:rsidRDefault="00DE4823" w:rsidP="00DE4823">
      <w:pPr>
        <w:pStyle w:val="NoSpacing"/>
        <w:jc w:val="both"/>
        <w:rPr>
          <w:rFonts w:ascii="Times New Roman" w:hAnsi="Times New Roman"/>
          <w:sz w:val="24"/>
          <w:szCs w:val="24"/>
        </w:rPr>
      </w:pPr>
    </w:p>
    <w:p w:rsidR="00DE4823" w:rsidRPr="003A509F" w:rsidRDefault="00DE4823" w:rsidP="00DE4823">
      <w:pPr>
        <w:pStyle w:val="NoSpacing"/>
        <w:jc w:val="both"/>
        <w:rPr>
          <w:rFonts w:ascii="Times New Roman" w:hAnsi="Times New Roman"/>
          <w:sz w:val="24"/>
          <w:szCs w:val="24"/>
          <w:u w:val="single"/>
        </w:rPr>
      </w:pPr>
      <w:r>
        <w:rPr>
          <w:rFonts w:ascii="Times New Roman" w:hAnsi="Times New Roman"/>
          <w:b/>
          <w:sz w:val="24"/>
          <w:szCs w:val="24"/>
        </w:rPr>
        <w:tab/>
      </w:r>
      <w:r w:rsidRPr="003A509F">
        <w:rPr>
          <w:rFonts w:ascii="Times New Roman" w:hAnsi="Times New Roman"/>
          <w:sz w:val="24"/>
          <w:szCs w:val="24"/>
          <w:u w:val="single"/>
        </w:rPr>
        <w:t>Contributions in Aid of Construction</w:t>
      </w:r>
    </w:p>
    <w:p w:rsidR="003A509F" w:rsidRDefault="003A509F" w:rsidP="00DE4823">
      <w:pPr>
        <w:pStyle w:val="NoSpacing"/>
        <w:jc w:val="both"/>
        <w:rPr>
          <w:rFonts w:ascii="Times New Roman" w:hAnsi="Times New Roman"/>
          <w:sz w:val="24"/>
          <w:szCs w:val="24"/>
        </w:rPr>
      </w:pPr>
    </w:p>
    <w:p w:rsidR="00DE4823" w:rsidRPr="00EA46D0" w:rsidRDefault="003A509F" w:rsidP="00DE4823">
      <w:pPr>
        <w:pStyle w:val="NoSpacing"/>
        <w:jc w:val="both"/>
        <w:rPr>
          <w:rFonts w:ascii="Times New Roman" w:hAnsi="Times New Roman"/>
          <w:sz w:val="24"/>
          <w:szCs w:val="24"/>
        </w:rPr>
      </w:pPr>
      <w:r>
        <w:rPr>
          <w:rFonts w:ascii="Times New Roman" w:hAnsi="Times New Roman"/>
          <w:sz w:val="24"/>
          <w:szCs w:val="24"/>
        </w:rPr>
        <w:tab/>
      </w:r>
      <w:r w:rsidR="00DE4823" w:rsidRPr="00EA46D0">
        <w:rPr>
          <w:rFonts w:ascii="Times New Roman" w:hAnsi="Times New Roman"/>
          <w:sz w:val="24"/>
          <w:szCs w:val="24"/>
        </w:rPr>
        <w:t>The previous law included a carve-out for</w:t>
      </w:r>
      <w:r w:rsidR="00DE4823">
        <w:rPr>
          <w:rFonts w:ascii="Times New Roman" w:hAnsi="Times New Roman"/>
          <w:sz w:val="24"/>
          <w:szCs w:val="24"/>
        </w:rPr>
        <w:t xml:space="preserve"> </w:t>
      </w:r>
      <w:r w:rsidR="00DE4823" w:rsidRPr="00EA46D0">
        <w:rPr>
          <w:rFonts w:ascii="Times New Roman" w:hAnsi="Times New Roman"/>
          <w:sz w:val="24"/>
          <w:szCs w:val="24"/>
        </w:rPr>
        <w:t xml:space="preserve">water and wastewater </w:t>
      </w:r>
      <w:r w:rsidR="00DE4823">
        <w:rPr>
          <w:rFonts w:ascii="Times New Roman" w:hAnsi="Times New Roman"/>
          <w:sz w:val="24"/>
          <w:szCs w:val="24"/>
        </w:rPr>
        <w:t xml:space="preserve">utilities </w:t>
      </w:r>
      <w:r w:rsidR="00DE4823" w:rsidRPr="00EA46D0">
        <w:rPr>
          <w:rFonts w:ascii="Times New Roman" w:hAnsi="Times New Roman"/>
          <w:sz w:val="24"/>
          <w:szCs w:val="24"/>
        </w:rPr>
        <w:t xml:space="preserve">that excluded CIAC from gross income, (i.e. non-taxable). </w:t>
      </w:r>
      <w:r w:rsidR="00DE4823">
        <w:rPr>
          <w:rFonts w:ascii="Times New Roman" w:hAnsi="Times New Roman"/>
          <w:sz w:val="24"/>
          <w:szCs w:val="24"/>
        </w:rPr>
        <w:t xml:space="preserve"> </w:t>
      </w:r>
      <w:r w:rsidR="00DE4823" w:rsidRPr="00EA46D0">
        <w:rPr>
          <w:rFonts w:ascii="Times New Roman" w:hAnsi="Times New Roman"/>
          <w:sz w:val="24"/>
          <w:szCs w:val="24"/>
        </w:rPr>
        <w:t>The new law removed that carve-out</w:t>
      </w:r>
      <w:r w:rsidR="00DE4823">
        <w:rPr>
          <w:rFonts w:ascii="Times New Roman" w:hAnsi="Times New Roman"/>
          <w:sz w:val="24"/>
          <w:szCs w:val="24"/>
        </w:rPr>
        <w:t>,</w:t>
      </w:r>
      <w:r w:rsidR="00DE4823" w:rsidRPr="00EA46D0">
        <w:rPr>
          <w:rFonts w:ascii="Times New Roman" w:hAnsi="Times New Roman"/>
          <w:sz w:val="24"/>
          <w:szCs w:val="24"/>
        </w:rPr>
        <w:t xml:space="preserve"> thereby making CIAC taxable for water and wastewater </w:t>
      </w:r>
      <w:r w:rsidR="00DE4823">
        <w:rPr>
          <w:rFonts w:ascii="Times New Roman" w:hAnsi="Times New Roman"/>
          <w:sz w:val="24"/>
          <w:szCs w:val="24"/>
        </w:rPr>
        <w:t>utilitie</w:t>
      </w:r>
      <w:r w:rsidR="00DE4823" w:rsidRPr="00EA46D0">
        <w:rPr>
          <w:rFonts w:ascii="Times New Roman" w:hAnsi="Times New Roman"/>
          <w:sz w:val="24"/>
          <w:szCs w:val="24"/>
        </w:rPr>
        <w:t xml:space="preserve">s. Consequently, water and wastewater </w:t>
      </w:r>
      <w:r w:rsidR="00DE4823">
        <w:rPr>
          <w:rFonts w:ascii="Times New Roman" w:hAnsi="Times New Roman"/>
          <w:sz w:val="24"/>
          <w:szCs w:val="24"/>
        </w:rPr>
        <w:t>utilities</w:t>
      </w:r>
      <w:r w:rsidR="00DE4823" w:rsidRPr="00EA46D0">
        <w:rPr>
          <w:rFonts w:ascii="Times New Roman" w:hAnsi="Times New Roman"/>
          <w:sz w:val="24"/>
          <w:szCs w:val="24"/>
        </w:rPr>
        <w:t xml:space="preserve"> will need to petition the Commission to gross-up CIAC for taxes thereby increasing the cost to customers </w:t>
      </w:r>
      <w:r w:rsidR="00DE4823">
        <w:rPr>
          <w:rFonts w:ascii="Times New Roman" w:hAnsi="Times New Roman"/>
          <w:sz w:val="24"/>
          <w:szCs w:val="24"/>
        </w:rPr>
        <w:t xml:space="preserve">of utilities that receive and record </w:t>
      </w:r>
      <w:r w:rsidR="00DE4823" w:rsidRPr="00EA46D0">
        <w:rPr>
          <w:rFonts w:ascii="Times New Roman" w:hAnsi="Times New Roman"/>
          <w:sz w:val="24"/>
          <w:szCs w:val="24"/>
        </w:rPr>
        <w:t>CIAC.</w:t>
      </w:r>
    </w:p>
    <w:p w:rsidR="00DE4823" w:rsidRDefault="00DE4823" w:rsidP="00DE4823">
      <w:pPr>
        <w:pStyle w:val="NoSpacing"/>
        <w:jc w:val="both"/>
        <w:rPr>
          <w:rFonts w:ascii="Times New Roman" w:hAnsi="Times New Roman"/>
          <w:sz w:val="24"/>
          <w:szCs w:val="24"/>
        </w:rPr>
      </w:pPr>
    </w:p>
    <w:p w:rsidR="00DE4823" w:rsidRPr="003A509F" w:rsidRDefault="003A509F" w:rsidP="00DE4823">
      <w:pPr>
        <w:pStyle w:val="NoSpacing"/>
        <w:jc w:val="both"/>
        <w:rPr>
          <w:rFonts w:ascii="Times New Roman" w:hAnsi="Times New Roman"/>
          <w:sz w:val="24"/>
          <w:szCs w:val="24"/>
          <w:u w:val="single"/>
        </w:rPr>
      </w:pPr>
      <w:r>
        <w:rPr>
          <w:rFonts w:ascii="Arial" w:hAnsi="Arial" w:cs="Arial"/>
          <w:b/>
          <w:sz w:val="24"/>
          <w:szCs w:val="24"/>
        </w:rPr>
        <w:tab/>
      </w:r>
      <w:r w:rsidR="00DE4823" w:rsidRPr="003A509F">
        <w:rPr>
          <w:rFonts w:ascii="Times New Roman" w:hAnsi="Times New Roman"/>
          <w:sz w:val="24"/>
          <w:szCs w:val="24"/>
          <w:u w:val="single"/>
        </w:rPr>
        <w:t>OPC’s Petition</w:t>
      </w:r>
    </w:p>
    <w:p w:rsidR="003A509F" w:rsidRDefault="003A509F" w:rsidP="00DE4823">
      <w:pPr>
        <w:pStyle w:val="NoSpacing"/>
        <w:jc w:val="both"/>
        <w:rPr>
          <w:rFonts w:ascii="Times New Roman" w:hAnsi="Times New Roman"/>
          <w:sz w:val="24"/>
          <w:szCs w:val="24"/>
        </w:rPr>
      </w:pPr>
    </w:p>
    <w:p w:rsidR="00DE4823" w:rsidRDefault="003A509F" w:rsidP="00DE4823">
      <w:pPr>
        <w:pStyle w:val="NoSpacing"/>
        <w:jc w:val="both"/>
        <w:rPr>
          <w:rFonts w:ascii="Times New Roman" w:hAnsi="Times New Roman"/>
          <w:sz w:val="24"/>
          <w:szCs w:val="24"/>
        </w:rPr>
      </w:pPr>
      <w:r>
        <w:rPr>
          <w:rFonts w:ascii="Times New Roman" w:hAnsi="Times New Roman"/>
          <w:sz w:val="24"/>
          <w:szCs w:val="24"/>
        </w:rPr>
        <w:tab/>
      </w:r>
      <w:r w:rsidR="00DE4823">
        <w:rPr>
          <w:rFonts w:ascii="Times New Roman" w:hAnsi="Times New Roman"/>
          <w:sz w:val="24"/>
          <w:szCs w:val="24"/>
        </w:rPr>
        <w:t>In its Petition, OPC has made several requests.</w:t>
      </w:r>
      <w:r w:rsidR="00861A6A">
        <w:rPr>
          <w:rFonts w:ascii="Times New Roman" w:hAnsi="Times New Roman"/>
          <w:sz w:val="24"/>
          <w:szCs w:val="24"/>
        </w:rPr>
        <w:t xml:space="preserve">  </w:t>
      </w:r>
      <w:r w:rsidR="00DE4823">
        <w:rPr>
          <w:rFonts w:ascii="Times New Roman" w:hAnsi="Times New Roman"/>
          <w:sz w:val="24"/>
          <w:szCs w:val="24"/>
        </w:rPr>
        <w:t>First,</w:t>
      </w:r>
      <w:r w:rsidR="00861A6A">
        <w:rPr>
          <w:rFonts w:ascii="Times New Roman" w:hAnsi="Times New Roman"/>
          <w:sz w:val="24"/>
          <w:szCs w:val="24"/>
        </w:rPr>
        <w:t xml:space="preserve"> </w:t>
      </w:r>
      <w:r w:rsidR="00DE4823">
        <w:rPr>
          <w:rFonts w:ascii="Times New Roman" w:hAnsi="Times New Roman"/>
          <w:sz w:val="24"/>
          <w:szCs w:val="24"/>
        </w:rPr>
        <w:t>that th</w:t>
      </w:r>
      <w:r w:rsidR="00861A6A">
        <w:rPr>
          <w:rFonts w:ascii="Times New Roman" w:hAnsi="Times New Roman"/>
          <w:sz w:val="24"/>
          <w:szCs w:val="24"/>
        </w:rPr>
        <w:t>is</w:t>
      </w:r>
      <w:r w:rsidR="00DE4823">
        <w:rPr>
          <w:rFonts w:ascii="Times New Roman" w:hAnsi="Times New Roman"/>
          <w:sz w:val="24"/>
          <w:szCs w:val="24"/>
        </w:rPr>
        <w:t xml:space="preserve"> Commission take jurisdiction over any revenue requirement reduction caused by the Act for all regulated utilities: electric, natural gas, water, and wastewater.  Second, that th</w:t>
      </w:r>
      <w:r w:rsidR="00861A6A">
        <w:rPr>
          <w:rFonts w:ascii="Times New Roman" w:hAnsi="Times New Roman"/>
          <w:sz w:val="24"/>
          <w:szCs w:val="24"/>
        </w:rPr>
        <w:t>is</w:t>
      </w:r>
      <w:r w:rsidR="00DE4823">
        <w:rPr>
          <w:rFonts w:ascii="Times New Roman" w:hAnsi="Times New Roman"/>
          <w:sz w:val="24"/>
          <w:szCs w:val="24"/>
        </w:rPr>
        <w:t xml:space="preserve"> Commission place revenues subject to refund covering at least the amount of the Net Operating Income (NOI) impact of lowering the corporate rate from 35 to 21 percent.</w:t>
      </w:r>
      <w:r w:rsidR="00861A6A">
        <w:rPr>
          <w:rFonts w:ascii="Times New Roman" w:hAnsi="Times New Roman"/>
          <w:sz w:val="24"/>
          <w:szCs w:val="24"/>
        </w:rPr>
        <w:t xml:space="preserve">  </w:t>
      </w:r>
      <w:r w:rsidR="00DE4823">
        <w:rPr>
          <w:rFonts w:ascii="Times New Roman" w:hAnsi="Times New Roman"/>
          <w:sz w:val="24"/>
          <w:szCs w:val="24"/>
        </w:rPr>
        <w:t xml:space="preserve">OPC estimates that this amount is presumptively at least 13 percent of overall NOI for each utility.  OPC would accept a corporate undertaking for the NOI impact or written acknowledgement of </w:t>
      </w:r>
      <w:r w:rsidR="00861A6A">
        <w:rPr>
          <w:rFonts w:ascii="Times New Roman" w:hAnsi="Times New Roman"/>
          <w:sz w:val="24"/>
          <w:szCs w:val="24"/>
        </w:rPr>
        <w:t>our</w:t>
      </w:r>
      <w:r w:rsidR="00DE4823">
        <w:rPr>
          <w:rFonts w:ascii="Times New Roman" w:hAnsi="Times New Roman"/>
          <w:sz w:val="24"/>
          <w:szCs w:val="24"/>
        </w:rPr>
        <w:t xml:space="preserve"> jurisdiction.  Third, with regard to the creation of excess accumulated deferred income taxes, OPC requests that th</w:t>
      </w:r>
      <w:r w:rsidR="00861A6A">
        <w:rPr>
          <w:rFonts w:ascii="Times New Roman" w:hAnsi="Times New Roman"/>
          <w:sz w:val="24"/>
          <w:szCs w:val="24"/>
        </w:rPr>
        <w:t>is</w:t>
      </w:r>
      <w:r w:rsidR="00DE4823">
        <w:rPr>
          <w:rFonts w:ascii="Times New Roman" w:hAnsi="Times New Roman"/>
          <w:sz w:val="24"/>
          <w:szCs w:val="24"/>
        </w:rPr>
        <w:t xml:space="preserve"> Commission identify the balances for each utility and order the benefits to be captured and returned to customers pursuant to applicable law.  Fourth, for excess deferred income taxes not related to depreciation, OPC requests that th</w:t>
      </w:r>
      <w:r w:rsidR="003147B8">
        <w:rPr>
          <w:rFonts w:ascii="Times New Roman" w:hAnsi="Times New Roman"/>
          <w:sz w:val="24"/>
          <w:szCs w:val="24"/>
        </w:rPr>
        <w:t>is</w:t>
      </w:r>
      <w:r w:rsidR="00DE4823">
        <w:rPr>
          <w:rFonts w:ascii="Times New Roman" w:hAnsi="Times New Roman"/>
          <w:sz w:val="24"/>
          <w:szCs w:val="24"/>
        </w:rPr>
        <w:t xml:space="preserve"> Commission identify excess amounts for each utility and require that those be flowed back to customers to the greatest degree possible.  Fifth, OPC acknowledges that four electric utilities</w:t>
      </w:r>
      <w:r w:rsidR="00DE4823">
        <w:rPr>
          <w:rStyle w:val="FootnoteReference"/>
          <w:rFonts w:ascii="Times New Roman" w:hAnsi="Times New Roman"/>
          <w:sz w:val="24"/>
          <w:szCs w:val="24"/>
        </w:rPr>
        <w:footnoteReference w:id="3"/>
      </w:r>
      <w:r w:rsidR="00DE4823">
        <w:rPr>
          <w:rFonts w:ascii="Times New Roman" w:hAnsi="Times New Roman"/>
          <w:sz w:val="24"/>
          <w:szCs w:val="24"/>
        </w:rPr>
        <w:t xml:space="preserve"> have settlement agreements which address the issue of a change in federal tax rates.  For those utilities, OPC states that the terms of the individual settlement agreements should be followed for implementation of revenue requirement impacts through filing limited proceedings within the time limits set forth in each of the agreements.</w:t>
      </w:r>
    </w:p>
    <w:p w:rsidR="00DE4823" w:rsidRDefault="00DE4823" w:rsidP="00DE4823">
      <w:pPr>
        <w:pStyle w:val="NoSpacing"/>
        <w:jc w:val="both"/>
        <w:rPr>
          <w:rFonts w:ascii="Times New Roman" w:hAnsi="Times New Roman"/>
          <w:sz w:val="24"/>
          <w:szCs w:val="24"/>
        </w:rPr>
      </w:pPr>
    </w:p>
    <w:p w:rsidR="00DE4823" w:rsidRPr="003A509F" w:rsidRDefault="003A509F" w:rsidP="00DE4823">
      <w:pPr>
        <w:pStyle w:val="NoSpacing"/>
        <w:jc w:val="both"/>
        <w:rPr>
          <w:rFonts w:ascii="Times New Roman" w:hAnsi="Times New Roman"/>
          <w:sz w:val="24"/>
          <w:szCs w:val="24"/>
          <w:u w:val="single"/>
        </w:rPr>
      </w:pPr>
      <w:r>
        <w:rPr>
          <w:rFonts w:ascii="Arial" w:hAnsi="Arial" w:cs="Arial"/>
          <w:b/>
          <w:sz w:val="24"/>
          <w:szCs w:val="24"/>
        </w:rPr>
        <w:tab/>
      </w:r>
      <w:r w:rsidR="00DE4823" w:rsidRPr="003A509F">
        <w:rPr>
          <w:rFonts w:ascii="Times New Roman" w:hAnsi="Times New Roman"/>
          <w:sz w:val="24"/>
          <w:szCs w:val="24"/>
          <w:u w:val="single"/>
        </w:rPr>
        <w:t>FPL’s Response</w:t>
      </w:r>
    </w:p>
    <w:p w:rsidR="003A509F" w:rsidRDefault="003A509F" w:rsidP="00DE4823">
      <w:pPr>
        <w:pStyle w:val="NoSpacing"/>
        <w:jc w:val="both"/>
        <w:rPr>
          <w:rFonts w:ascii="Times New Roman" w:hAnsi="Times New Roman"/>
          <w:sz w:val="24"/>
          <w:szCs w:val="24"/>
        </w:rPr>
      </w:pPr>
    </w:p>
    <w:p w:rsidR="00DE4823" w:rsidRDefault="003A509F" w:rsidP="00DE4823">
      <w:pPr>
        <w:pStyle w:val="NoSpacing"/>
        <w:jc w:val="both"/>
        <w:rPr>
          <w:rFonts w:ascii="Times New Roman" w:hAnsi="Times New Roman"/>
          <w:sz w:val="24"/>
          <w:szCs w:val="24"/>
        </w:rPr>
      </w:pPr>
      <w:r>
        <w:rPr>
          <w:rFonts w:ascii="Times New Roman" w:hAnsi="Times New Roman"/>
          <w:sz w:val="24"/>
          <w:szCs w:val="24"/>
        </w:rPr>
        <w:tab/>
      </w:r>
      <w:r w:rsidR="00DE4823" w:rsidRPr="0059345E">
        <w:rPr>
          <w:rFonts w:ascii="Times New Roman" w:hAnsi="Times New Roman"/>
          <w:sz w:val="24"/>
          <w:szCs w:val="24"/>
        </w:rPr>
        <w:t>In its response</w:t>
      </w:r>
      <w:r w:rsidR="00DE4823">
        <w:rPr>
          <w:rFonts w:ascii="Times New Roman" w:hAnsi="Times New Roman"/>
          <w:sz w:val="24"/>
          <w:szCs w:val="24"/>
        </w:rPr>
        <w:t>,</w:t>
      </w:r>
      <w:r w:rsidR="00DE4823" w:rsidRPr="0059345E">
        <w:rPr>
          <w:rFonts w:ascii="Times New Roman" w:hAnsi="Times New Roman"/>
          <w:sz w:val="24"/>
          <w:szCs w:val="24"/>
        </w:rPr>
        <w:t xml:space="preserve"> FPL takes the position that while th</w:t>
      </w:r>
      <w:r w:rsidR="00861A6A">
        <w:rPr>
          <w:rFonts w:ascii="Times New Roman" w:hAnsi="Times New Roman"/>
          <w:sz w:val="24"/>
          <w:szCs w:val="24"/>
        </w:rPr>
        <w:t>is</w:t>
      </w:r>
      <w:r w:rsidR="00DE4823" w:rsidRPr="0059345E">
        <w:rPr>
          <w:rFonts w:ascii="Times New Roman" w:hAnsi="Times New Roman"/>
          <w:sz w:val="24"/>
          <w:szCs w:val="24"/>
        </w:rPr>
        <w:t xml:space="preserve"> Commission should attach jurisdiction over the resulting federal tax savings on February 6, 2018, no generic proceeding is required at this time.  FPL argues that its Settlement Agreement</w:t>
      </w:r>
      <w:r w:rsidR="00DE4823" w:rsidRPr="0059345E">
        <w:rPr>
          <w:rStyle w:val="FootnoteReference"/>
          <w:rFonts w:ascii="Times New Roman" w:hAnsi="Times New Roman"/>
          <w:sz w:val="24"/>
          <w:szCs w:val="24"/>
        </w:rPr>
        <w:footnoteReference w:id="4"/>
      </w:r>
      <w:r w:rsidR="00DE4823" w:rsidRPr="0059345E">
        <w:rPr>
          <w:rFonts w:ascii="Times New Roman" w:hAnsi="Times New Roman"/>
          <w:sz w:val="24"/>
          <w:szCs w:val="24"/>
        </w:rPr>
        <w:t xml:space="preserve"> allows it to amortize its $1.25 billion of depreciation and dismantlement reserve surplus as it sees fit to maintain its earnings within its authorized rate of return range of 9.6 percent to 11.6 percent.  At this time FPL has been able to offset most of its Hurricane Irma expenses by amortizing the full amount of the </w:t>
      </w:r>
      <w:r w:rsidR="00DE4823" w:rsidRPr="0059345E">
        <w:rPr>
          <w:rFonts w:ascii="Times New Roman" w:hAnsi="Times New Roman"/>
          <w:sz w:val="24"/>
          <w:szCs w:val="24"/>
        </w:rPr>
        <w:lastRenderedPageBreak/>
        <w:t xml:space="preserve">depreciation and dismantlement reserve surplus.  FPL intends to use tax savings that are the result of the Act to partially replenish the reserve surplus through amortization of debits as allowed by the Settlement Agreement.  Finally, FPL states that this process can be fully tracked through </w:t>
      </w:r>
      <w:r w:rsidR="00DE4823">
        <w:rPr>
          <w:rFonts w:ascii="Times New Roman" w:hAnsi="Times New Roman"/>
          <w:sz w:val="24"/>
          <w:szCs w:val="24"/>
        </w:rPr>
        <w:t>the</w:t>
      </w:r>
      <w:r w:rsidR="00DE4823" w:rsidRPr="0059345E">
        <w:rPr>
          <w:rFonts w:ascii="Times New Roman" w:hAnsi="Times New Roman"/>
          <w:sz w:val="24"/>
          <w:szCs w:val="24"/>
        </w:rPr>
        <w:t xml:space="preserve"> depreciation and dismantlement reserve</w:t>
      </w:r>
      <w:r w:rsidR="00DE4823">
        <w:rPr>
          <w:rFonts w:ascii="Times New Roman" w:hAnsi="Times New Roman"/>
          <w:sz w:val="24"/>
          <w:szCs w:val="24"/>
        </w:rPr>
        <w:t xml:space="preserve"> </w:t>
      </w:r>
      <w:r w:rsidR="00DE4823" w:rsidRPr="0059345E">
        <w:rPr>
          <w:rFonts w:ascii="Times New Roman" w:hAnsi="Times New Roman"/>
          <w:sz w:val="24"/>
          <w:szCs w:val="24"/>
        </w:rPr>
        <w:t xml:space="preserve">report </w:t>
      </w:r>
      <w:r w:rsidR="00DE4823">
        <w:rPr>
          <w:rFonts w:ascii="Times New Roman" w:hAnsi="Times New Roman"/>
          <w:sz w:val="24"/>
          <w:szCs w:val="24"/>
        </w:rPr>
        <w:t xml:space="preserve">attached to the December surveillance report required by the Settlement Agreement to be filed each year. </w:t>
      </w:r>
    </w:p>
    <w:p w:rsidR="00182080" w:rsidRDefault="00DE4823" w:rsidP="00182080">
      <w:pPr>
        <w:pStyle w:val="NoSpacing"/>
        <w:jc w:val="both"/>
        <w:rPr>
          <w:rFonts w:ascii="Times New Roman" w:hAnsi="Times New Roman"/>
          <w:sz w:val="24"/>
          <w:szCs w:val="24"/>
        </w:rPr>
      </w:pPr>
      <w:r>
        <w:rPr>
          <w:rFonts w:ascii="Times New Roman" w:hAnsi="Times New Roman"/>
          <w:sz w:val="24"/>
          <w:szCs w:val="24"/>
        </w:rPr>
        <w:t xml:space="preserve">      </w:t>
      </w:r>
    </w:p>
    <w:p w:rsidR="003A509F" w:rsidRPr="003A509F" w:rsidRDefault="003A509F" w:rsidP="00182080">
      <w:pPr>
        <w:pStyle w:val="NoSpacing"/>
        <w:jc w:val="center"/>
        <w:rPr>
          <w:rFonts w:ascii="Times New Roman" w:hAnsi="Times New Roman"/>
          <w:sz w:val="24"/>
          <w:szCs w:val="24"/>
          <w:u w:val="single"/>
        </w:rPr>
      </w:pPr>
      <w:r w:rsidRPr="003A509F">
        <w:rPr>
          <w:rFonts w:ascii="Times New Roman" w:hAnsi="Times New Roman"/>
          <w:sz w:val="24"/>
          <w:szCs w:val="24"/>
          <w:u w:val="single"/>
        </w:rPr>
        <w:t>DECISION</w:t>
      </w:r>
    </w:p>
    <w:p w:rsidR="003A509F" w:rsidRDefault="003A509F" w:rsidP="00DE4823">
      <w:pPr>
        <w:pStyle w:val="NoSpacing"/>
        <w:jc w:val="both"/>
        <w:rPr>
          <w:rFonts w:ascii="Arial" w:hAnsi="Arial" w:cs="Arial"/>
          <w:b/>
          <w:sz w:val="24"/>
          <w:szCs w:val="24"/>
        </w:rPr>
      </w:pPr>
    </w:p>
    <w:p w:rsidR="00DE4823" w:rsidRDefault="003A509F" w:rsidP="00DE4823">
      <w:pPr>
        <w:pStyle w:val="NoSpacing"/>
        <w:jc w:val="both"/>
        <w:rPr>
          <w:rFonts w:ascii="Times New Roman" w:hAnsi="Times New Roman"/>
          <w:sz w:val="24"/>
          <w:szCs w:val="24"/>
          <w:u w:val="single"/>
        </w:rPr>
      </w:pPr>
      <w:r>
        <w:rPr>
          <w:rFonts w:ascii="Arial" w:hAnsi="Arial" w:cs="Arial"/>
          <w:b/>
          <w:sz w:val="24"/>
          <w:szCs w:val="24"/>
        </w:rPr>
        <w:tab/>
      </w:r>
      <w:r w:rsidR="00DE4823" w:rsidRPr="003A509F">
        <w:rPr>
          <w:rFonts w:ascii="Times New Roman" w:hAnsi="Times New Roman"/>
          <w:sz w:val="24"/>
          <w:szCs w:val="24"/>
          <w:u w:val="single"/>
        </w:rPr>
        <w:t>Jurisdiction</w:t>
      </w:r>
    </w:p>
    <w:p w:rsidR="003A509F" w:rsidRPr="003A509F" w:rsidRDefault="003A509F" w:rsidP="00DE4823">
      <w:pPr>
        <w:pStyle w:val="NoSpacing"/>
        <w:jc w:val="both"/>
        <w:rPr>
          <w:rFonts w:ascii="Times New Roman" w:hAnsi="Times New Roman"/>
          <w:sz w:val="24"/>
          <w:szCs w:val="24"/>
          <w:u w:val="single"/>
        </w:rPr>
      </w:pPr>
    </w:p>
    <w:p w:rsidR="00DE4823" w:rsidRDefault="003A509F" w:rsidP="00DE4823">
      <w:pPr>
        <w:pStyle w:val="NoSpacing"/>
        <w:jc w:val="both"/>
        <w:rPr>
          <w:rFonts w:ascii="Times New Roman" w:hAnsi="Times New Roman"/>
          <w:sz w:val="24"/>
          <w:szCs w:val="24"/>
        </w:rPr>
      </w:pPr>
      <w:r>
        <w:rPr>
          <w:rFonts w:ascii="Times New Roman" w:hAnsi="Times New Roman"/>
          <w:sz w:val="24"/>
          <w:szCs w:val="24"/>
        </w:rPr>
        <w:tab/>
      </w:r>
      <w:r w:rsidR="00861A6A">
        <w:rPr>
          <w:rFonts w:ascii="Times New Roman" w:hAnsi="Times New Roman"/>
          <w:sz w:val="24"/>
          <w:szCs w:val="24"/>
        </w:rPr>
        <w:t xml:space="preserve">We have </w:t>
      </w:r>
      <w:r w:rsidR="00DE4823">
        <w:rPr>
          <w:rFonts w:ascii="Times New Roman" w:hAnsi="Times New Roman"/>
          <w:sz w:val="24"/>
          <w:szCs w:val="24"/>
        </w:rPr>
        <w:t>the authority to regulate and supervise each electric and gas public utility with respect to its rates and service as well as to set fair, just, and reasonable rates for those utilities.  Sections 366.04(1) and 366.06(1), F.S.  Th</w:t>
      </w:r>
      <w:r w:rsidR="00492015">
        <w:rPr>
          <w:rFonts w:ascii="Times New Roman" w:hAnsi="Times New Roman"/>
          <w:sz w:val="24"/>
          <w:szCs w:val="24"/>
        </w:rPr>
        <w:t>is</w:t>
      </w:r>
      <w:r w:rsidR="00DE4823">
        <w:rPr>
          <w:rFonts w:ascii="Times New Roman" w:hAnsi="Times New Roman"/>
          <w:sz w:val="24"/>
          <w:szCs w:val="24"/>
        </w:rPr>
        <w:t xml:space="preserve"> Commission also has exclusive jurisdiction over each non-exempt water and wastewater utility with respect to its authority, service and rates.  Section 367.011(1), F.S.  The Legislature has recognized that regulation of public utilities is in the public interest and is an exercise of the police power of the state to protect the public health, safety and welfare.  As such</w:t>
      </w:r>
      <w:r w:rsidR="00492015">
        <w:rPr>
          <w:rFonts w:ascii="Times New Roman" w:hAnsi="Times New Roman"/>
          <w:sz w:val="24"/>
          <w:szCs w:val="24"/>
        </w:rPr>
        <w:t>,</w:t>
      </w:r>
      <w:r w:rsidR="00DE4823">
        <w:rPr>
          <w:rFonts w:ascii="Times New Roman" w:hAnsi="Times New Roman"/>
          <w:sz w:val="24"/>
          <w:szCs w:val="24"/>
        </w:rPr>
        <w:t xml:space="preserve"> th</w:t>
      </w:r>
      <w:r w:rsidR="00492015">
        <w:rPr>
          <w:rFonts w:ascii="Times New Roman" w:hAnsi="Times New Roman"/>
          <w:sz w:val="24"/>
          <w:szCs w:val="24"/>
        </w:rPr>
        <w:t>is</w:t>
      </w:r>
      <w:r w:rsidR="00DE4823">
        <w:rPr>
          <w:rFonts w:ascii="Times New Roman" w:hAnsi="Times New Roman"/>
          <w:sz w:val="24"/>
          <w:szCs w:val="24"/>
        </w:rPr>
        <w:t xml:space="preserve"> Commission’s authority shall be liberally construed to accomplish this purpose.  Sections 366.01 and 367.011, F.S.  While th</w:t>
      </w:r>
      <w:r w:rsidR="00492015">
        <w:rPr>
          <w:rFonts w:ascii="Times New Roman" w:hAnsi="Times New Roman"/>
          <w:sz w:val="24"/>
          <w:szCs w:val="24"/>
        </w:rPr>
        <w:t>is</w:t>
      </w:r>
      <w:r w:rsidR="00DE4823">
        <w:rPr>
          <w:rFonts w:ascii="Times New Roman" w:hAnsi="Times New Roman"/>
          <w:sz w:val="24"/>
          <w:szCs w:val="24"/>
        </w:rPr>
        <w:t xml:space="preserve"> Commission has broad ratemaking authority, </w:t>
      </w:r>
      <w:r w:rsidR="00492015">
        <w:rPr>
          <w:rFonts w:ascii="Times New Roman" w:hAnsi="Times New Roman"/>
          <w:sz w:val="24"/>
          <w:szCs w:val="24"/>
        </w:rPr>
        <w:t>we do</w:t>
      </w:r>
      <w:r w:rsidR="00DE4823">
        <w:rPr>
          <w:rFonts w:ascii="Times New Roman" w:hAnsi="Times New Roman"/>
          <w:sz w:val="24"/>
          <w:szCs w:val="24"/>
        </w:rPr>
        <w:t xml:space="preserve"> not have the ability to impose retroactive rate modifications.  </w:t>
      </w:r>
      <w:r w:rsidR="00DE4823">
        <w:rPr>
          <w:rFonts w:ascii="Times New Roman" w:hAnsi="Times New Roman"/>
          <w:sz w:val="24"/>
          <w:szCs w:val="24"/>
          <w:u w:val="single"/>
        </w:rPr>
        <w:t>City of Miami v. Florida Public Service Commission</w:t>
      </w:r>
      <w:r w:rsidR="00DE4823">
        <w:rPr>
          <w:rFonts w:ascii="Times New Roman" w:hAnsi="Times New Roman"/>
          <w:sz w:val="24"/>
          <w:szCs w:val="24"/>
        </w:rPr>
        <w:t xml:space="preserve">, 208 So. 2d 249, 259 (Fla. 1968); </w:t>
      </w:r>
      <w:r w:rsidR="00DE4823" w:rsidRPr="00BC1F3E">
        <w:rPr>
          <w:rFonts w:ascii="Times New Roman" w:hAnsi="Times New Roman"/>
          <w:sz w:val="24"/>
          <w:szCs w:val="24"/>
          <w:u w:val="single"/>
        </w:rPr>
        <w:t>Southern Bell Telephone and Telegraph Company</w:t>
      </w:r>
      <w:r w:rsidR="00492015">
        <w:rPr>
          <w:rFonts w:ascii="Times New Roman" w:hAnsi="Times New Roman"/>
          <w:sz w:val="24"/>
          <w:szCs w:val="24"/>
          <w:u w:val="single"/>
        </w:rPr>
        <w:t xml:space="preserve"> </w:t>
      </w:r>
      <w:r w:rsidR="00DE4823" w:rsidRPr="00BC1F3E">
        <w:rPr>
          <w:rFonts w:ascii="Times New Roman" w:hAnsi="Times New Roman"/>
          <w:sz w:val="24"/>
          <w:szCs w:val="24"/>
          <w:u w:val="single"/>
        </w:rPr>
        <w:t>v. Florida Public Service Commission</w:t>
      </w:r>
      <w:r w:rsidR="00DE4823">
        <w:rPr>
          <w:rFonts w:ascii="Times New Roman" w:hAnsi="Times New Roman"/>
          <w:sz w:val="24"/>
          <w:szCs w:val="24"/>
        </w:rPr>
        <w:t xml:space="preserve">, 453 So. 2d 780, 784 (Fla. 1984).  </w:t>
      </w:r>
    </w:p>
    <w:p w:rsidR="00DE4823" w:rsidRDefault="00DE4823" w:rsidP="00DE4823">
      <w:pPr>
        <w:pStyle w:val="NoSpacing"/>
        <w:jc w:val="both"/>
        <w:rPr>
          <w:rFonts w:ascii="Times New Roman" w:hAnsi="Times New Roman"/>
          <w:sz w:val="24"/>
          <w:szCs w:val="24"/>
        </w:rPr>
      </w:pPr>
    </w:p>
    <w:p w:rsidR="00DE4823" w:rsidRDefault="003A509F" w:rsidP="00DE4823">
      <w:pPr>
        <w:pStyle w:val="NoSpacing"/>
        <w:jc w:val="both"/>
        <w:rPr>
          <w:rFonts w:ascii="Times New Roman" w:hAnsi="Times New Roman"/>
          <w:sz w:val="24"/>
          <w:szCs w:val="24"/>
        </w:rPr>
      </w:pPr>
      <w:r>
        <w:rPr>
          <w:rFonts w:ascii="Times New Roman" w:hAnsi="Times New Roman"/>
          <w:sz w:val="24"/>
          <w:szCs w:val="24"/>
        </w:rPr>
        <w:tab/>
        <w:t>D</w:t>
      </w:r>
      <w:r w:rsidR="00DE4823">
        <w:rPr>
          <w:rFonts w:ascii="Times New Roman" w:hAnsi="Times New Roman"/>
          <w:sz w:val="24"/>
          <w:szCs w:val="24"/>
        </w:rPr>
        <w:t xml:space="preserve">ue to the potential significant revenue requirement impacts that the Act may have on all electric and natural gas utilities, as well as certain water and wastewater utilities, </w:t>
      </w:r>
      <w:r w:rsidR="00492015">
        <w:rPr>
          <w:rFonts w:ascii="Times New Roman" w:hAnsi="Times New Roman"/>
          <w:sz w:val="24"/>
          <w:szCs w:val="24"/>
        </w:rPr>
        <w:t xml:space="preserve">we find it appropriate to </w:t>
      </w:r>
      <w:r w:rsidR="00DE4823">
        <w:rPr>
          <w:rFonts w:ascii="Times New Roman" w:hAnsi="Times New Roman"/>
          <w:sz w:val="24"/>
          <w:szCs w:val="24"/>
        </w:rPr>
        <w:t>assert jurisdiction over this subject matter effective on the date of the vote, February 6, 2018, or the date contained in the regulated utilities’ settlement agreements</w:t>
      </w:r>
      <w:r w:rsidR="00861A6A">
        <w:rPr>
          <w:rFonts w:ascii="Times New Roman" w:hAnsi="Times New Roman"/>
          <w:sz w:val="24"/>
          <w:szCs w:val="24"/>
        </w:rPr>
        <w:t>, or January 1, 2018, if the utility has no settlement agreement and has agreed to that date</w:t>
      </w:r>
      <w:r w:rsidR="00DE4823">
        <w:rPr>
          <w:rFonts w:ascii="Times New Roman" w:hAnsi="Times New Roman"/>
          <w:sz w:val="24"/>
          <w:szCs w:val="24"/>
        </w:rPr>
        <w:t>.  The practical effect of asserting jurisdiction is to put utilities on notice that all revenue requirement adjustments ultimately imposed by th</w:t>
      </w:r>
      <w:r w:rsidR="00492015">
        <w:rPr>
          <w:rFonts w:ascii="Times New Roman" w:hAnsi="Times New Roman"/>
          <w:sz w:val="24"/>
          <w:szCs w:val="24"/>
        </w:rPr>
        <w:t>is</w:t>
      </w:r>
      <w:r w:rsidR="00DE4823">
        <w:rPr>
          <w:rFonts w:ascii="Times New Roman" w:hAnsi="Times New Roman"/>
          <w:sz w:val="24"/>
          <w:szCs w:val="24"/>
        </w:rPr>
        <w:t xml:space="preserve"> Commission due to the Act’s provisions will be calculated as of February 6, 2018, the date of </w:t>
      </w:r>
      <w:r w:rsidR="00492015">
        <w:rPr>
          <w:rFonts w:ascii="Times New Roman" w:hAnsi="Times New Roman"/>
          <w:sz w:val="24"/>
          <w:szCs w:val="24"/>
        </w:rPr>
        <w:t xml:space="preserve">our </w:t>
      </w:r>
      <w:r w:rsidR="00DE4823">
        <w:rPr>
          <w:rFonts w:ascii="Times New Roman" w:hAnsi="Times New Roman"/>
          <w:sz w:val="24"/>
          <w:szCs w:val="24"/>
        </w:rPr>
        <w:t>vote</w:t>
      </w:r>
      <w:r w:rsidR="003147B8">
        <w:rPr>
          <w:rFonts w:ascii="Times New Roman" w:hAnsi="Times New Roman"/>
          <w:sz w:val="24"/>
          <w:szCs w:val="24"/>
        </w:rPr>
        <w:t>,</w:t>
      </w:r>
      <w:r w:rsidR="00BE216C">
        <w:rPr>
          <w:rFonts w:ascii="Times New Roman" w:hAnsi="Times New Roman"/>
          <w:sz w:val="24"/>
          <w:szCs w:val="24"/>
        </w:rPr>
        <w:t xml:space="preserve"> or</w:t>
      </w:r>
      <w:r w:rsidR="00DE4823">
        <w:rPr>
          <w:rFonts w:ascii="Times New Roman" w:hAnsi="Times New Roman"/>
          <w:sz w:val="24"/>
          <w:szCs w:val="24"/>
        </w:rPr>
        <w:t xml:space="preserve"> the date contained in each electric utilities’</w:t>
      </w:r>
      <w:r w:rsidR="00492015">
        <w:rPr>
          <w:rFonts w:ascii="Times New Roman" w:hAnsi="Times New Roman"/>
          <w:sz w:val="24"/>
          <w:szCs w:val="24"/>
        </w:rPr>
        <w:t xml:space="preserve"> s</w:t>
      </w:r>
      <w:r w:rsidR="00DE4823">
        <w:rPr>
          <w:rFonts w:ascii="Times New Roman" w:hAnsi="Times New Roman"/>
          <w:sz w:val="24"/>
          <w:szCs w:val="24"/>
        </w:rPr>
        <w:t>ettlement agreements</w:t>
      </w:r>
      <w:r w:rsidR="00861A6A">
        <w:rPr>
          <w:rFonts w:ascii="Times New Roman" w:hAnsi="Times New Roman"/>
          <w:sz w:val="24"/>
          <w:szCs w:val="24"/>
        </w:rPr>
        <w:t>, or January 1, 2018 if there is no settlement agreement and that date has been agreed to by the utility</w:t>
      </w:r>
      <w:r w:rsidR="00DE4823">
        <w:rPr>
          <w:rFonts w:ascii="Times New Roman" w:hAnsi="Times New Roman"/>
          <w:sz w:val="24"/>
          <w:szCs w:val="24"/>
        </w:rPr>
        <w:t xml:space="preserve">.  Attachment A lists the regulated utilities by industry and gives the effective date for each.     </w:t>
      </w:r>
    </w:p>
    <w:p w:rsidR="00DE4823" w:rsidRDefault="00DE4823" w:rsidP="00DE4823">
      <w:pPr>
        <w:pStyle w:val="NoSpacing"/>
        <w:jc w:val="both"/>
        <w:rPr>
          <w:rFonts w:ascii="Times New Roman" w:hAnsi="Times New Roman"/>
          <w:sz w:val="24"/>
          <w:szCs w:val="24"/>
        </w:rPr>
      </w:pPr>
    </w:p>
    <w:p w:rsidR="00DE4823" w:rsidRPr="003A509F" w:rsidRDefault="003A509F" w:rsidP="00DE4823">
      <w:pPr>
        <w:pStyle w:val="NoSpacing"/>
        <w:jc w:val="both"/>
        <w:rPr>
          <w:rFonts w:ascii="Times New Roman" w:hAnsi="Times New Roman"/>
          <w:sz w:val="24"/>
          <w:szCs w:val="24"/>
          <w:u w:val="single"/>
        </w:rPr>
      </w:pPr>
      <w:r>
        <w:rPr>
          <w:rFonts w:ascii="Arial" w:hAnsi="Arial" w:cs="Arial"/>
          <w:b/>
          <w:sz w:val="24"/>
          <w:szCs w:val="24"/>
        </w:rPr>
        <w:tab/>
      </w:r>
      <w:r w:rsidR="00DE4823" w:rsidRPr="003A509F">
        <w:rPr>
          <w:rFonts w:ascii="Times New Roman" w:hAnsi="Times New Roman"/>
          <w:sz w:val="24"/>
          <w:szCs w:val="24"/>
          <w:u w:val="single"/>
        </w:rPr>
        <w:t>Revenues Subject to Refund</w:t>
      </w:r>
    </w:p>
    <w:p w:rsidR="003A509F" w:rsidRDefault="003A509F" w:rsidP="00DE4823">
      <w:pPr>
        <w:pStyle w:val="NoSpacing"/>
        <w:jc w:val="both"/>
        <w:rPr>
          <w:rFonts w:ascii="Times New Roman" w:hAnsi="Times New Roman"/>
          <w:sz w:val="24"/>
          <w:szCs w:val="24"/>
        </w:rPr>
      </w:pPr>
    </w:p>
    <w:p w:rsidR="00DE4823" w:rsidRDefault="003A509F" w:rsidP="00DE4823">
      <w:pPr>
        <w:pStyle w:val="NoSpacing"/>
        <w:jc w:val="both"/>
        <w:rPr>
          <w:rFonts w:ascii="Times New Roman" w:hAnsi="Times New Roman"/>
          <w:sz w:val="24"/>
          <w:szCs w:val="24"/>
        </w:rPr>
      </w:pPr>
      <w:r>
        <w:rPr>
          <w:rFonts w:ascii="Times New Roman" w:hAnsi="Times New Roman"/>
          <w:sz w:val="24"/>
          <w:szCs w:val="24"/>
        </w:rPr>
        <w:tab/>
      </w:r>
      <w:r w:rsidR="00DE4823">
        <w:rPr>
          <w:rFonts w:ascii="Times New Roman" w:hAnsi="Times New Roman"/>
          <w:sz w:val="24"/>
          <w:szCs w:val="24"/>
        </w:rPr>
        <w:t xml:space="preserve">At the outset,  it is important to note that the impact of the Act on each regulated industry, as well as each individual utility, will be vastly different as each industry, as well as each utility,  has a unique set of financial characteristics affected by the Act.  The most obvious of these is whether the utility is currently earning within its authorized rate of return.  If a utility is currently earning below its authorized rate of return range, as is the case for many water and wastewater utilities, a reduction in corporate tax rate may produce no reduction in revenue requirements.  The second important consideration is the fact that the Act is complex with many moving parts some of which will increase revenue requirements and some of which will reduce revenue </w:t>
      </w:r>
      <w:r w:rsidR="00DE4823">
        <w:rPr>
          <w:rFonts w:ascii="Times New Roman" w:hAnsi="Times New Roman"/>
          <w:sz w:val="24"/>
          <w:szCs w:val="24"/>
        </w:rPr>
        <w:lastRenderedPageBreak/>
        <w:t>requirements.  Further, the IRS has not yet published directives interpreting and implementing the Act and will not be able to do so for some time.  The Act is less than 30 days old.  While good corporate management requires that each regulated utility immediately begin to analyze the impact of the Act on its finances, that task takes time, particularly when one considers that Florida’s electric utilities are part of larger conglomerates as are many natural gas, and water and wastewater companies.</w:t>
      </w:r>
    </w:p>
    <w:p w:rsidR="00DE4823" w:rsidRDefault="00DE4823" w:rsidP="00DE4823">
      <w:pPr>
        <w:pStyle w:val="NoSpacing"/>
        <w:jc w:val="both"/>
        <w:rPr>
          <w:rFonts w:ascii="Times New Roman" w:hAnsi="Times New Roman"/>
          <w:sz w:val="24"/>
          <w:szCs w:val="24"/>
        </w:rPr>
      </w:pPr>
    </w:p>
    <w:p w:rsidR="00DE4823" w:rsidRDefault="003A509F" w:rsidP="00DE4823">
      <w:pPr>
        <w:pStyle w:val="NoSpacing"/>
        <w:jc w:val="both"/>
        <w:rPr>
          <w:rFonts w:ascii="Times New Roman" w:hAnsi="Times New Roman"/>
          <w:sz w:val="24"/>
          <w:szCs w:val="24"/>
        </w:rPr>
      </w:pPr>
      <w:r>
        <w:rPr>
          <w:rFonts w:ascii="Times New Roman" w:hAnsi="Times New Roman"/>
          <w:sz w:val="24"/>
          <w:szCs w:val="24"/>
        </w:rPr>
        <w:tab/>
      </w:r>
      <w:r w:rsidR="00DE4823">
        <w:rPr>
          <w:rFonts w:ascii="Times New Roman" w:hAnsi="Times New Roman"/>
          <w:sz w:val="24"/>
          <w:szCs w:val="24"/>
        </w:rPr>
        <w:t xml:space="preserve">For these reasons, </w:t>
      </w:r>
      <w:r w:rsidR="00492015">
        <w:rPr>
          <w:rFonts w:ascii="Times New Roman" w:hAnsi="Times New Roman"/>
          <w:sz w:val="24"/>
          <w:szCs w:val="24"/>
        </w:rPr>
        <w:t xml:space="preserve">we will not </w:t>
      </w:r>
      <w:r w:rsidR="00DE4823">
        <w:rPr>
          <w:rFonts w:ascii="Times New Roman" w:hAnsi="Times New Roman"/>
          <w:sz w:val="24"/>
          <w:szCs w:val="24"/>
        </w:rPr>
        <w:t>require each utility without a settlement agreement to set an amount subject to refund based on a 13 percent reduction in overall NOI.  There simply is no basis for using that amount, or any other amount, at this time.  The date for each regulated utility to provide th</w:t>
      </w:r>
      <w:r w:rsidR="00492015">
        <w:rPr>
          <w:rFonts w:ascii="Times New Roman" w:hAnsi="Times New Roman"/>
          <w:sz w:val="24"/>
          <w:szCs w:val="24"/>
        </w:rPr>
        <w:t>is</w:t>
      </w:r>
      <w:r w:rsidR="00DE4823">
        <w:rPr>
          <w:rFonts w:ascii="Times New Roman" w:hAnsi="Times New Roman"/>
          <w:sz w:val="24"/>
          <w:szCs w:val="24"/>
        </w:rPr>
        <w:t xml:space="preserve"> Commission with its calculation of the impacts of the Act should be made with input from all utilities affected as part of developing an overall schedule for processing the issues in this docket.  Likewise, </w:t>
      </w:r>
      <w:r w:rsidR="00492015">
        <w:rPr>
          <w:rFonts w:ascii="Times New Roman" w:hAnsi="Times New Roman"/>
          <w:sz w:val="24"/>
          <w:szCs w:val="24"/>
        </w:rPr>
        <w:t xml:space="preserve">we </w:t>
      </w:r>
      <w:r w:rsidR="00DE4823">
        <w:rPr>
          <w:rFonts w:ascii="Times New Roman" w:hAnsi="Times New Roman"/>
          <w:sz w:val="24"/>
          <w:szCs w:val="24"/>
        </w:rPr>
        <w:t xml:space="preserve">agree with OPC that each regulated utility must calculate the excess accumulated deferred income taxes and excess deferred income taxes not related to depreciation which result from the Act.  The date that these calculations must be provided to </w:t>
      </w:r>
      <w:r w:rsidR="00492015">
        <w:rPr>
          <w:rFonts w:ascii="Times New Roman" w:hAnsi="Times New Roman"/>
          <w:sz w:val="24"/>
          <w:szCs w:val="24"/>
        </w:rPr>
        <w:t xml:space="preserve">this Commission </w:t>
      </w:r>
      <w:r w:rsidR="00DE4823">
        <w:rPr>
          <w:rFonts w:ascii="Times New Roman" w:hAnsi="Times New Roman"/>
          <w:sz w:val="24"/>
          <w:szCs w:val="24"/>
        </w:rPr>
        <w:t>sh</w:t>
      </w:r>
      <w:r w:rsidR="00492015">
        <w:rPr>
          <w:rFonts w:ascii="Times New Roman" w:hAnsi="Times New Roman"/>
          <w:sz w:val="24"/>
          <w:szCs w:val="24"/>
        </w:rPr>
        <w:t>all</w:t>
      </w:r>
      <w:r w:rsidR="00DE4823">
        <w:rPr>
          <w:rFonts w:ascii="Times New Roman" w:hAnsi="Times New Roman"/>
          <w:sz w:val="24"/>
          <w:szCs w:val="24"/>
        </w:rPr>
        <w:t xml:space="preserve"> also be the subject of discussions with all affected utilities as part of developing an overall schedule for processing the issues in this docket.  </w:t>
      </w:r>
      <w:r w:rsidR="00492015">
        <w:rPr>
          <w:rFonts w:ascii="Times New Roman" w:hAnsi="Times New Roman"/>
          <w:sz w:val="24"/>
          <w:szCs w:val="24"/>
        </w:rPr>
        <w:t>We further find that d</w:t>
      </w:r>
      <w:r w:rsidR="00DE4823">
        <w:rPr>
          <w:rFonts w:ascii="Times New Roman" w:hAnsi="Times New Roman"/>
          <w:sz w:val="24"/>
          <w:szCs w:val="24"/>
        </w:rPr>
        <w:t>iscussions with stakeholders on the most efficient procedure(s) to process the impacts of the Act sh</w:t>
      </w:r>
      <w:r w:rsidR="00492015">
        <w:rPr>
          <w:rFonts w:ascii="Times New Roman" w:hAnsi="Times New Roman"/>
          <w:sz w:val="24"/>
          <w:szCs w:val="24"/>
        </w:rPr>
        <w:t>all</w:t>
      </w:r>
      <w:r w:rsidR="00DE4823">
        <w:rPr>
          <w:rFonts w:ascii="Times New Roman" w:hAnsi="Times New Roman"/>
          <w:sz w:val="24"/>
          <w:szCs w:val="24"/>
        </w:rPr>
        <w:t xml:space="preserve"> be instituted as soon as practical. </w:t>
      </w:r>
    </w:p>
    <w:p w:rsidR="00C577DD" w:rsidRDefault="00C577DD" w:rsidP="00DE4823">
      <w:pPr>
        <w:pStyle w:val="NoSpacing"/>
        <w:jc w:val="both"/>
        <w:rPr>
          <w:rFonts w:ascii="Times New Roman" w:hAnsi="Times New Roman"/>
          <w:sz w:val="24"/>
          <w:szCs w:val="24"/>
        </w:rPr>
      </w:pPr>
    </w:p>
    <w:p w:rsidR="00DE4823" w:rsidRPr="00861A6A" w:rsidRDefault="00C577DD" w:rsidP="00C577DD">
      <w:pPr>
        <w:pStyle w:val="NoSpacing"/>
        <w:jc w:val="both"/>
        <w:rPr>
          <w:rFonts w:ascii="Times New Roman" w:hAnsi="Times New Roman"/>
          <w:sz w:val="24"/>
          <w:szCs w:val="24"/>
        </w:rPr>
      </w:pPr>
      <w:r>
        <w:rPr>
          <w:rFonts w:ascii="Times New Roman" w:hAnsi="Times New Roman"/>
          <w:sz w:val="24"/>
          <w:szCs w:val="24"/>
        </w:rPr>
        <w:tab/>
      </w:r>
      <w:r w:rsidRPr="00861A6A">
        <w:rPr>
          <w:rFonts w:ascii="Times New Roman" w:hAnsi="Times New Roman"/>
          <w:sz w:val="24"/>
          <w:szCs w:val="24"/>
        </w:rPr>
        <w:t>Based on the foregoing, it is</w:t>
      </w:r>
    </w:p>
    <w:p w:rsidR="00C577DD" w:rsidRDefault="00C577DD" w:rsidP="00DE4823">
      <w:pPr>
        <w:pStyle w:val="OrderBody"/>
      </w:pPr>
    </w:p>
    <w:p w:rsidR="00BE216C" w:rsidRDefault="00C577DD" w:rsidP="00DE4823">
      <w:pPr>
        <w:pStyle w:val="OrderBody"/>
      </w:pPr>
      <w:r>
        <w:tab/>
        <w:t xml:space="preserve">ORDERED by the Florida Public Service Commission that </w:t>
      </w:r>
      <w:r w:rsidR="00BE216C">
        <w:t xml:space="preserve">unless the utilities agree to a January 1, 2018 effective date, the effective date for adjustments associated with the Tax Cuts and Jobs Act of 2017 shall be February 6, 2018, for utilities that do not have settlement agreements addressing this issue.  It is further </w:t>
      </w:r>
    </w:p>
    <w:p w:rsidR="00BE216C" w:rsidRDefault="00C577DD" w:rsidP="00DE4823">
      <w:pPr>
        <w:pStyle w:val="OrderBody"/>
      </w:pPr>
      <w:r>
        <w:tab/>
      </w:r>
    </w:p>
    <w:p w:rsidR="00BE216C" w:rsidRDefault="00BE216C" w:rsidP="00DE4823">
      <w:pPr>
        <w:pStyle w:val="OrderBody"/>
      </w:pPr>
      <w:r>
        <w:tab/>
      </w:r>
      <w:r w:rsidR="00C577DD">
        <w:t>ORDERED that</w:t>
      </w:r>
      <w:r>
        <w:t xml:space="preserve"> for utilities that have settlement agreements addressing this issue, the terms of each settlement agreement addressing the effective date for adjustments associated with the Tax Cuts and Jobs Act of 2017 shall control.  It is further</w:t>
      </w:r>
    </w:p>
    <w:p w:rsidR="00BE216C" w:rsidRDefault="00BE216C" w:rsidP="00DE4823">
      <w:pPr>
        <w:pStyle w:val="OrderBody"/>
      </w:pPr>
    </w:p>
    <w:p w:rsidR="00C577DD" w:rsidRDefault="00BE216C" w:rsidP="00DE4823">
      <w:pPr>
        <w:pStyle w:val="OrderBody"/>
      </w:pPr>
      <w:r>
        <w:tab/>
        <w:t>ORDERED that the effective date for adjustments associated with the Tax Cuts and Jobs Act of 2017 as stated in Attachment A are hereby approved.  It is further</w:t>
      </w:r>
    </w:p>
    <w:p w:rsidR="00BE216C" w:rsidRDefault="00BE216C" w:rsidP="00DE4823">
      <w:pPr>
        <w:pStyle w:val="OrderBody"/>
      </w:pPr>
    </w:p>
    <w:p w:rsidR="00BE216C" w:rsidRDefault="00BE216C" w:rsidP="00DE4823">
      <w:pPr>
        <w:pStyle w:val="OrderBody"/>
      </w:pPr>
      <w:r>
        <w:tab/>
        <w:t>ORDERED that this docket shall remain open pending resolution of all issues raised herein.</w:t>
      </w:r>
    </w:p>
    <w:p w:rsidR="00BE216C" w:rsidRDefault="00BE216C" w:rsidP="00DE4823">
      <w:pPr>
        <w:pStyle w:val="OrderBody"/>
      </w:pPr>
    </w:p>
    <w:p w:rsidR="00BE216C" w:rsidRDefault="00BE216C" w:rsidP="00BE216C">
      <w:pPr>
        <w:pStyle w:val="OrderBody"/>
        <w:keepNext/>
        <w:keepLines/>
      </w:pPr>
      <w:r>
        <w:lastRenderedPageBreak/>
        <w:tab/>
        <w:t xml:space="preserve">By ORDER of the Florida Public Service Commission this </w:t>
      </w:r>
      <w:bookmarkStart w:id="5" w:name="replaceDate"/>
      <w:bookmarkEnd w:id="5"/>
      <w:r w:rsidR="0020026B">
        <w:rPr>
          <w:u w:val="single"/>
        </w:rPr>
        <w:t>26th</w:t>
      </w:r>
      <w:r w:rsidR="0020026B">
        <w:t xml:space="preserve"> day of </w:t>
      </w:r>
      <w:r w:rsidR="0020026B">
        <w:rPr>
          <w:u w:val="single"/>
        </w:rPr>
        <w:t>February</w:t>
      </w:r>
      <w:r w:rsidR="0020026B">
        <w:t xml:space="preserve">, </w:t>
      </w:r>
      <w:r w:rsidR="0020026B">
        <w:rPr>
          <w:u w:val="single"/>
        </w:rPr>
        <w:t>2018</w:t>
      </w:r>
      <w:r w:rsidR="0020026B">
        <w:t>.</w:t>
      </w:r>
    </w:p>
    <w:p w:rsidR="0020026B" w:rsidRPr="0020026B" w:rsidRDefault="0020026B" w:rsidP="00BE216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E216C" w:rsidTr="00BE216C">
        <w:tc>
          <w:tcPr>
            <w:tcW w:w="720" w:type="dxa"/>
            <w:shd w:val="clear" w:color="auto" w:fill="auto"/>
          </w:tcPr>
          <w:p w:rsidR="00BE216C" w:rsidRDefault="00BE216C" w:rsidP="00BE216C">
            <w:pPr>
              <w:pStyle w:val="OrderBody"/>
              <w:keepNext/>
              <w:keepLines/>
            </w:pPr>
            <w:bookmarkStart w:id="6" w:name="bkmrkSignature" w:colFirst="0" w:colLast="0"/>
          </w:p>
        </w:tc>
        <w:tc>
          <w:tcPr>
            <w:tcW w:w="4320" w:type="dxa"/>
            <w:tcBorders>
              <w:bottom w:val="single" w:sz="4" w:space="0" w:color="auto"/>
            </w:tcBorders>
            <w:shd w:val="clear" w:color="auto" w:fill="auto"/>
          </w:tcPr>
          <w:p w:rsidR="0020026B" w:rsidRDefault="0020026B" w:rsidP="00BE216C">
            <w:pPr>
              <w:pStyle w:val="OrderBody"/>
              <w:keepNext/>
              <w:keepLines/>
            </w:pPr>
          </w:p>
          <w:p w:rsidR="00BE216C" w:rsidRDefault="0020026B" w:rsidP="00BE216C">
            <w:pPr>
              <w:pStyle w:val="OrderBody"/>
              <w:keepNext/>
              <w:keepLines/>
            </w:pPr>
            <w:bookmarkStart w:id="7" w:name="_GoBack"/>
            <w:bookmarkEnd w:id="7"/>
            <w:r>
              <w:t>/s/ Carlotta S. Stauffer</w:t>
            </w:r>
          </w:p>
        </w:tc>
      </w:tr>
      <w:bookmarkEnd w:id="6"/>
      <w:tr w:rsidR="00BE216C" w:rsidTr="00BE216C">
        <w:tc>
          <w:tcPr>
            <w:tcW w:w="720" w:type="dxa"/>
            <w:shd w:val="clear" w:color="auto" w:fill="auto"/>
          </w:tcPr>
          <w:p w:rsidR="00BE216C" w:rsidRDefault="00BE216C" w:rsidP="00BE216C">
            <w:pPr>
              <w:pStyle w:val="OrderBody"/>
              <w:keepNext/>
              <w:keepLines/>
            </w:pPr>
          </w:p>
        </w:tc>
        <w:tc>
          <w:tcPr>
            <w:tcW w:w="4320" w:type="dxa"/>
            <w:tcBorders>
              <w:top w:val="single" w:sz="4" w:space="0" w:color="auto"/>
            </w:tcBorders>
            <w:shd w:val="clear" w:color="auto" w:fill="auto"/>
          </w:tcPr>
          <w:p w:rsidR="00BE216C" w:rsidRDefault="00BE216C" w:rsidP="00BE216C">
            <w:pPr>
              <w:pStyle w:val="OrderBody"/>
              <w:keepNext/>
              <w:keepLines/>
            </w:pPr>
            <w:r>
              <w:t>CARLOTTA S. STAUFFER</w:t>
            </w:r>
          </w:p>
          <w:p w:rsidR="00BE216C" w:rsidRDefault="00BE216C" w:rsidP="00BE216C">
            <w:pPr>
              <w:pStyle w:val="OrderBody"/>
              <w:keepNext/>
              <w:keepLines/>
            </w:pPr>
            <w:r>
              <w:t>Commission Clerk</w:t>
            </w:r>
          </w:p>
        </w:tc>
      </w:tr>
    </w:tbl>
    <w:p w:rsidR="00BE216C" w:rsidRDefault="00BE216C" w:rsidP="00BE216C">
      <w:pPr>
        <w:pStyle w:val="OrderSigInfo"/>
        <w:keepNext/>
        <w:keepLines/>
      </w:pPr>
      <w:r>
        <w:t>Florida Public Service Commission</w:t>
      </w:r>
    </w:p>
    <w:p w:rsidR="00BE216C" w:rsidRDefault="00BE216C" w:rsidP="00BE216C">
      <w:pPr>
        <w:pStyle w:val="OrderSigInfo"/>
        <w:keepNext/>
        <w:keepLines/>
      </w:pPr>
      <w:r>
        <w:t>2540 Shumard Oak Boulevard</w:t>
      </w:r>
    </w:p>
    <w:p w:rsidR="00BE216C" w:rsidRDefault="00BE216C" w:rsidP="00BE216C">
      <w:pPr>
        <w:pStyle w:val="OrderSigInfo"/>
        <w:keepNext/>
        <w:keepLines/>
      </w:pPr>
      <w:r>
        <w:t>Tallahassee, Florida  32399</w:t>
      </w:r>
    </w:p>
    <w:p w:rsidR="00BE216C" w:rsidRDefault="00BE216C" w:rsidP="00BE216C">
      <w:pPr>
        <w:pStyle w:val="OrderSigInfo"/>
        <w:keepNext/>
        <w:keepLines/>
      </w:pPr>
      <w:r>
        <w:t>(850) 413</w:t>
      </w:r>
      <w:r>
        <w:noBreakHyphen/>
        <w:t>6770</w:t>
      </w:r>
    </w:p>
    <w:p w:rsidR="00BE216C" w:rsidRDefault="00BE216C" w:rsidP="00BE216C">
      <w:pPr>
        <w:pStyle w:val="OrderSigInfo"/>
        <w:keepNext/>
        <w:keepLines/>
      </w:pPr>
      <w:r>
        <w:t>www.floridapsc.com</w:t>
      </w:r>
    </w:p>
    <w:p w:rsidR="00BE216C" w:rsidRDefault="00BE216C" w:rsidP="00BE216C">
      <w:pPr>
        <w:pStyle w:val="OrderSigInfo"/>
        <w:keepNext/>
        <w:keepLines/>
      </w:pPr>
    </w:p>
    <w:p w:rsidR="00BE216C" w:rsidRDefault="00BE216C" w:rsidP="00BE216C">
      <w:pPr>
        <w:pStyle w:val="OrderSigInfo"/>
        <w:keepNext/>
        <w:keepLines/>
      </w:pPr>
      <w:r>
        <w:t>Copies furnished:  A copy of this document is provided to the parties of record at the time of issuance and, if applicable, interested persons.</w:t>
      </w:r>
    </w:p>
    <w:p w:rsidR="00BE216C" w:rsidRDefault="00BE216C" w:rsidP="00BE216C">
      <w:pPr>
        <w:pStyle w:val="OrderBody"/>
        <w:keepNext/>
        <w:keepLines/>
      </w:pPr>
    </w:p>
    <w:p w:rsidR="00BE216C" w:rsidRDefault="00BE216C" w:rsidP="00BE216C">
      <w:pPr>
        <w:pStyle w:val="OrderBody"/>
        <w:keepNext/>
        <w:keepLines/>
      </w:pPr>
    </w:p>
    <w:p w:rsidR="00BE216C" w:rsidRDefault="00BE216C" w:rsidP="00DE4823">
      <w:pPr>
        <w:pStyle w:val="OrderBody"/>
      </w:pPr>
      <w:r>
        <w:t>SBr</w:t>
      </w:r>
    </w:p>
    <w:p w:rsidR="00BE216C" w:rsidRDefault="00BE216C" w:rsidP="00DE4823">
      <w:pPr>
        <w:pStyle w:val="OrderBody"/>
      </w:pPr>
    </w:p>
    <w:p w:rsidR="00BE216C" w:rsidRDefault="00BE216C" w:rsidP="00DE4823">
      <w:pPr>
        <w:pStyle w:val="OrderBody"/>
      </w:pPr>
    </w:p>
    <w:p w:rsidR="00BE216C" w:rsidRDefault="00BE216C" w:rsidP="00BE216C">
      <w:pPr>
        <w:pStyle w:val="CenterUnderline"/>
      </w:pPr>
      <w:r>
        <w:t>NOTICE OF FURTHER PROCEEDINGS OR JUDICIAL REVIEW</w:t>
      </w:r>
    </w:p>
    <w:p w:rsidR="00BE216C" w:rsidRDefault="00BE216C" w:rsidP="00BE216C">
      <w:pPr>
        <w:pStyle w:val="CenterUnderline"/>
      </w:pPr>
    </w:p>
    <w:p w:rsidR="00BE216C" w:rsidRDefault="00BE216C" w:rsidP="00BE216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E216C" w:rsidRDefault="00BE216C" w:rsidP="00BE216C">
      <w:pPr>
        <w:pStyle w:val="OrderBody"/>
      </w:pPr>
    </w:p>
    <w:p w:rsidR="00BE216C" w:rsidRDefault="00BE216C" w:rsidP="00BE216C">
      <w:pPr>
        <w:pStyle w:val="OrderBody"/>
      </w:pPr>
      <w:r>
        <w:tab/>
        <w:t>Mediation may be available on a case-by-case basis.  If mediation is conducted, it does not affect a substantially interested person's right to a hearing.</w:t>
      </w:r>
    </w:p>
    <w:p w:rsidR="00BE216C" w:rsidRDefault="00BE216C" w:rsidP="00BE216C">
      <w:pPr>
        <w:pStyle w:val="OrderBody"/>
      </w:pPr>
    </w:p>
    <w:p w:rsidR="00BE216C" w:rsidRDefault="00BE216C" w:rsidP="00BE216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E216C" w:rsidRDefault="00BE216C" w:rsidP="00BE216C">
      <w:pPr>
        <w:pStyle w:val="OrderBody"/>
      </w:pPr>
    </w:p>
    <w:p w:rsidR="00BE216C" w:rsidRDefault="00BE216C" w:rsidP="00BE216C">
      <w:pPr>
        <w:pStyle w:val="OrderBody"/>
      </w:pPr>
    </w:p>
    <w:p w:rsidR="003E039E" w:rsidRDefault="003E039E">
      <w:r>
        <w:br w:type="page"/>
      </w:r>
    </w:p>
    <w:tbl>
      <w:tblPr>
        <w:tblW w:w="7845" w:type="dxa"/>
        <w:jc w:val="center"/>
        <w:tblInd w:w="93" w:type="dxa"/>
        <w:tblLook w:val="04A0" w:firstRow="1" w:lastRow="0" w:firstColumn="1" w:lastColumn="0" w:noHBand="0" w:noVBand="1"/>
      </w:tblPr>
      <w:tblGrid>
        <w:gridCol w:w="456"/>
        <w:gridCol w:w="5859"/>
        <w:gridCol w:w="1530"/>
      </w:tblGrid>
      <w:tr w:rsidR="003E039E" w:rsidRPr="006A741F" w:rsidTr="002714ED">
        <w:trPr>
          <w:trHeight w:val="300"/>
          <w:jc w:val="center"/>
        </w:trPr>
        <w:tc>
          <w:tcPr>
            <w:tcW w:w="784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E039E" w:rsidRPr="006A741F" w:rsidRDefault="003E039E" w:rsidP="002714ED">
            <w:pPr>
              <w:jc w:val="center"/>
              <w:rPr>
                <w:rFonts w:cstheme="minorHAnsi"/>
                <w:color w:val="000000"/>
              </w:rPr>
            </w:pPr>
            <w:r w:rsidRPr="006A741F">
              <w:rPr>
                <w:rFonts w:cstheme="minorHAnsi"/>
                <w:color w:val="000000"/>
              </w:rPr>
              <w:lastRenderedPageBreak/>
              <w:t>Attachment A</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 </w:t>
            </w:r>
          </w:p>
        </w:tc>
        <w:tc>
          <w:tcPr>
            <w:tcW w:w="5859" w:type="dxa"/>
            <w:tcBorders>
              <w:top w:val="nil"/>
              <w:left w:val="nil"/>
              <w:bottom w:val="nil"/>
              <w:right w:val="nil"/>
            </w:tcBorders>
            <w:shd w:val="clear" w:color="auto" w:fill="auto"/>
            <w:noWrap/>
            <w:vAlign w:val="bottom"/>
            <w:hideMark/>
          </w:tcPr>
          <w:p w:rsidR="003E039E" w:rsidRPr="006A741F" w:rsidRDefault="003E039E" w:rsidP="002714ED">
            <w:pPr>
              <w:rPr>
                <w:rFonts w:cstheme="minorHAnsi"/>
                <w:b/>
                <w:bCs/>
                <w:color w:val="000000"/>
              </w:rPr>
            </w:pPr>
            <w:r w:rsidRPr="006A741F">
              <w:rPr>
                <w:rFonts w:cstheme="minorHAnsi"/>
                <w:b/>
                <w:bCs/>
                <w:color w:val="000000"/>
              </w:rPr>
              <w:t> </w:t>
            </w:r>
          </w:p>
        </w:tc>
        <w:tc>
          <w:tcPr>
            <w:tcW w:w="1530" w:type="dxa"/>
            <w:tcBorders>
              <w:top w:val="nil"/>
              <w:left w:val="single" w:sz="4" w:space="0" w:color="auto"/>
              <w:bottom w:val="nil"/>
              <w:right w:val="single" w:sz="4" w:space="0" w:color="auto"/>
            </w:tcBorders>
            <w:shd w:val="clear" w:color="auto" w:fill="auto"/>
            <w:noWrap/>
            <w:vAlign w:val="bottom"/>
            <w:hideMark/>
          </w:tcPr>
          <w:p w:rsidR="003E039E" w:rsidRPr="006A741F" w:rsidRDefault="003E039E" w:rsidP="002714ED">
            <w:pPr>
              <w:rPr>
                <w:rFonts w:cstheme="minorHAnsi"/>
                <w:b/>
                <w:bCs/>
                <w:color w:val="000000"/>
              </w:rPr>
            </w:pPr>
            <w:r w:rsidRPr="006A741F">
              <w:rPr>
                <w:rFonts w:cstheme="minorHAnsi"/>
                <w:b/>
                <w:bCs/>
                <w:color w:val="000000"/>
              </w:rPr>
              <w:t>Effective</w:t>
            </w:r>
          </w:p>
        </w:tc>
      </w:tr>
      <w:tr w:rsidR="003E039E" w:rsidRPr="006A741F" w:rsidTr="002714ED">
        <w:trPr>
          <w:trHeight w:val="300"/>
          <w:jc w:val="center"/>
        </w:trPr>
        <w:tc>
          <w:tcPr>
            <w:tcW w:w="456" w:type="dxa"/>
            <w:tcBorders>
              <w:top w:val="nil"/>
              <w:left w:val="single" w:sz="4" w:space="0" w:color="auto"/>
              <w:bottom w:val="single" w:sz="4" w:space="0" w:color="auto"/>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 </w:t>
            </w:r>
          </w:p>
        </w:tc>
        <w:tc>
          <w:tcPr>
            <w:tcW w:w="5859" w:type="dxa"/>
            <w:tcBorders>
              <w:top w:val="nil"/>
              <w:left w:val="nil"/>
              <w:bottom w:val="single" w:sz="4" w:space="0" w:color="auto"/>
              <w:right w:val="nil"/>
            </w:tcBorders>
            <w:shd w:val="clear" w:color="auto" w:fill="auto"/>
            <w:noWrap/>
            <w:vAlign w:val="bottom"/>
            <w:hideMark/>
          </w:tcPr>
          <w:p w:rsidR="003E039E" w:rsidRPr="006A741F" w:rsidRDefault="003E039E" w:rsidP="002714ED">
            <w:pPr>
              <w:rPr>
                <w:rFonts w:cstheme="minorHAnsi"/>
                <w:b/>
                <w:bCs/>
                <w:color w:val="000000"/>
              </w:rPr>
            </w:pPr>
            <w:r w:rsidRPr="006A741F">
              <w:rPr>
                <w:rFonts w:cstheme="minorHAnsi"/>
                <w:b/>
                <w:bCs/>
                <w:color w:val="000000"/>
              </w:rPr>
              <w:t>Company</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3E039E" w:rsidRPr="006A741F" w:rsidRDefault="003E039E" w:rsidP="002714ED">
            <w:pPr>
              <w:rPr>
                <w:rFonts w:cstheme="minorHAnsi"/>
                <w:b/>
                <w:bCs/>
                <w:color w:val="000000"/>
              </w:rPr>
            </w:pPr>
            <w:r w:rsidRPr="006A741F">
              <w:rPr>
                <w:rFonts w:cstheme="minorHAnsi"/>
                <w:b/>
                <w:bCs/>
                <w:color w:val="000000"/>
              </w:rPr>
              <w:t>Date</w:t>
            </w:r>
          </w:p>
        </w:tc>
      </w:tr>
      <w:tr w:rsidR="003E039E" w:rsidRPr="006A741F" w:rsidTr="002714ED">
        <w:trPr>
          <w:trHeight w:val="300"/>
          <w:jc w:val="center"/>
        </w:trPr>
        <w:tc>
          <w:tcPr>
            <w:tcW w:w="456" w:type="dxa"/>
            <w:tcBorders>
              <w:top w:val="nil"/>
              <w:left w:val="single" w:sz="4" w:space="0" w:color="auto"/>
              <w:bottom w:val="single" w:sz="4" w:space="0" w:color="auto"/>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 </w:t>
            </w:r>
          </w:p>
        </w:tc>
        <w:tc>
          <w:tcPr>
            <w:tcW w:w="5859" w:type="dxa"/>
            <w:tcBorders>
              <w:top w:val="nil"/>
              <w:left w:val="nil"/>
              <w:bottom w:val="single" w:sz="4" w:space="0" w:color="auto"/>
              <w:right w:val="nil"/>
            </w:tcBorders>
            <w:shd w:val="clear" w:color="auto" w:fill="auto"/>
            <w:noWrap/>
            <w:vAlign w:val="bottom"/>
            <w:hideMark/>
          </w:tcPr>
          <w:p w:rsidR="003E039E" w:rsidRPr="006A741F" w:rsidRDefault="003E039E" w:rsidP="002714ED">
            <w:pPr>
              <w:rPr>
                <w:rFonts w:cstheme="minorHAnsi"/>
                <w:b/>
                <w:bCs/>
                <w:color w:val="000000"/>
                <w:u w:val="single"/>
              </w:rPr>
            </w:pPr>
            <w:r w:rsidRPr="006A741F">
              <w:rPr>
                <w:rFonts w:cstheme="minorHAnsi"/>
                <w:b/>
                <w:bCs/>
                <w:color w:val="000000"/>
                <w:u w:val="single"/>
              </w:rPr>
              <w:t>Electric</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 </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1</w:t>
            </w:r>
          </w:p>
        </w:tc>
        <w:tc>
          <w:tcPr>
            <w:tcW w:w="5859" w:type="dxa"/>
            <w:tcBorders>
              <w:top w:val="nil"/>
              <w:left w:val="nil"/>
              <w:bottom w:val="nil"/>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Florida Power &amp; Light Company</w:t>
            </w:r>
          </w:p>
        </w:tc>
        <w:tc>
          <w:tcPr>
            <w:tcW w:w="1530" w:type="dxa"/>
            <w:tcBorders>
              <w:top w:val="nil"/>
              <w:left w:val="single" w:sz="4" w:space="0" w:color="auto"/>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2</w:t>
            </w:r>
          </w:p>
        </w:tc>
        <w:tc>
          <w:tcPr>
            <w:tcW w:w="5859" w:type="dxa"/>
            <w:tcBorders>
              <w:top w:val="nil"/>
              <w:left w:val="nil"/>
              <w:bottom w:val="nil"/>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Duke Energy Florida, LLC</w:t>
            </w:r>
          </w:p>
        </w:tc>
        <w:tc>
          <w:tcPr>
            <w:tcW w:w="1530" w:type="dxa"/>
            <w:tcBorders>
              <w:top w:val="nil"/>
              <w:left w:val="single" w:sz="4" w:space="0" w:color="auto"/>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Jan. 1,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3</w:t>
            </w:r>
          </w:p>
        </w:tc>
        <w:tc>
          <w:tcPr>
            <w:tcW w:w="5859" w:type="dxa"/>
            <w:tcBorders>
              <w:top w:val="nil"/>
              <w:left w:val="nil"/>
              <w:bottom w:val="nil"/>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Tampa Electric Company</w:t>
            </w:r>
          </w:p>
        </w:tc>
        <w:tc>
          <w:tcPr>
            <w:tcW w:w="1530" w:type="dxa"/>
            <w:tcBorders>
              <w:top w:val="nil"/>
              <w:left w:val="single" w:sz="4" w:space="0" w:color="auto"/>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Jan. 1,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4</w:t>
            </w:r>
          </w:p>
        </w:tc>
        <w:tc>
          <w:tcPr>
            <w:tcW w:w="5859" w:type="dxa"/>
            <w:tcBorders>
              <w:top w:val="nil"/>
              <w:left w:val="nil"/>
              <w:bottom w:val="nil"/>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Gulf Power Company</w:t>
            </w:r>
          </w:p>
        </w:tc>
        <w:tc>
          <w:tcPr>
            <w:tcW w:w="1530" w:type="dxa"/>
            <w:tcBorders>
              <w:top w:val="nil"/>
              <w:left w:val="single" w:sz="4" w:space="0" w:color="auto"/>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single" w:sz="4" w:space="0" w:color="auto"/>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5</w:t>
            </w:r>
          </w:p>
        </w:tc>
        <w:tc>
          <w:tcPr>
            <w:tcW w:w="5859" w:type="dxa"/>
            <w:tcBorders>
              <w:top w:val="nil"/>
              <w:left w:val="nil"/>
              <w:bottom w:val="single" w:sz="4" w:space="0" w:color="auto"/>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Florida Public Utilities Company</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Jan. 1, 2018</w:t>
            </w:r>
          </w:p>
        </w:tc>
      </w:tr>
      <w:tr w:rsidR="003E039E" w:rsidRPr="006A741F" w:rsidTr="002714ED">
        <w:trPr>
          <w:trHeight w:val="300"/>
          <w:jc w:val="center"/>
        </w:trPr>
        <w:tc>
          <w:tcPr>
            <w:tcW w:w="456" w:type="dxa"/>
            <w:tcBorders>
              <w:top w:val="nil"/>
              <w:left w:val="single" w:sz="4" w:space="0" w:color="auto"/>
              <w:bottom w:val="single" w:sz="4" w:space="0" w:color="auto"/>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 </w:t>
            </w:r>
          </w:p>
        </w:tc>
        <w:tc>
          <w:tcPr>
            <w:tcW w:w="5859" w:type="dxa"/>
            <w:tcBorders>
              <w:top w:val="nil"/>
              <w:left w:val="nil"/>
              <w:bottom w:val="single" w:sz="4" w:space="0" w:color="auto"/>
              <w:right w:val="nil"/>
            </w:tcBorders>
            <w:shd w:val="clear" w:color="auto" w:fill="auto"/>
            <w:noWrap/>
            <w:vAlign w:val="bottom"/>
            <w:hideMark/>
          </w:tcPr>
          <w:p w:rsidR="003E039E" w:rsidRPr="006A741F" w:rsidRDefault="003E039E" w:rsidP="002714ED">
            <w:pPr>
              <w:rPr>
                <w:rFonts w:cstheme="minorHAnsi"/>
                <w:b/>
                <w:bCs/>
                <w:color w:val="000000"/>
                <w:u w:val="single"/>
              </w:rPr>
            </w:pPr>
            <w:r w:rsidRPr="006A741F">
              <w:rPr>
                <w:rFonts w:cstheme="minorHAnsi"/>
                <w:b/>
                <w:bCs/>
                <w:color w:val="000000"/>
                <w:u w:val="single"/>
              </w:rPr>
              <w:t>Gas</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 </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1</w:t>
            </w:r>
          </w:p>
        </w:tc>
        <w:tc>
          <w:tcPr>
            <w:tcW w:w="5859" w:type="dxa"/>
            <w:tcBorders>
              <w:top w:val="nil"/>
              <w:left w:val="nil"/>
              <w:bottom w:val="nil"/>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Florida City Gas</w:t>
            </w:r>
          </w:p>
        </w:tc>
        <w:tc>
          <w:tcPr>
            <w:tcW w:w="1530" w:type="dxa"/>
            <w:tcBorders>
              <w:top w:val="nil"/>
              <w:left w:val="single" w:sz="4" w:space="0" w:color="auto"/>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2</w:t>
            </w:r>
          </w:p>
        </w:tc>
        <w:tc>
          <w:tcPr>
            <w:tcW w:w="5859" w:type="dxa"/>
            <w:tcBorders>
              <w:top w:val="nil"/>
              <w:left w:val="nil"/>
              <w:bottom w:val="nil"/>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Florida Division of Chesapeake Utilities</w:t>
            </w:r>
          </w:p>
        </w:tc>
        <w:tc>
          <w:tcPr>
            <w:tcW w:w="1530" w:type="dxa"/>
            <w:tcBorders>
              <w:top w:val="nil"/>
              <w:left w:val="single" w:sz="4" w:space="0" w:color="auto"/>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3</w:t>
            </w:r>
          </w:p>
        </w:tc>
        <w:tc>
          <w:tcPr>
            <w:tcW w:w="5859" w:type="dxa"/>
            <w:tcBorders>
              <w:top w:val="nil"/>
              <w:left w:val="nil"/>
              <w:bottom w:val="nil"/>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Florida Public Utilities Company</w:t>
            </w:r>
          </w:p>
        </w:tc>
        <w:tc>
          <w:tcPr>
            <w:tcW w:w="1530" w:type="dxa"/>
            <w:tcBorders>
              <w:top w:val="nil"/>
              <w:left w:val="single" w:sz="4" w:space="0" w:color="auto"/>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4</w:t>
            </w:r>
          </w:p>
        </w:tc>
        <w:tc>
          <w:tcPr>
            <w:tcW w:w="5859" w:type="dxa"/>
            <w:tcBorders>
              <w:top w:val="nil"/>
              <w:left w:val="nil"/>
              <w:bottom w:val="nil"/>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Florida Public Utilities Company - Fort Meade Division</w:t>
            </w:r>
          </w:p>
        </w:tc>
        <w:tc>
          <w:tcPr>
            <w:tcW w:w="1530" w:type="dxa"/>
            <w:tcBorders>
              <w:top w:val="nil"/>
              <w:left w:val="single" w:sz="4" w:space="0" w:color="auto"/>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5</w:t>
            </w:r>
          </w:p>
        </w:tc>
        <w:tc>
          <w:tcPr>
            <w:tcW w:w="5859" w:type="dxa"/>
            <w:tcBorders>
              <w:top w:val="nil"/>
              <w:left w:val="nil"/>
              <w:bottom w:val="nil"/>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Florida Public Utilities Company - Indiantown Division</w:t>
            </w:r>
          </w:p>
        </w:tc>
        <w:tc>
          <w:tcPr>
            <w:tcW w:w="1530" w:type="dxa"/>
            <w:tcBorders>
              <w:top w:val="nil"/>
              <w:left w:val="single" w:sz="4" w:space="0" w:color="auto"/>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6</w:t>
            </w:r>
          </w:p>
        </w:tc>
        <w:tc>
          <w:tcPr>
            <w:tcW w:w="5859" w:type="dxa"/>
            <w:tcBorders>
              <w:top w:val="nil"/>
              <w:left w:val="nil"/>
              <w:bottom w:val="nil"/>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Peoples Gas System</w:t>
            </w:r>
          </w:p>
        </w:tc>
        <w:tc>
          <w:tcPr>
            <w:tcW w:w="1530" w:type="dxa"/>
            <w:tcBorders>
              <w:top w:val="nil"/>
              <w:left w:val="single" w:sz="4" w:space="0" w:color="auto"/>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7</w:t>
            </w:r>
          </w:p>
        </w:tc>
        <w:tc>
          <w:tcPr>
            <w:tcW w:w="5859" w:type="dxa"/>
            <w:tcBorders>
              <w:top w:val="nil"/>
              <w:left w:val="nil"/>
              <w:bottom w:val="nil"/>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Sebring Gas System, Inc.</w:t>
            </w:r>
          </w:p>
        </w:tc>
        <w:tc>
          <w:tcPr>
            <w:tcW w:w="1530" w:type="dxa"/>
            <w:tcBorders>
              <w:top w:val="nil"/>
              <w:left w:val="single" w:sz="4" w:space="0" w:color="auto"/>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single" w:sz="4" w:space="0" w:color="auto"/>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8</w:t>
            </w:r>
          </w:p>
        </w:tc>
        <w:tc>
          <w:tcPr>
            <w:tcW w:w="5859" w:type="dxa"/>
            <w:tcBorders>
              <w:top w:val="nil"/>
              <w:left w:val="nil"/>
              <w:bottom w:val="single" w:sz="4" w:space="0" w:color="auto"/>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St. Joe Natural Gas Company, Inc.</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single" w:sz="4" w:space="0" w:color="auto"/>
              <w:right w:val="nil"/>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 </w:t>
            </w:r>
          </w:p>
        </w:tc>
        <w:tc>
          <w:tcPr>
            <w:tcW w:w="5859" w:type="dxa"/>
            <w:tcBorders>
              <w:top w:val="nil"/>
              <w:left w:val="nil"/>
              <w:bottom w:val="single" w:sz="4" w:space="0" w:color="auto"/>
              <w:right w:val="nil"/>
            </w:tcBorders>
            <w:shd w:val="clear" w:color="auto" w:fill="auto"/>
            <w:noWrap/>
            <w:vAlign w:val="bottom"/>
            <w:hideMark/>
          </w:tcPr>
          <w:p w:rsidR="003E039E" w:rsidRPr="006A741F" w:rsidRDefault="003E039E" w:rsidP="002714ED">
            <w:pPr>
              <w:rPr>
                <w:rFonts w:cstheme="minorHAnsi"/>
                <w:b/>
                <w:bCs/>
                <w:color w:val="000000"/>
                <w:u w:val="single"/>
              </w:rPr>
            </w:pPr>
            <w:r w:rsidRPr="006A741F">
              <w:rPr>
                <w:rFonts w:cstheme="minorHAnsi"/>
                <w:b/>
                <w:bCs/>
                <w:color w:val="000000"/>
                <w:u w:val="single"/>
              </w:rPr>
              <w:t>Water and Wastewater</w:t>
            </w:r>
            <w:r w:rsidRPr="006C68D6">
              <w:rPr>
                <w:rStyle w:val="FootnoteReference"/>
                <w:rFonts w:cstheme="minorHAnsi"/>
                <w:b/>
                <w:bCs/>
                <w:color w:val="000000"/>
              </w:rPr>
              <w:footnoteReference w:id="5"/>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 </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1</w:t>
            </w:r>
          </w:p>
        </w:tc>
        <w:tc>
          <w:tcPr>
            <w:tcW w:w="5859"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East Central Florida Services, Inc.</w:t>
            </w:r>
          </w:p>
        </w:tc>
        <w:tc>
          <w:tcPr>
            <w:tcW w:w="1530"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2</w:t>
            </w:r>
          </w:p>
        </w:tc>
        <w:tc>
          <w:tcPr>
            <w:tcW w:w="5859"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Forest Utilities, Inc.</w:t>
            </w:r>
          </w:p>
        </w:tc>
        <w:tc>
          <w:tcPr>
            <w:tcW w:w="1530"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Pr>
                <w:rFonts w:cstheme="minorHAnsi"/>
                <w:color w:val="000000"/>
              </w:rPr>
              <w:t>Jan. 1</w:t>
            </w:r>
            <w:r w:rsidRPr="006A741F">
              <w:rPr>
                <w:rFonts w:cstheme="minorHAnsi"/>
                <w:color w:val="000000"/>
              </w:rPr>
              <w:t>,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3</w:t>
            </w:r>
          </w:p>
        </w:tc>
        <w:tc>
          <w:tcPr>
            <w:tcW w:w="5859"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Gold Coast Utility Corporation</w:t>
            </w:r>
          </w:p>
        </w:tc>
        <w:tc>
          <w:tcPr>
            <w:tcW w:w="1530"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Jan. 1,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4</w:t>
            </w:r>
          </w:p>
        </w:tc>
        <w:tc>
          <w:tcPr>
            <w:tcW w:w="5859"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Indiantown Company, Inc.</w:t>
            </w:r>
          </w:p>
        </w:tc>
        <w:tc>
          <w:tcPr>
            <w:tcW w:w="1530"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Pr>
                <w:rFonts w:cstheme="minorHAnsi"/>
                <w:color w:val="000000"/>
              </w:rPr>
              <w:t>Jan.</w:t>
            </w:r>
            <w:r w:rsidRPr="006A741F">
              <w:rPr>
                <w:rFonts w:cstheme="minorHAnsi"/>
                <w:color w:val="000000"/>
              </w:rPr>
              <w:t xml:space="preserve"> </w:t>
            </w:r>
            <w:r>
              <w:rPr>
                <w:rFonts w:cstheme="minorHAnsi"/>
                <w:color w:val="000000"/>
              </w:rPr>
              <w:t>1</w:t>
            </w:r>
            <w:r w:rsidRPr="006A741F">
              <w:rPr>
                <w:rFonts w:cstheme="minorHAnsi"/>
                <w:color w:val="000000"/>
              </w:rPr>
              <w:t>,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5</w:t>
            </w:r>
          </w:p>
        </w:tc>
        <w:tc>
          <w:tcPr>
            <w:tcW w:w="5859"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Marion Utilities, Inc.</w:t>
            </w:r>
          </w:p>
        </w:tc>
        <w:tc>
          <w:tcPr>
            <w:tcW w:w="1530"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Pr>
                <w:rFonts w:cstheme="minorHAnsi"/>
                <w:color w:val="000000"/>
              </w:rPr>
              <w:t>Jan. 1</w:t>
            </w:r>
            <w:r w:rsidRPr="006A741F">
              <w:rPr>
                <w:rFonts w:cstheme="minorHAnsi"/>
                <w:color w:val="000000"/>
              </w:rPr>
              <w:t>,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6</w:t>
            </w:r>
          </w:p>
        </w:tc>
        <w:tc>
          <w:tcPr>
            <w:tcW w:w="5859"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NHC Utilities, Inc.</w:t>
            </w:r>
          </w:p>
        </w:tc>
        <w:tc>
          <w:tcPr>
            <w:tcW w:w="1530"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7</w:t>
            </w:r>
          </w:p>
        </w:tc>
        <w:tc>
          <w:tcPr>
            <w:tcW w:w="5859"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Ni Florida, LLC</w:t>
            </w:r>
          </w:p>
        </w:tc>
        <w:tc>
          <w:tcPr>
            <w:tcW w:w="1530"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Pr>
                <w:rFonts w:cstheme="minorHAnsi"/>
                <w:color w:val="000000"/>
              </w:rPr>
              <w:t>Jan</w:t>
            </w:r>
            <w:r w:rsidRPr="006A741F">
              <w:rPr>
                <w:rFonts w:cstheme="minorHAnsi"/>
                <w:color w:val="000000"/>
              </w:rPr>
              <w:t xml:space="preserve">. </w:t>
            </w:r>
            <w:r>
              <w:rPr>
                <w:rFonts w:cstheme="minorHAnsi"/>
                <w:color w:val="000000"/>
              </w:rPr>
              <w:t>1</w:t>
            </w:r>
            <w:r w:rsidRPr="006A741F">
              <w:rPr>
                <w:rFonts w:cstheme="minorHAnsi"/>
                <w:color w:val="000000"/>
              </w:rPr>
              <w:t>,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8</w:t>
            </w:r>
          </w:p>
        </w:tc>
        <w:tc>
          <w:tcPr>
            <w:tcW w:w="5859"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North Beach Utilities, Inc.</w:t>
            </w:r>
          </w:p>
        </w:tc>
        <w:tc>
          <w:tcPr>
            <w:tcW w:w="1530"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9</w:t>
            </w:r>
          </w:p>
        </w:tc>
        <w:tc>
          <w:tcPr>
            <w:tcW w:w="5859"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Peoples Water Service Company of Florida, Inc.</w:t>
            </w:r>
          </w:p>
        </w:tc>
        <w:tc>
          <w:tcPr>
            <w:tcW w:w="1530"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Pr>
                <w:rFonts w:cstheme="minorHAnsi"/>
                <w:color w:val="000000"/>
              </w:rPr>
              <w:t>Jan</w:t>
            </w:r>
            <w:r w:rsidRPr="006A741F">
              <w:rPr>
                <w:rFonts w:cstheme="minorHAnsi"/>
                <w:color w:val="000000"/>
              </w:rPr>
              <w:t xml:space="preserve">. </w:t>
            </w:r>
            <w:r>
              <w:rPr>
                <w:rFonts w:cstheme="minorHAnsi"/>
                <w:color w:val="000000"/>
              </w:rPr>
              <w:t>1</w:t>
            </w:r>
            <w:r w:rsidRPr="006A741F">
              <w:rPr>
                <w:rFonts w:cstheme="minorHAnsi"/>
                <w:color w:val="000000"/>
              </w:rPr>
              <w:t>,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10</w:t>
            </w:r>
          </w:p>
        </w:tc>
        <w:tc>
          <w:tcPr>
            <w:tcW w:w="5859"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Pine Island Cove Homeowners Association, Inc.</w:t>
            </w:r>
          </w:p>
        </w:tc>
        <w:tc>
          <w:tcPr>
            <w:tcW w:w="1530"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11</w:t>
            </w:r>
          </w:p>
        </w:tc>
        <w:tc>
          <w:tcPr>
            <w:tcW w:w="5859"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Placid Lakes Utilities, Inc.</w:t>
            </w:r>
          </w:p>
        </w:tc>
        <w:tc>
          <w:tcPr>
            <w:tcW w:w="1530"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12</w:t>
            </w:r>
          </w:p>
        </w:tc>
        <w:tc>
          <w:tcPr>
            <w:tcW w:w="5859"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Pluris Wedgefield, Inc.</w:t>
            </w:r>
          </w:p>
        </w:tc>
        <w:tc>
          <w:tcPr>
            <w:tcW w:w="1530"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Jan. 1,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13</w:t>
            </w:r>
          </w:p>
        </w:tc>
        <w:tc>
          <w:tcPr>
            <w:tcW w:w="5859"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St. James Island Utility Company</w:t>
            </w:r>
          </w:p>
        </w:tc>
        <w:tc>
          <w:tcPr>
            <w:tcW w:w="1530"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Jan. 1, 2018</w:t>
            </w:r>
          </w:p>
        </w:tc>
      </w:tr>
      <w:tr w:rsidR="003E039E" w:rsidRPr="006A741F" w:rsidTr="002714ED">
        <w:trPr>
          <w:trHeight w:val="300"/>
          <w:jc w:val="center"/>
        </w:trPr>
        <w:tc>
          <w:tcPr>
            <w:tcW w:w="456" w:type="dxa"/>
            <w:tcBorders>
              <w:top w:val="nil"/>
              <w:left w:val="single" w:sz="4" w:space="0" w:color="auto"/>
              <w:bottom w:val="nil"/>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14</w:t>
            </w:r>
          </w:p>
        </w:tc>
        <w:tc>
          <w:tcPr>
            <w:tcW w:w="5859"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Utilities, Inc. of Florida</w:t>
            </w:r>
          </w:p>
        </w:tc>
        <w:tc>
          <w:tcPr>
            <w:tcW w:w="1530" w:type="dxa"/>
            <w:tcBorders>
              <w:top w:val="nil"/>
              <w:left w:val="nil"/>
              <w:bottom w:val="nil"/>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r w:rsidR="003E039E" w:rsidRPr="006A741F" w:rsidTr="002714ED">
        <w:trPr>
          <w:trHeight w:val="300"/>
          <w:jc w:val="center"/>
        </w:trPr>
        <w:tc>
          <w:tcPr>
            <w:tcW w:w="456" w:type="dxa"/>
            <w:tcBorders>
              <w:top w:val="nil"/>
              <w:left w:val="single" w:sz="4" w:space="0" w:color="auto"/>
              <w:bottom w:val="single" w:sz="4" w:space="0" w:color="auto"/>
              <w:right w:val="nil"/>
            </w:tcBorders>
            <w:shd w:val="clear" w:color="auto" w:fill="auto"/>
            <w:noWrap/>
            <w:vAlign w:val="bottom"/>
            <w:hideMark/>
          </w:tcPr>
          <w:p w:rsidR="003E039E" w:rsidRPr="006A741F" w:rsidRDefault="003E039E" w:rsidP="002714ED">
            <w:pPr>
              <w:jc w:val="right"/>
              <w:rPr>
                <w:rFonts w:cstheme="minorHAnsi"/>
                <w:color w:val="000000"/>
              </w:rPr>
            </w:pPr>
            <w:r w:rsidRPr="006A741F">
              <w:rPr>
                <w:rFonts w:cstheme="minorHAnsi"/>
                <w:color w:val="000000"/>
              </w:rPr>
              <w:t>15</w:t>
            </w:r>
          </w:p>
        </w:tc>
        <w:tc>
          <w:tcPr>
            <w:tcW w:w="5859" w:type="dxa"/>
            <w:tcBorders>
              <w:top w:val="nil"/>
              <w:left w:val="nil"/>
              <w:bottom w:val="single" w:sz="4" w:space="0" w:color="auto"/>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Wildwood Water Company</w:t>
            </w:r>
          </w:p>
        </w:tc>
        <w:tc>
          <w:tcPr>
            <w:tcW w:w="1530" w:type="dxa"/>
            <w:tcBorders>
              <w:top w:val="nil"/>
              <w:left w:val="nil"/>
              <w:bottom w:val="single" w:sz="4" w:space="0" w:color="auto"/>
              <w:right w:val="single" w:sz="4" w:space="0" w:color="auto"/>
            </w:tcBorders>
            <w:shd w:val="clear" w:color="auto" w:fill="auto"/>
            <w:noWrap/>
            <w:vAlign w:val="bottom"/>
            <w:hideMark/>
          </w:tcPr>
          <w:p w:rsidR="003E039E" w:rsidRPr="006A741F" w:rsidRDefault="003E039E" w:rsidP="002714ED">
            <w:pPr>
              <w:rPr>
                <w:rFonts w:cstheme="minorHAnsi"/>
                <w:color w:val="000000"/>
              </w:rPr>
            </w:pPr>
            <w:r w:rsidRPr="006A741F">
              <w:rPr>
                <w:rFonts w:cstheme="minorHAnsi"/>
                <w:color w:val="000000"/>
              </w:rPr>
              <w:t>Feb. 6, 2018</w:t>
            </w:r>
          </w:p>
        </w:tc>
      </w:tr>
    </w:tbl>
    <w:p w:rsidR="00BE216C" w:rsidRDefault="00BE216C" w:rsidP="00BE216C">
      <w:pPr>
        <w:pStyle w:val="OrderBody"/>
      </w:pPr>
    </w:p>
    <w:sectPr w:rsidR="00BE216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823" w:rsidRDefault="00DE4823">
      <w:r>
        <w:separator/>
      </w:r>
    </w:p>
  </w:endnote>
  <w:endnote w:type="continuationSeparator" w:id="0">
    <w:p w:rsidR="00DE4823" w:rsidRDefault="00DE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823" w:rsidRDefault="00DE4823">
      <w:r>
        <w:separator/>
      </w:r>
    </w:p>
  </w:footnote>
  <w:footnote w:type="continuationSeparator" w:id="0">
    <w:p w:rsidR="00DE4823" w:rsidRDefault="00DE4823">
      <w:r>
        <w:continuationSeparator/>
      </w:r>
    </w:p>
  </w:footnote>
  <w:footnote w:id="1">
    <w:p w:rsidR="00DE4823" w:rsidRDefault="00DE4823" w:rsidP="00DE4823">
      <w:pPr>
        <w:shd w:val="clear" w:color="auto" w:fill="FFFFFF"/>
        <w:spacing w:after="240"/>
      </w:pPr>
      <w:r>
        <w:rPr>
          <w:rStyle w:val="FootnoteReference"/>
        </w:rPr>
        <w:footnoteRef/>
      </w:r>
      <w:r>
        <w:t xml:space="preserve">  </w:t>
      </w:r>
      <w:r w:rsidRPr="001E32AC">
        <w:rPr>
          <w:color w:val="000000"/>
          <w:sz w:val="20"/>
          <w:szCs w:val="20"/>
        </w:rPr>
        <w:t xml:space="preserve">HR-1, </w:t>
      </w:r>
      <w:r w:rsidRPr="001E32AC">
        <w:rPr>
          <w:sz w:val="20"/>
          <w:szCs w:val="20"/>
        </w:rPr>
        <w:t xml:space="preserve">Pub. L. No. </w:t>
      </w:r>
      <w:r w:rsidRPr="001E32AC">
        <w:rPr>
          <w:color w:val="000000"/>
          <w:sz w:val="20"/>
          <w:szCs w:val="20"/>
        </w:rPr>
        <w:t>115-97, December 22, 2017, 131 Stat 2054.</w:t>
      </w:r>
    </w:p>
  </w:footnote>
  <w:footnote w:id="2">
    <w:p w:rsidR="00DE4823" w:rsidRDefault="00DE4823" w:rsidP="00DE4823">
      <w:pPr>
        <w:pStyle w:val="FootnoteText"/>
      </w:pPr>
      <w:r>
        <w:rPr>
          <w:rStyle w:val="FootnoteReference"/>
        </w:rPr>
        <w:footnoteRef/>
      </w:r>
      <w:r>
        <w:t xml:space="preserve">  Rule 25-30.433(7), Florida Administrative Code (F.A.C.),  states: “Income tax expense shall not be allowed for subchapter S corporations, partnerships or sole proprietorships.”</w:t>
      </w:r>
    </w:p>
  </w:footnote>
  <w:footnote w:id="3">
    <w:p w:rsidR="00DE4823" w:rsidRDefault="00DE4823" w:rsidP="00DE4823">
      <w:pPr>
        <w:pStyle w:val="FootnoteText"/>
      </w:pPr>
      <w:r>
        <w:rPr>
          <w:rStyle w:val="FootnoteReference"/>
        </w:rPr>
        <w:footnoteRef/>
      </w:r>
      <w:r>
        <w:t xml:space="preserve"> Gulf Power Company (Gulf); Duke Energy Florida, LLC (DEF); Tampa Electric Company (TECO); and Florida Public Utilities Company (FPUC). </w:t>
      </w:r>
    </w:p>
  </w:footnote>
  <w:footnote w:id="4">
    <w:p w:rsidR="00DE4823" w:rsidRDefault="00DE4823" w:rsidP="00DE4823">
      <w:pPr>
        <w:pStyle w:val="FootnoteText"/>
      </w:pPr>
      <w:r>
        <w:rPr>
          <w:rStyle w:val="FootnoteReference"/>
        </w:rPr>
        <w:footnoteRef/>
      </w:r>
      <w:r>
        <w:t xml:space="preserve"> Order No. PSC-16-0560-AS-EI, issued on December 15, 2016, in Docket No. 160021-EI, </w:t>
      </w:r>
      <w:r>
        <w:rPr>
          <w:u w:val="single"/>
        </w:rPr>
        <w:t>In re: Petition for rate increase by Florida Power &amp; Light Company</w:t>
      </w:r>
      <w:r>
        <w:t xml:space="preserve">.   </w:t>
      </w:r>
    </w:p>
  </w:footnote>
  <w:footnote w:id="5">
    <w:p w:rsidR="003E039E" w:rsidRDefault="003E039E" w:rsidP="003E039E">
      <w:pPr>
        <w:pStyle w:val="FootnoteText"/>
      </w:pPr>
      <w:r>
        <w:rPr>
          <w:rStyle w:val="FootnoteReference"/>
        </w:rPr>
        <w:footnoteRef/>
      </w:r>
      <w:r>
        <w:t xml:space="preserve"> </w:t>
      </w:r>
      <w:r w:rsidRPr="00ED41E1">
        <w:t>Rule 25-30.433(7)</w:t>
      </w:r>
      <w:r>
        <w:t>, F.A.C. states:</w:t>
      </w:r>
      <w:r w:rsidRPr="00ED41E1">
        <w:t xml:space="preserve"> “Income tax expense shall not be allowed for subchapter S corporations, partnerships or sole proprietorships.”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4 ">
      <w:r w:rsidR="007F47B2">
        <w:t>PSC-2018-0104-PCO-PU</w:t>
      </w:r>
    </w:fldSimple>
  </w:p>
  <w:p w:rsidR="00FA6EFD" w:rsidRDefault="00DE4823">
    <w:pPr>
      <w:pStyle w:val="OrderHeader"/>
    </w:pPr>
    <w:bookmarkStart w:id="8" w:name="HeaderDocketNo"/>
    <w:bookmarkEnd w:id="8"/>
    <w:r>
      <w:t>DOCKET NO. 20180013-PU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47B2">
      <w:rPr>
        <w:rStyle w:val="PageNumber"/>
        <w:noProof/>
      </w:rPr>
      <w:t>7</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3-PU"/>
  </w:docVars>
  <w:rsids>
    <w:rsidRoot w:val="00DE4823"/>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2080"/>
    <w:rsid w:val="00187E32"/>
    <w:rsid w:val="00194E81"/>
    <w:rsid w:val="001A15E7"/>
    <w:rsid w:val="001A33C9"/>
    <w:rsid w:val="001A58F3"/>
    <w:rsid w:val="001C2847"/>
    <w:rsid w:val="001C3F8C"/>
    <w:rsid w:val="001D008A"/>
    <w:rsid w:val="001E0152"/>
    <w:rsid w:val="001E0FF5"/>
    <w:rsid w:val="0020026B"/>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09CD"/>
    <w:rsid w:val="003140E8"/>
    <w:rsid w:val="003147B8"/>
    <w:rsid w:val="003231C7"/>
    <w:rsid w:val="003270C4"/>
    <w:rsid w:val="00331ED0"/>
    <w:rsid w:val="00332B0A"/>
    <w:rsid w:val="00333A41"/>
    <w:rsid w:val="0035495B"/>
    <w:rsid w:val="00361522"/>
    <w:rsid w:val="0037196E"/>
    <w:rsid w:val="003744F5"/>
    <w:rsid w:val="00387BDE"/>
    <w:rsid w:val="00390DD8"/>
    <w:rsid w:val="00394DC6"/>
    <w:rsid w:val="00397C3E"/>
    <w:rsid w:val="003A509F"/>
    <w:rsid w:val="003B1A09"/>
    <w:rsid w:val="003D4CCA"/>
    <w:rsid w:val="003D52A6"/>
    <w:rsid w:val="003D6416"/>
    <w:rsid w:val="003E039E"/>
    <w:rsid w:val="003E1D48"/>
    <w:rsid w:val="00411DF2"/>
    <w:rsid w:val="00411E8F"/>
    <w:rsid w:val="0042527B"/>
    <w:rsid w:val="0045537F"/>
    <w:rsid w:val="00457DC7"/>
    <w:rsid w:val="00472BCC"/>
    <w:rsid w:val="00492015"/>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7F47B2"/>
    <w:rsid w:val="00801DAD"/>
    <w:rsid w:val="00803189"/>
    <w:rsid w:val="00804E7A"/>
    <w:rsid w:val="00805FBB"/>
    <w:rsid w:val="008169A4"/>
    <w:rsid w:val="008278FE"/>
    <w:rsid w:val="00832598"/>
    <w:rsid w:val="0083397E"/>
    <w:rsid w:val="0083534B"/>
    <w:rsid w:val="00842602"/>
    <w:rsid w:val="00847B45"/>
    <w:rsid w:val="00861A6A"/>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04D1"/>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07F52"/>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E216C"/>
    <w:rsid w:val="00BF6691"/>
    <w:rsid w:val="00C028FC"/>
    <w:rsid w:val="00C0386D"/>
    <w:rsid w:val="00C065A1"/>
    <w:rsid w:val="00C10ED5"/>
    <w:rsid w:val="00C151A6"/>
    <w:rsid w:val="00C24098"/>
    <w:rsid w:val="00C30A4E"/>
    <w:rsid w:val="00C411F3"/>
    <w:rsid w:val="00C44105"/>
    <w:rsid w:val="00C55A33"/>
    <w:rsid w:val="00C577DD"/>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C448D"/>
    <w:rsid w:val="00DE057F"/>
    <w:rsid w:val="00DE2082"/>
    <w:rsid w:val="00DE2289"/>
    <w:rsid w:val="00DE4823"/>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DE4823"/>
  </w:style>
  <w:style w:type="paragraph" w:customStyle="1" w:styleId="IssueHeading">
    <w:name w:val="Issue Heading"/>
    <w:basedOn w:val="Heading1"/>
    <w:next w:val="BodyText"/>
    <w:link w:val="IssueHeadingChar"/>
    <w:qFormat/>
    <w:rsid w:val="00DE4823"/>
    <w:pPr>
      <w:keepNext w:val="0"/>
    </w:pPr>
    <w:rPr>
      <w:rFonts w:ascii="Arial" w:hAnsi="Arial"/>
      <w:b/>
      <w:i/>
    </w:rPr>
  </w:style>
  <w:style w:type="character" w:customStyle="1" w:styleId="IssueHeadingChar">
    <w:name w:val="Issue Heading Char"/>
    <w:link w:val="IssueHeading"/>
    <w:rsid w:val="00DE4823"/>
    <w:rPr>
      <w:rFonts w:ascii="Arial" w:hAnsi="Arial" w:cs="Arial"/>
      <w:b/>
      <w:bCs/>
      <w:i/>
      <w:kern w:val="32"/>
      <w:sz w:val="24"/>
      <w:szCs w:val="32"/>
    </w:rPr>
  </w:style>
  <w:style w:type="paragraph" w:styleId="NoSpacing">
    <w:name w:val="No Spacing"/>
    <w:uiPriority w:val="1"/>
    <w:qFormat/>
    <w:rsid w:val="00DE4823"/>
    <w:rPr>
      <w:rFonts w:ascii="Verdana" w:eastAsia="Calibri" w:hAnsi="Verdan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DE4823"/>
  </w:style>
  <w:style w:type="paragraph" w:customStyle="1" w:styleId="IssueHeading">
    <w:name w:val="Issue Heading"/>
    <w:basedOn w:val="Heading1"/>
    <w:next w:val="BodyText"/>
    <w:link w:val="IssueHeadingChar"/>
    <w:qFormat/>
    <w:rsid w:val="00DE4823"/>
    <w:pPr>
      <w:keepNext w:val="0"/>
    </w:pPr>
    <w:rPr>
      <w:rFonts w:ascii="Arial" w:hAnsi="Arial"/>
      <w:b/>
      <w:i/>
    </w:rPr>
  </w:style>
  <w:style w:type="character" w:customStyle="1" w:styleId="IssueHeadingChar">
    <w:name w:val="Issue Heading Char"/>
    <w:link w:val="IssueHeading"/>
    <w:rsid w:val="00DE4823"/>
    <w:rPr>
      <w:rFonts w:ascii="Arial" w:hAnsi="Arial" w:cs="Arial"/>
      <w:b/>
      <w:bCs/>
      <w:i/>
      <w:kern w:val="32"/>
      <w:sz w:val="24"/>
      <w:szCs w:val="32"/>
    </w:rPr>
  </w:style>
  <w:style w:type="paragraph" w:styleId="NoSpacing">
    <w:name w:val="No Spacing"/>
    <w:uiPriority w:val="1"/>
    <w:qFormat/>
    <w:rsid w:val="00DE4823"/>
    <w:rPr>
      <w:rFonts w:ascii="Verdana" w:eastAsia="Calibri" w:hAnsi="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7</Pages>
  <Words>2715</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2018-02-26T17:59:00Z</dcterms:created>
  <dcterms:modified xsi:type="dcterms:W3CDTF">2018-02-26T18:14:00Z</dcterms:modified>
</cp:coreProperties>
</file>