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B4687" w:rsidP="000B4687">
      <w:pPr>
        <w:pStyle w:val="OrderHeading"/>
      </w:pPr>
      <w:r>
        <w:t>BEFORE THE FLORIDA PUBLIC SERVICE COMMISSION</w:t>
      </w:r>
    </w:p>
    <w:p w:rsidR="000B4687" w:rsidRDefault="000B4687" w:rsidP="000B4687">
      <w:pPr>
        <w:pStyle w:val="OrderHeading"/>
      </w:pPr>
    </w:p>
    <w:p w:rsidR="000B4687" w:rsidRDefault="000B4687" w:rsidP="000B468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B4687" w:rsidRPr="00C63FCF" w:rsidTr="00C63FCF">
        <w:trPr>
          <w:trHeight w:val="828"/>
        </w:trPr>
        <w:tc>
          <w:tcPr>
            <w:tcW w:w="4788" w:type="dxa"/>
            <w:tcBorders>
              <w:bottom w:val="single" w:sz="8" w:space="0" w:color="auto"/>
              <w:right w:val="double" w:sz="6" w:space="0" w:color="auto"/>
            </w:tcBorders>
            <w:shd w:val="clear" w:color="auto" w:fill="auto"/>
          </w:tcPr>
          <w:p w:rsidR="000B4687" w:rsidRDefault="000B4687" w:rsidP="00D2558E">
            <w:pPr>
              <w:pStyle w:val="OrderBody"/>
              <w:tabs>
                <w:tab w:val="center" w:pos="4320"/>
                <w:tab w:val="right" w:pos="8640"/>
              </w:tabs>
              <w:jc w:val="left"/>
            </w:pPr>
            <w:r>
              <w:t xml:space="preserve">In re: </w:t>
            </w:r>
            <w:bookmarkStart w:id="0" w:name="SSInRe"/>
            <w:bookmarkEnd w:id="0"/>
            <w:r w:rsidR="00FE3EED">
              <w:t>C</w:t>
            </w:r>
            <w:r>
              <w:t>onsider</w:t>
            </w:r>
            <w:r w:rsidR="00FE3EED">
              <w:t>ation of</w:t>
            </w:r>
            <w:r>
              <w:t xml:space="preserve"> the Stipulation and Settlement Agreement between Gulf Power Company and the Office of Public Counsel,  Florida Industrial Power Users Group, and  Southern Alliance for Clean Energy regarding the Tax Cuts and Jobs Act of 2017.</w:t>
            </w:r>
          </w:p>
        </w:tc>
        <w:tc>
          <w:tcPr>
            <w:tcW w:w="4788" w:type="dxa"/>
            <w:tcBorders>
              <w:left w:val="double" w:sz="6" w:space="0" w:color="auto"/>
            </w:tcBorders>
            <w:shd w:val="clear" w:color="auto" w:fill="auto"/>
          </w:tcPr>
          <w:p w:rsidR="000B4687" w:rsidRDefault="000B4687" w:rsidP="000B4687">
            <w:pPr>
              <w:pStyle w:val="OrderBody"/>
            </w:pPr>
            <w:r>
              <w:t xml:space="preserve">DOCKET NO. </w:t>
            </w:r>
            <w:bookmarkStart w:id="1" w:name="SSDocketNo"/>
            <w:bookmarkEnd w:id="1"/>
            <w:r>
              <w:t>20180039-EI</w:t>
            </w:r>
          </w:p>
          <w:p w:rsidR="000B4687" w:rsidRDefault="000B4687" w:rsidP="00C63FCF">
            <w:pPr>
              <w:pStyle w:val="OrderBody"/>
              <w:tabs>
                <w:tab w:val="center" w:pos="4320"/>
                <w:tab w:val="right" w:pos="8640"/>
              </w:tabs>
              <w:jc w:val="left"/>
            </w:pPr>
            <w:r>
              <w:t xml:space="preserve">ORDER NO. </w:t>
            </w:r>
            <w:bookmarkStart w:id="2" w:name="OrderNo0116"/>
            <w:r w:rsidR="00E76C8C">
              <w:t>PSC-2018-0116-PCO-EI</w:t>
            </w:r>
            <w:bookmarkEnd w:id="2"/>
          </w:p>
          <w:p w:rsidR="000B4687" w:rsidRDefault="000B4687" w:rsidP="00C63FCF">
            <w:pPr>
              <w:pStyle w:val="OrderBody"/>
              <w:tabs>
                <w:tab w:val="center" w:pos="4320"/>
                <w:tab w:val="right" w:pos="8640"/>
              </w:tabs>
              <w:jc w:val="left"/>
            </w:pPr>
            <w:r>
              <w:t xml:space="preserve">ISSUED: </w:t>
            </w:r>
            <w:r w:rsidR="00E76C8C">
              <w:t>March 1, 2018</w:t>
            </w:r>
          </w:p>
        </w:tc>
      </w:tr>
    </w:tbl>
    <w:p w:rsidR="000B4687" w:rsidRDefault="000B4687" w:rsidP="000B4687"/>
    <w:p w:rsidR="00CB5276" w:rsidRDefault="000B4687" w:rsidP="000B4687">
      <w:pPr>
        <w:pStyle w:val="CenterUnderline"/>
      </w:pPr>
      <w:bookmarkStart w:id="3" w:name="Commissioners"/>
      <w:bookmarkStart w:id="4" w:name="OrderTitle"/>
      <w:bookmarkEnd w:id="3"/>
      <w:r>
        <w:t xml:space="preserve">PROCEDURAL ORDER </w:t>
      </w:r>
      <w:bookmarkEnd w:id="4"/>
    </w:p>
    <w:p w:rsidR="000B4687" w:rsidRDefault="000B4687" w:rsidP="000B4687">
      <w:pPr>
        <w:pStyle w:val="OrderBody"/>
      </w:pPr>
    </w:p>
    <w:p w:rsidR="000B4687" w:rsidRDefault="000B4687" w:rsidP="000B4687">
      <w:pPr>
        <w:pStyle w:val="OrderBody"/>
      </w:pPr>
      <w:r>
        <w:tab/>
      </w:r>
      <w:r w:rsidR="00B1629D">
        <w:t xml:space="preserve">On February 14, 2018, Gulf </w:t>
      </w:r>
      <w:r w:rsidR="00F820F5">
        <w:t xml:space="preserve">Power Company (Gulf) </w:t>
      </w:r>
      <w:r w:rsidR="00B1629D">
        <w:t>filed a Stipulation and Settlement Agreement (SSA) between Gulf and the Office of Public Counsel (OPC), the Florida Industrial Power Users Group (FIPUG), and the Southern Alliance for Clean Energy (SACE) regarding the Tax Cuts and Jobs Act of 2017 in Docket Nos. 20180013-PU</w:t>
      </w:r>
      <w:r w:rsidR="00D2558E">
        <w:t>,</w:t>
      </w:r>
      <w:r w:rsidR="00B1629D">
        <w:rPr>
          <w:rStyle w:val="FootnoteReference"/>
        </w:rPr>
        <w:footnoteReference w:id="1"/>
      </w:r>
      <w:r w:rsidR="00B1629D">
        <w:t xml:space="preserve"> the generic tax docket, and 20160186-EI</w:t>
      </w:r>
      <w:r w:rsidR="00D2558E">
        <w:t>,</w:t>
      </w:r>
      <w:r w:rsidR="00B1629D">
        <w:rPr>
          <w:rStyle w:val="FootnoteReference"/>
        </w:rPr>
        <w:footnoteReference w:id="2"/>
      </w:r>
      <w:r w:rsidR="00B1629D">
        <w:t xml:space="preserve"> Gulf’s last </w:t>
      </w:r>
      <w:r w:rsidR="00D2558E">
        <w:t xml:space="preserve">base </w:t>
      </w:r>
      <w:r w:rsidR="00B1629D">
        <w:t>rate case</w:t>
      </w:r>
      <w:r w:rsidR="00D2558E">
        <w:t xml:space="preserve"> proceeding</w:t>
      </w:r>
      <w:r w:rsidR="00B1629D">
        <w:t xml:space="preserve">.  </w:t>
      </w:r>
      <w:r>
        <w:t xml:space="preserve">  </w:t>
      </w:r>
    </w:p>
    <w:p w:rsidR="000B4687" w:rsidRDefault="000B4687" w:rsidP="000B4687">
      <w:pPr>
        <w:pStyle w:val="OrderBody"/>
      </w:pPr>
    </w:p>
    <w:p w:rsidR="00D5157E" w:rsidRDefault="000B4687" w:rsidP="00D2558E">
      <w:pPr>
        <w:pStyle w:val="OrderBody"/>
      </w:pPr>
      <w:r>
        <w:tab/>
      </w:r>
      <w:r w:rsidR="0016049B">
        <w:t>The SSA addresses the effects of the passage of the Tax Cuts and Jobs Act of 2017 (Act)</w:t>
      </w:r>
      <w:r w:rsidR="00D2558E">
        <w:t>,</w:t>
      </w:r>
      <w:r w:rsidR="0016049B">
        <w:t xml:space="preserve"> signed into law by President Trump on December 22, 2017.  The signatories to the SSA are OPC, FIPUG and SACE, all of whom were signatories to Gulf’s last rate case stipulation.</w:t>
      </w:r>
      <w:r w:rsidR="0016049B">
        <w:rPr>
          <w:rStyle w:val="FootnoteReference"/>
        </w:rPr>
        <w:footnoteReference w:id="3"/>
      </w:r>
      <w:r w:rsidR="0016049B">
        <w:t xml:space="preserve"> </w:t>
      </w:r>
      <w:r w:rsidR="00D5157E">
        <w:t xml:space="preserve"> The League of Woman Voters of Florida (LWVF), Wal-Mart Stores East, LP and Sam’s East, Inc. (Walmart), </w:t>
      </w:r>
      <w:r w:rsidR="008D7084">
        <w:t xml:space="preserve">Federal Executive Agencies (FEA) </w:t>
      </w:r>
      <w:r w:rsidR="00D5157E">
        <w:t xml:space="preserve">and Sierra Club were parties to the consolidated </w:t>
      </w:r>
      <w:r w:rsidR="009F21FA">
        <w:t xml:space="preserve">base </w:t>
      </w:r>
      <w:r w:rsidR="00D5157E">
        <w:t xml:space="preserve">rate case proceeding but were not signatories to the </w:t>
      </w:r>
      <w:r w:rsidR="00B1629D">
        <w:t xml:space="preserve">2016 </w:t>
      </w:r>
      <w:r w:rsidR="00D5157E">
        <w:t xml:space="preserve">rate case stipulation.  </w:t>
      </w:r>
      <w:r w:rsidR="008D7084">
        <w:t xml:space="preserve">FEA, LWVF, Walmart and Sierra Club, however, did not oppose the </w:t>
      </w:r>
      <w:r w:rsidR="00B1629D">
        <w:t xml:space="preserve">2016 </w:t>
      </w:r>
      <w:r w:rsidR="008D7084">
        <w:t>rate case stipulation.</w:t>
      </w:r>
      <w:r w:rsidR="00B1629D">
        <w:t xml:space="preserve">  FEA, LWVF, Walmart and the Sierra Club are not signatories to the SSA under consideration in this docket.</w:t>
      </w:r>
      <w:r w:rsidR="008D7084">
        <w:t xml:space="preserve">  </w:t>
      </w:r>
    </w:p>
    <w:p w:rsidR="00D5157E" w:rsidRDefault="00D5157E" w:rsidP="00D2558E">
      <w:pPr>
        <w:pStyle w:val="OrderBody"/>
      </w:pPr>
    </w:p>
    <w:p w:rsidR="000106E0" w:rsidRDefault="00B1629D" w:rsidP="00B1629D">
      <w:pPr>
        <w:pStyle w:val="OrderBody"/>
      </w:pPr>
      <w:r>
        <w:tab/>
        <w:t>The SSA implements paragraph 6</w:t>
      </w:r>
      <w:r w:rsidR="00603263">
        <w:t xml:space="preserve"> of Gulf’s 2017 Stipulation and Settlement Agreement </w:t>
      </w:r>
      <w:r w:rsidR="0088395D">
        <w:t xml:space="preserve">(2017 Settlement) </w:t>
      </w:r>
      <w:r w:rsidR="00603263">
        <w:t>approved by Order No. PSC-17-0178-S-EI.</w:t>
      </w:r>
      <w:r w:rsidR="00603263">
        <w:rPr>
          <w:rStyle w:val="FootnoteReference"/>
        </w:rPr>
        <w:footnoteReference w:id="4"/>
      </w:r>
      <w:r w:rsidR="00603263">
        <w:t xml:space="preserve">  There are </w:t>
      </w:r>
      <w:r w:rsidR="00CC7A33">
        <w:t>six</w:t>
      </w:r>
      <w:r w:rsidR="0088395D">
        <w:t xml:space="preserve"> </w:t>
      </w:r>
      <w:r w:rsidR="003E5CEF">
        <w:t>basic</w:t>
      </w:r>
      <w:r w:rsidR="00603263">
        <w:t xml:space="preserve"> parts to the SSA: 1) base rate reduction of $</w:t>
      </w:r>
      <w:r w:rsidR="003E5CEF">
        <w:t>18.2 million per year commencing on April 1, 2018</w:t>
      </w:r>
      <w:r w:rsidR="00D2558E">
        <w:t>;</w:t>
      </w:r>
      <w:r w:rsidR="003E5CEF">
        <w:rPr>
          <w:rStyle w:val="FootnoteReference"/>
        </w:rPr>
        <w:footnoteReference w:id="5"/>
      </w:r>
      <w:r w:rsidR="003E5CEF">
        <w:t xml:space="preserve"> 2) establishment of a regulatory liability to account for the tax rate reduction from January 1, 2018 until the effective date of the base rate reduction</w:t>
      </w:r>
      <w:r w:rsidR="00D2558E">
        <w:t>;</w:t>
      </w:r>
      <w:r w:rsidR="003E5CEF">
        <w:rPr>
          <w:rStyle w:val="FootnoteReference"/>
        </w:rPr>
        <w:footnoteReference w:id="6"/>
      </w:r>
      <w:r w:rsidR="00603263">
        <w:t xml:space="preserve"> </w:t>
      </w:r>
      <w:r w:rsidR="003E5CEF">
        <w:t>3) refund of $69.4 million by the end of 2018 through the fuel cost recovery clause for the unprotected excess deferred tax regulatory liability as of December 31, 2017</w:t>
      </w:r>
      <w:r w:rsidR="00D2558E">
        <w:t>;</w:t>
      </w:r>
      <w:r w:rsidR="003E5CEF">
        <w:rPr>
          <w:rStyle w:val="FootnoteReference"/>
        </w:rPr>
        <w:footnoteReference w:id="7"/>
      </w:r>
      <w:r w:rsidR="008756E3">
        <w:t xml:space="preserve"> 4) reduction of $15.6 million to Environmental Cost Recovery Clause (ECRC) recovered by the end of 2018</w:t>
      </w:r>
      <w:r w:rsidR="00D2558E">
        <w:t>;</w:t>
      </w:r>
      <w:r w:rsidR="008756E3">
        <w:rPr>
          <w:rStyle w:val="FootnoteReference"/>
        </w:rPr>
        <w:footnoteReference w:id="8"/>
      </w:r>
      <w:r w:rsidR="008756E3">
        <w:t xml:space="preserve"> </w:t>
      </w:r>
      <w:r w:rsidR="0088395D">
        <w:t xml:space="preserve">5) </w:t>
      </w:r>
      <w:r w:rsidR="009F21FA">
        <w:t xml:space="preserve">establishment of </w:t>
      </w:r>
      <w:r w:rsidR="00D2558E">
        <w:t xml:space="preserve">a </w:t>
      </w:r>
      <w:r w:rsidR="0088395D">
        <w:t xml:space="preserve">53.5% </w:t>
      </w:r>
      <w:r w:rsidR="00D2558E">
        <w:t>equity ratio cap f</w:t>
      </w:r>
      <w:r w:rsidR="0088395D">
        <w:t xml:space="preserve">or all </w:t>
      </w:r>
      <w:r w:rsidR="00D2558E">
        <w:t xml:space="preserve">retail </w:t>
      </w:r>
      <w:r w:rsidR="0088395D">
        <w:t>regulatory purposes</w:t>
      </w:r>
      <w:r w:rsidR="00D2558E">
        <w:t xml:space="preserve">, e.g., earnings surveillance reporting, interim rate determinations, cost </w:t>
      </w:r>
      <w:r w:rsidR="00D2558E">
        <w:lastRenderedPageBreak/>
        <w:t>recovery clauses;</w:t>
      </w:r>
      <w:r w:rsidR="00CC7A33">
        <w:rPr>
          <w:rStyle w:val="FootnoteReference"/>
        </w:rPr>
        <w:footnoteReference w:id="9"/>
      </w:r>
      <w:r w:rsidR="00CC7A33">
        <w:t xml:space="preserve"> and 6) </w:t>
      </w:r>
      <w:r w:rsidR="00603E34">
        <w:t>initiat</w:t>
      </w:r>
      <w:r w:rsidR="00CC7A33">
        <w:t>ion of</w:t>
      </w:r>
      <w:r w:rsidR="00603E34">
        <w:t xml:space="preserve"> a limited scope proceeding by May 1, 2018</w:t>
      </w:r>
      <w:r w:rsidR="00CC7A33">
        <w:t>,</w:t>
      </w:r>
      <w:r w:rsidR="00603E34">
        <w:t xml:space="preserve"> for the purpose of determining the amount and flow back period for protected excess deferred taxes through a prospective reduction in base rates</w:t>
      </w:r>
      <w:r w:rsidR="00D2558E">
        <w:t>,</w:t>
      </w:r>
      <w:r w:rsidR="00CC7A33">
        <w:t xml:space="preserve"> should one be warranted</w:t>
      </w:r>
      <w:r w:rsidR="00603E34">
        <w:t>.</w:t>
      </w:r>
      <w:r w:rsidR="00CC7A33">
        <w:rPr>
          <w:rStyle w:val="FootnoteReference"/>
        </w:rPr>
        <w:footnoteReference w:id="10"/>
      </w:r>
      <w:r w:rsidR="00CC7A33">
        <w:t xml:space="preserve">  The </w:t>
      </w:r>
      <w:r w:rsidR="00D2558E">
        <w:t xml:space="preserve">parties state that the </w:t>
      </w:r>
      <w:r w:rsidR="00CC7A33">
        <w:t xml:space="preserve">SSA must be approved in its entirety by the Commission without modification. The SSA is intended to resolve all </w:t>
      </w:r>
      <w:r w:rsidR="00430A88">
        <w:t xml:space="preserve">of Gulf’s </w:t>
      </w:r>
      <w:r w:rsidR="00CC7A33">
        <w:t xml:space="preserve">outstanding tax issues associated with the Act.  </w:t>
      </w:r>
    </w:p>
    <w:p w:rsidR="000106E0" w:rsidRDefault="000106E0" w:rsidP="00B1629D">
      <w:pPr>
        <w:pStyle w:val="OrderBody"/>
      </w:pPr>
    </w:p>
    <w:p w:rsidR="000F1D4D" w:rsidRDefault="000106E0" w:rsidP="000106E0">
      <w:pPr>
        <w:pStyle w:val="OrderBody"/>
      </w:pPr>
      <w:r>
        <w:tab/>
        <w:t xml:space="preserve">On February 19, 2018, pursuant to Section 366.076(1), Florida Statutes, this docket was opened </w:t>
      </w:r>
      <w:r w:rsidR="00F93545">
        <w:t xml:space="preserve">by the Commission </w:t>
      </w:r>
      <w:r>
        <w:t>to expedite consideration of the SSA as requested by the signatories</w:t>
      </w:r>
      <w:r w:rsidR="00931579">
        <w:t xml:space="preserve"> so that the base rate reduction agreed to by the parties</w:t>
      </w:r>
      <w:r w:rsidR="00430A88">
        <w:t xml:space="preserve">, if appropriate, </w:t>
      </w:r>
      <w:r w:rsidR="00931579">
        <w:t xml:space="preserve">can be implemented </w:t>
      </w:r>
      <w:r w:rsidR="00F820F5">
        <w:t>i</w:t>
      </w:r>
      <w:r w:rsidR="00931579">
        <w:t>n April 2018</w:t>
      </w:r>
      <w:r>
        <w:t>.</w:t>
      </w:r>
      <w:r w:rsidR="00931579">
        <w:t xml:space="preserve">  </w:t>
      </w:r>
      <w:r w:rsidR="000F1D4D" w:rsidRPr="00F820F5">
        <w:t xml:space="preserve">On February </w:t>
      </w:r>
      <w:r w:rsidR="00732192" w:rsidRPr="00F820F5">
        <w:t>26</w:t>
      </w:r>
      <w:r w:rsidR="000F1D4D" w:rsidRPr="00F820F5">
        <w:t xml:space="preserve">, 2018, Gulf filed a Motion </w:t>
      </w:r>
      <w:r w:rsidR="00732192" w:rsidRPr="00F820F5">
        <w:t xml:space="preserve">to Approve Stipulation and Settlement Agreement </w:t>
      </w:r>
      <w:r w:rsidR="00B81F13" w:rsidRPr="00F820F5">
        <w:t xml:space="preserve">(Motion) </w:t>
      </w:r>
      <w:r w:rsidR="00732192" w:rsidRPr="00F820F5">
        <w:t xml:space="preserve">requesting that the SSA be approved in its entirety and </w:t>
      </w:r>
      <w:r w:rsidR="00B81F13" w:rsidRPr="00F820F5">
        <w:t xml:space="preserve">that the Commission take final action no later than March 26, 2018, which would allow </w:t>
      </w:r>
      <w:r w:rsidR="00732192" w:rsidRPr="00F820F5">
        <w:t xml:space="preserve">the tariffs </w:t>
      </w:r>
      <w:r w:rsidR="00B81F13" w:rsidRPr="00F820F5">
        <w:t xml:space="preserve">filed with the Motion to become effective in April 2018.  Gulf states that the SSA is in the best interest of Gulf’s ratepayers as it allows </w:t>
      </w:r>
      <w:r w:rsidR="00984172" w:rsidRPr="00F820F5">
        <w:t xml:space="preserve">for </w:t>
      </w:r>
      <w:r w:rsidR="00B81F13" w:rsidRPr="00F820F5">
        <w:t>a reduction in base rates</w:t>
      </w:r>
      <w:r w:rsidR="00984172" w:rsidRPr="00F820F5">
        <w:t xml:space="preserve"> shortly after the Act’s passage as well as reducing the ECRC clause and returning unprotected </w:t>
      </w:r>
      <w:r w:rsidR="009F21FA" w:rsidRPr="00F820F5">
        <w:t xml:space="preserve">excess </w:t>
      </w:r>
      <w:r w:rsidR="00984172" w:rsidRPr="00F820F5">
        <w:t xml:space="preserve">deferred income taxes to customers more rapidly than required.  </w:t>
      </w:r>
      <w:r w:rsidR="00B81F13" w:rsidRPr="00F820F5">
        <w:t>All parties to this docket</w:t>
      </w:r>
      <w:r w:rsidR="00984172" w:rsidRPr="00F820F5">
        <w:t>,</w:t>
      </w:r>
      <w:r w:rsidR="00B81F13" w:rsidRPr="00F820F5">
        <w:t xml:space="preserve"> OPC, FIPUG and SACE</w:t>
      </w:r>
      <w:r w:rsidR="00984172" w:rsidRPr="00F820F5">
        <w:t>,</w:t>
      </w:r>
      <w:r w:rsidR="00B81F13" w:rsidRPr="00F820F5">
        <w:t xml:space="preserve"> as joint movants to Gulf’s Motion support the Motion.</w:t>
      </w:r>
      <w:r w:rsidR="00984172">
        <w:t xml:space="preserve">  </w:t>
      </w:r>
      <w:r w:rsidR="00B81F13">
        <w:t xml:space="preserve">   </w:t>
      </w:r>
    </w:p>
    <w:p w:rsidR="000F1D4D" w:rsidRDefault="000F1D4D" w:rsidP="000106E0">
      <w:pPr>
        <w:pStyle w:val="OrderBody"/>
      </w:pPr>
    </w:p>
    <w:p w:rsidR="000106E0" w:rsidRDefault="000F1D4D" w:rsidP="000106E0">
      <w:pPr>
        <w:pStyle w:val="OrderBody"/>
      </w:pPr>
      <w:r>
        <w:tab/>
      </w:r>
      <w:r w:rsidR="00931579">
        <w:t>Having reviewed the SSA</w:t>
      </w:r>
      <w:r w:rsidR="00F93545">
        <w:t>,</w:t>
      </w:r>
      <w:r w:rsidR="00931579">
        <w:t xml:space="preserve"> </w:t>
      </w:r>
      <w:r>
        <w:t xml:space="preserve">Gulf’s Motion, </w:t>
      </w:r>
      <w:r w:rsidR="00931579">
        <w:t xml:space="preserve">the request </w:t>
      </w:r>
      <w:r w:rsidR="00F93545">
        <w:t xml:space="preserve">by the signatories </w:t>
      </w:r>
      <w:r w:rsidR="00931579">
        <w:t xml:space="preserve">for a rate reduction </w:t>
      </w:r>
      <w:r w:rsidR="00F820F5">
        <w:t xml:space="preserve">in April </w:t>
      </w:r>
      <w:r w:rsidR="00931579">
        <w:t xml:space="preserve">2018, </w:t>
      </w:r>
      <w:r w:rsidR="00F93545">
        <w:t xml:space="preserve">and in light of the fact that there appear to be no disputed issues of material fact, </w:t>
      </w:r>
      <w:r w:rsidR="00931579">
        <w:t xml:space="preserve">a Final Commission Hearing </w:t>
      </w:r>
      <w:r w:rsidR="00F93545">
        <w:t xml:space="preserve">shall take place at </w:t>
      </w:r>
      <w:r w:rsidR="00931579">
        <w:t>1:30 p.m. on March 26, 2018</w:t>
      </w:r>
      <w:r w:rsidR="00F93545">
        <w:t>, pursuant to Section 120.57(2), F.S.</w:t>
      </w:r>
      <w:r w:rsidR="00931579">
        <w:t xml:space="preserve">    </w:t>
      </w:r>
    </w:p>
    <w:p w:rsidR="000106E0" w:rsidRDefault="000106E0" w:rsidP="000106E0">
      <w:pPr>
        <w:pStyle w:val="OrderBody"/>
        <w:rPr>
          <w:u w:val="single"/>
        </w:rPr>
      </w:pPr>
    </w:p>
    <w:p w:rsidR="000B4687" w:rsidRPr="004E2C81" w:rsidRDefault="000B4687" w:rsidP="000B4687">
      <w:pPr>
        <w:pStyle w:val="OrderBody"/>
        <w:rPr>
          <w:u w:val="single"/>
        </w:rPr>
      </w:pPr>
      <w:r>
        <w:rPr>
          <w:u w:val="single"/>
        </w:rPr>
        <w:t>Discovery</w:t>
      </w:r>
    </w:p>
    <w:p w:rsidR="000B4687" w:rsidRDefault="000B4687" w:rsidP="000B4687">
      <w:pPr>
        <w:pStyle w:val="OrderBody"/>
      </w:pPr>
    </w:p>
    <w:p w:rsidR="000B4687" w:rsidRDefault="000B4687" w:rsidP="000B4687">
      <w:pPr>
        <w:ind w:firstLine="720"/>
        <w:jc w:val="both"/>
      </w:pPr>
      <w:r>
        <w:t xml:space="preserve">Commission staff and the parties shall be permitted a limited time to send no more than 150 data requests. Parties are directed to respond to the data requests in writing so the response is received within 5 days of receipt of the request. Affidavits must accompany all written data responses. All data responses must be received by </w:t>
      </w:r>
      <w:r w:rsidR="000F1D4D">
        <w:t>March 19, 2018</w:t>
      </w:r>
      <w:r>
        <w:t>.</w:t>
      </w:r>
      <w:r w:rsidR="000F1D4D">
        <w:t xml:space="preserve">  </w:t>
      </w:r>
      <w:r>
        <w:t xml:space="preserve">Information obtained through data request responses may be used by the parties in their oral arguments, by staff in advising the Commission, and by the Commissioners in consideration of the </w:t>
      </w:r>
      <w:r w:rsidR="00F93545">
        <w:t>SSA</w:t>
      </w:r>
      <w:r>
        <w:t>.</w:t>
      </w:r>
    </w:p>
    <w:p w:rsidR="000B4687" w:rsidRDefault="000B4687" w:rsidP="000B4687">
      <w:pPr>
        <w:ind w:firstLine="720"/>
        <w:jc w:val="both"/>
      </w:pPr>
    </w:p>
    <w:p w:rsidR="000B4687" w:rsidRPr="004E2C81" w:rsidRDefault="000B4687" w:rsidP="000B4687">
      <w:pPr>
        <w:rPr>
          <w:u w:val="single"/>
        </w:rPr>
      </w:pPr>
      <w:r w:rsidRPr="004E2C81">
        <w:rPr>
          <w:u w:val="single"/>
        </w:rPr>
        <w:t>Use of Confidential Information at Hearing</w:t>
      </w:r>
    </w:p>
    <w:p w:rsidR="000B4687" w:rsidRDefault="000B4687" w:rsidP="000B4687">
      <w:pPr>
        <w:ind w:firstLine="720"/>
        <w:jc w:val="both"/>
      </w:pPr>
      <w:r>
        <w:tab/>
      </w:r>
    </w:p>
    <w:p w:rsidR="000B4687" w:rsidRDefault="000B4687" w:rsidP="000B4687">
      <w:pPr>
        <w:ind w:firstLine="720"/>
        <w:jc w:val="both"/>
      </w:pPr>
      <w:r>
        <w:t>While it is the Commission’s policy to have all Commission hearings open to the public at all times, the Commission also recognizes its obligation pursuant to Section 366.093, F.S., to protect proprietary confidential business information from disclosure outside the proceeding.  Therefore, any party wishing to use at the hearing any proprietary confidential business information, as that term is defined in Section 366.093, F.S., shall adhere to the following:</w:t>
      </w:r>
    </w:p>
    <w:p w:rsidR="000B4687" w:rsidRDefault="000B4687" w:rsidP="000B4687">
      <w:pPr>
        <w:ind w:firstLine="720"/>
        <w:jc w:val="both"/>
      </w:pPr>
      <w:r>
        <w:tab/>
      </w:r>
    </w:p>
    <w:p w:rsidR="000B4687" w:rsidRDefault="000B4687" w:rsidP="000B4687">
      <w:pPr>
        <w:ind w:left="1440" w:right="720" w:hanging="720"/>
        <w:jc w:val="both"/>
      </w:pPr>
      <w:r>
        <w:t>(1)</w:t>
      </w:r>
      <w:r>
        <w:tab/>
        <w:t xml:space="preserve">When confidential information is used in the hearing, parties must have copies for the Commissioners, necessary staff, and the court reporter, in </w:t>
      </w:r>
      <w:r>
        <w:lastRenderedPageBreak/>
        <w:t>red envelopes clearly marked with the nature of the contents.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0B4687" w:rsidRDefault="000B4687" w:rsidP="000B4687">
      <w:pPr>
        <w:ind w:left="720" w:right="720" w:firstLine="720"/>
        <w:jc w:val="both"/>
      </w:pPr>
    </w:p>
    <w:p w:rsidR="000B4687" w:rsidRDefault="000B4687" w:rsidP="000B4687">
      <w:pPr>
        <w:ind w:left="1440" w:right="720" w:hanging="720"/>
        <w:jc w:val="both"/>
      </w:pPr>
      <w:r>
        <w:t>(2)</w:t>
      </w:r>
      <w:r>
        <w:tab/>
        <w:t>Counsel and witnesses are cautioned to avoid verbalizing confidential information in such a way that would compromise confidentiality.  Therefore, confidential information should be presented by written exhibit when reasonably possible.</w:t>
      </w:r>
    </w:p>
    <w:p w:rsidR="000B4687" w:rsidRDefault="000B4687" w:rsidP="000B4687">
      <w:pPr>
        <w:ind w:firstLine="720"/>
      </w:pPr>
      <w:r>
        <w:tab/>
      </w:r>
      <w:r>
        <w:tab/>
      </w:r>
    </w:p>
    <w:p w:rsidR="000B4687" w:rsidRDefault="000B4687" w:rsidP="000B4687">
      <w:pPr>
        <w:ind w:firstLine="720"/>
        <w:jc w:val="both"/>
      </w:pPr>
      <w:r>
        <w:t>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Office of Commission Clerk’s confidential files.  If such information is admitted into the evidentiary record at hearing and is not otherwise subject to a request for confidentiality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rsidR="000B4687" w:rsidRDefault="000B4687" w:rsidP="000B4687"/>
    <w:p w:rsidR="000B4687" w:rsidRPr="00E14537" w:rsidRDefault="000B4687" w:rsidP="000B4687">
      <w:pPr>
        <w:rPr>
          <w:u w:val="single"/>
        </w:rPr>
      </w:pPr>
      <w:r>
        <w:rPr>
          <w:u w:val="single"/>
        </w:rPr>
        <w:t>Hearing Procedures</w:t>
      </w:r>
    </w:p>
    <w:p w:rsidR="000B4687" w:rsidRDefault="000B4687" w:rsidP="000B4687"/>
    <w:p w:rsidR="000B4687" w:rsidRDefault="000B4687" w:rsidP="000B4687">
      <w:pPr>
        <w:ind w:firstLine="720"/>
        <w:jc w:val="both"/>
      </w:pPr>
      <w:r>
        <w:t xml:space="preserve">Section 120.57(4), F.S., permits the Commission to informally dispose of any proceeding by stipulation, agreed settlement, or consent order.  Section 120.57(2), F.S., permits the Commission to proceed with hearings not involving disputed issues of material fact.  Pursuant to Rule 28-106.302(2), F.A.C., the purpose of this hearing is for the Commission to take oral evidence or argument regarding </w:t>
      </w:r>
      <w:r w:rsidR="00F93545">
        <w:t>Gulf’s request for approval of the SSA.</w:t>
      </w:r>
    </w:p>
    <w:p w:rsidR="000B4687" w:rsidRDefault="000B4687" w:rsidP="000B4687">
      <w:pPr>
        <w:ind w:firstLine="720"/>
      </w:pPr>
    </w:p>
    <w:p w:rsidR="000B4687" w:rsidRDefault="000B4687" w:rsidP="000B4687">
      <w:pPr>
        <w:ind w:firstLine="720"/>
        <w:jc w:val="both"/>
      </w:pPr>
      <w:r>
        <w:t xml:space="preserve">The hearing agenda for </w:t>
      </w:r>
      <w:r w:rsidR="00F93545">
        <w:t>March 26, 2018</w:t>
      </w:r>
      <w:r>
        <w:t>, will include the following:</w:t>
      </w:r>
    </w:p>
    <w:p w:rsidR="000B4687" w:rsidRDefault="000B4687" w:rsidP="000B4687">
      <w:pPr>
        <w:ind w:firstLine="720"/>
        <w:jc w:val="both"/>
      </w:pPr>
    </w:p>
    <w:p w:rsidR="000B4687" w:rsidRDefault="000B4687" w:rsidP="000B4687">
      <w:pPr>
        <w:pStyle w:val="ListParagraph"/>
        <w:numPr>
          <w:ilvl w:val="0"/>
          <w:numId w:val="1"/>
        </w:numPr>
        <w:spacing w:line="480" w:lineRule="auto"/>
        <w:jc w:val="both"/>
      </w:pPr>
      <w:r>
        <w:t xml:space="preserve">Parties present Opening Statements </w:t>
      </w:r>
      <w:r w:rsidR="000F1D4D">
        <w:t xml:space="preserve">of </w:t>
      </w:r>
      <w:r>
        <w:t xml:space="preserve">no more than 8 minutes per party </w:t>
      </w:r>
    </w:p>
    <w:p w:rsidR="000B4687" w:rsidRDefault="000B4687" w:rsidP="000B4687">
      <w:pPr>
        <w:pStyle w:val="ListParagraph"/>
        <w:numPr>
          <w:ilvl w:val="0"/>
          <w:numId w:val="1"/>
        </w:numPr>
        <w:spacing w:line="480" w:lineRule="auto"/>
        <w:jc w:val="both"/>
      </w:pPr>
      <w:r>
        <w:t>Public Testimony</w:t>
      </w:r>
    </w:p>
    <w:p w:rsidR="000B4687" w:rsidRDefault="000B4687" w:rsidP="000B4687">
      <w:pPr>
        <w:pStyle w:val="ListParagraph"/>
        <w:numPr>
          <w:ilvl w:val="0"/>
          <w:numId w:val="1"/>
        </w:numPr>
        <w:spacing w:line="480" w:lineRule="auto"/>
        <w:jc w:val="both"/>
      </w:pPr>
      <w:r>
        <w:t xml:space="preserve">Commission Staff </w:t>
      </w:r>
      <w:r w:rsidR="000F1D4D">
        <w:t>Overview</w:t>
      </w:r>
    </w:p>
    <w:p w:rsidR="000B4687" w:rsidRDefault="000B4687" w:rsidP="000B4687">
      <w:pPr>
        <w:pStyle w:val="ListParagraph"/>
        <w:numPr>
          <w:ilvl w:val="0"/>
          <w:numId w:val="1"/>
        </w:numPr>
        <w:jc w:val="both"/>
      </w:pPr>
      <w:r>
        <w:t xml:space="preserve">Parties present evidence and respond to questions from Commissioners regarding the </w:t>
      </w:r>
      <w:r w:rsidR="00F93545">
        <w:t>SSA</w:t>
      </w:r>
    </w:p>
    <w:p w:rsidR="000B4687" w:rsidRDefault="000B4687" w:rsidP="000B4687">
      <w:pPr>
        <w:pStyle w:val="ListParagraph"/>
        <w:ind w:left="1440"/>
        <w:jc w:val="both"/>
      </w:pPr>
    </w:p>
    <w:p w:rsidR="000B4687" w:rsidRDefault="000B4687" w:rsidP="000B4687">
      <w:pPr>
        <w:jc w:val="both"/>
      </w:pPr>
      <w:r>
        <w:t xml:space="preserve">Upon completion of the Commission’s questions, the hearing record will be closed and the Commission may render a bench decision. If a bench decision is not made, the Commission will render a decision during a Special Agenda Conference; date and time to be determined. Briefs, if any, will be due </w:t>
      </w:r>
      <w:r w:rsidR="000F1D4D">
        <w:t>April 9, 2016</w:t>
      </w:r>
      <w:r w:rsidR="00F93545">
        <w:t>.</w:t>
      </w:r>
    </w:p>
    <w:p w:rsidR="00984172" w:rsidRDefault="00984172" w:rsidP="000B4687">
      <w:pPr>
        <w:jc w:val="both"/>
      </w:pPr>
    </w:p>
    <w:p w:rsidR="00984172" w:rsidRDefault="000B4687" w:rsidP="00984172">
      <w:pPr>
        <w:jc w:val="both"/>
      </w:pPr>
      <w:r>
        <w:lastRenderedPageBreak/>
        <w:tab/>
        <w:t xml:space="preserve">The Commission has jurisdiction in this matter pursuant to Chapters 120, and 366, F.S., and is proceeding under its authority under Sections </w:t>
      </w:r>
      <w:r w:rsidRPr="00E14537">
        <w:t>366.04, 366.041, 366.05, 366.06, 366</w:t>
      </w:r>
      <w:r>
        <w:t xml:space="preserve">.07, 366.076, 366.8255, 366.93, and </w:t>
      </w:r>
      <w:r w:rsidRPr="00E14537">
        <w:t>120.57</w:t>
      </w:r>
      <w:r>
        <w:t>,</w:t>
      </w:r>
      <w:r w:rsidRPr="00E14537">
        <w:t xml:space="preserve"> F.S., and Rule</w:t>
      </w:r>
      <w:r>
        <w:t>s</w:t>
      </w:r>
      <w:r w:rsidRPr="00E14537">
        <w:t xml:space="preserve"> 28-106.301 and 28-106.302, F.A.C.</w:t>
      </w:r>
      <w:r w:rsidR="00984172">
        <w:t xml:space="preserve"> </w:t>
      </w:r>
    </w:p>
    <w:p w:rsidR="00984172" w:rsidRDefault="00984172" w:rsidP="00984172">
      <w:pPr>
        <w:jc w:val="both"/>
      </w:pPr>
    </w:p>
    <w:p w:rsidR="00984172" w:rsidRDefault="00984172" w:rsidP="00984172">
      <w:pPr>
        <w:jc w:val="both"/>
      </w:pPr>
      <w:r>
        <w:tab/>
        <w:t>Based on the foregoing, it is</w:t>
      </w:r>
    </w:p>
    <w:p w:rsidR="00984172" w:rsidRDefault="00984172" w:rsidP="00984172">
      <w:pPr>
        <w:jc w:val="both"/>
      </w:pPr>
    </w:p>
    <w:p w:rsidR="00984172" w:rsidRDefault="00984172" w:rsidP="00984172">
      <w:pPr>
        <w:jc w:val="both"/>
      </w:pPr>
      <w:r>
        <w:tab/>
        <w:t>ORDERED by Chairman Julie I. Brown, as Prehearing Officer, that the provisions of this Order shall govern this proceeding unless modified by the Commission.</w:t>
      </w:r>
    </w:p>
    <w:p w:rsidR="00984172" w:rsidRDefault="00984172" w:rsidP="00984172">
      <w:pPr>
        <w:pStyle w:val="CenterUnderline"/>
        <w:jc w:val="both"/>
      </w:pPr>
    </w:p>
    <w:p w:rsidR="00984172" w:rsidRDefault="00984172" w:rsidP="00984172">
      <w:pPr>
        <w:pStyle w:val="CenterUnderline"/>
        <w:keepNext/>
        <w:keepLines/>
        <w:jc w:val="both"/>
        <w:rPr>
          <w:u w:val="none"/>
        </w:rPr>
      </w:pPr>
      <w:r>
        <w:rPr>
          <w:u w:val="none"/>
        </w:rPr>
        <w:tab/>
        <w:t xml:space="preserve">By ORDER of Commissioner Julie I. Brown, as Prehearing Officer, this </w:t>
      </w:r>
      <w:bookmarkStart w:id="5" w:name="replaceDate"/>
      <w:bookmarkEnd w:id="5"/>
      <w:r w:rsidR="00E76C8C">
        <w:t>1st</w:t>
      </w:r>
      <w:r w:rsidR="00E76C8C">
        <w:rPr>
          <w:u w:val="none"/>
        </w:rPr>
        <w:t xml:space="preserve"> day of </w:t>
      </w:r>
      <w:r w:rsidR="00E76C8C">
        <w:t>March</w:t>
      </w:r>
      <w:r w:rsidR="00E76C8C">
        <w:rPr>
          <w:u w:val="none"/>
        </w:rPr>
        <w:t xml:space="preserve">, </w:t>
      </w:r>
      <w:r w:rsidR="00E76C8C">
        <w:t>2018</w:t>
      </w:r>
      <w:r w:rsidR="00E76C8C">
        <w:rPr>
          <w:u w:val="none"/>
        </w:rPr>
        <w:t>.</w:t>
      </w:r>
    </w:p>
    <w:p w:rsidR="00E76C8C" w:rsidRPr="00E76C8C" w:rsidRDefault="00E76C8C" w:rsidP="00984172">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984172" w:rsidTr="0040478D">
        <w:tc>
          <w:tcPr>
            <w:tcW w:w="720" w:type="dxa"/>
            <w:shd w:val="clear" w:color="auto" w:fill="auto"/>
          </w:tcPr>
          <w:p w:rsidR="00984172" w:rsidRDefault="00984172" w:rsidP="0040478D">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984172" w:rsidRDefault="00E76C8C" w:rsidP="0040478D">
            <w:pPr>
              <w:pStyle w:val="CenterUnderline"/>
              <w:keepNext/>
              <w:keepLines/>
              <w:jc w:val="both"/>
              <w:rPr>
                <w:u w:val="none"/>
              </w:rPr>
            </w:pPr>
            <w:r>
              <w:rPr>
                <w:u w:val="none"/>
              </w:rPr>
              <w:t>/s/ Julie I. Brown</w:t>
            </w:r>
            <w:bookmarkStart w:id="7" w:name="_GoBack"/>
            <w:bookmarkEnd w:id="7"/>
          </w:p>
        </w:tc>
      </w:tr>
      <w:bookmarkEnd w:id="6"/>
      <w:tr w:rsidR="00984172" w:rsidTr="0040478D">
        <w:tc>
          <w:tcPr>
            <w:tcW w:w="720" w:type="dxa"/>
            <w:shd w:val="clear" w:color="auto" w:fill="auto"/>
          </w:tcPr>
          <w:p w:rsidR="00984172" w:rsidRDefault="00984172" w:rsidP="0040478D">
            <w:pPr>
              <w:pStyle w:val="CenterUnderline"/>
              <w:keepNext/>
              <w:keepLines/>
              <w:jc w:val="both"/>
              <w:rPr>
                <w:u w:val="none"/>
              </w:rPr>
            </w:pPr>
          </w:p>
        </w:tc>
        <w:tc>
          <w:tcPr>
            <w:tcW w:w="4320" w:type="dxa"/>
            <w:tcBorders>
              <w:top w:val="single" w:sz="4" w:space="0" w:color="auto"/>
            </w:tcBorders>
            <w:shd w:val="clear" w:color="auto" w:fill="auto"/>
          </w:tcPr>
          <w:p w:rsidR="00984172" w:rsidRDefault="00984172" w:rsidP="0040478D">
            <w:pPr>
              <w:pStyle w:val="CenterUnderline"/>
              <w:keepNext/>
              <w:keepLines/>
              <w:jc w:val="both"/>
              <w:rPr>
                <w:u w:val="none"/>
              </w:rPr>
            </w:pPr>
            <w:r>
              <w:rPr>
                <w:u w:val="none"/>
              </w:rPr>
              <w:t>JULIE I. BROWN</w:t>
            </w:r>
          </w:p>
          <w:p w:rsidR="00984172" w:rsidRDefault="00984172" w:rsidP="0040478D">
            <w:pPr>
              <w:pStyle w:val="CenterUnderline"/>
              <w:keepNext/>
              <w:keepLines/>
              <w:jc w:val="both"/>
              <w:rPr>
                <w:u w:val="none"/>
              </w:rPr>
            </w:pPr>
            <w:r>
              <w:rPr>
                <w:u w:val="none"/>
              </w:rPr>
              <w:t>Commissioner and Prehearing Officer</w:t>
            </w:r>
          </w:p>
        </w:tc>
      </w:tr>
    </w:tbl>
    <w:p w:rsidR="00984172" w:rsidRDefault="00984172" w:rsidP="00984172">
      <w:pPr>
        <w:pStyle w:val="OrderSigInfo"/>
        <w:keepNext/>
        <w:keepLines/>
      </w:pPr>
      <w:r>
        <w:t>Florida Public Service Commission</w:t>
      </w:r>
    </w:p>
    <w:p w:rsidR="00984172" w:rsidRDefault="00984172" w:rsidP="00984172">
      <w:pPr>
        <w:pStyle w:val="OrderSigInfo"/>
        <w:keepNext/>
        <w:keepLines/>
      </w:pPr>
      <w:r>
        <w:t>2540 Shumard Oak Boulevard</w:t>
      </w:r>
    </w:p>
    <w:p w:rsidR="00984172" w:rsidRDefault="00984172" w:rsidP="00984172">
      <w:pPr>
        <w:pStyle w:val="OrderSigInfo"/>
        <w:keepNext/>
        <w:keepLines/>
      </w:pPr>
      <w:r>
        <w:t>Tallahassee, Florida  32399</w:t>
      </w:r>
    </w:p>
    <w:p w:rsidR="00984172" w:rsidRDefault="00984172" w:rsidP="00984172">
      <w:pPr>
        <w:pStyle w:val="OrderSigInfo"/>
        <w:keepNext/>
        <w:keepLines/>
      </w:pPr>
      <w:r>
        <w:t>(850) 413</w:t>
      </w:r>
      <w:r>
        <w:noBreakHyphen/>
        <w:t>6770</w:t>
      </w:r>
    </w:p>
    <w:p w:rsidR="00984172" w:rsidRDefault="00984172" w:rsidP="00984172">
      <w:pPr>
        <w:pStyle w:val="OrderSigInfo"/>
        <w:keepNext/>
        <w:keepLines/>
      </w:pPr>
      <w:r>
        <w:t>www.floridapsc.com</w:t>
      </w:r>
    </w:p>
    <w:p w:rsidR="00984172" w:rsidRDefault="00984172" w:rsidP="00984172">
      <w:pPr>
        <w:pStyle w:val="OrderSigInfo"/>
        <w:keepNext/>
        <w:keepLines/>
      </w:pPr>
    </w:p>
    <w:p w:rsidR="00984172" w:rsidRDefault="00984172" w:rsidP="00984172">
      <w:pPr>
        <w:pStyle w:val="OrderSigInfo"/>
        <w:keepNext/>
        <w:keepLines/>
      </w:pPr>
      <w:r>
        <w:t>Copies furnished:  A copy of this document is provided to the parties of record at the time of issuance and, if applicable, interested persons.</w:t>
      </w:r>
    </w:p>
    <w:p w:rsidR="00984172" w:rsidRDefault="00984172" w:rsidP="00984172">
      <w:pPr>
        <w:pStyle w:val="CenterUnderline"/>
        <w:keepNext/>
        <w:keepLines/>
        <w:jc w:val="both"/>
        <w:rPr>
          <w:u w:val="none"/>
        </w:rPr>
      </w:pPr>
      <w:r>
        <w:rPr>
          <w:u w:val="none"/>
        </w:rPr>
        <w:t>SBr</w:t>
      </w:r>
    </w:p>
    <w:p w:rsidR="00984172" w:rsidRDefault="00984172" w:rsidP="00984172">
      <w:pPr>
        <w:pStyle w:val="CenterUnderline"/>
        <w:keepNext/>
        <w:keepLines/>
        <w:jc w:val="both"/>
        <w:rPr>
          <w:u w:val="none"/>
        </w:rPr>
      </w:pPr>
    </w:p>
    <w:p w:rsidR="00984172" w:rsidRDefault="00984172" w:rsidP="00984172">
      <w:pPr>
        <w:pStyle w:val="CenterUnderline"/>
        <w:jc w:val="both"/>
        <w:rPr>
          <w:u w:val="none"/>
        </w:rPr>
      </w:pPr>
    </w:p>
    <w:p w:rsidR="00984172" w:rsidRDefault="00984172" w:rsidP="00984172">
      <w:pPr>
        <w:pStyle w:val="CenterUnderline"/>
      </w:pPr>
      <w:r>
        <w:t>NOTICE OF FURTHER PROCEEDINGS OR JUDICIAL REVIEW</w:t>
      </w:r>
    </w:p>
    <w:p w:rsidR="00984172" w:rsidRDefault="00984172" w:rsidP="00984172">
      <w:pPr>
        <w:pStyle w:val="CenterUnderline"/>
      </w:pPr>
    </w:p>
    <w:p w:rsidR="00984172" w:rsidRDefault="00984172" w:rsidP="0098417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84172" w:rsidRDefault="00984172" w:rsidP="00984172">
      <w:pPr>
        <w:pStyle w:val="OrderBody"/>
      </w:pPr>
    </w:p>
    <w:p w:rsidR="00984172" w:rsidRDefault="00984172" w:rsidP="00984172">
      <w:pPr>
        <w:pStyle w:val="OrderBody"/>
      </w:pPr>
      <w:r>
        <w:tab/>
        <w:t>Mediation may be available on a case-by-case basis.  If mediation is conducted, it does not affect a substantially interested person's right to a hearing.</w:t>
      </w:r>
    </w:p>
    <w:p w:rsidR="00984172" w:rsidRDefault="00984172" w:rsidP="00984172">
      <w:pPr>
        <w:jc w:val="both"/>
      </w:pPr>
    </w:p>
    <w:p w:rsidR="00430A88" w:rsidRDefault="000B4687" w:rsidP="00984172">
      <w:pPr>
        <w:jc w:val="both"/>
      </w:pPr>
      <w:r>
        <w:tab/>
      </w:r>
      <w:r w:rsidR="00430A88">
        <w:t xml:space="preserve">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w:t>
      </w:r>
      <w:r w:rsidR="00430A88">
        <w:lastRenderedPageBreak/>
        <w:t>of the final action will not provide an adequate remedy.  Such review may be requested from the appropriate court, as described above, pursuant to Rule 9.100, Florida Rules of Appellate Procedure.</w:t>
      </w:r>
    </w:p>
    <w:p w:rsidR="00430A88" w:rsidRDefault="00430A88" w:rsidP="00430A88">
      <w:pPr>
        <w:pStyle w:val="OrderBody"/>
      </w:pPr>
    </w:p>
    <w:sectPr w:rsidR="00430A88">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4687" w:rsidRDefault="000B4687">
      <w:r>
        <w:separator/>
      </w:r>
    </w:p>
  </w:endnote>
  <w:endnote w:type="continuationSeparator" w:id="0">
    <w:p w:rsidR="000B4687" w:rsidRDefault="000B4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4687" w:rsidRDefault="000B4687">
      <w:r>
        <w:separator/>
      </w:r>
    </w:p>
  </w:footnote>
  <w:footnote w:type="continuationSeparator" w:id="0">
    <w:p w:rsidR="000B4687" w:rsidRDefault="000B4687">
      <w:r>
        <w:continuationSeparator/>
      </w:r>
    </w:p>
  </w:footnote>
  <w:footnote w:id="1">
    <w:p w:rsidR="00B1629D" w:rsidRDefault="00B1629D" w:rsidP="00B1629D">
      <w:pPr>
        <w:pStyle w:val="FootnoteText"/>
      </w:pPr>
      <w:r>
        <w:rPr>
          <w:rStyle w:val="FootnoteReference"/>
        </w:rPr>
        <w:footnoteRef/>
      </w:r>
      <w:r>
        <w:t xml:space="preserve"> Docket No. 20180013-PU, </w:t>
      </w:r>
      <w:r>
        <w:rPr>
          <w:u w:val="single"/>
        </w:rPr>
        <w:t>In re: Petition to establish a generic docket to investigate and adjust rates for 2018 tax savings, by Office of Public Counsel</w:t>
      </w:r>
      <w:r>
        <w:t xml:space="preserve">.  </w:t>
      </w:r>
    </w:p>
  </w:footnote>
  <w:footnote w:id="2">
    <w:p w:rsidR="00B1629D" w:rsidRPr="000B4687" w:rsidRDefault="00B1629D" w:rsidP="00B1629D">
      <w:pPr>
        <w:pStyle w:val="FootnoteText"/>
      </w:pPr>
      <w:r>
        <w:rPr>
          <w:rStyle w:val="FootnoteReference"/>
        </w:rPr>
        <w:footnoteRef/>
      </w:r>
      <w:r>
        <w:t xml:space="preserve"> Docket No. 20160186-EI, </w:t>
      </w:r>
      <w:r>
        <w:rPr>
          <w:u w:val="single"/>
        </w:rPr>
        <w:t>In re: Petition for rate increase by Gulf Power Company</w:t>
      </w:r>
      <w:r>
        <w:t>.</w:t>
      </w:r>
    </w:p>
  </w:footnote>
  <w:footnote w:id="3">
    <w:p w:rsidR="0016049B" w:rsidRDefault="0016049B">
      <w:pPr>
        <w:pStyle w:val="FootnoteText"/>
      </w:pPr>
      <w:r>
        <w:rPr>
          <w:rStyle w:val="FootnoteReference"/>
        </w:rPr>
        <w:footnoteRef/>
      </w:r>
      <w:r>
        <w:t xml:space="preserve"> Order No. PSC-</w:t>
      </w:r>
      <w:r w:rsidR="003F3C05">
        <w:t xml:space="preserve">17-0178-S-EI, issued on May 16, 2017, in Docket No. 160186-EI, </w:t>
      </w:r>
      <w:r w:rsidR="003F3C05">
        <w:rPr>
          <w:u w:val="single"/>
        </w:rPr>
        <w:t>In re: Petition for rate increase by Gulf Power Company</w:t>
      </w:r>
      <w:r w:rsidR="003F3C05">
        <w:t>.</w:t>
      </w:r>
    </w:p>
  </w:footnote>
  <w:footnote w:id="4">
    <w:p w:rsidR="00603263" w:rsidRPr="00D2558E" w:rsidRDefault="00603263">
      <w:pPr>
        <w:pStyle w:val="FootnoteText"/>
      </w:pPr>
      <w:r>
        <w:rPr>
          <w:rStyle w:val="FootnoteReference"/>
        </w:rPr>
        <w:footnoteRef/>
      </w:r>
      <w:r>
        <w:t xml:space="preserve"> </w:t>
      </w:r>
      <w:r w:rsidR="00D2558E">
        <w:rPr>
          <w:u w:val="single"/>
        </w:rPr>
        <w:t>Id</w:t>
      </w:r>
      <w:r w:rsidR="00D2558E">
        <w:t xml:space="preserve">. </w:t>
      </w:r>
    </w:p>
  </w:footnote>
  <w:footnote w:id="5">
    <w:p w:rsidR="003E5CEF" w:rsidRDefault="003E5CEF">
      <w:pPr>
        <w:pStyle w:val="FootnoteText"/>
      </w:pPr>
      <w:r>
        <w:rPr>
          <w:rStyle w:val="FootnoteReference"/>
        </w:rPr>
        <w:footnoteRef/>
      </w:r>
      <w:r>
        <w:t xml:space="preserve"> Paragraphs 2, 4.</w:t>
      </w:r>
    </w:p>
  </w:footnote>
  <w:footnote w:id="6">
    <w:p w:rsidR="003E5CEF" w:rsidRDefault="003E5CEF">
      <w:pPr>
        <w:pStyle w:val="FootnoteText"/>
      </w:pPr>
      <w:r>
        <w:rPr>
          <w:rStyle w:val="FootnoteReference"/>
        </w:rPr>
        <w:footnoteRef/>
      </w:r>
      <w:r>
        <w:t xml:space="preserve"> Paragraph</w:t>
      </w:r>
      <w:r w:rsidR="008756E3">
        <w:t>s</w:t>
      </w:r>
      <w:r>
        <w:t xml:space="preserve"> 5</w:t>
      </w:r>
      <w:r w:rsidR="00D2558E">
        <w:t>,</w:t>
      </w:r>
      <w:r w:rsidR="008756E3">
        <w:t xml:space="preserve"> 8</w:t>
      </w:r>
      <w:r w:rsidR="00603E34">
        <w:t>.</w:t>
      </w:r>
    </w:p>
  </w:footnote>
  <w:footnote w:id="7">
    <w:p w:rsidR="003E5CEF" w:rsidRDefault="003E5CEF">
      <w:pPr>
        <w:pStyle w:val="FootnoteText"/>
      </w:pPr>
      <w:r>
        <w:rPr>
          <w:rStyle w:val="FootnoteReference"/>
        </w:rPr>
        <w:footnoteRef/>
      </w:r>
      <w:r>
        <w:t xml:space="preserve"> Paragraph 7.</w:t>
      </w:r>
    </w:p>
  </w:footnote>
  <w:footnote w:id="8">
    <w:p w:rsidR="008756E3" w:rsidRDefault="008756E3">
      <w:pPr>
        <w:pStyle w:val="FootnoteText"/>
      </w:pPr>
      <w:r>
        <w:rPr>
          <w:rStyle w:val="FootnoteReference"/>
        </w:rPr>
        <w:footnoteRef/>
      </w:r>
      <w:r>
        <w:t xml:space="preserve"> Paragraph 9.</w:t>
      </w:r>
    </w:p>
  </w:footnote>
  <w:footnote w:id="9">
    <w:p w:rsidR="00CC7A33" w:rsidRDefault="00CC7A33">
      <w:pPr>
        <w:pStyle w:val="FootnoteText"/>
      </w:pPr>
      <w:r>
        <w:rPr>
          <w:rStyle w:val="FootnoteReference"/>
        </w:rPr>
        <w:footnoteRef/>
      </w:r>
      <w:r>
        <w:t xml:space="preserve"> Paragraph 11.</w:t>
      </w:r>
    </w:p>
  </w:footnote>
  <w:footnote w:id="10">
    <w:p w:rsidR="00CC7A33" w:rsidRDefault="00CC7A33">
      <w:pPr>
        <w:pStyle w:val="FootnoteText"/>
      </w:pPr>
      <w:r>
        <w:rPr>
          <w:rStyle w:val="FootnoteReference"/>
        </w:rPr>
        <w:footnoteRef/>
      </w:r>
      <w:r>
        <w:t xml:space="preserve"> Paragraph 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16 ">
      <w:r w:rsidR="00E76C8C">
        <w:t>PSC-2018-0116-PCO-EI</w:t>
      </w:r>
    </w:fldSimple>
  </w:p>
  <w:p w:rsidR="00FA6EFD" w:rsidRDefault="000B4687">
    <w:pPr>
      <w:pStyle w:val="OrderHeader"/>
    </w:pPr>
    <w:bookmarkStart w:id="8" w:name="HeaderDocketNo"/>
    <w:bookmarkEnd w:id="8"/>
    <w:r>
      <w:t>DOCKET NO. 20180039-EI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76C8C">
      <w:rPr>
        <w:rStyle w:val="PageNumber"/>
        <w:noProof/>
      </w:rPr>
      <w:t>5</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A6836"/>
    <w:multiLevelType w:val="hybridMultilevel"/>
    <w:tmpl w:val="A93A97E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39-EI"/>
  </w:docVars>
  <w:rsids>
    <w:rsidRoot w:val="000B4687"/>
    <w:rsid w:val="000022B8"/>
    <w:rsid w:val="000106E0"/>
    <w:rsid w:val="00035A8C"/>
    <w:rsid w:val="00053AB9"/>
    <w:rsid w:val="00056229"/>
    <w:rsid w:val="00057AF1"/>
    <w:rsid w:val="00065FC2"/>
    <w:rsid w:val="00067685"/>
    <w:rsid w:val="00076E6B"/>
    <w:rsid w:val="0008247D"/>
    <w:rsid w:val="00090AFC"/>
    <w:rsid w:val="000B4687"/>
    <w:rsid w:val="000B783E"/>
    <w:rsid w:val="000D02B8"/>
    <w:rsid w:val="000D06E8"/>
    <w:rsid w:val="000E050C"/>
    <w:rsid w:val="000E20F0"/>
    <w:rsid w:val="000E344D"/>
    <w:rsid w:val="000E3F6D"/>
    <w:rsid w:val="000F1D4D"/>
    <w:rsid w:val="000F359F"/>
    <w:rsid w:val="000F3B2C"/>
    <w:rsid w:val="000F63EB"/>
    <w:rsid w:val="000F648A"/>
    <w:rsid w:val="000F7BE3"/>
    <w:rsid w:val="001052BA"/>
    <w:rsid w:val="001107B3"/>
    <w:rsid w:val="001114B1"/>
    <w:rsid w:val="001139D8"/>
    <w:rsid w:val="00116AD3"/>
    <w:rsid w:val="00121957"/>
    <w:rsid w:val="00126593"/>
    <w:rsid w:val="00142A96"/>
    <w:rsid w:val="001513DE"/>
    <w:rsid w:val="0016049B"/>
    <w:rsid w:val="00187E32"/>
    <w:rsid w:val="00194E81"/>
    <w:rsid w:val="001A15E7"/>
    <w:rsid w:val="001A33C9"/>
    <w:rsid w:val="001A58F3"/>
    <w:rsid w:val="001C2847"/>
    <w:rsid w:val="001C3F8C"/>
    <w:rsid w:val="001D008A"/>
    <w:rsid w:val="001E0152"/>
    <w:rsid w:val="001E0FF5"/>
    <w:rsid w:val="002002ED"/>
    <w:rsid w:val="002170E5"/>
    <w:rsid w:val="00220D57"/>
    <w:rsid w:val="0022721A"/>
    <w:rsid w:val="00230BB9"/>
    <w:rsid w:val="00241CEF"/>
    <w:rsid w:val="0025124E"/>
    <w:rsid w:val="00252B30"/>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5495B"/>
    <w:rsid w:val="00361522"/>
    <w:rsid w:val="0037196E"/>
    <w:rsid w:val="003744F5"/>
    <w:rsid w:val="00387BDE"/>
    <w:rsid w:val="00390DD8"/>
    <w:rsid w:val="00394DC6"/>
    <w:rsid w:val="00397C3E"/>
    <w:rsid w:val="003B1A09"/>
    <w:rsid w:val="003D4CCA"/>
    <w:rsid w:val="003D52A6"/>
    <w:rsid w:val="003D6416"/>
    <w:rsid w:val="003E1D48"/>
    <w:rsid w:val="003E3189"/>
    <w:rsid w:val="003E5CEF"/>
    <w:rsid w:val="003F3C05"/>
    <w:rsid w:val="00411DF2"/>
    <w:rsid w:val="00411E8F"/>
    <w:rsid w:val="0042527B"/>
    <w:rsid w:val="00430A88"/>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03263"/>
    <w:rsid w:val="00603E34"/>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32A2"/>
    <w:rsid w:val="00726366"/>
    <w:rsid w:val="00732192"/>
    <w:rsid w:val="00733B6B"/>
    <w:rsid w:val="007467C4"/>
    <w:rsid w:val="0076170F"/>
    <w:rsid w:val="0076669C"/>
    <w:rsid w:val="00766E46"/>
    <w:rsid w:val="00777727"/>
    <w:rsid w:val="00782B79"/>
    <w:rsid w:val="007865E9"/>
    <w:rsid w:val="00792383"/>
    <w:rsid w:val="00794D5A"/>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756E3"/>
    <w:rsid w:val="0088395D"/>
    <w:rsid w:val="00883D9A"/>
    <w:rsid w:val="008919EF"/>
    <w:rsid w:val="00892B20"/>
    <w:rsid w:val="008A12EC"/>
    <w:rsid w:val="008C21C8"/>
    <w:rsid w:val="008C6375"/>
    <w:rsid w:val="008C6A5B"/>
    <w:rsid w:val="008D7084"/>
    <w:rsid w:val="008E26A5"/>
    <w:rsid w:val="008E42D2"/>
    <w:rsid w:val="008E6D56"/>
    <w:rsid w:val="009040EE"/>
    <w:rsid w:val="009057FD"/>
    <w:rsid w:val="0090589B"/>
    <w:rsid w:val="00906FBA"/>
    <w:rsid w:val="009228C7"/>
    <w:rsid w:val="00922A7F"/>
    <w:rsid w:val="00923A5E"/>
    <w:rsid w:val="00926E27"/>
    <w:rsid w:val="00931579"/>
    <w:rsid w:val="00931C8C"/>
    <w:rsid w:val="0094504B"/>
    <w:rsid w:val="00966A9D"/>
    <w:rsid w:val="0096742B"/>
    <w:rsid w:val="00980084"/>
    <w:rsid w:val="00984172"/>
    <w:rsid w:val="009924CF"/>
    <w:rsid w:val="00994100"/>
    <w:rsid w:val="009A6B17"/>
    <w:rsid w:val="009D4C29"/>
    <w:rsid w:val="009F21FA"/>
    <w:rsid w:val="009F6AD2"/>
    <w:rsid w:val="00A00D8D"/>
    <w:rsid w:val="00A01BB6"/>
    <w:rsid w:val="00A4303C"/>
    <w:rsid w:val="00A470FD"/>
    <w:rsid w:val="00A62DAB"/>
    <w:rsid w:val="00A726A6"/>
    <w:rsid w:val="00A97535"/>
    <w:rsid w:val="00AA2BAA"/>
    <w:rsid w:val="00AA73F1"/>
    <w:rsid w:val="00AB0E1A"/>
    <w:rsid w:val="00AB1A30"/>
    <w:rsid w:val="00AB3C36"/>
    <w:rsid w:val="00AD10EB"/>
    <w:rsid w:val="00AD1ED3"/>
    <w:rsid w:val="00B02001"/>
    <w:rsid w:val="00B03C50"/>
    <w:rsid w:val="00B0777D"/>
    <w:rsid w:val="00B1195F"/>
    <w:rsid w:val="00B1629D"/>
    <w:rsid w:val="00B209C7"/>
    <w:rsid w:val="00B3644F"/>
    <w:rsid w:val="00B4057A"/>
    <w:rsid w:val="00B40894"/>
    <w:rsid w:val="00B41039"/>
    <w:rsid w:val="00B444AE"/>
    <w:rsid w:val="00B45E75"/>
    <w:rsid w:val="00B50876"/>
    <w:rsid w:val="00B55AB0"/>
    <w:rsid w:val="00B55EE5"/>
    <w:rsid w:val="00B71D1F"/>
    <w:rsid w:val="00B73DE6"/>
    <w:rsid w:val="00B81F13"/>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A33"/>
    <w:rsid w:val="00CC7E68"/>
    <w:rsid w:val="00CD7132"/>
    <w:rsid w:val="00CE0E6F"/>
    <w:rsid w:val="00CE3B21"/>
    <w:rsid w:val="00CE56FC"/>
    <w:rsid w:val="00CF4CFE"/>
    <w:rsid w:val="00D02E0F"/>
    <w:rsid w:val="00D03EE8"/>
    <w:rsid w:val="00D13535"/>
    <w:rsid w:val="00D17B79"/>
    <w:rsid w:val="00D23FEA"/>
    <w:rsid w:val="00D2558E"/>
    <w:rsid w:val="00D269CA"/>
    <w:rsid w:val="00D30B48"/>
    <w:rsid w:val="00D3168A"/>
    <w:rsid w:val="00D46FAA"/>
    <w:rsid w:val="00D47A40"/>
    <w:rsid w:val="00D5157E"/>
    <w:rsid w:val="00D51D33"/>
    <w:rsid w:val="00D57BB2"/>
    <w:rsid w:val="00D57E57"/>
    <w:rsid w:val="00D70752"/>
    <w:rsid w:val="00D80E2D"/>
    <w:rsid w:val="00D84D5E"/>
    <w:rsid w:val="00D8560E"/>
    <w:rsid w:val="00D8758F"/>
    <w:rsid w:val="00DA6B78"/>
    <w:rsid w:val="00DC1D94"/>
    <w:rsid w:val="00DC42CF"/>
    <w:rsid w:val="00DE057F"/>
    <w:rsid w:val="00DE2082"/>
    <w:rsid w:val="00DE2289"/>
    <w:rsid w:val="00DF09A7"/>
    <w:rsid w:val="00E001D6"/>
    <w:rsid w:val="00E03A76"/>
    <w:rsid w:val="00E04410"/>
    <w:rsid w:val="00E07484"/>
    <w:rsid w:val="00E11351"/>
    <w:rsid w:val="00E44879"/>
    <w:rsid w:val="00E75AE0"/>
    <w:rsid w:val="00E76C8C"/>
    <w:rsid w:val="00E83C1F"/>
    <w:rsid w:val="00EA172C"/>
    <w:rsid w:val="00EA259B"/>
    <w:rsid w:val="00EA35A3"/>
    <w:rsid w:val="00EA3E6A"/>
    <w:rsid w:val="00EB18EF"/>
    <w:rsid w:val="00EB7951"/>
    <w:rsid w:val="00ED6A79"/>
    <w:rsid w:val="00EE17DF"/>
    <w:rsid w:val="00EF4621"/>
    <w:rsid w:val="00EF4D52"/>
    <w:rsid w:val="00EF6312"/>
    <w:rsid w:val="00F22B27"/>
    <w:rsid w:val="00F234A7"/>
    <w:rsid w:val="00F277B6"/>
    <w:rsid w:val="00F27DA5"/>
    <w:rsid w:val="00F37E07"/>
    <w:rsid w:val="00F54380"/>
    <w:rsid w:val="00F54B47"/>
    <w:rsid w:val="00F61247"/>
    <w:rsid w:val="00F6702E"/>
    <w:rsid w:val="00F70E84"/>
    <w:rsid w:val="00F820F5"/>
    <w:rsid w:val="00F93545"/>
    <w:rsid w:val="00FA092B"/>
    <w:rsid w:val="00FA4F6C"/>
    <w:rsid w:val="00FA6EFD"/>
    <w:rsid w:val="00FB74EA"/>
    <w:rsid w:val="00FD2C9E"/>
    <w:rsid w:val="00FD4786"/>
    <w:rsid w:val="00FD616C"/>
    <w:rsid w:val="00FE3EED"/>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0B468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0B46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DD6C11-E31E-4818-91FE-A915AEEC9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5</Pages>
  <Words>1598</Words>
  <Characters>8606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2018-03-01T19:38:00Z</dcterms:created>
  <dcterms:modified xsi:type="dcterms:W3CDTF">2018-03-01T20:31:00Z</dcterms:modified>
</cp:coreProperties>
</file>