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9746E3">
            <w:pPr>
              <w:pStyle w:val="MastHeadState"/>
            </w:pPr>
            <w:bookmarkStart w:id="0" w:name="_GoBack"/>
            <w:bookmarkEnd w:id="0"/>
            <w:r>
              <w:t>State of Florida</w:t>
            </w:r>
          </w:p>
          <w:p w:rsidR="007C0528" w:rsidRDefault="000212D7">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00E5D">
            <w:pPr>
              <w:pStyle w:val="MemoHeading"/>
            </w:pPr>
            <w:bookmarkStart w:id="1" w:name="FilingDate"/>
            <w:r>
              <w:t>April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00E5D" w:rsidRDefault="00D00E5D">
            <w:pPr>
              <w:pStyle w:val="MemoHeading"/>
            </w:pPr>
            <w:bookmarkStart w:id="2" w:name="From"/>
            <w:r>
              <w:t>Division of Economics (Merryday</w:t>
            </w:r>
            <w:r w:rsidR="00260055">
              <w:t>, Draper</w:t>
            </w:r>
            <w:r>
              <w:t>)</w:t>
            </w:r>
          </w:p>
          <w:p w:rsidR="007C0528" w:rsidRDefault="00D00E5D">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00E5D">
            <w:pPr>
              <w:pStyle w:val="MemoHeadingRe"/>
            </w:pPr>
            <w:bookmarkStart w:id="3" w:name="Re"/>
            <w:r>
              <w:t>Docket No. 20180043-GU – Petition for approval of area extension plan rate extension agreement with United States Sugar Corporation,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00E5D">
            <w:pPr>
              <w:pStyle w:val="MemoHeading"/>
            </w:pPr>
            <w:bookmarkStart w:id="4" w:name="AgendaDate"/>
            <w:r>
              <w:t>05/08/18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00E5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00E5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00E5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00E5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265A70">
      <w:pPr>
        <w:pStyle w:val="BodyText"/>
      </w:pPr>
      <w:r>
        <w:t>On February 20, 2018</w:t>
      </w:r>
      <w:r w:rsidR="0001298B">
        <w:t>,</w:t>
      </w:r>
      <w:r>
        <w:t xml:space="preserve"> Florida City Gas (FCG or </w:t>
      </w:r>
      <w:r w:rsidR="003434E0">
        <w:t>utility</w:t>
      </w:r>
      <w:r>
        <w:t xml:space="preserve">) filed a petition for approval of an Area Extension Plan Rate Extension Agreement (AEP Agreement) with </w:t>
      </w:r>
      <w:r w:rsidR="009921FC">
        <w:t xml:space="preserve">United States Sugar Corporation (U.S. Sugar). The extension </w:t>
      </w:r>
      <w:r w:rsidR="00F61175">
        <w:t xml:space="preserve">of the </w:t>
      </w:r>
      <w:r w:rsidR="003434E0">
        <w:t>utility’s</w:t>
      </w:r>
      <w:r w:rsidR="00F61175">
        <w:t xml:space="preserve"> </w:t>
      </w:r>
      <w:r w:rsidR="007E6A30">
        <w:t xml:space="preserve">distribution </w:t>
      </w:r>
      <w:r w:rsidR="00F61175">
        <w:t xml:space="preserve">facilities </w:t>
      </w:r>
      <w:r w:rsidR="009921FC">
        <w:t>to serve U.S. Sugar and the surrounding area is known as the Glades AEP Project.</w:t>
      </w:r>
    </w:p>
    <w:p w:rsidR="007248D4" w:rsidRDefault="007248D4" w:rsidP="007248D4">
      <w:pPr>
        <w:pStyle w:val="BodyText"/>
      </w:pPr>
      <w:r>
        <w:t>The Area Extension Plan (AEP) tariff is designed to provide FCG with an optional method to recover its capital investment to provide natural gas service to customers in a discrete geographical area who do not have gas service available.</w:t>
      </w:r>
      <w:r w:rsidR="0077459B">
        <w:rPr>
          <w:rStyle w:val="FootnoteReference"/>
        </w:rPr>
        <w:footnoteReference w:id="1"/>
      </w:r>
      <w:r>
        <w:t xml:space="preserve"> The AEP tariff provides for the determination of a surcharge based on the required investment and the projected gas sales to customers located in the geographical area. The surcharge is applied on a per therm basis over a </w:t>
      </w:r>
      <w:r>
        <w:lastRenderedPageBreak/>
        <w:t>ten year amortization period in addition to all other tariffed charges. The AEP tariff specifies the formula to calculate the charge; the utilization of the tariff itself does not require Commission approval.</w:t>
      </w:r>
    </w:p>
    <w:p w:rsidR="00754498" w:rsidRDefault="009921FC">
      <w:pPr>
        <w:pStyle w:val="BodyText"/>
      </w:pPr>
      <w:r>
        <w:t>The AEP tariff provid</w:t>
      </w:r>
      <w:r w:rsidR="007E6A30">
        <w:t>es</w:t>
      </w:r>
      <w:r>
        <w:t xml:space="preserve"> for a surcharge recalculation on the third anniversary of facilities being placed in service. </w:t>
      </w:r>
      <w:r w:rsidR="0077459B">
        <w:t xml:space="preserve">The customers on the Glades AEP Project began taking service in </w:t>
      </w:r>
      <w:proofErr w:type="gramStart"/>
      <w:r w:rsidR="0077459B">
        <w:t>2012,</w:t>
      </w:r>
      <w:proofErr w:type="gramEnd"/>
      <w:r w:rsidR="0077459B">
        <w:t xml:space="preserve"> therefore, a</w:t>
      </w:r>
      <w:r>
        <w:t xml:space="preserve"> true-up was to occur in</w:t>
      </w:r>
      <w:r w:rsidR="0077459B">
        <w:t xml:space="preserve"> 2015.</w:t>
      </w:r>
      <w:r>
        <w:t xml:space="preserve"> </w:t>
      </w:r>
      <w:r w:rsidR="0077459B">
        <w:t xml:space="preserve">However, </w:t>
      </w:r>
      <w:r>
        <w:t>significant problems led FCG to request</w:t>
      </w:r>
      <w:r w:rsidR="0077459B">
        <w:t>,</w:t>
      </w:r>
      <w:r>
        <w:t xml:space="preserve"> </w:t>
      </w:r>
      <w:r w:rsidR="007E6A30">
        <w:t>in October 2015</w:t>
      </w:r>
      <w:r w:rsidR="0077459B">
        <w:t>,</w:t>
      </w:r>
      <w:r w:rsidR="007E6A30">
        <w:t xml:space="preserve"> </w:t>
      </w:r>
      <w:r>
        <w:t xml:space="preserve">that the Commission approve a </w:t>
      </w:r>
      <w:r w:rsidR="002612D0">
        <w:t xml:space="preserve">variance to </w:t>
      </w:r>
      <w:r>
        <w:t xml:space="preserve">the </w:t>
      </w:r>
      <w:r w:rsidR="007E6A30">
        <w:t xml:space="preserve">AEP </w:t>
      </w:r>
      <w:r>
        <w:t>tariff to provide relief to customers on the Glades AEP</w:t>
      </w:r>
      <w:r w:rsidR="007E6A30">
        <w:t xml:space="preserve"> Project</w:t>
      </w:r>
      <w:r>
        <w:t>.</w:t>
      </w:r>
      <w:r w:rsidR="007E6A30">
        <w:t xml:space="preserve"> The Commission approved FCG’s request in 2015 in Order No. </w:t>
      </w:r>
      <w:proofErr w:type="gramStart"/>
      <w:r w:rsidR="007E6A30">
        <w:t>PSC-16-0066-PAA-GU (2015 Order).</w:t>
      </w:r>
      <w:proofErr w:type="gramEnd"/>
      <w:r w:rsidR="007E6A30">
        <w:rPr>
          <w:rStyle w:val="FootnoteReference"/>
        </w:rPr>
        <w:t xml:space="preserve"> </w:t>
      </w:r>
      <w:r>
        <w:rPr>
          <w:rStyle w:val="FootnoteReference"/>
        </w:rPr>
        <w:footnoteReference w:id="2"/>
      </w:r>
    </w:p>
    <w:p w:rsidR="00FE08EB" w:rsidRDefault="00FE08EB">
      <w:pPr>
        <w:pStyle w:val="BodyText"/>
      </w:pPr>
      <w:r>
        <w:t xml:space="preserve">FCG stated that it has used the AEP tariff </w:t>
      </w:r>
      <w:r w:rsidR="003434E0">
        <w:t xml:space="preserve">mechanism for </w:t>
      </w:r>
      <w:r>
        <w:t xml:space="preserve">eight </w:t>
      </w:r>
      <w:r w:rsidR="003434E0">
        <w:t>projects</w:t>
      </w:r>
      <w:r>
        <w:t xml:space="preserve"> since its 1995 implementation, and the AEP has proved hel</w:t>
      </w:r>
      <w:r w:rsidR="003434E0">
        <w:t>pful to the utility</w:t>
      </w:r>
      <w:r>
        <w:t xml:space="preserve"> and customers that may have otherwise been unable to receive service. However, the primary customer on the Glades AEP Project, U.S. Sugar, continues to face unique and significant challenges and a surcharge recalculation pursuant to the 2015 Order may interfere with the economic wellbeing and development in the area</w:t>
      </w:r>
      <w:r w:rsidR="007E6A30">
        <w:t>.</w:t>
      </w:r>
      <w:r w:rsidR="0077459B">
        <w:t xml:space="preserve"> Therefore</w:t>
      </w:r>
      <w:r w:rsidR="007E6A30">
        <w:t xml:space="preserve">, </w:t>
      </w:r>
      <w:r w:rsidR="0077459B">
        <w:t xml:space="preserve">FCG </w:t>
      </w:r>
      <w:r w:rsidR="007E6A30">
        <w:t>filed the instant petition</w:t>
      </w:r>
      <w:r>
        <w:t>. On March 22</w:t>
      </w:r>
      <w:r w:rsidR="00F9121E">
        <w:t>,</w:t>
      </w:r>
      <w:r w:rsidR="00700915">
        <w:t xml:space="preserve"> </w:t>
      </w:r>
      <w:r>
        <w:t>April 6,</w:t>
      </w:r>
      <w:r w:rsidR="00700915">
        <w:t xml:space="preserve"> and April 16, 2018,</w:t>
      </w:r>
      <w:r>
        <w:t xml:space="preserve"> FCG responded to staff’s data requests. </w:t>
      </w:r>
      <w:r w:rsidR="00F9121E">
        <w:t>On April 1</w:t>
      </w:r>
      <w:r w:rsidR="00130949">
        <w:t>8</w:t>
      </w:r>
      <w:r w:rsidR="00A15A7D">
        <w:t>, 2018, FCG filed</w:t>
      </w:r>
      <w:r w:rsidR="00244C35">
        <w:t xml:space="preserve"> a </w:t>
      </w:r>
      <w:r w:rsidR="00130949">
        <w:t>supplemental amendatory</w:t>
      </w:r>
      <w:r w:rsidR="00244C35">
        <w:t xml:space="preserve"> petition to </w:t>
      </w:r>
      <w:r w:rsidR="007E6A30">
        <w:t>clarify that the AEP surcharge will terminate in 2024 for all Glades AEP Project customers except for U.S. Sugar as provided for in the AEP Agreement</w:t>
      </w:r>
      <w:r w:rsidR="00A15A7D">
        <w:t xml:space="preserve">. </w:t>
      </w:r>
      <w:r w:rsidR="00367644">
        <w:t>The AEP Agreement is attached to the recommendation as Attachment A</w:t>
      </w:r>
      <w:r w:rsidR="00515F24">
        <w:t xml:space="preserve"> (Exhibit A to the AEP Agreement is not attached as it contains confidential information)</w:t>
      </w:r>
      <w:r w:rsidR="00367644">
        <w:t xml:space="preserve">. </w:t>
      </w:r>
      <w:r>
        <w:t>The Commission has jurisdiction over this matter pursuant to Section 366.06, Florida Statutes.</w:t>
      </w:r>
    </w:p>
    <w:bookmarkEnd w:id="12"/>
    <w:p w:rsidR="008E085B" w:rsidRPr="008E085B" w:rsidRDefault="008E085B" w:rsidP="008E085B">
      <w:pPr>
        <w:sectPr w:rsidR="008E085B" w:rsidRPr="008E085B">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00E5D" w:rsidRDefault="00D00E5D">
      <w:pPr>
        <w:pStyle w:val="IssueHeading"/>
        <w:rPr>
          <w:vanish/>
          <w:specVanish/>
        </w:rPr>
      </w:pPr>
      <w:r w:rsidRPr="004C3641">
        <w:t xml:space="preserve">Issue </w:t>
      </w:r>
      <w:r w:rsidR="00D46EE8">
        <w:fldChar w:fldCharType="begin"/>
      </w:r>
      <w:r w:rsidR="00D46EE8">
        <w:instrText xml:space="preserve"> SEQ Issue \* MERGEFORMAT </w:instrText>
      </w:r>
      <w:r w:rsidR="00D46EE8">
        <w:fldChar w:fldCharType="separate"/>
      </w:r>
      <w:r w:rsidR="00BC2CEF">
        <w:rPr>
          <w:noProof/>
        </w:rPr>
        <w:t>1</w:t>
      </w:r>
      <w:r w:rsidR="00D46E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2CEF">
        <w:rPr>
          <w:noProof/>
        </w:rPr>
        <w:instrText>1</w:instrText>
      </w:r>
      <w:r>
        <w:fldChar w:fldCharType="end"/>
      </w:r>
      <w:r>
        <w:tab/>
        <w:instrText xml:space="preserve">(Merryday)" \l 1 </w:instrText>
      </w:r>
      <w:r>
        <w:fldChar w:fldCharType="end"/>
      </w:r>
      <w:r>
        <w:t> </w:t>
      </w:r>
    </w:p>
    <w:p w:rsidR="00D00E5D" w:rsidRDefault="00D00E5D">
      <w:pPr>
        <w:pStyle w:val="BodyText"/>
      </w:pPr>
      <w:r>
        <w:t xml:space="preserve"> Should the Commission approve the AEP Agreement and FCG's request for </w:t>
      </w:r>
      <w:r w:rsidR="002612D0">
        <w:t>a variance from</w:t>
      </w:r>
      <w:r w:rsidR="0014364E">
        <w:t xml:space="preserve"> </w:t>
      </w:r>
      <w:r>
        <w:t>the AEP tariff for the Glades AEP Project?</w:t>
      </w:r>
    </w:p>
    <w:p w:rsidR="00D00E5D" w:rsidRPr="004C3641" w:rsidRDefault="00D00E5D">
      <w:pPr>
        <w:pStyle w:val="IssueSubsectionHeading"/>
        <w:rPr>
          <w:vanish/>
          <w:specVanish/>
        </w:rPr>
      </w:pPr>
      <w:r w:rsidRPr="004C3641">
        <w:t>Recommendation: </w:t>
      </w:r>
    </w:p>
    <w:p w:rsidR="00D00E5D" w:rsidRDefault="00D00E5D">
      <w:pPr>
        <w:pStyle w:val="BodyText"/>
      </w:pPr>
      <w:r>
        <w:t> </w:t>
      </w:r>
      <w:r w:rsidR="009D7454">
        <w:t xml:space="preserve">Yes, the Commission should approve the AEP Agreement and FCG’s request for </w:t>
      </w:r>
      <w:r w:rsidR="002612D0">
        <w:t>a variance from</w:t>
      </w:r>
      <w:r w:rsidR="009D7454">
        <w:t xml:space="preserve"> the AEP tariff for the Glades AEP Project.</w:t>
      </w:r>
      <w:r>
        <w:t xml:space="preserve"> (Merryday)</w:t>
      </w:r>
    </w:p>
    <w:p w:rsidR="00D00E5D" w:rsidRPr="004C3641" w:rsidRDefault="00D00E5D" w:rsidP="00AB7F07">
      <w:pPr>
        <w:pStyle w:val="First-LevelSubheading"/>
        <w:rPr>
          <w:vanish/>
          <w:specVanish/>
        </w:rPr>
      </w:pPr>
      <w:r w:rsidRPr="004C3641">
        <w:t>Staff Analysis: </w:t>
      </w:r>
    </w:p>
    <w:p w:rsidR="00AB7F07" w:rsidRDefault="00AB7F07" w:rsidP="00E275D8">
      <w:pPr>
        <w:pStyle w:val="BodyText"/>
      </w:pPr>
      <w:r>
        <w:t>In November 2012, when the customers on the Glades AEP</w:t>
      </w:r>
      <w:r w:rsidR="00E12C31">
        <w:t xml:space="preserve"> Project</w:t>
      </w:r>
      <w:r>
        <w:t xml:space="preserve"> first began taking service, the surcharge was calculated to be $0.241 per therm. This assumed reasonably forecasted natural gas usage and an amortization period of ten years. At the time of the original third year true-up, the </w:t>
      </w:r>
      <w:r w:rsidR="003434E0">
        <w:t>utility</w:t>
      </w:r>
      <w:r>
        <w:t xml:space="preserve"> determined that, to keep the amortization period to ten years, the new surcharge would have to be $0.515 per therm. This was the result of unanticipated environmental issues, fewer new customers taking service than expected, and a citrus canker blight which caused U.S. Sugar to use significantly less natural gas than predicted. To reduce the financial strain on customers and encourage economic growth, FCG asked the Commission to delay the surcharge recalculation by two years</w:t>
      </w:r>
      <w:r w:rsidR="0077459B">
        <w:t>,</w:t>
      </w:r>
      <w:r>
        <w:t xml:space="preserve"> until October 2017</w:t>
      </w:r>
      <w:r w:rsidR="0077459B">
        <w:t>,</w:t>
      </w:r>
      <w:r>
        <w:t xml:space="preserve"> with the amortization period extending through October of 2024. The Commission approved the proposal and the rate remained $0.241 per therm.</w:t>
      </w:r>
    </w:p>
    <w:p w:rsidR="000515C9" w:rsidRPr="00156B05" w:rsidRDefault="00AB7F07" w:rsidP="00E275D8">
      <w:pPr>
        <w:pStyle w:val="BodyText"/>
      </w:pPr>
      <w:r>
        <w:t xml:space="preserve">In late 2017, the </w:t>
      </w:r>
      <w:r w:rsidR="003434E0">
        <w:t>utility</w:t>
      </w:r>
      <w:r>
        <w:t xml:space="preserve"> performed </w:t>
      </w:r>
      <w:r w:rsidR="0077459B">
        <w:t>the</w:t>
      </w:r>
      <w:r>
        <w:t xml:space="preserve"> true-up calculations </w:t>
      </w:r>
      <w:r w:rsidR="00367644">
        <w:t>required by</w:t>
      </w:r>
      <w:r>
        <w:t xml:space="preserve"> the 2015 </w:t>
      </w:r>
      <w:r w:rsidR="00E12C31">
        <w:t>Order</w:t>
      </w:r>
      <w:r>
        <w:t xml:space="preserve">, but determined that extenuating factors have continued to impede natural gas usage and would make the recalculated rate increase to $0.629 per therm. FCG explained that the December 2017 through May 2018 citrus harvesting and processing season was on track to be the first </w:t>
      </w:r>
      <w:r w:rsidR="00D1300C">
        <w:t>productive</w:t>
      </w:r>
      <w:r>
        <w:t xml:space="preserve"> year after more than a decade of disease, but Hurricane Irma destroyed up to 89 percent of the crops where U.S. Sugar sourced its fruit. The </w:t>
      </w:r>
      <w:r w:rsidR="003434E0">
        <w:t>utility</w:t>
      </w:r>
      <w:r>
        <w:t xml:space="preserve"> also notes that primarily the fruit, and not the trees, were damaged and citrus production should increase next season. </w:t>
      </w:r>
    </w:p>
    <w:p w:rsidR="001E1C54" w:rsidRDefault="000515C9" w:rsidP="00A15A7D">
      <w:pPr>
        <w:pStyle w:val="BodyText"/>
      </w:pPr>
      <w:r>
        <w:t>Being mindful of the significant economic impacts such a rate increase would have on the Glades AEP</w:t>
      </w:r>
      <w:r w:rsidR="003434E0">
        <w:t xml:space="preserve"> Project</w:t>
      </w:r>
      <w:r>
        <w:t xml:space="preserve"> customers</w:t>
      </w:r>
      <w:r w:rsidR="00A15A7D">
        <w:t xml:space="preserve">, including </w:t>
      </w:r>
      <w:r w:rsidR="001E1C54">
        <w:t xml:space="preserve">the largest industrial customer in the Glades project, </w:t>
      </w:r>
      <w:r w:rsidR="00A15A7D">
        <w:t>U.S. Sugar</w:t>
      </w:r>
      <w:r>
        <w:t xml:space="preserve">, </w:t>
      </w:r>
      <w:r w:rsidR="001E1C54">
        <w:t>FCG proposed the special AEP Agreement with U.S. Sugar</w:t>
      </w:r>
      <w:r w:rsidR="001E1C54" w:rsidRPr="001E1C54">
        <w:t xml:space="preserve"> </w:t>
      </w:r>
      <w:r w:rsidR="001E1C54">
        <w:t xml:space="preserve">and revised AEP </w:t>
      </w:r>
      <w:r w:rsidR="00C46AC3">
        <w:t>sur</w:t>
      </w:r>
      <w:r w:rsidR="001E1C54">
        <w:t xml:space="preserve">charges for all Glades customers. </w:t>
      </w:r>
      <w:r w:rsidR="001E1C54" w:rsidRPr="006E0893">
        <w:t>While the AEP Agreement is between</w:t>
      </w:r>
      <w:r w:rsidR="00C46AC3" w:rsidRPr="006E0893">
        <w:t xml:space="preserve"> the </w:t>
      </w:r>
      <w:r w:rsidR="003434E0">
        <w:t>utility</w:t>
      </w:r>
      <w:r w:rsidR="0077459B">
        <w:t xml:space="preserve"> and </w:t>
      </w:r>
      <w:r w:rsidR="001E1C54" w:rsidRPr="006E0893">
        <w:t xml:space="preserve">U.S. Sugar </w:t>
      </w:r>
      <w:r w:rsidR="006C0686" w:rsidRPr="006E0893">
        <w:t>and any affiliates</w:t>
      </w:r>
      <w:r w:rsidR="00C46AC3" w:rsidRPr="006E0893">
        <w:t xml:space="preserve"> (for whom the project was primarily designed</w:t>
      </w:r>
      <w:r w:rsidR="006C0686" w:rsidRPr="006E0893">
        <w:t>)</w:t>
      </w:r>
      <w:r w:rsidR="00C46AC3" w:rsidRPr="006E0893">
        <w:t>,</w:t>
      </w:r>
      <w:r w:rsidR="001E1C54">
        <w:t xml:space="preserve"> it provides benefits to all </w:t>
      </w:r>
      <w:r w:rsidR="00C46AC3">
        <w:t>customers o</w:t>
      </w:r>
      <w:r w:rsidR="001E1C54">
        <w:t xml:space="preserve">n the Glades </w:t>
      </w:r>
      <w:r w:rsidR="00C46AC3">
        <w:t xml:space="preserve">AEP </w:t>
      </w:r>
      <w:r w:rsidR="001E1C54">
        <w:t>Project. The AEP Agreement and the revised AEP surcharges to all other Glades customers are discussed below.</w:t>
      </w:r>
    </w:p>
    <w:p w:rsidR="006130A0" w:rsidRDefault="006130A0" w:rsidP="006130A0">
      <w:pPr>
        <w:pStyle w:val="First-LevelSubheading"/>
      </w:pPr>
      <w:r>
        <w:t>Glades AEP Agreement</w:t>
      </w:r>
    </w:p>
    <w:p w:rsidR="000515C9" w:rsidRDefault="006C0686" w:rsidP="00E275D8">
      <w:pPr>
        <w:pStyle w:val="BodyText"/>
      </w:pPr>
      <w:r>
        <w:t>The AEP Agreement includes the following elements</w:t>
      </w:r>
      <w:r w:rsidR="000515C9">
        <w:t>:</w:t>
      </w:r>
    </w:p>
    <w:p w:rsidR="006C0686" w:rsidRDefault="006C0686" w:rsidP="006C0686">
      <w:pPr>
        <w:pStyle w:val="BodyText"/>
        <w:numPr>
          <w:ilvl w:val="0"/>
          <w:numId w:val="11"/>
        </w:numPr>
      </w:pPr>
      <w:r>
        <w:t>The AEP surcharge will be set at $0.301 per therm</w:t>
      </w:r>
      <w:r w:rsidR="003434E0">
        <w:t xml:space="preserve"> instead of $0.629 (a reduction of $0</w:t>
      </w:r>
      <w:r w:rsidR="00A510A9">
        <w:t>.</w:t>
      </w:r>
      <w:r w:rsidR="003434E0">
        <w:t>328 per therm).</w:t>
      </w:r>
    </w:p>
    <w:p w:rsidR="000515C9" w:rsidRPr="006E0893" w:rsidRDefault="000515C9" w:rsidP="000515C9">
      <w:pPr>
        <w:pStyle w:val="BodyText"/>
        <w:numPr>
          <w:ilvl w:val="0"/>
          <w:numId w:val="11"/>
        </w:numPr>
      </w:pPr>
      <w:r w:rsidRPr="006E0893">
        <w:t xml:space="preserve">In exchange for the reduced rate, U.S. Sugar agrees to </w:t>
      </w:r>
      <w:r w:rsidR="003434E0">
        <w:t>continue</w:t>
      </w:r>
      <w:r w:rsidRPr="006E0893">
        <w:t xml:space="preserve"> taking service</w:t>
      </w:r>
      <w:r w:rsidR="00263653" w:rsidRPr="006E0893">
        <w:t xml:space="preserve"> for its Southern Garde</w:t>
      </w:r>
      <w:r w:rsidR="003434E0">
        <w:t>ns citrus processing facility (p</w:t>
      </w:r>
      <w:r w:rsidR="00263653" w:rsidRPr="006E0893">
        <w:t>lant)</w:t>
      </w:r>
      <w:r w:rsidRPr="006E0893">
        <w:t xml:space="preserve"> an</w:t>
      </w:r>
      <w:r w:rsidR="00F9121E" w:rsidRPr="006E0893">
        <w:t>d paying the AEP surcharge through November 2027 or until</w:t>
      </w:r>
      <w:r w:rsidRPr="006E0893">
        <w:t xml:space="preserve"> it has repaid 87.13 percent of the contribution in aid </w:t>
      </w:r>
      <w:r w:rsidR="00DA0682">
        <w:t xml:space="preserve">of </w:t>
      </w:r>
      <w:r w:rsidRPr="006E0893">
        <w:t>construction</w:t>
      </w:r>
      <w:r w:rsidR="006130A0">
        <w:t xml:space="preserve"> (CIAC)</w:t>
      </w:r>
      <w:r w:rsidRPr="006E0893">
        <w:t xml:space="preserve">. In </w:t>
      </w:r>
      <w:r w:rsidR="00C63B22" w:rsidRPr="006E0893">
        <w:t xml:space="preserve">the event that a balance remains at the end of </w:t>
      </w:r>
      <w:r w:rsidR="006130A0">
        <w:t>November 2027</w:t>
      </w:r>
      <w:r w:rsidR="00C63B22" w:rsidRPr="006E0893">
        <w:t xml:space="preserve"> or</w:t>
      </w:r>
      <w:r w:rsidR="0028456E" w:rsidRPr="006E0893">
        <w:t xml:space="preserve"> </w:t>
      </w:r>
      <w:r w:rsidR="0028456E" w:rsidRPr="006E0893">
        <w:lastRenderedPageBreak/>
        <w:t>that</w:t>
      </w:r>
      <w:r w:rsidR="00C63B22" w:rsidRPr="006E0893">
        <w:t xml:space="preserve"> U.S. Sugar terminates service </w:t>
      </w:r>
      <w:r w:rsidR="00263653" w:rsidRPr="006E0893">
        <w:t xml:space="preserve">at its </w:t>
      </w:r>
      <w:r w:rsidR="003434E0">
        <w:t>p</w:t>
      </w:r>
      <w:r w:rsidR="00263653" w:rsidRPr="006E0893">
        <w:t xml:space="preserve">lant </w:t>
      </w:r>
      <w:r w:rsidR="00C63B22" w:rsidRPr="006E0893">
        <w:t>early</w:t>
      </w:r>
      <w:r w:rsidR="00D1300C" w:rsidRPr="006E0893">
        <w:t xml:space="preserve">, </w:t>
      </w:r>
      <w:r w:rsidR="00C63B22" w:rsidRPr="006E0893">
        <w:t>U.S. Sugar</w:t>
      </w:r>
      <w:r w:rsidR="00D1300C" w:rsidRPr="006E0893">
        <w:t xml:space="preserve"> will</w:t>
      </w:r>
      <w:r w:rsidRPr="006E0893">
        <w:t xml:space="preserve"> submit the remainder of the </w:t>
      </w:r>
      <w:r w:rsidR="006130A0">
        <w:t>CIAC</w:t>
      </w:r>
      <w:r w:rsidRPr="006E0893">
        <w:t xml:space="preserve"> to FCG</w:t>
      </w:r>
      <w:r w:rsidR="002D7980">
        <w:t xml:space="preserve"> within 45 days</w:t>
      </w:r>
      <w:r w:rsidRPr="006E0893">
        <w:t>.</w:t>
      </w:r>
    </w:p>
    <w:p w:rsidR="00263653" w:rsidRPr="006E0893" w:rsidRDefault="00263653" w:rsidP="000515C9">
      <w:pPr>
        <w:pStyle w:val="BodyText"/>
        <w:numPr>
          <w:ilvl w:val="0"/>
          <w:numId w:val="11"/>
        </w:numPr>
      </w:pPr>
      <w:r w:rsidRPr="006E0893">
        <w:t xml:space="preserve">U.S. Sugar’s affiliates and subsidiaries agree to </w:t>
      </w:r>
      <w:r w:rsidR="003434E0">
        <w:t>continue</w:t>
      </w:r>
      <w:r w:rsidRPr="006E0893">
        <w:t xml:space="preserve"> taking service and paying the AEP surcharge after the amortization period ends in 2024. Thereafter, if natural gas is no longer an economically viable option, U.S. Sugar’s affiliates and subsidiaries, excluding the </w:t>
      </w:r>
      <w:r w:rsidR="003434E0">
        <w:t>p</w:t>
      </w:r>
      <w:r w:rsidRPr="006E0893">
        <w:t xml:space="preserve">lant, may provide reasonable documentation to </w:t>
      </w:r>
      <w:r w:rsidR="0028456E" w:rsidRPr="006E0893">
        <w:t>that effect in order to</w:t>
      </w:r>
      <w:r w:rsidR="00B76102" w:rsidRPr="006E0893">
        <w:t xml:space="preserve"> </w:t>
      </w:r>
      <w:r w:rsidRPr="006E0893">
        <w:t>cease taking service</w:t>
      </w:r>
      <w:r w:rsidR="0028456E" w:rsidRPr="006E0893">
        <w:t xml:space="preserve">. U.S. Sugar’s affiliates and subsidiaries must provide at least 60 days notice to do so. </w:t>
      </w:r>
    </w:p>
    <w:p w:rsidR="006130A0" w:rsidRDefault="00F9121E" w:rsidP="006130A0">
      <w:pPr>
        <w:pStyle w:val="BodyText"/>
        <w:numPr>
          <w:ilvl w:val="0"/>
          <w:numId w:val="11"/>
        </w:numPr>
      </w:pPr>
      <w:r>
        <w:t>Glades AEP surch</w:t>
      </w:r>
      <w:r w:rsidR="009F1125">
        <w:t>arge recalculations will occur i</w:t>
      </w:r>
      <w:r>
        <w:t>n November 2020 and November 2022, with one subsequent recalculation occurring upon U.S. Sugar</w:t>
      </w:r>
      <w:r w:rsidR="009F1125">
        <w:t xml:space="preserve"> demonstrating</w:t>
      </w:r>
      <w:r>
        <w:t xml:space="preserve"> </w:t>
      </w:r>
      <w:r w:rsidR="009F1125">
        <w:t xml:space="preserve">a </w:t>
      </w:r>
      <w:r>
        <w:t xml:space="preserve">six percent increase </w:t>
      </w:r>
      <w:r w:rsidR="00427F74">
        <w:t>in annual</w:t>
      </w:r>
      <w:r>
        <w:t xml:space="preserve"> natural gas consumption thereafter.</w:t>
      </w:r>
    </w:p>
    <w:p w:rsidR="006130A0" w:rsidRDefault="006130A0" w:rsidP="006130A0">
      <w:pPr>
        <w:pStyle w:val="First-LevelSubheading"/>
      </w:pPr>
      <w:r>
        <w:t>Other Glades AEP Customers</w:t>
      </w:r>
    </w:p>
    <w:p w:rsidR="00515F24" w:rsidRDefault="006C0686" w:rsidP="00515F24">
      <w:pPr>
        <w:pStyle w:val="BodyText"/>
      </w:pPr>
      <w:r>
        <w:t xml:space="preserve">For the remaining customers on the Glades </w:t>
      </w:r>
      <w:r w:rsidR="00C46AC3">
        <w:t>AEP P</w:t>
      </w:r>
      <w:r>
        <w:t xml:space="preserve">roject, the AEP surcharge will also be set at $0.301 per therm (instead of the recalculated rate of $0.629 per therm). </w:t>
      </w:r>
      <w:r w:rsidR="006130A0">
        <w:t>Similar</w:t>
      </w:r>
      <w:r w:rsidR="00E12C31">
        <w:t xml:space="preserve"> to the AEP Agreement discussed above, AEP surch</w:t>
      </w:r>
      <w:r w:rsidR="006130A0">
        <w:t>arge recalculations will occur in November 2020 and N</w:t>
      </w:r>
      <w:r w:rsidR="00E12C31">
        <w:t xml:space="preserve">ovember 2022, with one subsequent recalculation occurring upon U.S. Sugar’s demonstrated six percent increase of natural gas consumption </w:t>
      </w:r>
      <w:r w:rsidR="00BC61F4">
        <w:t>after November 2022</w:t>
      </w:r>
      <w:r w:rsidR="00E12C31">
        <w:t xml:space="preserve">. </w:t>
      </w:r>
      <w:r w:rsidR="00427F74">
        <w:t xml:space="preserve">The </w:t>
      </w:r>
      <w:r w:rsidR="003434E0">
        <w:t>utility</w:t>
      </w:r>
      <w:r w:rsidR="00427F74">
        <w:t xml:space="preserve"> explained that with U.S. Sugar being the largest customer in the Glades AEP Project, a six percent increase in consumption by U.S. Sugar would result in a reduction </w:t>
      </w:r>
      <w:r w:rsidR="0014364E">
        <w:t>in the AEP surcharge, therefore</w:t>
      </w:r>
      <w:r w:rsidR="00427F74">
        <w:t xml:space="preserve"> benefitting all customers.</w:t>
      </w:r>
      <w:r w:rsidR="006130A0">
        <w:t xml:space="preserve"> As provided for in the 2015 Order, the AEP surcharge assessed to the Glades AEP Project customers will terminate in October 2024.</w:t>
      </w:r>
      <w:r w:rsidR="00515F24" w:rsidRPr="00515F24">
        <w:t xml:space="preserve"> </w:t>
      </w:r>
    </w:p>
    <w:p w:rsidR="00E12C31" w:rsidRDefault="00515F24" w:rsidP="006C0686">
      <w:pPr>
        <w:pStyle w:val="BodyText"/>
      </w:pPr>
      <w:r>
        <w:t>FCG stated that it has been able to contact 36 of 38 customers on the Glades AEP Project regarding the recalculated AEP rate. In response to Staff’s First Data Request, FCG claims that these customers have accepted the recalculated AEP rate. For the remaining two customers, FCG states that a representative left contact information.</w:t>
      </w:r>
    </w:p>
    <w:p w:rsidR="00515F24" w:rsidRDefault="00515F24" w:rsidP="00515F24">
      <w:pPr>
        <w:pStyle w:val="First-LevelSubheading"/>
      </w:pPr>
      <w:r>
        <w:t>Conclusion</w:t>
      </w:r>
    </w:p>
    <w:p w:rsidR="006C0686" w:rsidRDefault="00427F74" w:rsidP="006C0686">
      <w:pPr>
        <w:pStyle w:val="BodyText"/>
      </w:pPr>
      <w:r>
        <w:t xml:space="preserve">The </w:t>
      </w:r>
      <w:r w:rsidR="003434E0">
        <w:t>utility</w:t>
      </w:r>
      <w:r>
        <w:t xml:space="preserve"> states that the proposed lower AEP surcharge will reduce recovery on the Glades AEP Project by approximately $5 million. </w:t>
      </w:r>
      <w:r w:rsidR="006130A0">
        <w:t xml:space="preserve">However, according to the utility, </w:t>
      </w:r>
      <w:r w:rsidR="006C0686">
        <w:t xml:space="preserve">the </w:t>
      </w:r>
      <w:r>
        <w:t>$5 million under-recovery</w:t>
      </w:r>
      <w:r w:rsidR="006C0686">
        <w:t xml:space="preserve"> will not affect the general body of rate payers and any </w:t>
      </w:r>
      <w:r>
        <w:t xml:space="preserve">unrecovered </w:t>
      </w:r>
      <w:r w:rsidR="006C0686">
        <w:t xml:space="preserve">amount is a risk to the </w:t>
      </w:r>
      <w:r w:rsidR="003434E0">
        <w:t>utility’s</w:t>
      </w:r>
      <w:r w:rsidR="006C0686">
        <w:t xml:space="preserve"> shareholders.</w:t>
      </w:r>
    </w:p>
    <w:p w:rsidR="009D12D2" w:rsidRDefault="00BF2226" w:rsidP="000515C9">
      <w:pPr>
        <w:pStyle w:val="BodyText"/>
      </w:pPr>
      <w:r>
        <w:t>In FCG’s recent rate case, t</w:t>
      </w:r>
      <w:r w:rsidR="009D12D2">
        <w:t>he Commission approved changes to the AEP tariff that provides for true-ups on the third, fifth, seventh, and ninth anniversaries of the date when each AEP project goes into service.</w:t>
      </w:r>
      <w:r w:rsidR="00E12C31">
        <w:rPr>
          <w:rStyle w:val="FootnoteReference"/>
        </w:rPr>
        <w:footnoteReference w:id="3"/>
      </w:r>
      <w:r w:rsidR="009D12D2">
        <w:t xml:space="preserve"> The </w:t>
      </w:r>
      <w:r w:rsidR="003434E0">
        <w:t>utility</w:t>
      </w:r>
      <w:r w:rsidR="009D12D2">
        <w:t xml:space="preserve"> stated that this will prevent spikes in AEP rates and allow for gradual adjustments over time, if needed. </w:t>
      </w:r>
      <w:r w:rsidR="006130A0">
        <w:t>I</w:t>
      </w:r>
      <w:r w:rsidR="009D12D2">
        <w:t>n its response to Staff’s Second Data Request</w:t>
      </w:r>
      <w:r w:rsidR="006130A0">
        <w:t>, FCG indicated</w:t>
      </w:r>
      <w:r w:rsidR="009D12D2">
        <w:t xml:space="preserve"> that the</w:t>
      </w:r>
      <w:r>
        <w:t>se</w:t>
      </w:r>
      <w:r w:rsidR="009D12D2">
        <w:t xml:space="preserve"> </w:t>
      </w:r>
      <w:r w:rsidR="006130A0">
        <w:t>true-up requirements</w:t>
      </w:r>
      <w:r w:rsidR="009D12D2">
        <w:t xml:space="preserve"> will not apply to the Glades AEP Project</w:t>
      </w:r>
      <w:r w:rsidR="006130A0">
        <w:t>.</w:t>
      </w:r>
    </w:p>
    <w:p w:rsidR="00AB7F07" w:rsidRDefault="00276106" w:rsidP="00E275D8">
      <w:pPr>
        <w:pStyle w:val="BodyText"/>
      </w:pPr>
      <w:r>
        <w:t>FCG’s proposal will benefit</w:t>
      </w:r>
      <w:r w:rsidR="00515F24">
        <w:t xml:space="preserve"> U.S. Sugar,</w:t>
      </w:r>
      <w:r>
        <w:t xml:space="preserve"> the large industrial customer in the Glades Project area</w:t>
      </w:r>
      <w:r w:rsidR="00515F24">
        <w:t>,</w:t>
      </w:r>
      <w:r>
        <w:t xml:space="preserve"> who is facing unique economic challenges. The proposal will also give relief to the other </w:t>
      </w:r>
      <w:r>
        <w:lastRenderedPageBreak/>
        <w:t xml:space="preserve">customers by providing for a lower AEP rate. Staff therefore recommends that the Commission approve FCG’s request for the AEP Agreement and a </w:t>
      </w:r>
      <w:r w:rsidR="002612D0">
        <w:t>variance from</w:t>
      </w:r>
      <w:r w:rsidR="0014364E">
        <w:t xml:space="preserve"> </w:t>
      </w:r>
      <w:r>
        <w:t>the AEP tariff.</w:t>
      </w:r>
    </w:p>
    <w:p w:rsidR="0077423C" w:rsidRDefault="0077423C">
      <w:pPr>
        <w:pStyle w:val="IssueHeading"/>
        <w:rPr>
          <w:vanish/>
          <w:specVanish/>
        </w:rPr>
      </w:pPr>
      <w:r w:rsidRPr="004C3641">
        <w:rPr>
          <w:b w:val="0"/>
          <w:i w:val="0"/>
        </w:rPr>
        <w:br w:type="page"/>
      </w:r>
      <w:r w:rsidRPr="004C3641">
        <w:lastRenderedPageBreak/>
        <w:t xml:space="preserve">Issue </w:t>
      </w:r>
      <w:r w:rsidR="00D46EE8">
        <w:fldChar w:fldCharType="begin"/>
      </w:r>
      <w:r w:rsidR="00D46EE8">
        <w:instrText xml:space="preserve"> SEQ Issue \* MERGEFORMAT </w:instrText>
      </w:r>
      <w:r w:rsidR="00D46EE8">
        <w:fldChar w:fldCharType="separate"/>
      </w:r>
      <w:r w:rsidR="00BC2CEF">
        <w:rPr>
          <w:noProof/>
        </w:rPr>
        <w:t>2</w:t>
      </w:r>
      <w:r w:rsidR="00D46E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2CEF">
        <w:rPr>
          <w:noProof/>
        </w:rPr>
        <w:instrText>2</w:instrText>
      </w:r>
      <w:r>
        <w:fldChar w:fldCharType="end"/>
      </w:r>
      <w:r>
        <w:tab/>
        <w:instrText xml:space="preserve">(Trierweiler)" \l 1 </w:instrText>
      </w:r>
      <w:r>
        <w:fldChar w:fldCharType="end"/>
      </w:r>
      <w:r>
        <w:t> </w:t>
      </w:r>
    </w:p>
    <w:p w:rsidR="0077423C" w:rsidRDefault="0077423C">
      <w:pPr>
        <w:pStyle w:val="BodyText"/>
      </w:pPr>
      <w:r>
        <w:t> Should this docket be closed?</w:t>
      </w:r>
    </w:p>
    <w:p w:rsidR="0077423C" w:rsidRPr="004C3641" w:rsidRDefault="0077423C">
      <w:pPr>
        <w:pStyle w:val="IssueSubsectionHeading"/>
        <w:rPr>
          <w:vanish/>
          <w:specVanish/>
        </w:rPr>
      </w:pPr>
      <w:r w:rsidRPr="004C3641">
        <w:t>Recommendation: </w:t>
      </w:r>
    </w:p>
    <w:p w:rsidR="0077423C" w:rsidRDefault="0077423C">
      <w:pPr>
        <w:pStyle w:val="BodyText"/>
      </w:pPr>
      <w:r>
        <w:t> If no protest is filed by a person whose substantial interests are affected within 21 days of the issuance of the Order, this docket should be closed upon the issuance of a Consummating Order. (Trierweiler)</w:t>
      </w:r>
    </w:p>
    <w:p w:rsidR="0077423C" w:rsidRPr="004C3641" w:rsidRDefault="0077423C">
      <w:pPr>
        <w:pStyle w:val="IssueSubsectionHeading"/>
        <w:rPr>
          <w:vanish/>
          <w:specVanish/>
        </w:rPr>
      </w:pPr>
      <w:r w:rsidRPr="004C3641">
        <w:t>Staff Analysis: </w:t>
      </w:r>
    </w:p>
    <w:p w:rsidR="0077423C" w:rsidRDefault="0077423C" w:rsidP="00E275D8">
      <w:pPr>
        <w:pStyle w:val="BodyText"/>
      </w:pPr>
      <w:r>
        <w:t> If no protest is filed by a person whose substantial interests are affected within 21 days of the issuance of the Order, this docket should be closed upon the issuance of a Consummating Order.</w:t>
      </w:r>
    </w:p>
    <w:p w:rsidR="00EB7B92" w:rsidRDefault="00EB7B92" w:rsidP="00E275D8">
      <w:pPr>
        <w:pStyle w:val="BodyText"/>
        <w:sectPr w:rsidR="00EB7B9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F276A" w:rsidRDefault="00EB7B92"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ment Excerpt_Page_1.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B7B92" w:rsidRDefault="009F276A" w:rsidP="009F276A">
      <w:r>
        <w:br w:type="page"/>
      </w:r>
    </w:p>
    <w:p w:rsidR="009F276A" w:rsidRDefault="009F276A" w:rsidP="00E275D8">
      <w:pPr>
        <w:pStyle w:val="BodyText"/>
      </w:pP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ment Excerpt_Page_2.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DB0A78" w:rsidRDefault="009F276A" w:rsidP="009F276A">
      <w:r>
        <w:br w:type="page"/>
      </w: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ment Excerpt_Page_3.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9F276A" w:rsidRDefault="009F276A" w:rsidP="009F276A"/>
    <w:p w:rsidR="009F276A" w:rsidRDefault="009F276A" w:rsidP="009F276A"/>
    <w:p w:rsidR="009F276A" w:rsidRDefault="009F276A" w:rsidP="009F276A">
      <w:r>
        <w:rPr>
          <w:noProof/>
        </w:rPr>
        <w:lastRenderedPageBreak/>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ment Excerpt_Page_4.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F276A"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5D" w:rsidRDefault="00D00E5D">
      <w:r>
        <w:separator/>
      </w:r>
    </w:p>
  </w:endnote>
  <w:endnote w:type="continuationSeparator" w:id="0">
    <w:p w:rsidR="00D00E5D" w:rsidRDefault="00D0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0400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5D" w:rsidRDefault="00D00E5D">
      <w:r>
        <w:separator/>
      </w:r>
    </w:p>
  </w:footnote>
  <w:footnote w:type="continuationSeparator" w:id="0">
    <w:p w:rsidR="00D00E5D" w:rsidRDefault="00D00E5D">
      <w:r>
        <w:continuationSeparator/>
      </w:r>
    </w:p>
  </w:footnote>
  <w:footnote w:id="1">
    <w:p w:rsidR="0077459B" w:rsidRDefault="0077459B">
      <w:pPr>
        <w:pStyle w:val="FootnoteText"/>
      </w:pPr>
      <w:r>
        <w:rPr>
          <w:rStyle w:val="FootnoteReference"/>
        </w:rPr>
        <w:footnoteRef/>
      </w:r>
      <w:r>
        <w:t xml:space="preserve"> </w:t>
      </w:r>
      <w:proofErr w:type="gramStart"/>
      <w:r>
        <w:t>Order No.</w:t>
      </w:r>
      <w:proofErr w:type="gramEnd"/>
      <w:r>
        <w:t xml:space="preserve"> PSC-95-0506-FOF-GU, issued April 24, 1995, </w:t>
      </w:r>
      <w:r w:rsidR="0014364E">
        <w:t xml:space="preserve">in </w:t>
      </w:r>
      <w:r>
        <w:t xml:space="preserve">Docket No. 950206-GU, </w:t>
      </w:r>
      <w:r>
        <w:rPr>
          <w:i/>
          <w:iCs/>
        </w:rPr>
        <w:t>In re: Petition for approval of tariffs governing extension of facilities by City Gas Company of Florida.</w:t>
      </w:r>
    </w:p>
  </w:footnote>
  <w:footnote w:id="2">
    <w:p w:rsidR="009921FC" w:rsidRDefault="009921FC">
      <w:pPr>
        <w:pStyle w:val="FootnoteText"/>
      </w:pPr>
      <w:r>
        <w:rPr>
          <w:rStyle w:val="FootnoteReference"/>
        </w:rPr>
        <w:footnoteRef/>
      </w:r>
      <w:r w:rsidR="00D17873">
        <w:t xml:space="preserve"> </w:t>
      </w:r>
      <w:proofErr w:type="gramStart"/>
      <w:r w:rsidR="00D17873">
        <w:t>Order No.</w:t>
      </w:r>
      <w:proofErr w:type="gramEnd"/>
      <w:r w:rsidR="00D17873">
        <w:t xml:space="preserve"> PSC-16-0066-PAA</w:t>
      </w:r>
      <w:r>
        <w:t>-GU, issued March 2, 2016,</w:t>
      </w:r>
      <w:r w:rsidR="0014364E">
        <w:t xml:space="preserve"> in</w:t>
      </w:r>
      <w:r>
        <w:t xml:space="preserve"> Docket No. 150232-GU, </w:t>
      </w:r>
      <w:r>
        <w:rPr>
          <w:i/>
        </w:rPr>
        <w:t>In re: Petition for Approval of Variance to Delay Area Extension Program True-Up and Extend Amortization Period by Florida City Gas</w:t>
      </w:r>
    </w:p>
  </w:footnote>
  <w:footnote w:id="3">
    <w:p w:rsidR="00E12C31" w:rsidRDefault="00E12C31">
      <w:pPr>
        <w:pStyle w:val="FootnoteText"/>
      </w:pPr>
      <w:r>
        <w:rPr>
          <w:rStyle w:val="FootnoteReference"/>
        </w:rPr>
        <w:footnoteRef/>
      </w:r>
      <w:r>
        <w:t xml:space="preserve"> </w:t>
      </w:r>
      <w:proofErr w:type="gramStart"/>
      <w:r w:rsidR="002612D0">
        <w:t>Order No.</w:t>
      </w:r>
      <w:proofErr w:type="gramEnd"/>
      <w:r w:rsidR="002612D0">
        <w:t xml:space="preserve"> PSC-2018-0190-FOF-GU, issued April 20, 2018, in Docket No. 20170179-GU, </w:t>
      </w:r>
      <w:r w:rsidR="002612D0">
        <w:rPr>
          <w:i/>
        </w:rPr>
        <w:t>In re: Petition for rate increase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00E5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20180043-GU</w:t>
    </w:r>
    <w:bookmarkEnd w:id="15"/>
  </w:p>
  <w:p w:rsidR="00BC402E" w:rsidRDefault="00BC402E">
    <w:pPr>
      <w:pStyle w:val="Header"/>
    </w:pPr>
    <w:r>
      <w:t xml:space="preserve">Date: </w:t>
    </w:r>
    <w:r w:rsidR="00D46EE8">
      <w:fldChar w:fldCharType="begin"/>
    </w:r>
    <w:r w:rsidR="00D46EE8">
      <w:instrText xml:space="preserve"> REF FilingDate </w:instrText>
    </w:r>
    <w:r w:rsidR="00D46EE8">
      <w:fldChar w:fldCharType="separate"/>
    </w:r>
    <w:r w:rsidR="00BC2CEF">
      <w:t>April 26, 2018</w:t>
    </w:r>
    <w:r w:rsidR="00D46EE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C2CEF">
      <w:t>Docket No.</w:t>
    </w:r>
    <w:r>
      <w:fldChar w:fldCharType="end"/>
    </w:r>
    <w:r>
      <w:t xml:space="preserve"> </w:t>
    </w:r>
    <w:r>
      <w:fldChar w:fldCharType="begin"/>
    </w:r>
    <w:r>
      <w:instrText xml:space="preserve"> REF DocketList</w:instrText>
    </w:r>
    <w:r>
      <w:fldChar w:fldCharType="separate"/>
    </w:r>
    <w:r w:rsidR="00BC2CEF">
      <w:t>20180043-GU</w:t>
    </w:r>
    <w:r>
      <w:fldChar w:fldCharType="end"/>
    </w:r>
    <w:r>
      <w:tab/>
      <w:t xml:space="preserve">Issue </w:t>
    </w:r>
    <w:r w:rsidR="00D46EE8">
      <w:fldChar w:fldCharType="begin"/>
    </w:r>
    <w:r w:rsidR="00D46EE8">
      <w:instrText xml:space="preserve"> Seq Issue \c \* Arabic </w:instrText>
    </w:r>
    <w:r w:rsidR="00D46EE8">
      <w:fldChar w:fldCharType="separate"/>
    </w:r>
    <w:r w:rsidR="00004008">
      <w:rPr>
        <w:noProof/>
      </w:rPr>
      <w:t>1</w:t>
    </w:r>
    <w:r w:rsidR="00D46EE8">
      <w:rPr>
        <w:noProof/>
      </w:rPr>
      <w:fldChar w:fldCharType="end"/>
    </w:r>
  </w:p>
  <w:p w:rsidR="00BC402E" w:rsidRDefault="00BC402E">
    <w:pPr>
      <w:pStyle w:val="Header"/>
    </w:pPr>
    <w:r>
      <w:t xml:space="preserve">Date: </w:t>
    </w:r>
    <w:r w:rsidR="00D46EE8">
      <w:fldChar w:fldCharType="begin"/>
    </w:r>
    <w:r w:rsidR="00D46EE8">
      <w:instrText xml:space="preserve"> REF FilingDate </w:instrText>
    </w:r>
    <w:r w:rsidR="00D46EE8">
      <w:fldChar w:fldCharType="separate"/>
    </w:r>
    <w:r w:rsidR="00BC2CEF">
      <w:t>April 26, 2018</w:t>
    </w:r>
    <w:r w:rsidR="00D46EE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92" w:rsidRDefault="00EB7B92" w:rsidP="00220732">
    <w:pPr>
      <w:pStyle w:val="Header"/>
      <w:tabs>
        <w:tab w:val="clear" w:pos="4320"/>
        <w:tab w:val="clear" w:pos="8640"/>
        <w:tab w:val="right" w:pos="9360"/>
      </w:tabs>
    </w:pPr>
    <w:r>
      <w:fldChar w:fldCharType="begin"/>
    </w:r>
    <w:r>
      <w:instrText xml:space="preserve"> REF DocketLabel</w:instrText>
    </w:r>
    <w:r>
      <w:fldChar w:fldCharType="separate"/>
    </w:r>
    <w:r w:rsidR="00BC2CEF">
      <w:t>Docket No.</w:t>
    </w:r>
    <w:r>
      <w:fldChar w:fldCharType="end"/>
    </w:r>
    <w:r>
      <w:t xml:space="preserve"> </w:t>
    </w:r>
    <w:r>
      <w:fldChar w:fldCharType="begin"/>
    </w:r>
    <w:r>
      <w:instrText xml:space="preserve"> REF DocketList</w:instrText>
    </w:r>
    <w:r>
      <w:fldChar w:fldCharType="separate"/>
    </w:r>
    <w:r w:rsidR="00BC2CEF">
      <w:t>20180043-GU</w:t>
    </w:r>
    <w:r>
      <w:fldChar w:fldCharType="end"/>
    </w:r>
    <w:r>
      <w:tab/>
      <w:t>Attachment A</w:t>
    </w:r>
  </w:p>
  <w:p w:rsidR="00EB7B92" w:rsidRDefault="00EB7B92" w:rsidP="009F276A">
    <w:pPr>
      <w:pStyle w:val="Header"/>
      <w:tabs>
        <w:tab w:val="left" w:pos="7470"/>
      </w:tabs>
    </w:pPr>
    <w:r>
      <w:t xml:space="preserve">Date: </w:t>
    </w:r>
    <w:fldSimple w:instr=" REF FilingDate ">
      <w:r w:rsidR="00BC2CEF">
        <w:t>April 26, 2018</w:t>
      </w:r>
    </w:fldSimple>
    <w:r w:rsidR="009F276A">
      <w:tab/>
    </w:r>
    <w:r w:rsidR="009F276A">
      <w:tab/>
      <w:t xml:space="preserve">      </w:t>
    </w:r>
    <w:r w:rsidR="00BC2CEF">
      <w:t xml:space="preserve"> </w:t>
    </w:r>
    <w:r w:rsidR="009F276A">
      <w:t xml:space="preserve">Page </w:t>
    </w:r>
    <w:r w:rsidR="009F276A">
      <w:fldChar w:fldCharType="begin"/>
    </w:r>
    <w:r w:rsidR="009F276A">
      <w:instrText xml:space="preserve">= </w:instrText>
    </w:r>
    <w:r w:rsidR="009F276A">
      <w:fldChar w:fldCharType="begin"/>
    </w:r>
    <w:r w:rsidR="009F276A">
      <w:instrText xml:space="preserve">page  </w:instrText>
    </w:r>
    <w:r w:rsidR="009F276A">
      <w:fldChar w:fldCharType="separate"/>
    </w:r>
    <w:r w:rsidR="00004008">
      <w:rPr>
        <w:noProof/>
      </w:rPr>
      <w:instrText>7</w:instrText>
    </w:r>
    <w:r w:rsidR="009F276A">
      <w:fldChar w:fldCharType="end"/>
    </w:r>
    <w:r w:rsidR="009F276A">
      <w:instrText xml:space="preserve">-6 </w:instrText>
    </w:r>
    <w:r w:rsidR="009F276A">
      <w:fldChar w:fldCharType="separate"/>
    </w:r>
    <w:r w:rsidR="00004008">
      <w:rPr>
        <w:noProof/>
      </w:rPr>
      <w:t>1</w:t>
    </w:r>
    <w:r w:rsidR="009F276A">
      <w:fldChar w:fldCharType="end"/>
    </w:r>
    <w:r w:rsidR="009F276A">
      <w:t xml:space="preserve">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86462DC"/>
    <w:multiLevelType w:val="hybridMultilevel"/>
    <w:tmpl w:val="D34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00E5D"/>
    <w:rsid w:val="00004008"/>
    <w:rsid w:val="000043D5"/>
    <w:rsid w:val="00006170"/>
    <w:rsid w:val="00010E37"/>
    <w:rsid w:val="0001298B"/>
    <w:rsid w:val="000172DA"/>
    <w:rsid w:val="000212D7"/>
    <w:rsid w:val="000247C5"/>
    <w:rsid w:val="000277C2"/>
    <w:rsid w:val="00035B48"/>
    <w:rsid w:val="00036CE2"/>
    <w:rsid w:val="000437FE"/>
    <w:rsid w:val="000513BE"/>
    <w:rsid w:val="000515C9"/>
    <w:rsid w:val="00065A06"/>
    <w:rsid w:val="000666F3"/>
    <w:rsid w:val="00070DCB"/>
    <w:rsid w:val="00073120"/>
    <w:rsid w:val="000741FC"/>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0949"/>
    <w:rsid w:val="00135687"/>
    <w:rsid w:val="0014364E"/>
    <w:rsid w:val="0015506E"/>
    <w:rsid w:val="00156B05"/>
    <w:rsid w:val="00163031"/>
    <w:rsid w:val="00164B75"/>
    <w:rsid w:val="00171A90"/>
    <w:rsid w:val="00180254"/>
    <w:rsid w:val="00191E1F"/>
    <w:rsid w:val="00192943"/>
    <w:rsid w:val="001A7406"/>
    <w:rsid w:val="001B4FEE"/>
    <w:rsid w:val="001B51C5"/>
    <w:rsid w:val="001B6F3F"/>
    <w:rsid w:val="001C52B5"/>
    <w:rsid w:val="001D0D3E"/>
    <w:rsid w:val="001E1C54"/>
    <w:rsid w:val="001F2245"/>
    <w:rsid w:val="001F2C63"/>
    <w:rsid w:val="001F48C7"/>
    <w:rsid w:val="001F6DA1"/>
    <w:rsid w:val="002044E6"/>
    <w:rsid w:val="00205C82"/>
    <w:rsid w:val="00205DC2"/>
    <w:rsid w:val="00212B17"/>
    <w:rsid w:val="002163B6"/>
    <w:rsid w:val="00220732"/>
    <w:rsid w:val="00221D32"/>
    <w:rsid w:val="00225C3F"/>
    <w:rsid w:val="00244C35"/>
    <w:rsid w:val="00260055"/>
    <w:rsid w:val="002612D0"/>
    <w:rsid w:val="00263653"/>
    <w:rsid w:val="00263D44"/>
    <w:rsid w:val="00265A70"/>
    <w:rsid w:val="002702AD"/>
    <w:rsid w:val="00276106"/>
    <w:rsid w:val="0028456E"/>
    <w:rsid w:val="00292D82"/>
    <w:rsid w:val="002963CB"/>
    <w:rsid w:val="002A51D2"/>
    <w:rsid w:val="002D226D"/>
    <w:rsid w:val="002D7980"/>
    <w:rsid w:val="002F6030"/>
    <w:rsid w:val="003037E1"/>
    <w:rsid w:val="00307E51"/>
    <w:rsid w:val="003103EC"/>
    <w:rsid w:val="003144EF"/>
    <w:rsid w:val="00320D5B"/>
    <w:rsid w:val="00322F74"/>
    <w:rsid w:val="00340073"/>
    <w:rsid w:val="003434E0"/>
    <w:rsid w:val="003632FD"/>
    <w:rsid w:val="00367644"/>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003"/>
    <w:rsid w:val="004242E6"/>
    <w:rsid w:val="00427F74"/>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5F24"/>
    <w:rsid w:val="00516496"/>
    <w:rsid w:val="00523B11"/>
    <w:rsid w:val="0052572A"/>
    <w:rsid w:val="00534BB5"/>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0954"/>
    <w:rsid w:val="005F0A4B"/>
    <w:rsid w:val="005F468D"/>
    <w:rsid w:val="005F69A3"/>
    <w:rsid w:val="005F745A"/>
    <w:rsid w:val="00604CC7"/>
    <w:rsid w:val="00605AA0"/>
    <w:rsid w:val="006130A0"/>
    <w:rsid w:val="00615423"/>
    <w:rsid w:val="006165B2"/>
    <w:rsid w:val="00617276"/>
    <w:rsid w:val="0062527B"/>
    <w:rsid w:val="00625D97"/>
    <w:rsid w:val="00625F1C"/>
    <w:rsid w:val="006279E1"/>
    <w:rsid w:val="00630CEB"/>
    <w:rsid w:val="00632264"/>
    <w:rsid w:val="006470BC"/>
    <w:rsid w:val="006554D3"/>
    <w:rsid w:val="0066428D"/>
    <w:rsid w:val="00667036"/>
    <w:rsid w:val="00673BDB"/>
    <w:rsid w:val="00674341"/>
    <w:rsid w:val="006771B8"/>
    <w:rsid w:val="006843B6"/>
    <w:rsid w:val="0068481F"/>
    <w:rsid w:val="00696F5D"/>
    <w:rsid w:val="00697249"/>
    <w:rsid w:val="006A16E0"/>
    <w:rsid w:val="006B3947"/>
    <w:rsid w:val="006B4293"/>
    <w:rsid w:val="006B624F"/>
    <w:rsid w:val="006C0686"/>
    <w:rsid w:val="006C0C95"/>
    <w:rsid w:val="006C31E3"/>
    <w:rsid w:val="006D18D3"/>
    <w:rsid w:val="006E0893"/>
    <w:rsid w:val="006E08CB"/>
    <w:rsid w:val="006E598D"/>
    <w:rsid w:val="00700915"/>
    <w:rsid w:val="0070437D"/>
    <w:rsid w:val="00704CF1"/>
    <w:rsid w:val="00705B04"/>
    <w:rsid w:val="007248D4"/>
    <w:rsid w:val="00724992"/>
    <w:rsid w:val="00734820"/>
    <w:rsid w:val="007349DC"/>
    <w:rsid w:val="0074365E"/>
    <w:rsid w:val="00744B55"/>
    <w:rsid w:val="007515FD"/>
    <w:rsid w:val="00754498"/>
    <w:rsid w:val="00760D80"/>
    <w:rsid w:val="0077423C"/>
    <w:rsid w:val="0077459B"/>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6A30"/>
    <w:rsid w:val="007F1193"/>
    <w:rsid w:val="007F417F"/>
    <w:rsid w:val="007F7644"/>
    <w:rsid w:val="008042BD"/>
    <w:rsid w:val="00816624"/>
    <w:rsid w:val="00822427"/>
    <w:rsid w:val="00822562"/>
    <w:rsid w:val="00823663"/>
    <w:rsid w:val="00832DDC"/>
    <w:rsid w:val="00835F41"/>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085B"/>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6E3"/>
    <w:rsid w:val="00975CB4"/>
    <w:rsid w:val="009863B0"/>
    <w:rsid w:val="00987DE1"/>
    <w:rsid w:val="00990571"/>
    <w:rsid w:val="009921FC"/>
    <w:rsid w:val="0099673A"/>
    <w:rsid w:val="009A3330"/>
    <w:rsid w:val="009A7C96"/>
    <w:rsid w:val="009B5507"/>
    <w:rsid w:val="009C3DB9"/>
    <w:rsid w:val="009D12D2"/>
    <w:rsid w:val="009D46E5"/>
    <w:rsid w:val="009D568A"/>
    <w:rsid w:val="009D7454"/>
    <w:rsid w:val="009F04EC"/>
    <w:rsid w:val="009F1125"/>
    <w:rsid w:val="009F276A"/>
    <w:rsid w:val="009F2A7C"/>
    <w:rsid w:val="009F3B36"/>
    <w:rsid w:val="00A019B9"/>
    <w:rsid w:val="00A12508"/>
    <w:rsid w:val="00A1282B"/>
    <w:rsid w:val="00A13A27"/>
    <w:rsid w:val="00A15A7D"/>
    <w:rsid w:val="00A175B6"/>
    <w:rsid w:val="00A21835"/>
    <w:rsid w:val="00A2374B"/>
    <w:rsid w:val="00A27D6E"/>
    <w:rsid w:val="00A328EC"/>
    <w:rsid w:val="00A33A51"/>
    <w:rsid w:val="00A41CA6"/>
    <w:rsid w:val="00A47927"/>
    <w:rsid w:val="00A47FFC"/>
    <w:rsid w:val="00A510A9"/>
    <w:rsid w:val="00A5442F"/>
    <w:rsid w:val="00A54FF9"/>
    <w:rsid w:val="00A56765"/>
    <w:rsid w:val="00A675AC"/>
    <w:rsid w:val="00A7581F"/>
    <w:rsid w:val="00A92FB1"/>
    <w:rsid w:val="00A95A0C"/>
    <w:rsid w:val="00AA2765"/>
    <w:rsid w:val="00AA77B5"/>
    <w:rsid w:val="00AB6C5D"/>
    <w:rsid w:val="00AB7F07"/>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B27"/>
    <w:rsid w:val="00B516ED"/>
    <w:rsid w:val="00B57A6A"/>
    <w:rsid w:val="00B760F1"/>
    <w:rsid w:val="00B76102"/>
    <w:rsid w:val="00B7669E"/>
    <w:rsid w:val="00B77DA1"/>
    <w:rsid w:val="00B822A0"/>
    <w:rsid w:val="00B858AE"/>
    <w:rsid w:val="00B85964"/>
    <w:rsid w:val="00B96250"/>
    <w:rsid w:val="00BA0D55"/>
    <w:rsid w:val="00BA37B3"/>
    <w:rsid w:val="00BA4CC6"/>
    <w:rsid w:val="00BB3493"/>
    <w:rsid w:val="00BB7468"/>
    <w:rsid w:val="00BC188A"/>
    <w:rsid w:val="00BC2CEF"/>
    <w:rsid w:val="00BC402E"/>
    <w:rsid w:val="00BC61F4"/>
    <w:rsid w:val="00BD0F48"/>
    <w:rsid w:val="00BF2226"/>
    <w:rsid w:val="00BF5010"/>
    <w:rsid w:val="00C03D5F"/>
    <w:rsid w:val="00C13791"/>
    <w:rsid w:val="00C31BB3"/>
    <w:rsid w:val="00C36977"/>
    <w:rsid w:val="00C467DA"/>
    <w:rsid w:val="00C46AC3"/>
    <w:rsid w:val="00C477D9"/>
    <w:rsid w:val="00C60BA3"/>
    <w:rsid w:val="00C623F7"/>
    <w:rsid w:val="00C63B22"/>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1AD7"/>
    <w:rsid w:val="00CE2BF8"/>
    <w:rsid w:val="00CE484E"/>
    <w:rsid w:val="00CE656F"/>
    <w:rsid w:val="00CE66C3"/>
    <w:rsid w:val="00CF0DA8"/>
    <w:rsid w:val="00CF2E25"/>
    <w:rsid w:val="00CF4453"/>
    <w:rsid w:val="00CF5D94"/>
    <w:rsid w:val="00CF7E0F"/>
    <w:rsid w:val="00D00E5D"/>
    <w:rsid w:val="00D034D7"/>
    <w:rsid w:val="00D04BE4"/>
    <w:rsid w:val="00D06FC7"/>
    <w:rsid w:val="00D12565"/>
    <w:rsid w:val="00D1300C"/>
    <w:rsid w:val="00D14127"/>
    <w:rsid w:val="00D17873"/>
    <w:rsid w:val="00D32E24"/>
    <w:rsid w:val="00D60B16"/>
    <w:rsid w:val="00D60F02"/>
    <w:rsid w:val="00D66E49"/>
    <w:rsid w:val="00D70D71"/>
    <w:rsid w:val="00D72F74"/>
    <w:rsid w:val="00D81563"/>
    <w:rsid w:val="00D85907"/>
    <w:rsid w:val="00D9073E"/>
    <w:rsid w:val="00D9221D"/>
    <w:rsid w:val="00D94C1C"/>
    <w:rsid w:val="00D958DF"/>
    <w:rsid w:val="00D96DA1"/>
    <w:rsid w:val="00DA0682"/>
    <w:rsid w:val="00DA51E7"/>
    <w:rsid w:val="00DB0260"/>
    <w:rsid w:val="00DB0A78"/>
    <w:rsid w:val="00DB1C78"/>
    <w:rsid w:val="00DB7D96"/>
    <w:rsid w:val="00DC23FE"/>
    <w:rsid w:val="00DC59E6"/>
    <w:rsid w:val="00DD150B"/>
    <w:rsid w:val="00DD5025"/>
    <w:rsid w:val="00DE5563"/>
    <w:rsid w:val="00DF1510"/>
    <w:rsid w:val="00E02F1F"/>
    <w:rsid w:val="00E06484"/>
    <w:rsid w:val="00E12C31"/>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7B92"/>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1175"/>
    <w:rsid w:val="00F6504A"/>
    <w:rsid w:val="00F65519"/>
    <w:rsid w:val="00F713C0"/>
    <w:rsid w:val="00F75DDC"/>
    <w:rsid w:val="00F7792F"/>
    <w:rsid w:val="00F842AA"/>
    <w:rsid w:val="00F8476F"/>
    <w:rsid w:val="00F853E1"/>
    <w:rsid w:val="00F85604"/>
    <w:rsid w:val="00F9121E"/>
    <w:rsid w:val="00F91B8B"/>
    <w:rsid w:val="00F94B7A"/>
    <w:rsid w:val="00FA17AC"/>
    <w:rsid w:val="00FA32DE"/>
    <w:rsid w:val="00FA3382"/>
    <w:rsid w:val="00FA5445"/>
    <w:rsid w:val="00FA59CD"/>
    <w:rsid w:val="00FB1740"/>
    <w:rsid w:val="00FC5469"/>
    <w:rsid w:val="00FC6D7D"/>
    <w:rsid w:val="00FD16B0"/>
    <w:rsid w:val="00FD4FED"/>
    <w:rsid w:val="00FE0577"/>
    <w:rsid w:val="00FE08EB"/>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9D12D2"/>
    <w:rPr>
      <w:vertAlign w:val="superscript"/>
    </w:rPr>
  </w:style>
  <w:style w:type="character" w:customStyle="1" w:styleId="FootnoteTextChar">
    <w:name w:val="Footnote Text Char"/>
    <w:basedOn w:val="DefaultParagraphFont"/>
    <w:link w:val="FootnoteText"/>
    <w:uiPriority w:val="99"/>
    <w:rsid w:val="00724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9D12D2"/>
    <w:rPr>
      <w:vertAlign w:val="superscript"/>
    </w:rPr>
  </w:style>
  <w:style w:type="character" w:customStyle="1" w:styleId="FootnoteTextChar">
    <w:name w:val="Footnote Text Char"/>
    <w:basedOn w:val="DefaultParagraphFont"/>
    <w:link w:val="FootnoteText"/>
    <w:uiPriority w:val="99"/>
    <w:rsid w:val="0072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EB53-54AC-4099-A7D0-5B7FE75E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1566</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Henry Merryday</dc:creator>
  <cp:lastModifiedBy>Jackie Colson</cp:lastModifiedBy>
  <cp:revision>2</cp:revision>
  <cp:lastPrinted>2018-04-25T12:14:00Z</cp:lastPrinted>
  <dcterms:created xsi:type="dcterms:W3CDTF">2018-04-26T13:55:00Z</dcterms:created>
  <dcterms:modified xsi:type="dcterms:W3CDTF">2018-04-26T13:55:00Z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20180043-GU</vt:lpwstr>
  </property>
  <property fmtid="{D5CDD505-2E9C-101B-9397-08002B2CF9AE}" pid="3" name="MasterDocument">
    <vt:bool>false</vt:bool>
  </property>
</Properties>
</file>