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A26A7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E48A0">
            <w:pPr>
              <w:pStyle w:val="MemoHeading"/>
            </w:pPr>
            <w:bookmarkStart w:id="1" w:name="FilingDate"/>
            <w:r>
              <w:t>May 23</w:t>
            </w:r>
            <w:r w:rsidR="00876E49">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876E49" w:rsidRDefault="00876E49">
            <w:pPr>
              <w:pStyle w:val="MemoHeading"/>
            </w:pPr>
            <w:bookmarkStart w:id="2" w:name="From"/>
            <w:r>
              <w:t>Division of Accounting and Finance (Barrett, Galloway)</w:t>
            </w:r>
          </w:p>
          <w:p w:rsidR="00876E49" w:rsidRDefault="00876E49">
            <w:pPr>
              <w:pStyle w:val="MemoHeading"/>
            </w:pPr>
            <w:r>
              <w:t>Division of Economics (Draper, Guffey)</w:t>
            </w:r>
          </w:p>
          <w:p w:rsidR="007C0528" w:rsidRDefault="00876E49">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876E49">
            <w:pPr>
              <w:pStyle w:val="MemoHeadingRe"/>
            </w:pPr>
            <w:bookmarkStart w:id="3" w:name="Re"/>
            <w:r>
              <w:t>Docket No. 20180001-EI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E48A0">
            <w:pPr>
              <w:pStyle w:val="MemoHeading"/>
            </w:pPr>
            <w:bookmarkStart w:id="4" w:name="AgendaDate"/>
            <w:r>
              <w:t>06/05</w:t>
            </w:r>
            <w:r w:rsidR="00876E49">
              <w:t>/18</w:t>
            </w:r>
            <w:bookmarkEnd w:id="4"/>
            <w:r w:rsidR="007C0528">
              <w:t xml:space="preserve"> – </w:t>
            </w:r>
            <w:bookmarkStart w:id="5" w:name="PermittedStatus"/>
            <w:r w:rsidR="00876E49">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876E49">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876E49">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876E49">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96B8A">
            <w:pPr>
              <w:pStyle w:val="MemoHeading"/>
            </w:pPr>
            <w:r>
              <w:t>Please take up this item and the recommendation for Docket No. 20180007-EI consecutively.</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5839E2" w:rsidRDefault="00876E49" w:rsidP="005861C3">
      <w:pPr>
        <w:pStyle w:val="BodyText"/>
      </w:pPr>
      <w:r>
        <w:t>O</w:t>
      </w:r>
      <w:r w:rsidRPr="00C42E1C">
        <w:t xml:space="preserve">n </w:t>
      </w:r>
      <w:r w:rsidR="000E48A0">
        <w:t>April 16</w:t>
      </w:r>
      <w:r w:rsidRPr="001B61FB">
        <w:t>, 201</w:t>
      </w:r>
      <w:r w:rsidR="000E48A0">
        <w:t>8</w:t>
      </w:r>
      <w:r w:rsidRPr="001B61FB">
        <w:t>, Florida Power &amp; Light Company (</w:t>
      </w:r>
      <w:smartTag w:uri="urn:schemas-microsoft-com:office:smarttags" w:element="stockticker">
        <w:r w:rsidRPr="001B61FB">
          <w:t>FPL</w:t>
        </w:r>
      </w:smartTag>
      <w:r w:rsidRPr="001B61FB">
        <w:t>) filed a Petition for Mid-Course Correction</w:t>
      </w:r>
      <w:r w:rsidR="000E48A0">
        <w:t>s</w:t>
      </w:r>
      <w:r w:rsidRPr="001B61FB">
        <w:t xml:space="preserve"> to its 201</w:t>
      </w:r>
      <w:r>
        <w:t xml:space="preserve">8 Capacity </w:t>
      </w:r>
      <w:r w:rsidR="000E48A0">
        <w:t xml:space="preserve">and Environmental </w:t>
      </w:r>
      <w:r>
        <w:t xml:space="preserve">Cost Recovery Factors </w:t>
      </w:r>
      <w:r w:rsidR="000E48A0">
        <w:t>that reflect the impact of the Tax Cuts and Jobs Act of 2017</w:t>
      </w:r>
      <w:r w:rsidRPr="001B61FB">
        <w:t xml:space="preserve"> (FPL </w:t>
      </w:r>
      <w:r w:rsidR="00EE0D32">
        <w:t xml:space="preserve">Mid-Course </w:t>
      </w:r>
      <w:r w:rsidR="005839E2">
        <w:t xml:space="preserve">Petition). </w:t>
      </w:r>
      <w:r w:rsidRPr="00DB52F9">
        <w:t xml:space="preserve">The FPL </w:t>
      </w:r>
      <w:r w:rsidR="00EE0D32">
        <w:t xml:space="preserve">Mid-Course </w:t>
      </w:r>
      <w:r w:rsidRPr="00DB52F9">
        <w:t xml:space="preserve">Petition </w:t>
      </w:r>
      <w:r w:rsidR="000E4B12">
        <w:t>seeks</w:t>
      </w:r>
      <w:r w:rsidRPr="00DB52F9">
        <w:t xml:space="preserve"> to</w:t>
      </w:r>
      <w:r w:rsidR="005861C3">
        <w:t xml:space="preserve"> r</w:t>
      </w:r>
      <w:r w:rsidR="00EE0D32">
        <w:t>educe the respective 2018 capacity</w:t>
      </w:r>
      <w:r w:rsidRPr="00DB52F9">
        <w:t xml:space="preserve"> cost recovery factors </w:t>
      </w:r>
      <w:r w:rsidR="005839E2">
        <w:t xml:space="preserve">that were </w:t>
      </w:r>
      <w:r w:rsidRPr="00DB52F9">
        <w:t>approved in Order No. PSC-201</w:t>
      </w:r>
      <w:r w:rsidR="00742836">
        <w:t>8-0105-PCO-E</w:t>
      </w:r>
      <w:r w:rsidRPr="00DB52F9">
        <w:t>I</w:t>
      </w:r>
      <w:r w:rsidR="005861C3">
        <w:t>,</w:t>
      </w:r>
      <w:r w:rsidRPr="00DB52F9">
        <w:rPr>
          <w:vertAlign w:val="superscript"/>
        </w:rPr>
        <w:footnoteReference w:id="1"/>
      </w:r>
      <w:r>
        <w:t xml:space="preserve"> </w:t>
      </w:r>
      <w:r w:rsidR="005861C3">
        <w:t xml:space="preserve">and the </w:t>
      </w:r>
      <w:r w:rsidR="00EE0D32">
        <w:t>environmental</w:t>
      </w:r>
      <w:r w:rsidR="00EE0D32" w:rsidRPr="00DB52F9">
        <w:t xml:space="preserve"> cost recovery factors </w:t>
      </w:r>
      <w:r w:rsidR="005861C3">
        <w:t xml:space="preserve">that were </w:t>
      </w:r>
      <w:r w:rsidR="00EE0D32" w:rsidRPr="00DB52F9">
        <w:lastRenderedPageBreak/>
        <w:t>approved in Order No. PSC-201</w:t>
      </w:r>
      <w:r w:rsidR="000E4B12">
        <w:t>8-0100-FOF</w:t>
      </w:r>
      <w:r w:rsidR="00EE0D32" w:rsidRPr="00DB52F9">
        <w:t>-EI</w:t>
      </w:r>
      <w:r w:rsidR="000E4B12">
        <w:t>.</w:t>
      </w:r>
      <w:r w:rsidR="00EE0D32" w:rsidRPr="00DB52F9">
        <w:rPr>
          <w:vertAlign w:val="superscript"/>
        </w:rPr>
        <w:footnoteReference w:id="2"/>
      </w:r>
      <w:r>
        <w:t xml:space="preserve"> </w:t>
      </w:r>
      <w:r w:rsidR="005839E2">
        <w:t xml:space="preserve">Staff notes that </w:t>
      </w:r>
      <w:r w:rsidR="005861C3">
        <w:t xml:space="preserve">the capacity cost recovery  portion of FPL’s Mid-Course Petition will be addressed in Docket No. 20180001-EI, and environmental cost recovery clause reduction </w:t>
      </w:r>
      <w:r w:rsidR="005839E2">
        <w:t>will be addressed in Docket No. 20180007-EI.</w:t>
      </w:r>
    </w:p>
    <w:p w:rsidR="00876E49" w:rsidRDefault="00876E49" w:rsidP="00876E49">
      <w:pPr>
        <w:pStyle w:val="BodyText"/>
      </w:pPr>
      <w:r w:rsidRPr="00C42E1C">
        <w:t>Mid-course corrections are part of the fuel and purchased power cost recovery clause (fuel clause) proceeding, and such corrections are used by the Commission between fuel clause hearings whenever costs deviate from revenues by a significant margin</w:t>
      </w:r>
      <w:r>
        <w:t xml:space="preserve">. </w:t>
      </w:r>
      <w:r w:rsidRPr="00C42E1C">
        <w:t>Petitions for mid-course corrections to fuel factors are a</w:t>
      </w:r>
      <w:r w:rsidR="00CF5DAE">
        <w:t>ddressed in</w:t>
      </w:r>
      <w:r w:rsidRPr="00C42E1C">
        <w:t xml:space="preserve"> Rule </w:t>
      </w:r>
      <w:r w:rsidRPr="00B76CD6">
        <w:t>25-6.0424,</w:t>
      </w:r>
      <w:r w:rsidRPr="00C42E1C">
        <w:t xml:space="preserve"> Florida Administrative Code (F.A.C.).</w:t>
      </w:r>
      <w:r>
        <w:t xml:space="preserve"> </w:t>
      </w:r>
      <w:r w:rsidRPr="00C42E1C">
        <w:t>Under this rule, a utility must notify the Commission whenever it expects to experience an under-recovery or over-recovery greater than 10 percent.</w:t>
      </w:r>
      <w:r w:rsidRPr="00E05949">
        <w:t xml:space="preserve"> </w:t>
      </w:r>
      <w:r>
        <w:t xml:space="preserve">Pursuant to </w:t>
      </w:r>
      <w:r w:rsidRPr="00E05949">
        <w:t>Rule 25-6.0424, F.A.C., the mid-course percentage is the estimated end-of-period total net true-up amount divided by the current period’s total actual and estimated jurisdictional fuel revenue applicable to period amount.</w:t>
      </w:r>
    </w:p>
    <w:p w:rsidR="00876E49" w:rsidRPr="00C42E1C" w:rsidRDefault="00876E49" w:rsidP="00876E49">
      <w:pPr>
        <w:pStyle w:val="BodyText"/>
      </w:pPr>
      <w:r w:rsidRPr="00C42E1C">
        <w:t xml:space="preserve">Mid-course corrections are considered preliminary procedural decisions, and any over-recoveries or under-recoveries caused by or resulting from the </w:t>
      </w:r>
      <w:r>
        <w:t xml:space="preserve">Commission-approved adjusted </w:t>
      </w:r>
      <w:r w:rsidRPr="00C42E1C">
        <w:t xml:space="preserve">fuel </w:t>
      </w:r>
      <w:r w:rsidR="00417E98">
        <w:t xml:space="preserve">or capacity </w:t>
      </w:r>
      <w:r w:rsidRPr="00C42E1C">
        <w:t xml:space="preserve">factors may be included in the following year’s fuel </w:t>
      </w:r>
      <w:r w:rsidR="00417E98">
        <w:t xml:space="preserve">or capacity </w:t>
      </w:r>
      <w:r w:rsidRPr="00C42E1C">
        <w:t>factors.</w:t>
      </w:r>
      <w:r>
        <w:t xml:space="preserve">  </w:t>
      </w:r>
    </w:p>
    <w:p w:rsidR="00876E49" w:rsidRDefault="00876E49" w:rsidP="00876E49">
      <w:pPr>
        <w:pStyle w:val="BodyText"/>
      </w:pPr>
      <w:r w:rsidRPr="00C42E1C">
        <w:t>The Commission’s jurisdiction to consider fuel clause proceedings derives from the Commission’s authority to set fair and reasonable rates, found in Section 366.05, Florida Statut</w:t>
      </w:r>
      <w:r>
        <w:t>es.</w:t>
      </w:r>
    </w:p>
    <w:p w:rsidR="0068481F" w:rsidRDefault="0068481F">
      <w:pPr>
        <w:pStyle w:val="BodyText"/>
      </w:pPr>
    </w:p>
    <w:p w:rsidR="00876E49" w:rsidRDefault="00876E49">
      <w:pPr>
        <w:pStyle w:val="BodyText"/>
      </w:pP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876E49" w:rsidRDefault="00876E49">
      <w:pPr>
        <w:pStyle w:val="IssueHeading"/>
        <w:rPr>
          <w:vanish/>
          <w:specVanish/>
        </w:rPr>
      </w:pPr>
      <w:r w:rsidRPr="004C3641">
        <w:t xml:space="preserve">Issue </w:t>
      </w:r>
      <w:r w:rsidR="00F502BC">
        <w:fldChar w:fldCharType="begin"/>
      </w:r>
      <w:r w:rsidR="00F502BC">
        <w:instrText xml:space="preserve"> SEQ Issue \* MERGEFORMAT </w:instrText>
      </w:r>
      <w:r w:rsidR="00F502BC">
        <w:fldChar w:fldCharType="separate"/>
      </w:r>
      <w:r w:rsidR="008A015B">
        <w:rPr>
          <w:noProof/>
        </w:rPr>
        <w:t>1</w:t>
      </w:r>
      <w:r w:rsidR="00F502B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A015B">
        <w:rPr>
          <w:noProof/>
        </w:rPr>
        <w:instrText>1</w:instrText>
      </w:r>
      <w:r>
        <w:fldChar w:fldCharType="end"/>
      </w:r>
      <w:r>
        <w:tab/>
        <w:instrText xml:space="preserve">(Barrett, Galloway, Lee, Draper, Guffey)" \l 1 </w:instrText>
      </w:r>
      <w:r>
        <w:fldChar w:fldCharType="end"/>
      </w:r>
      <w:r>
        <w:t> </w:t>
      </w:r>
    </w:p>
    <w:p w:rsidR="00876E49" w:rsidRDefault="00876E49">
      <w:pPr>
        <w:pStyle w:val="BodyText"/>
      </w:pPr>
      <w:r>
        <w:t xml:space="preserve"> Should the Commission approve FPL's </w:t>
      </w:r>
      <w:r w:rsidR="00417E98">
        <w:t xml:space="preserve">Mid-Course </w:t>
      </w:r>
      <w:r>
        <w:t xml:space="preserve">Petition </w:t>
      </w:r>
      <w:r w:rsidR="00417E98">
        <w:t>to correct its</w:t>
      </w:r>
      <w:r>
        <w:t xml:space="preserve"> capacity cost recover factors</w:t>
      </w:r>
      <w:r w:rsidR="00273924">
        <w:t xml:space="preserve"> and the associated tariff sheets</w:t>
      </w:r>
      <w:r>
        <w:t>?</w:t>
      </w:r>
    </w:p>
    <w:p w:rsidR="00876E49" w:rsidRPr="004C3641" w:rsidRDefault="00876E49">
      <w:pPr>
        <w:pStyle w:val="IssueSubsectionHeading"/>
        <w:rPr>
          <w:vanish/>
          <w:specVanish/>
        </w:rPr>
      </w:pPr>
      <w:r w:rsidRPr="004C3641">
        <w:t>Recommendation: </w:t>
      </w:r>
    </w:p>
    <w:p w:rsidR="00876E49" w:rsidRDefault="00876E49">
      <w:pPr>
        <w:pStyle w:val="BodyText"/>
      </w:pPr>
      <w:r>
        <w:t xml:space="preserve"> Yes. </w:t>
      </w:r>
      <w:smartTag w:uri="urn:schemas-microsoft-com:office:smarttags" w:element="stockticker">
        <w:r w:rsidRPr="00A305D3">
          <w:t>FP</w:t>
        </w:r>
        <w:r>
          <w:t>L</w:t>
        </w:r>
      </w:smartTag>
      <w:r>
        <w:t>’s</w:t>
      </w:r>
      <w:r w:rsidRPr="00A305D3">
        <w:t xml:space="preserve"> </w:t>
      </w:r>
      <w:r>
        <w:t>request for mid-course</w:t>
      </w:r>
      <w:r w:rsidR="00273924">
        <w:t xml:space="preserve"> correction to its 2018</w:t>
      </w:r>
      <w:r>
        <w:t xml:space="preserve"> </w:t>
      </w:r>
      <w:r w:rsidR="00273924">
        <w:t>capacity cost recovery factors and the associated tariff sheets</w:t>
      </w:r>
      <w:r>
        <w:t xml:space="preserve"> should be approved. </w:t>
      </w:r>
      <w:r w:rsidRPr="00A305D3">
        <w:t xml:space="preserve">The recommended </w:t>
      </w:r>
      <w:r>
        <w:t>capacity</w:t>
      </w:r>
      <w:r w:rsidRPr="00A305D3">
        <w:t xml:space="preserve"> </w:t>
      </w:r>
      <w:r>
        <w:t xml:space="preserve">cost recovery </w:t>
      </w:r>
      <w:r w:rsidRPr="00A305D3">
        <w:t>factors are presented in Attachment</w:t>
      </w:r>
      <w:r w:rsidR="00273924">
        <w:t xml:space="preserve"> </w:t>
      </w:r>
      <w:r>
        <w:t xml:space="preserve">A and </w:t>
      </w:r>
      <w:r w:rsidR="00273924">
        <w:t>t</w:t>
      </w:r>
      <w:r w:rsidRPr="00A305D3">
        <w:t xml:space="preserve">he </w:t>
      </w:r>
      <w:r>
        <w:t>associated tariff sheets</w:t>
      </w:r>
      <w:r w:rsidRPr="00A305D3">
        <w:t xml:space="preserve"> </w:t>
      </w:r>
      <w:r>
        <w:t>are</w:t>
      </w:r>
      <w:r w:rsidRPr="00A305D3">
        <w:t xml:space="preserve"> presented in Attachment</w:t>
      </w:r>
      <w:r w:rsidR="00273924">
        <w:t xml:space="preserve"> B</w:t>
      </w:r>
      <w:r>
        <w:t>. T</w:t>
      </w:r>
      <w:r w:rsidR="00273924">
        <w:t>he revised capacity cost recovery factors and</w:t>
      </w:r>
      <w:r>
        <w:t xml:space="preserve"> the associated tariff sheets</w:t>
      </w:r>
      <w:r w:rsidRPr="000E7D60">
        <w:t xml:space="preserve"> should become effective </w:t>
      </w:r>
      <w:r w:rsidR="00273924">
        <w:t xml:space="preserve">with the </w:t>
      </w:r>
      <w:r w:rsidR="00F82FCD">
        <w:t>July</w:t>
      </w:r>
      <w:r>
        <w:t xml:space="preserve"> 2018 bill</w:t>
      </w:r>
      <w:r w:rsidR="00273924">
        <w:t xml:space="preserve">ing cycle, which begins on </w:t>
      </w:r>
      <w:r w:rsidR="00133CFC">
        <w:t>July</w:t>
      </w:r>
      <w:r>
        <w:t xml:space="preserve"> 1, 2018. </w:t>
      </w:r>
      <w:r w:rsidR="0079008C">
        <w:t xml:space="preserve">The Commission should give staff administrative authority to approve the tariff </w:t>
      </w:r>
      <w:r w:rsidR="00245E41">
        <w:t xml:space="preserve">sheets </w:t>
      </w:r>
      <w:r w:rsidR="0079008C">
        <w:t>implementing the approved rate adjustments</w:t>
      </w:r>
      <w:r w:rsidR="00133CFC">
        <w:t xml:space="preserve">. </w:t>
      </w:r>
      <w:r w:rsidR="003871D1">
        <w:t xml:space="preserve">(Barrett, Galloway, </w:t>
      </w:r>
      <w:r>
        <w:t>Draper, Guffey)</w:t>
      </w:r>
    </w:p>
    <w:p w:rsidR="00876E49" w:rsidRPr="004C3641" w:rsidRDefault="00876E49">
      <w:pPr>
        <w:pStyle w:val="IssueSubsectionHeading"/>
        <w:rPr>
          <w:vanish/>
          <w:specVanish/>
        </w:rPr>
      </w:pPr>
      <w:r w:rsidRPr="004C3641">
        <w:t>Staff Analysis: </w:t>
      </w:r>
    </w:p>
    <w:p w:rsidR="001D79AF" w:rsidRDefault="00876E49" w:rsidP="00245E41">
      <w:pPr>
        <w:pStyle w:val="FootnoteText"/>
        <w:rPr>
          <w:sz w:val="24"/>
          <w:szCs w:val="24"/>
        </w:rPr>
      </w:pPr>
      <w:r>
        <w:t> </w:t>
      </w:r>
      <w:r w:rsidR="0079008C" w:rsidRPr="00245E41">
        <w:rPr>
          <w:sz w:val="24"/>
          <w:szCs w:val="24"/>
        </w:rPr>
        <w:t>The Tax Cut and Jobs Act of 2017 was signed into law on December 22, 2017</w:t>
      </w:r>
      <w:r w:rsidR="00245E41" w:rsidRPr="00245E41">
        <w:rPr>
          <w:sz w:val="24"/>
          <w:szCs w:val="24"/>
        </w:rPr>
        <w:t>, about 4 months after</w:t>
      </w:r>
      <w:r w:rsidR="0079008C" w:rsidRPr="00245E41">
        <w:rPr>
          <w:sz w:val="24"/>
          <w:szCs w:val="24"/>
        </w:rPr>
        <w:t xml:space="preserve"> </w:t>
      </w:r>
      <w:r w:rsidRPr="00245E41">
        <w:rPr>
          <w:sz w:val="24"/>
          <w:szCs w:val="24"/>
        </w:rPr>
        <w:t>F</w:t>
      </w:r>
      <w:r w:rsidR="00245E41" w:rsidRPr="00245E41">
        <w:rPr>
          <w:sz w:val="24"/>
          <w:szCs w:val="24"/>
        </w:rPr>
        <w:t>PL filed its</w:t>
      </w:r>
      <w:r w:rsidRPr="00245E41">
        <w:rPr>
          <w:sz w:val="24"/>
          <w:szCs w:val="24"/>
        </w:rPr>
        <w:t xml:space="preserve"> projection testimony and </w:t>
      </w:r>
      <w:r w:rsidR="0079008C" w:rsidRPr="00245E41">
        <w:rPr>
          <w:sz w:val="24"/>
          <w:szCs w:val="24"/>
        </w:rPr>
        <w:t xml:space="preserve">cost recovery </w:t>
      </w:r>
      <w:r w:rsidRPr="00245E41">
        <w:rPr>
          <w:sz w:val="24"/>
          <w:szCs w:val="24"/>
        </w:rPr>
        <w:t>schedules for 2018</w:t>
      </w:r>
      <w:r w:rsidR="00245E41" w:rsidRPr="00245E41">
        <w:rPr>
          <w:sz w:val="24"/>
          <w:szCs w:val="24"/>
        </w:rPr>
        <w:t xml:space="preserve">. FPL’s Mid-Course Petition is the second similar filing made in this docket in 2018, the first </w:t>
      </w:r>
      <w:r w:rsidR="00BD493D" w:rsidRPr="00245E41">
        <w:rPr>
          <w:sz w:val="24"/>
          <w:szCs w:val="24"/>
        </w:rPr>
        <w:t>occurring</w:t>
      </w:r>
      <w:r w:rsidR="00245E41" w:rsidRPr="00245E41">
        <w:rPr>
          <w:sz w:val="24"/>
          <w:szCs w:val="24"/>
        </w:rPr>
        <w:t xml:space="preserve"> when</w:t>
      </w:r>
      <w:r w:rsidR="001D79AF">
        <w:rPr>
          <w:sz w:val="24"/>
          <w:szCs w:val="24"/>
        </w:rPr>
        <w:t xml:space="preserve"> t</w:t>
      </w:r>
      <w:r w:rsidR="00FE5C27" w:rsidRPr="00245E41">
        <w:rPr>
          <w:sz w:val="24"/>
          <w:szCs w:val="24"/>
        </w:rPr>
        <w:t xml:space="preserve">he </w:t>
      </w:r>
      <w:r w:rsidR="00245E41" w:rsidRPr="00245E41">
        <w:rPr>
          <w:sz w:val="24"/>
          <w:szCs w:val="24"/>
        </w:rPr>
        <w:t xml:space="preserve">impact of the St. Johns River Power Park </w:t>
      </w:r>
      <w:r w:rsidRPr="00245E41">
        <w:rPr>
          <w:sz w:val="24"/>
          <w:szCs w:val="24"/>
        </w:rPr>
        <w:t xml:space="preserve">Transaction was </w:t>
      </w:r>
      <w:r w:rsidR="00FE5C27" w:rsidRPr="00245E41">
        <w:rPr>
          <w:sz w:val="24"/>
          <w:szCs w:val="24"/>
        </w:rPr>
        <w:t>addressed by Commission in the First Mid-Course Order.</w:t>
      </w:r>
      <w:r w:rsidR="00FE5C27" w:rsidRPr="00245E41">
        <w:rPr>
          <w:rStyle w:val="FootnoteReference"/>
          <w:sz w:val="24"/>
          <w:szCs w:val="24"/>
        </w:rPr>
        <w:footnoteReference w:id="3"/>
      </w:r>
      <w:r w:rsidR="00FE5C27" w:rsidRPr="00245E41">
        <w:rPr>
          <w:sz w:val="24"/>
          <w:szCs w:val="24"/>
        </w:rPr>
        <w:t xml:space="preserve"> </w:t>
      </w:r>
      <w:r w:rsidR="00EF50A0">
        <w:rPr>
          <w:sz w:val="24"/>
          <w:szCs w:val="24"/>
        </w:rPr>
        <w:t xml:space="preserve">As noted in the </w:t>
      </w:r>
      <w:r w:rsidR="00CF5DAE">
        <w:rPr>
          <w:sz w:val="24"/>
          <w:szCs w:val="24"/>
        </w:rPr>
        <w:t>instant p</w:t>
      </w:r>
      <w:r w:rsidR="00EF50A0">
        <w:rPr>
          <w:sz w:val="24"/>
          <w:szCs w:val="24"/>
        </w:rPr>
        <w:t>etition, this proposed correction is primarily applicable to capacity and environmental cost recovery factors, and only minimally applicable to the Conservation Cost Recovery Clause.</w:t>
      </w:r>
      <w:r w:rsidR="001D79AF">
        <w:rPr>
          <w:rStyle w:val="FootnoteReference"/>
          <w:sz w:val="24"/>
          <w:szCs w:val="24"/>
        </w:rPr>
        <w:footnoteReference w:id="4"/>
      </w:r>
      <w:r w:rsidR="00EF50A0">
        <w:rPr>
          <w:sz w:val="24"/>
          <w:szCs w:val="24"/>
        </w:rPr>
        <w:t xml:space="preserve"> </w:t>
      </w:r>
      <w:r w:rsidR="00EF50A0" w:rsidRPr="001F641C">
        <w:rPr>
          <w:sz w:val="24"/>
          <w:szCs w:val="24"/>
        </w:rPr>
        <w:t xml:space="preserve">In addition to filing its Mid-Course Petition in Docket No. 20180001-EI (the Fuel and Capacity Cost Recovery Clause docket), FPL filed it in Docket Nos. 20180007-EI (the Environmental Cost Recovery Clause), and </w:t>
      </w:r>
      <w:r w:rsidR="001F641C">
        <w:rPr>
          <w:sz w:val="24"/>
          <w:szCs w:val="24"/>
        </w:rPr>
        <w:t xml:space="preserve">in </w:t>
      </w:r>
      <w:r w:rsidR="00EF50A0" w:rsidRPr="001F641C">
        <w:rPr>
          <w:sz w:val="24"/>
          <w:szCs w:val="24"/>
        </w:rPr>
        <w:t>20180046-EI</w:t>
      </w:r>
      <w:r w:rsidR="00945025">
        <w:rPr>
          <w:sz w:val="24"/>
          <w:szCs w:val="24"/>
        </w:rPr>
        <w:t xml:space="preserve"> (Consideration of the tax </w:t>
      </w:r>
      <w:r w:rsidR="00B7661F">
        <w:rPr>
          <w:sz w:val="24"/>
          <w:szCs w:val="24"/>
        </w:rPr>
        <w:t>impacts associated with Tax Cuts</w:t>
      </w:r>
      <w:r w:rsidR="00945025">
        <w:rPr>
          <w:sz w:val="24"/>
          <w:szCs w:val="24"/>
        </w:rPr>
        <w:t xml:space="preserve"> and Jobs Act of 2017 for Florida Power &amp; Light Company)</w:t>
      </w:r>
      <w:r w:rsidR="00EF50A0" w:rsidRPr="001F641C">
        <w:rPr>
          <w:sz w:val="24"/>
          <w:szCs w:val="24"/>
        </w:rPr>
        <w:t>.</w:t>
      </w:r>
    </w:p>
    <w:p w:rsidR="001D79AF" w:rsidRDefault="001D79AF" w:rsidP="00245E41">
      <w:pPr>
        <w:pStyle w:val="FootnoteText"/>
        <w:rPr>
          <w:sz w:val="24"/>
          <w:szCs w:val="24"/>
        </w:rPr>
      </w:pPr>
    </w:p>
    <w:p w:rsidR="00876E49" w:rsidRDefault="001D79AF" w:rsidP="00876E49">
      <w:pPr>
        <w:pStyle w:val="BodyText"/>
        <w:spacing w:after="0"/>
        <w:rPr>
          <w:rFonts w:ascii="Arial" w:hAnsi="Arial" w:cs="Arial"/>
          <w:b/>
        </w:rPr>
      </w:pPr>
      <w:r>
        <w:rPr>
          <w:rFonts w:ascii="Arial" w:hAnsi="Arial" w:cs="Arial"/>
          <w:b/>
        </w:rPr>
        <w:t>Midcourse Adjustment for Capacity Cost Recovery (C</w:t>
      </w:r>
      <w:r w:rsidR="00876E49">
        <w:rPr>
          <w:rFonts w:ascii="Arial" w:hAnsi="Arial" w:cs="Arial"/>
          <w:b/>
        </w:rPr>
        <w:t>CR) Factors</w:t>
      </w:r>
    </w:p>
    <w:p w:rsidR="000A7162" w:rsidRDefault="00876E49" w:rsidP="00876E49">
      <w:pPr>
        <w:pStyle w:val="BodyText"/>
      </w:pPr>
      <w:smartTag w:uri="urn:schemas-microsoft-com:office:smarttags" w:element="stockticker">
        <w:r w:rsidRPr="00C42E1C">
          <w:t>FPL</w:t>
        </w:r>
      </w:smartTag>
      <w:r w:rsidRPr="00C42E1C">
        <w:t>’s currently authori</w:t>
      </w:r>
      <w:r w:rsidRPr="002526B4">
        <w:t xml:space="preserve">zed 2018 fuel </w:t>
      </w:r>
      <w:r w:rsidR="001D79AF">
        <w:t xml:space="preserve">and capacity </w:t>
      </w:r>
      <w:r w:rsidR="000946DC">
        <w:t xml:space="preserve">amounts and </w:t>
      </w:r>
      <w:r w:rsidRPr="002526B4">
        <w:t xml:space="preserve">factors </w:t>
      </w:r>
      <w:r w:rsidR="000A7162">
        <w:t xml:space="preserve">are </w:t>
      </w:r>
      <w:r w:rsidRPr="002526B4">
        <w:t xml:space="preserve">codified in </w:t>
      </w:r>
      <w:r w:rsidR="00B7661F">
        <w:t xml:space="preserve">the First Mid-Course Order, which projected total capacity costs of $282,109,414 for 2018. Because </w:t>
      </w:r>
      <w:r w:rsidR="000946DC">
        <w:t>this projection of t</w:t>
      </w:r>
      <w:r w:rsidR="00F82FCD">
        <w:t>otal capacity-related costs was</w:t>
      </w:r>
      <w:r w:rsidR="000946DC">
        <w:t xml:space="preserve"> developed before the</w:t>
      </w:r>
      <w:r w:rsidR="00B7661F">
        <w:t xml:space="preserve"> Tax Cuts and Jobs Act of 2017 lowered the federal income ta</w:t>
      </w:r>
      <w:r w:rsidR="005D1F0D">
        <w:t>x rate for corporations from 35 percent to 21 percent</w:t>
      </w:r>
      <w:r w:rsidR="00B7661F">
        <w:t xml:space="preserve">, </w:t>
      </w:r>
      <w:r w:rsidR="000946DC">
        <w:t xml:space="preserve">many of the costs embedded in that total are </w:t>
      </w:r>
      <w:r w:rsidR="00CF5DAE">
        <w:t xml:space="preserve">now </w:t>
      </w:r>
      <w:r w:rsidR="000946DC">
        <w:t xml:space="preserve">overstated. </w:t>
      </w:r>
      <w:r w:rsidR="00F20EA6">
        <w:t>Federal income tax rate amounts are</w:t>
      </w:r>
      <w:r w:rsidR="00F82FCD">
        <w:t xml:space="preserve"> included in the calculation of</w:t>
      </w:r>
      <w:r w:rsidR="00F20EA6">
        <w:t xml:space="preserve"> the </w:t>
      </w:r>
      <w:r w:rsidR="00BD493D">
        <w:t>capacity</w:t>
      </w:r>
      <w:r w:rsidR="00F20EA6">
        <w:t xml:space="preserve"> costs that have a capital component, such as the Cedar Bay</w:t>
      </w:r>
      <w:r w:rsidR="006F4AF0">
        <w:t>, Indiantown, and</w:t>
      </w:r>
      <w:r w:rsidR="00F20EA6">
        <w:t xml:space="preserve"> St. John River Power Park Transactions, or the </w:t>
      </w:r>
      <w:r w:rsidR="006F4AF0">
        <w:t xml:space="preserve">capital-related costs for Incremental Power Plant Security, </w:t>
      </w:r>
      <w:r w:rsidR="00CF5DAE">
        <w:t>as shown in Schedule E12A/B of</w:t>
      </w:r>
      <w:r w:rsidR="006F4AF0">
        <w:t xml:space="preserve"> FPL’s Mid-Course Petition.</w:t>
      </w:r>
      <w:r w:rsidR="00F20EA6">
        <w:t xml:space="preserve"> </w:t>
      </w:r>
      <w:r w:rsidR="006F4AF0">
        <w:t xml:space="preserve">When the lower federal income tax amount is incorporated into the projected costs, the revised total capacity costs for 2018 are $261,614,030. When </w:t>
      </w:r>
      <w:r w:rsidR="004072D0">
        <w:t xml:space="preserve">the </w:t>
      </w:r>
      <w:r w:rsidR="006F4AF0">
        <w:t>true-up provision</w:t>
      </w:r>
      <w:r w:rsidR="004072D0">
        <w:t xml:space="preserve"> amount</w:t>
      </w:r>
      <w:r w:rsidR="006F4AF0">
        <w:t>s</w:t>
      </w:r>
      <w:r w:rsidR="004072D0">
        <w:t xml:space="preserve"> are applied and final calculations are performed, the total end-of-p</w:t>
      </w:r>
      <w:r w:rsidR="003937C8">
        <w:t>eriod balance reflects that FPL</w:t>
      </w:r>
      <w:r w:rsidR="006F4AF0">
        <w:t xml:space="preserve"> </w:t>
      </w:r>
      <w:r w:rsidR="004072D0">
        <w:t>would over-recover its capacity costs for 2018 by $12,071,089</w:t>
      </w:r>
      <w:r w:rsidR="005D1F0D">
        <w:t>, or 4.61 percent</w:t>
      </w:r>
      <w:r w:rsidR="004072D0">
        <w:t xml:space="preserve">. </w:t>
      </w:r>
    </w:p>
    <w:p w:rsidR="00EF1486" w:rsidRDefault="00876E49" w:rsidP="00E35DF5">
      <w:pPr>
        <w:pStyle w:val="BodyText"/>
      </w:pPr>
      <w:r>
        <w:t xml:space="preserve">If FPL’s </w:t>
      </w:r>
      <w:r w:rsidR="005D1F0D">
        <w:t xml:space="preserve">Mid-Course </w:t>
      </w:r>
      <w:r>
        <w:t>Petition is granted, this amount would be recovered through reduced capacity cost recovery fa</w:t>
      </w:r>
      <w:r w:rsidR="005D1F0D">
        <w:t xml:space="preserve">ctors for July–December 2018. </w:t>
      </w:r>
      <w:r w:rsidR="00BD493D">
        <w:t>For a residential customer using 1,000</w:t>
      </w:r>
      <w:r w:rsidR="00B87105" w:rsidRPr="00B87105">
        <w:t xml:space="preserve"> </w:t>
      </w:r>
      <w:r w:rsidR="00B87105" w:rsidRPr="007B0571">
        <w:t>kilowatt hour</w:t>
      </w:r>
      <w:r w:rsidR="00B87105">
        <w:t>s</w:t>
      </w:r>
      <w:r w:rsidR="00B87105" w:rsidRPr="007B0571">
        <w:t xml:space="preserve"> (kWh)</w:t>
      </w:r>
      <w:r w:rsidR="00B87105">
        <w:t xml:space="preserve"> </w:t>
      </w:r>
      <w:r w:rsidR="00BD493D">
        <w:t xml:space="preserve">of electricity, the capacity portion of their bill will be reduced by $0.23. The revised capacity cost recovery factors are reflected on Attachment A. </w:t>
      </w:r>
    </w:p>
    <w:p w:rsidR="00876E49" w:rsidRPr="00796F6C" w:rsidRDefault="00EF1486" w:rsidP="00E35DF5">
      <w:pPr>
        <w:pStyle w:val="BodyText"/>
      </w:pPr>
      <w:r>
        <w:t xml:space="preserve">As noted previously, </w:t>
      </w:r>
      <w:r w:rsidR="003937C8">
        <w:t>t</w:t>
      </w:r>
      <w:r w:rsidRPr="00DB52F9">
        <w:t xml:space="preserve">he FPL </w:t>
      </w:r>
      <w:r>
        <w:t xml:space="preserve">Mid-Course </w:t>
      </w:r>
      <w:r w:rsidRPr="00DB52F9">
        <w:t xml:space="preserve">Petition </w:t>
      </w:r>
      <w:r>
        <w:t>also seeks</w:t>
      </w:r>
      <w:r w:rsidRPr="00DB52F9">
        <w:t xml:space="preserve"> to</w:t>
      </w:r>
      <w:r>
        <w:t xml:space="preserve"> reduce the respective 2018 environmental</w:t>
      </w:r>
      <w:r w:rsidRPr="00DB52F9">
        <w:t xml:space="preserve"> cost recovery factors</w:t>
      </w:r>
      <w:r>
        <w:t>, as addressed in a recommendation filed in Docket No. 20180007-EI.</w:t>
      </w:r>
      <w:r w:rsidRPr="00CD234E">
        <w:t xml:space="preserve"> A</w:t>
      </w:r>
      <w:r w:rsidR="005D1F0D" w:rsidRPr="00CD234E">
        <w:t xml:space="preserve"> typical bill comparison </w:t>
      </w:r>
      <w:r w:rsidRPr="00CD234E">
        <w:t xml:space="preserve">for a residential customer using 1,000 kWh of electricity </w:t>
      </w:r>
      <w:r w:rsidR="005D1F0D" w:rsidRPr="00CD234E">
        <w:t>is presented in Attachment C</w:t>
      </w:r>
      <w:r w:rsidRPr="00CD234E">
        <w:t xml:space="preserve"> showing all of the changes that would be implemented in the July billing cycle, pending Commission approval.</w:t>
      </w:r>
      <w:r w:rsidR="00876E49">
        <w:t xml:space="preserve">  </w:t>
      </w:r>
    </w:p>
    <w:p w:rsidR="00876E49" w:rsidRPr="009D104D" w:rsidRDefault="00876E49" w:rsidP="00876E49">
      <w:pPr>
        <w:pStyle w:val="BodyText"/>
        <w:spacing w:after="0"/>
        <w:rPr>
          <w:rFonts w:ascii="Arial" w:hAnsi="Arial" w:cs="Arial"/>
          <w:b/>
        </w:rPr>
      </w:pPr>
      <w:r w:rsidRPr="009D104D">
        <w:rPr>
          <w:rFonts w:ascii="Arial" w:hAnsi="Arial" w:cs="Arial"/>
          <w:b/>
        </w:rPr>
        <w:t>Bill Impact and Customer Notifications</w:t>
      </w:r>
    </w:p>
    <w:p w:rsidR="00876E49" w:rsidRDefault="00D43480" w:rsidP="00876E49">
      <w:pPr>
        <w:pStyle w:val="BodyText"/>
        <w:spacing w:after="0"/>
      </w:pPr>
      <w:r>
        <w:t>Consistent with the First Mid-Course</w:t>
      </w:r>
      <w:r w:rsidR="00876E49">
        <w:t xml:space="preserve"> Order, the</w:t>
      </w:r>
      <w:r w:rsidR="00876E49" w:rsidRPr="007B0571">
        <w:t xml:space="preserve"> </w:t>
      </w:r>
      <w:r>
        <w:t xml:space="preserve">current </w:t>
      </w:r>
      <w:r w:rsidR="00876E49">
        <w:t xml:space="preserve">bill for a residential customer using </w:t>
      </w:r>
      <w:r w:rsidR="00B87105">
        <w:t>1,000 kWh</w:t>
      </w:r>
      <w:r w:rsidR="00876E49" w:rsidRPr="007B0571">
        <w:t xml:space="preserve"> </w:t>
      </w:r>
      <w:r w:rsidR="00876E49">
        <w:t>of electricity</w:t>
      </w:r>
      <w:r w:rsidR="00876E49" w:rsidRPr="007B0571">
        <w:t xml:space="preserve"> </w:t>
      </w:r>
      <w:r w:rsidR="00876E49">
        <w:t>for the</w:t>
      </w:r>
      <w:r>
        <w:t xml:space="preserve"> period March-December, 2018, is $99.37</w:t>
      </w:r>
      <w:r w:rsidR="00876E49" w:rsidRPr="007B0571">
        <w:t xml:space="preserve"> per month</w:t>
      </w:r>
      <w:r w:rsidR="00876E49">
        <w:t>,</w:t>
      </w:r>
      <w:r w:rsidR="00876E49" w:rsidRPr="007B0571">
        <w:t xml:space="preserve"> with a </w:t>
      </w:r>
      <w:r w:rsidR="00876E49">
        <w:t xml:space="preserve">capacity </w:t>
      </w:r>
      <w:r>
        <w:t>cost recovery component of $2.57</w:t>
      </w:r>
      <w:r w:rsidR="00876E49">
        <w:t xml:space="preserve"> per month</w:t>
      </w:r>
      <w:r w:rsidR="00876E49" w:rsidRPr="007B0571">
        <w:t>.</w:t>
      </w:r>
      <w:r w:rsidR="00876E49">
        <w:rPr>
          <w:rStyle w:val="FootnoteReference"/>
        </w:rPr>
        <w:footnoteReference w:id="5"/>
      </w:r>
      <w:r w:rsidR="00876E49" w:rsidRPr="007B0571">
        <w:t xml:space="preserve"> </w:t>
      </w:r>
      <w:r>
        <w:t xml:space="preserve">As proposed, the capacity </w:t>
      </w:r>
      <w:r w:rsidR="00876E49">
        <w:t>cost recovery co</w:t>
      </w:r>
      <w:r>
        <w:t>mponent will be reduced by $0.23</w:t>
      </w:r>
      <w:r w:rsidR="00876E49">
        <w:t xml:space="preserve"> per month, </w:t>
      </w:r>
      <w:r>
        <w:t>to $2.34 per month.</w:t>
      </w:r>
      <w:r w:rsidR="00876E49">
        <w:t xml:space="preserve"> </w:t>
      </w:r>
      <w:r w:rsidR="00ED6D8A">
        <w:t xml:space="preserve">In addition, an </w:t>
      </w:r>
      <w:r>
        <w:t>environmental cost recovery clau</w:t>
      </w:r>
      <w:r w:rsidR="00ED6D8A">
        <w:t xml:space="preserve">se reduction </w:t>
      </w:r>
      <w:r w:rsidR="00C42619">
        <w:t xml:space="preserve">of $0.36 per month </w:t>
      </w:r>
      <w:r w:rsidR="00ED6D8A">
        <w:t>is being a</w:t>
      </w:r>
      <w:r>
        <w:t>ddressed in Docket No. 20180007-EI</w:t>
      </w:r>
      <w:r w:rsidR="00ED6D8A">
        <w:t>, and a small change is propos</w:t>
      </w:r>
      <w:r w:rsidR="00B87105">
        <w:t xml:space="preserve">ed for the storm bond </w:t>
      </w:r>
      <w:r w:rsidR="00ED6D8A">
        <w:t>charge.</w:t>
      </w:r>
      <w:r w:rsidR="00342AFD">
        <w:rPr>
          <w:rStyle w:val="FootnoteReference"/>
        </w:rPr>
        <w:footnoteReference w:id="6"/>
      </w:r>
      <w:r w:rsidR="00ED6D8A">
        <w:t xml:space="preserve"> The sum of those three changes results in a slight reduction to the Gross Receipts Tax, as </w:t>
      </w:r>
      <w:r w:rsidR="006F6436">
        <w:t xml:space="preserve">well. Pending </w:t>
      </w:r>
      <w:r w:rsidR="00003C77">
        <w:t xml:space="preserve">the </w:t>
      </w:r>
      <w:r w:rsidR="006F6436">
        <w:t>Commission</w:t>
      </w:r>
      <w:r w:rsidR="00003C77">
        <w:t xml:space="preserve">’s </w:t>
      </w:r>
      <w:r w:rsidR="006F6436">
        <w:t>approval</w:t>
      </w:r>
      <w:r w:rsidR="00003C77">
        <w:t xml:space="preserve"> in this matter and </w:t>
      </w:r>
      <w:r w:rsidR="0085485A">
        <w:t xml:space="preserve">the similar consideration </w:t>
      </w:r>
      <w:r w:rsidR="00BD63FF">
        <w:t xml:space="preserve">in </w:t>
      </w:r>
      <w:r w:rsidR="00003C77">
        <w:t>Docket No. 20180007-EI</w:t>
      </w:r>
      <w:r w:rsidR="006F6436">
        <w:t xml:space="preserve">, the proposed bill for a residential customer using </w:t>
      </w:r>
      <w:r w:rsidR="00003C77">
        <w:t>1,000 kWh</w:t>
      </w:r>
      <w:r w:rsidR="006F6436" w:rsidRPr="007B0571">
        <w:t xml:space="preserve"> </w:t>
      </w:r>
      <w:r w:rsidR="006F6436">
        <w:t>of electricity</w:t>
      </w:r>
      <w:r w:rsidR="006F6436" w:rsidRPr="007B0571">
        <w:t xml:space="preserve"> </w:t>
      </w:r>
      <w:r w:rsidR="0085485A">
        <w:t>for July-August</w:t>
      </w:r>
      <w:r w:rsidR="006F6436">
        <w:t>, 2018, is projected to be $98.87</w:t>
      </w:r>
      <w:r w:rsidR="006F6436" w:rsidRPr="007B0571">
        <w:t xml:space="preserve"> per month</w:t>
      </w:r>
      <w:r w:rsidR="006F6436">
        <w:t xml:space="preserve">, as </w:t>
      </w:r>
      <w:r w:rsidR="00ED6D8A">
        <w:t>shown</w:t>
      </w:r>
      <w:r w:rsidR="006F6436">
        <w:t xml:space="preserve"> and</w:t>
      </w:r>
      <w:r w:rsidR="00876E49" w:rsidRPr="00D07B37">
        <w:t xml:space="preserve"> presen</w:t>
      </w:r>
      <w:r w:rsidR="005D1F0D">
        <w:t xml:space="preserve">ted in </w:t>
      </w:r>
      <w:r w:rsidR="0085485A">
        <w:t xml:space="preserve">Column 3 from </w:t>
      </w:r>
      <w:r w:rsidR="005D1F0D">
        <w:t>Table 1 of Attachment C.</w:t>
      </w:r>
      <w:r w:rsidR="00876E49">
        <w:t xml:space="preserve"> </w:t>
      </w:r>
    </w:p>
    <w:p w:rsidR="00876E49" w:rsidRDefault="00876E49" w:rsidP="00876E49">
      <w:pPr>
        <w:pStyle w:val="BodyText"/>
        <w:spacing w:after="0"/>
      </w:pPr>
    </w:p>
    <w:p w:rsidR="00876E49" w:rsidRDefault="00876E49" w:rsidP="00876E49">
      <w:pPr>
        <w:pStyle w:val="BodyText"/>
        <w:spacing w:after="0"/>
      </w:pPr>
      <w:r>
        <w:t>Staff be</w:t>
      </w:r>
      <w:r w:rsidR="00ED6D8A">
        <w:t>lieves implementing reduced capacity</w:t>
      </w:r>
      <w:r>
        <w:t xml:space="preserve"> cost recovery factors is in the best interests of FPL’s customers</w:t>
      </w:r>
      <w:r w:rsidRPr="00C42E1C">
        <w:t xml:space="preserve"> </w:t>
      </w:r>
      <w:r>
        <w:t>because</w:t>
      </w:r>
      <w:r w:rsidRPr="00C42E1C">
        <w:t xml:space="preserve"> </w:t>
      </w:r>
      <w:r>
        <w:t>the factors</w:t>
      </w:r>
      <w:r w:rsidRPr="00C42E1C">
        <w:t xml:space="preserve"> would</w:t>
      </w:r>
      <w:r>
        <w:t xml:space="preserve"> be decreasing, and</w:t>
      </w:r>
      <w:r w:rsidRPr="00C42E1C">
        <w:t xml:space="preserve"> customers would </w:t>
      </w:r>
      <w:r>
        <w:t>receive</w:t>
      </w:r>
      <w:r w:rsidRPr="00C42E1C">
        <w:t xml:space="preserve"> the benefit of reduced rates as quickly as administratively possible.</w:t>
      </w:r>
      <w:r>
        <w:t xml:space="preserve"> </w:t>
      </w:r>
    </w:p>
    <w:p w:rsidR="00876E49" w:rsidRDefault="00876E49" w:rsidP="00876E49">
      <w:pPr>
        <w:jc w:val="both"/>
      </w:pPr>
    </w:p>
    <w:p w:rsidR="00876E49" w:rsidRPr="00834B6F" w:rsidRDefault="00101139" w:rsidP="00876E49">
      <w:pPr>
        <w:jc w:val="both"/>
      </w:pPr>
      <w:r w:rsidRPr="00B23AC8">
        <w:t xml:space="preserve">In </w:t>
      </w:r>
      <w:r w:rsidRPr="006F7CD1">
        <w:t xml:space="preserve">its </w:t>
      </w:r>
      <w:r w:rsidR="00C42619" w:rsidRPr="006F7CD1">
        <w:t>May</w:t>
      </w:r>
      <w:r w:rsidR="00342AFD" w:rsidRPr="006F7CD1">
        <w:t xml:space="preserve"> 30</w:t>
      </w:r>
      <w:r w:rsidRPr="006F7CD1">
        <w:t xml:space="preserve"> 2018, response to Commissi</w:t>
      </w:r>
      <w:r w:rsidR="00342AFD" w:rsidRPr="006F7CD1">
        <w:t>on staff’s Second</w:t>
      </w:r>
      <w:r w:rsidRPr="006F7CD1">
        <w:t xml:space="preserve"> Data Request, Question No.</w:t>
      </w:r>
      <w:r w:rsidR="00342AFD" w:rsidRPr="006F7CD1">
        <w:t xml:space="preserve"> 5</w:t>
      </w:r>
      <w:r w:rsidR="00876E49" w:rsidRPr="006F7CD1">
        <w:t>, FPL s</w:t>
      </w:r>
      <w:r w:rsidR="007A4FE7" w:rsidRPr="006F7CD1">
        <w:t xml:space="preserve">tated that it will </w:t>
      </w:r>
      <w:r w:rsidR="00BD493D" w:rsidRPr="006F7CD1">
        <w:t>notify</w:t>
      </w:r>
      <w:r w:rsidR="00876E49" w:rsidRPr="006F7CD1">
        <w:t xml:space="preserve"> customers</w:t>
      </w:r>
      <w:r w:rsidR="007A4FE7" w:rsidRPr="006F7CD1">
        <w:t xml:space="preserve"> with bill inserts</w:t>
      </w:r>
      <w:r w:rsidR="00876E49" w:rsidRPr="006F7CD1">
        <w:t xml:space="preserve"> </w:t>
      </w:r>
      <w:r w:rsidR="007A4FE7" w:rsidRPr="006F7CD1">
        <w:t>30 days in advance o</w:t>
      </w:r>
      <w:r w:rsidR="007A4FE7">
        <w:t xml:space="preserve">f the rates taking effect. In addition, FPL stated the billing changes </w:t>
      </w:r>
      <w:r w:rsidR="006F7CD1">
        <w:t xml:space="preserve">identified in the </w:t>
      </w:r>
      <w:r w:rsidR="007A4FE7">
        <w:t>instant petition will be addressed i</w:t>
      </w:r>
      <w:r>
        <w:t>n</w:t>
      </w:r>
      <w:r w:rsidR="006F7CD1">
        <w:t xml:space="preserve"> the Company’s</w:t>
      </w:r>
      <w:r w:rsidR="00342AFD">
        <w:t xml:space="preserve"> next </w:t>
      </w:r>
      <w:r w:rsidR="00876E49">
        <w:t>quarterly newsletter</w:t>
      </w:r>
      <w:r w:rsidR="006F7CD1">
        <w:t xml:space="preserve"> (to be published in July 2018). </w:t>
      </w:r>
      <w:r w:rsidR="00876E49">
        <w:t>FPL’s website will include links to show the proposed rate schedules for residential and business rate classes that are pr</w:t>
      </w:r>
      <w:r>
        <w:t>oposed to become effective July</w:t>
      </w:r>
      <w:r w:rsidR="00876E49">
        <w:t xml:space="preserve"> 1, 2018. The Company stated that physical restrictions on bill inserts limit the amount of detail that can be included in such notifications, but noted its customers can access detailed billing information from links on the Company’s website.</w:t>
      </w:r>
      <w:r w:rsidR="00876E49">
        <w:rPr>
          <w:rStyle w:val="FootnoteReference"/>
        </w:rPr>
        <w:footnoteReference w:id="7"/>
      </w:r>
    </w:p>
    <w:p w:rsidR="00F82FCD" w:rsidRDefault="00F82FCD" w:rsidP="00876E49">
      <w:pPr>
        <w:pStyle w:val="BodyText"/>
        <w:spacing w:after="0"/>
      </w:pPr>
    </w:p>
    <w:p w:rsidR="00876E49" w:rsidRDefault="00F82FCD" w:rsidP="00876E49">
      <w:pPr>
        <w:pStyle w:val="BodyText"/>
        <w:spacing w:after="0"/>
      </w:pPr>
      <w:r>
        <w:t xml:space="preserve">If approved by the Commission, this mid-course correction will result in lower capacity cost recovery factors for FPL’s customers. </w:t>
      </w:r>
      <w:r w:rsidRPr="00C42E1C">
        <w:t xml:space="preserve">This </w:t>
      </w:r>
      <w:r>
        <w:t xml:space="preserve">mid-course correction was filed by FPL with the intention of the proposed decrease in rates becoming effective July 1, 2018. </w:t>
      </w:r>
      <w:r w:rsidRPr="00A6487F">
        <w:t xml:space="preserve">Typically, effective dates are set a minimum of 30 days after a Commission vote modifying </w:t>
      </w:r>
      <w:r>
        <w:t xml:space="preserve">the </w:t>
      </w:r>
      <w:r w:rsidRPr="00A6487F">
        <w:t>charges as the result of a mid-course correction.</w:t>
      </w:r>
      <w:r w:rsidRPr="00A6487F">
        <w:rPr>
          <w:vertAlign w:val="superscript"/>
        </w:rPr>
        <w:footnoteReference w:id="8"/>
      </w:r>
      <w:r w:rsidRPr="00A6487F">
        <w:t xml:space="preserve"> This time limit is imposed in order to not have new rates applied to energy consumed before the effective date of the Commission’s action, i.e., the date of the vote. However, the Commission has also implemented charges in less than 30 days when circumstances warrant.</w:t>
      </w:r>
      <w:r w:rsidRPr="00A6487F">
        <w:rPr>
          <w:vertAlign w:val="superscript"/>
        </w:rPr>
        <w:footnoteReference w:id="9"/>
      </w:r>
      <w:r w:rsidRPr="00A6487F">
        <w:t xml:space="preserve"> In this instance, the interval between the Commission’s</w:t>
      </w:r>
      <w:r>
        <w:t xml:space="preserve"> vote on this matter (June 5</w:t>
      </w:r>
      <w:r w:rsidRPr="00A6487F">
        <w:t>, 2018) and the proposed implement</w:t>
      </w:r>
      <w:r>
        <w:t>ation date (expected to be July 1, 2018) is 25</w:t>
      </w:r>
      <w:r w:rsidRPr="00A6487F">
        <w:t xml:space="preserve"> days</w:t>
      </w:r>
      <w:r w:rsidR="00B87105">
        <w:t>. Because</w:t>
      </w:r>
      <w:r>
        <w:t xml:space="preserve"> this filing, if approved, results in a decrease to cost recovery factors, staff believes the 25 day interval is sufficient.</w:t>
      </w:r>
    </w:p>
    <w:p w:rsidR="00F82FCD" w:rsidRDefault="00F82FCD" w:rsidP="00876E49">
      <w:pPr>
        <w:pStyle w:val="BodyText"/>
        <w:spacing w:after="0"/>
        <w:rPr>
          <w:rFonts w:ascii="Arial" w:hAnsi="Arial" w:cs="Arial"/>
          <w:b/>
        </w:rPr>
      </w:pPr>
    </w:p>
    <w:p w:rsidR="00876E49" w:rsidRDefault="00876E49" w:rsidP="00876E49">
      <w:pPr>
        <w:pStyle w:val="BodyText"/>
        <w:spacing w:after="0"/>
        <w:rPr>
          <w:rFonts w:ascii="Arial" w:hAnsi="Arial" w:cs="Arial"/>
          <w:b/>
        </w:rPr>
      </w:pPr>
      <w:r w:rsidRPr="00CC1D12">
        <w:rPr>
          <w:rFonts w:ascii="Arial" w:hAnsi="Arial" w:cs="Arial"/>
          <w:b/>
        </w:rPr>
        <w:t>Conclusion</w:t>
      </w:r>
    </w:p>
    <w:p w:rsidR="00101139" w:rsidRDefault="00101139" w:rsidP="00876E49">
      <w:pPr>
        <w:pStyle w:val="BodyText"/>
      </w:pPr>
      <w:r w:rsidRPr="00D07B37">
        <w:t xml:space="preserve">Staff recommends the Commission approve </w:t>
      </w:r>
      <w:smartTag w:uri="urn:schemas-microsoft-com:office:smarttags" w:element="stockticker">
        <w:r w:rsidRPr="00A305D3">
          <w:t>FP</w:t>
        </w:r>
        <w:r>
          <w:t>L</w:t>
        </w:r>
      </w:smartTag>
      <w:r>
        <w:t>’s</w:t>
      </w:r>
      <w:r w:rsidRPr="00A305D3">
        <w:t xml:space="preserve"> </w:t>
      </w:r>
      <w:r>
        <w:t xml:space="preserve">request for mid-course correction to its 2018 capacity cost recovery factors and the associated tariff sheets. </w:t>
      </w:r>
      <w:r w:rsidRPr="00A305D3">
        <w:t>Th</w:t>
      </w:r>
      <w:r>
        <w:t>e recommended capacity</w:t>
      </w:r>
      <w:r w:rsidRPr="00A305D3">
        <w:t xml:space="preserve"> </w:t>
      </w:r>
      <w:r>
        <w:t xml:space="preserve">cost recovery </w:t>
      </w:r>
      <w:r w:rsidRPr="00A305D3">
        <w:t>factors are presented in Attachment</w:t>
      </w:r>
      <w:r>
        <w:t xml:space="preserve"> A and t</w:t>
      </w:r>
      <w:r w:rsidRPr="00A305D3">
        <w:t xml:space="preserve">he </w:t>
      </w:r>
      <w:r>
        <w:t>associated tariff sheets</w:t>
      </w:r>
      <w:r w:rsidRPr="00A305D3">
        <w:t xml:space="preserve"> </w:t>
      </w:r>
      <w:r>
        <w:t>are</w:t>
      </w:r>
      <w:r w:rsidRPr="00A305D3">
        <w:t xml:space="preserve"> presented in Attachment</w:t>
      </w:r>
      <w:r>
        <w:t xml:space="preserve"> B. The revised capacity cost recovery factors and the associated tariff sheets</w:t>
      </w:r>
      <w:r w:rsidRPr="000E7D60">
        <w:t xml:space="preserve"> should become effective </w:t>
      </w:r>
      <w:r w:rsidR="00B87105">
        <w:t>with the July</w:t>
      </w:r>
      <w:r>
        <w:t xml:space="preserve"> 2018 billing cycle, which begins on July 1, 2018. The Commission should give staff administrative authority to approve the tariff sheets implementing the approved rate adjustments.</w:t>
      </w:r>
    </w:p>
    <w:p w:rsidR="00876E49" w:rsidRDefault="00876E49">
      <w:pPr>
        <w:pStyle w:val="IssueHeading"/>
        <w:rPr>
          <w:vanish/>
          <w:specVanish/>
        </w:rPr>
      </w:pPr>
      <w:r w:rsidRPr="004C3641">
        <w:rPr>
          <w:b w:val="0"/>
          <w:i w:val="0"/>
        </w:rPr>
        <w:br w:type="page"/>
      </w:r>
      <w:r w:rsidRPr="004C3641">
        <w:t xml:space="preserve">Issue </w:t>
      </w:r>
      <w:r w:rsidR="00F502BC">
        <w:fldChar w:fldCharType="begin"/>
      </w:r>
      <w:r w:rsidR="00F502BC">
        <w:instrText xml:space="preserve"> SEQ Issue \* MERGEFORMAT </w:instrText>
      </w:r>
      <w:r w:rsidR="00F502BC">
        <w:fldChar w:fldCharType="separate"/>
      </w:r>
      <w:r w:rsidR="008A015B">
        <w:rPr>
          <w:noProof/>
        </w:rPr>
        <w:t>2</w:t>
      </w:r>
      <w:r w:rsidR="00F502BC">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A015B">
        <w:rPr>
          <w:noProof/>
        </w:rPr>
        <w:instrText>2</w:instrText>
      </w:r>
      <w:r>
        <w:fldChar w:fldCharType="end"/>
      </w:r>
      <w:r>
        <w:tab/>
        <w:instrText xml:space="preserve">(Brownless)" \l 1 </w:instrText>
      </w:r>
      <w:r>
        <w:fldChar w:fldCharType="end"/>
      </w:r>
      <w:r>
        <w:t> </w:t>
      </w:r>
    </w:p>
    <w:p w:rsidR="00876E49" w:rsidRDefault="00876E49">
      <w:pPr>
        <w:pStyle w:val="BodyText"/>
      </w:pPr>
      <w:r>
        <w:t> Should this docket be closed?</w:t>
      </w:r>
    </w:p>
    <w:p w:rsidR="00876E49" w:rsidRPr="004C3641" w:rsidRDefault="00876E49">
      <w:pPr>
        <w:pStyle w:val="IssueSubsectionHeading"/>
        <w:rPr>
          <w:vanish/>
          <w:specVanish/>
        </w:rPr>
      </w:pPr>
      <w:r w:rsidRPr="004C3641">
        <w:t>Recommendation: </w:t>
      </w:r>
    </w:p>
    <w:p w:rsidR="00876E49" w:rsidRDefault="00876E49">
      <w:pPr>
        <w:pStyle w:val="BodyText"/>
      </w:pPr>
      <w:r>
        <w:t> </w:t>
      </w:r>
      <w:r w:rsidR="00A26A7F">
        <w:t>T</w:t>
      </w:r>
      <w:r w:rsidR="00A26A7F" w:rsidRPr="00C42E1C">
        <w:t>he fuel docket is on-going and should remain ope</w:t>
      </w:r>
      <w:r w:rsidR="00A26A7F">
        <w:t>n.</w:t>
      </w:r>
      <w:r>
        <w:t xml:space="preserve"> (Brownless)</w:t>
      </w:r>
    </w:p>
    <w:p w:rsidR="00876E49" w:rsidRPr="004C3641" w:rsidRDefault="00876E49">
      <w:pPr>
        <w:pStyle w:val="IssueSubsectionHeading"/>
        <w:rPr>
          <w:vanish/>
          <w:specVanish/>
        </w:rPr>
      </w:pPr>
      <w:r w:rsidRPr="004C3641">
        <w:t>Staff Analysis: </w:t>
      </w:r>
    </w:p>
    <w:p w:rsidR="00876E49" w:rsidRDefault="00876E49">
      <w:pPr>
        <w:pStyle w:val="BodyText"/>
      </w:pPr>
      <w:r>
        <w:t> </w:t>
      </w:r>
      <w:r w:rsidR="00A26A7F">
        <w:t>T</w:t>
      </w:r>
      <w:r w:rsidR="00A26A7F" w:rsidRPr="00C42E1C">
        <w:t>he fuel docket is on-going and should remain ope</w:t>
      </w:r>
      <w:r w:rsidR="00A26A7F">
        <w:t>n.</w:t>
      </w:r>
    </w:p>
    <w:p w:rsidR="00882FD6" w:rsidRDefault="00882FD6">
      <w:pPr>
        <w:sectPr w:rsidR="00882FD6"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br w:type="page"/>
      </w:r>
    </w:p>
    <w:p w:rsidR="00882FD6" w:rsidRPr="00952579" w:rsidRDefault="00882FD6" w:rsidP="00882FD6">
      <w:pPr>
        <w:ind w:left="1440" w:hanging="1440"/>
        <w:jc w:val="center"/>
        <w:rPr>
          <w:rFonts w:ascii="Arial" w:hAnsi="Arial" w:cs="Arial"/>
          <w:b/>
        </w:rPr>
      </w:pPr>
      <w:r w:rsidRPr="00952579">
        <w:rPr>
          <w:rFonts w:ascii="Arial" w:hAnsi="Arial" w:cs="Arial"/>
          <w:b/>
        </w:rPr>
        <w:t xml:space="preserve">Table </w:t>
      </w:r>
      <w:r>
        <w:rPr>
          <w:rFonts w:ascii="Arial" w:hAnsi="Arial" w:cs="Arial"/>
          <w:b/>
        </w:rPr>
        <w:t>1</w:t>
      </w:r>
    </w:p>
    <w:p w:rsidR="00882FD6" w:rsidRDefault="00882FD6" w:rsidP="00882FD6">
      <w:pPr>
        <w:keepNext/>
        <w:keepLines/>
        <w:jc w:val="center"/>
        <w:rPr>
          <w:rFonts w:ascii="Arial" w:hAnsi="Arial" w:cs="Arial"/>
          <w:b/>
        </w:rPr>
      </w:pPr>
      <w:r>
        <w:rPr>
          <w:rFonts w:ascii="Arial" w:hAnsi="Arial" w:cs="Arial"/>
          <w:b/>
        </w:rPr>
        <w:t>FPL Revised Capacity Cost Recovery Factors</w:t>
      </w:r>
    </w:p>
    <w:p w:rsidR="00882FD6" w:rsidRPr="006921C3" w:rsidRDefault="00882FD6" w:rsidP="00882FD6">
      <w:pPr>
        <w:keepNext/>
        <w:keepLines/>
        <w:jc w:val="center"/>
      </w:pPr>
      <w:r>
        <w:rPr>
          <w:rFonts w:ascii="Arial" w:hAnsi="Arial" w:cs="Arial"/>
          <w:b/>
        </w:rPr>
        <w:t xml:space="preserve">for the </w:t>
      </w:r>
      <w:r w:rsidR="00C42619">
        <w:rPr>
          <w:rFonts w:ascii="Arial" w:hAnsi="Arial" w:cs="Arial"/>
          <w:b/>
        </w:rPr>
        <w:t>Period July</w:t>
      </w:r>
      <w:r>
        <w:rPr>
          <w:rFonts w:ascii="Arial" w:hAnsi="Arial" w:cs="Arial"/>
          <w:b/>
        </w:rPr>
        <w:t>-December, 2018</w:t>
      </w:r>
    </w:p>
    <w:tbl>
      <w:tblPr>
        <w:tblStyle w:val="TableGrid"/>
        <w:tblW w:w="0" w:type="auto"/>
        <w:tblLook w:val="04A0" w:firstRow="1" w:lastRow="0" w:firstColumn="1" w:lastColumn="0" w:noHBand="0" w:noVBand="1"/>
      </w:tblPr>
      <w:tblGrid>
        <w:gridCol w:w="3888"/>
        <w:gridCol w:w="1350"/>
        <w:gridCol w:w="1260"/>
        <w:gridCol w:w="1530"/>
        <w:gridCol w:w="1548"/>
      </w:tblGrid>
      <w:tr w:rsidR="00882FD6" w:rsidTr="001F1ED5">
        <w:tc>
          <w:tcPr>
            <w:tcW w:w="3888" w:type="dxa"/>
            <w:vAlign w:val="center"/>
          </w:tcPr>
          <w:p w:rsidR="00882FD6" w:rsidRPr="00972BDD" w:rsidRDefault="00882FD6" w:rsidP="001F1ED5">
            <w:pPr>
              <w:autoSpaceDE w:val="0"/>
              <w:autoSpaceDN w:val="0"/>
              <w:adjustRightInd w:val="0"/>
              <w:jc w:val="center"/>
              <w:rPr>
                <w:b/>
                <w:bCs/>
              </w:rPr>
            </w:pPr>
            <w:r w:rsidRPr="00972BDD">
              <w:rPr>
                <w:b/>
                <w:bCs/>
              </w:rPr>
              <w:t>Rate Schedule</w:t>
            </w:r>
          </w:p>
        </w:tc>
        <w:tc>
          <w:tcPr>
            <w:tcW w:w="1350" w:type="dxa"/>
            <w:vAlign w:val="center"/>
          </w:tcPr>
          <w:p w:rsidR="00882FD6" w:rsidRPr="00972BDD" w:rsidRDefault="00882FD6" w:rsidP="001F1ED5">
            <w:pPr>
              <w:autoSpaceDE w:val="0"/>
              <w:autoSpaceDN w:val="0"/>
              <w:adjustRightInd w:val="0"/>
              <w:jc w:val="center"/>
              <w:rPr>
                <w:b/>
                <w:bCs/>
              </w:rPr>
            </w:pPr>
            <w:r w:rsidRPr="00972BDD">
              <w:rPr>
                <w:b/>
                <w:bCs/>
              </w:rPr>
              <w:t>$/kW</w:t>
            </w:r>
          </w:p>
        </w:tc>
        <w:tc>
          <w:tcPr>
            <w:tcW w:w="1260" w:type="dxa"/>
            <w:vAlign w:val="center"/>
          </w:tcPr>
          <w:p w:rsidR="00882FD6" w:rsidRPr="00972BDD" w:rsidRDefault="00882FD6" w:rsidP="001F1ED5">
            <w:pPr>
              <w:autoSpaceDE w:val="0"/>
              <w:autoSpaceDN w:val="0"/>
              <w:adjustRightInd w:val="0"/>
              <w:jc w:val="center"/>
              <w:rPr>
                <w:b/>
                <w:bCs/>
              </w:rPr>
            </w:pPr>
            <w:r w:rsidRPr="00972BDD">
              <w:rPr>
                <w:b/>
                <w:bCs/>
              </w:rPr>
              <w:t>$/kWh</w:t>
            </w:r>
          </w:p>
        </w:tc>
        <w:tc>
          <w:tcPr>
            <w:tcW w:w="1530" w:type="dxa"/>
          </w:tcPr>
          <w:p w:rsidR="00882FD6" w:rsidRPr="00972BDD" w:rsidRDefault="00882FD6" w:rsidP="001F1ED5">
            <w:pPr>
              <w:autoSpaceDE w:val="0"/>
              <w:autoSpaceDN w:val="0"/>
              <w:adjustRightInd w:val="0"/>
              <w:jc w:val="center"/>
              <w:rPr>
                <w:b/>
                <w:bCs/>
              </w:rPr>
            </w:pPr>
            <w:r w:rsidRPr="00972BDD">
              <w:rPr>
                <w:b/>
                <w:bCs/>
              </w:rPr>
              <w:t>Reservation Demand Charge (RDC)  $/kW</w:t>
            </w:r>
            <w:r w:rsidRPr="00972BDD">
              <w:rPr>
                <w:rStyle w:val="FootnoteReference"/>
                <w:b/>
                <w:bCs/>
              </w:rPr>
              <w:footnoteReference w:id="10"/>
            </w:r>
          </w:p>
        </w:tc>
        <w:tc>
          <w:tcPr>
            <w:tcW w:w="1548" w:type="dxa"/>
          </w:tcPr>
          <w:p w:rsidR="00882FD6" w:rsidRPr="00972BDD" w:rsidRDefault="00882FD6" w:rsidP="001F1ED5">
            <w:pPr>
              <w:autoSpaceDE w:val="0"/>
              <w:autoSpaceDN w:val="0"/>
              <w:adjustRightInd w:val="0"/>
              <w:jc w:val="center"/>
              <w:rPr>
                <w:b/>
                <w:bCs/>
              </w:rPr>
            </w:pPr>
            <w:r w:rsidRPr="00972BDD">
              <w:rPr>
                <w:b/>
                <w:bCs/>
              </w:rPr>
              <w:t>Sum of Daily Demand Charge (SDD)  $/kW</w:t>
            </w:r>
            <w:r w:rsidRPr="00972BDD">
              <w:rPr>
                <w:rStyle w:val="FootnoteReference"/>
                <w:b/>
                <w:bCs/>
              </w:rPr>
              <w:footnoteReference w:id="11"/>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RS1/RTR1</w:t>
            </w:r>
          </w:p>
        </w:tc>
        <w:tc>
          <w:tcPr>
            <w:tcW w:w="1350" w:type="dxa"/>
          </w:tcPr>
          <w:p w:rsidR="00882FD6" w:rsidRPr="00972BDD" w:rsidRDefault="00882FD6" w:rsidP="001F1ED5">
            <w:pPr>
              <w:autoSpaceDE w:val="0"/>
              <w:autoSpaceDN w:val="0"/>
              <w:adjustRightInd w:val="0"/>
              <w:jc w:val="center"/>
              <w:rPr>
                <w:bCs/>
              </w:rPr>
            </w:pPr>
            <w:r w:rsidRPr="00972BDD">
              <w:rPr>
                <w:bCs/>
              </w:rPr>
              <w:t>-</w:t>
            </w:r>
          </w:p>
        </w:tc>
        <w:tc>
          <w:tcPr>
            <w:tcW w:w="1260" w:type="dxa"/>
          </w:tcPr>
          <w:p w:rsidR="00882FD6" w:rsidRPr="00972BDD" w:rsidRDefault="002E724F" w:rsidP="001F1ED5">
            <w:pPr>
              <w:autoSpaceDE w:val="0"/>
              <w:autoSpaceDN w:val="0"/>
              <w:adjustRightInd w:val="0"/>
              <w:jc w:val="center"/>
              <w:rPr>
                <w:bCs/>
              </w:rPr>
            </w:pPr>
            <w:r>
              <w:rPr>
                <w:bCs/>
              </w:rPr>
              <w:t>0.00234</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GS1/GST1</w:t>
            </w:r>
          </w:p>
        </w:tc>
        <w:tc>
          <w:tcPr>
            <w:tcW w:w="1350" w:type="dxa"/>
          </w:tcPr>
          <w:p w:rsidR="00882FD6" w:rsidRPr="00972BDD" w:rsidRDefault="00882FD6" w:rsidP="001F1ED5">
            <w:pPr>
              <w:autoSpaceDE w:val="0"/>
              <w:autoSpaceDN w:val="0"/>
              <w:adjustRightInd w:val="0"/>
              <w:jc w:val="center"/>
              <w:rPr>
                <w:bCs/>
              </w:rPr>
            </w:pPr>
            <w:r w:rsidRPr="00972BDD">
              <w:rPr>
                <w:bCs/>
              </w:rPr>
              <w:t>-</w:t>
            </w:r>
          </w:p>
        </w:tc>
        <w:tc>
          <w:tcPr>
            <w:tcW w:w="1260" w:type="dxa"/>
          </w:tcPr>
          <w:p w:rsidR="00882FD6" w:rsidRPr="00972BDD" w:rsidRDefault="002E724F" w:rsidP="001F1ED5">
            <w:pPr>
              <w:autoSpaceDE w:val="0"/>
              <w:autoSpaceDN w:val="0"/>
              <w:adjustRightInd w:val="0"/>
              <w:jc w:val="center"/>
              <w:rPr>
                <w:bCs/>
              </w:rPr>
            </w:pPr>
            <w:r>
              <w:rPr>
                <w:bCs/>
              </w:rPr>
              <w:t>0.00220</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GSD1/GSDT1/HLFT1</w:t>
            </w:r>
          </w:p>
        </w:tc>
        <w:tc>
          <w:tcPr>
            <w:tcW w:w="1350" w:type="dxa"/>
          </w:tcPr>
          <w:p w:rsidR="00882FD6" w:rsidRPr="00972BDD" w:rsidRDefault="002E724F" w:rsidP="001F1ED5">
            <w:pPr>
              <w:autoSpaceDE w:val="0"/>
              <w:autoSpaceDN w:val="0"/>
              <w:adjustRightInd w:val="0"/>
              <w:jc w:val="center"/>
              <w:rPr>
                <w:bCs/>
              </w:rPr>
            </w:pPr>
            <w:r>
              <w:rPr>
                <w:bCs/>
              </w:rPr>
              <w:t>0.70</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OS2</w:t>
            </w:r>
          </w:p>
        </w:tc>
        <w:tc>
          <w:tcPr>
            <w:tcW w:w="1350" w:type="dxa"/>
          </w:tcPr>
          <w:p w:rsidR="00882FD6" w:rsidRPr="00972BDD" w:rsidRDefault="00882FD6" w:rsidP="001F1ED5">
            <w:pPr>
              <w:autoSpaceDE w:val="0"/>
              <w:autoSpaceDN w:val="0"/>
              <w:adjustRightInd w:val="0"/>
              <w:jc w:val="center"/>
              <w:rPr>
                <w:bCs/>
              </w:rPr>
            </w:pPr>
            <w:r w:rsidRPr="00972BDD">
              <w:rPr>
                <w:bCs/>
              </w:rPr>
              <w:t>-</w:t>
            </w:r>
          </w:p>
        </w:tc>
        <w:tc>
          <w:tcPr>
            <w:tcW w:w="1260" w:type="dxa"/>
          </w:tcPr>
          <w:p w:rsidR="00882FD6" w:rsidRPr="00972BDD" w:rsidRDefault="002E724F" w:rsidP="001F1ED5">
            <w:pPr>
              <w:autoSpaceDE w:val="0"/>
              <w:autoSpaceDN w:val="0"/>
              <w:adjustRightInd w:val="0"/>
              <w:jc w:val="center"/>
              <w:rPr>
                <w:bCs/>
              </w:rPr>
            </w:pPr>
            <w:r>
              <w:rPr>
                <w:bCs/>
              </w:rPr>
              <w:t>0.00098</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GSLD1/GSLDT1/CS1/CST1/HLFT2</w:t>
            </w:r>
          </w:p>
        </w:tc>
        <w:tc>
          <w:tcPr>
            <w:tcW w:w="1350" w:type="dxa"/>
          </w:tcPr>
          <w:p w:rsidR="00882FD6" w:rsidRPr="00972BDD" w:rsidRDefault="002E724F" w:rsidP="001F1ED5">
            <w:pPr>
              <w:autoSpaceDE w:val="0"/>
              <w:autoSpaceDN w:val="0"/>
              <w:adjustRightInd w:val="0"/>
              <w:jc w:val="center"/>
              <w:rPr>
                <w:bCs/>
              </w:rPr>
            </w:pPr>
            <w:r>
              <w:rPr>
                <w:bCs/>
              </w:rPr>
              <w:t>0.84</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GSLD2/GSLDT2/CS2/CST2/HLFT3</w:t>
            </w:r>
          </w:p>
        </w:tc>
        <w:tc>
          <w:tcPr>
            <w:tcW w:w="1350" w:type="dxa"/>
          </w:tcPr>
          <w:p w:rsidR="00882FD6" w:rsidRPr="00972BDD" w:rsidRDefault="002E724F" w:rsidP="001F1ED5">
            <w:pPr>
              <w:autoSpaceDE w:val="0"/>
              <w:autoSpaceDN w:val="0"/>
              <w:adjustRightInd w:val="0"/>
              <w:jc w:val="center"/>
              <w:rPr>
                <w:bCs/>
              </w:rPr>
            </w:pPr>
            <w:r>
              <w:rPr>
                <w:bCs/>
              </w:rPr>
              <w:t>0.78</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GSLD3/GSLDT3/CS3/CST3</w:t>
            </w:r>
          </w:p>
        </w:tc>
        <w:tc>
          <w:tcPr>
            <w:tcW w:w="1350" w:type="dxa"/>
          </w:tcPr>
          <w:p w:rsidR="00882FD6" w:rsidRPr="00972BDD" w:rsidRDefault="002E724F" w:rsidP="001F1ED5">
            <w:pPr>
              <w:autoSpaceDE w:val="0"/>
              <w:autoSpaceDN w:val="0"/>
              <w:adjustRightInd w:val="0"/>
              <w:jc w:val="center"/>
              <w:rPr>
                <w:bCs/>
              </w:rPr>
            </w:pPr>
            <w:r>
              <w:rPr>
                <w:bCs/>
              </w:rPr>
              <w:t>0.79</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SST1T</w:t>
            </w:r>
          </w:p>
        </w:tc>
        <w:tc>
          <w:tcPr>
            <w:tcW w:w="1350" w:type="dxa"/>
          </w:tcPr>
          <w:p w:rsidR="00882FD6" w:rsidRPr="00972BDD" w:rsidRDefault="00882FD6" w:rsidP="001F1ED5">
            <w:pPr>
              <w:autoSpaceDE w:val="0"/>
              <w:autoSpaceDN w:val="0"/>
              <w:adjustRightInd w:val="0"/>
              <w:jc w:val="center"/>
              <w:rPr>
                <w:bCs/>
              </w:rPr>
            </w:pPr>
            <w:r w:rsidRPr="00972BDD">
              <w:rPr>
                <w:bCs/>
              </w:rPr>
              <w:t>-</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2E724F" w:rsidP="001F1ED5">
            <w:pPr>
              <w:autoSpaceDE w:val="0"/>
              <w:autoSpaceDN w:val="0"/>
              <w:adjustRightInd w:val="0"/>
              <w:jc w:val="center"/>
              <w:rPr>
                <w:bCs/>
              </w:rPr>
            </w:pPr>
            <w:r>
              <w:rPr>
                <w:bCs/>
              </w:rPr>
              <w:t>$0.10</w:t>
            </w:r>
          </w:p>
        </w:tc>
        <w:tc>
          <w:tcPr>
            <w:tcW w:w="1548" w:type="dxa"/>
          </w:tcPr>
          <w:p w:rsidR="00882FD6" w:rsidRPr="00972BDD" w:rsidRDefault="00882FD6" w:rsidP="001F1ED5">
            <w:pPr>
              <w:autoSpaceDE w:val="0"/>
              <w:autoSpaceDN w:val="0"/>
              <w:adjustRightInd w:val="0"/>
              <w:jc w:val="center"/>
              <w:rPr>
                <w:bCs/>
              </w:rPr>
            </w:pPr>
            <w:r w:rsidRPr="00972BDD">
              <w:rPr>
                <w:bCs/>
              </w:rPr>
              <w:t>$0.05</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SST1D1/SST1D2/SST1D3</w:t>
            </w:r>
          </w:p>
        </w:tc>
        <w:tc>
          <w:tcPr>
            <w:tcW w:w="1350" w:type="dxa"/>
          </w:tcPr>
          <w:p w:rsidR="00882FD6" w:rsidRPr="00972BDD" w:rsidRDefault="00882FD6" w:rsidP="001F1ED5">
            <w:pPr>
              <w:autoSpaceDE w:val="0"/>
              <w:autoSpaceDN w:val="0"/>
              <w:adjustRightInd w:val="0"/>
              <w:jc w:val="center"/>
              <w:rPr>
                <w:bCs/>
              </w:rPr>
            </w:pPr>
            <w:r w:rsidRPr="00972BDD">
              <w:rPr>
                <w:bCs/>
              </w:rPr>
              <w:t>-</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2E724F" w:rsidP="001F1ED5">
            <w:pPr>
              <w:autoSpaceDE w:val="0"/>
              <w:autoSpaceDN w:val="0"/>
              <w:adjustRightInd w:val="0"/>
              <w:jc w:val="center"/>
              <w:rPr>
                <w:bCs/>
              </w:rPr>
            </w:pPr>
            <w:r>
              <w:rPr>
                <w:bCs/>
              </w:rPr>
              <w:t>$0.11</w:t>
            </w:r>
          </w:p>
        </w:tc>
        <w:tc>
          <w:tcPr>
            <w:tcW w:w="1548" w:type="dxa"/>
          </w:tcPr>
          <w:p w:rsidR="00882FD6" w:rsidRPr="00972BDD" w:rsidRDefault="002E724F" w:rsidP="001F1ED5">
            <w:pPr>
              <w:autoSpaceDE w:val="0"/>
              <w:autoSpaceDN w:val="0"/>
              <w:adjustRightInd w:val="0"/>
              <w:jc w:val="center"/>
              <w:rPr>
                <w:bCs/>
              </w:rPr>
            </w:pPr>
            <w:r>
              <w:rPr>
                <w:bCs/>
              </w:rPr>
              <w:t>$0.05</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CILC D/CILC G</w:t>
            </w:r>
          </w:p>
        </w:tc>
        <w:tc>
          <w:tcPr>
            <w:tcW w:w="1350" w:type="dxa"/>
          </w:tcPr>
          <w:p w:rsidR="00882FD6" w:rsidRPr="00972BDD" w:rsidRDefault="002E724F" w:rsidP="001F1ED5">
            <w:pPr>
              <w:autoSpaceDE w:val="0"/>
              <w:autoSpaceDN w:val="0"/>
              <w:adjustRightInd w:val="0"/>
              <w:jc w:val="center"/>
              <w:rPr>
                <w:bCs/>
              </w:rPr>
            </w:pPr>
            <w:r>
              <w:rPr>
                <w:bCs/>
              </w:rPr>
              <w:t>0.89</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CILC T</w:t>
            </w:r>
          </w:p>
        </w:tc>
        <w:tc>
          <w:tcPr>
            <w:tcW w:w="1350" w:type="dxa"/>
          </w:tcPr>
          <w:p w:rsidR="00882FD6" w:rsidRPr="00972BDD" w:rsidRDefault="002E724F" w:rsidP="001F1ED5">
            <w:pPr>
              <w:autoSpaceDE w:val="0"/>
              <w:autoSpaceDN w:val="0"/>
              <w:adjustRightInd w:val="0"/>
              <w:jc w:val="center"/>
              <w:rPr>
                <w:bCs/>
              </w:rPr>
            </w:pPr>
            <w:r>
              <w:rPr>
                <w:bCs/>
              </w:rPr>
              <w:t>0.86</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MET</w:t>
            </w:r>
          </w:p>
        </w:tc>
        <w:tc>
          <w:tcPr>
            <w:tcW w:w="1350" w:type="dxa"/>
          </w:tcPr>
          <w:p w:rsidR="00882FD6" w:rsidRPr="00972BDD" w:rsidRDefault="002E724F" w:rsidP="001F1ED5">
            <w:pPr>
              <w:autoSpaceDE w:val="0"/>
              <w:autoSpaceDN w:val="0"/>
              <w:adjustRightInd w:val="0"/>
              <w:jc w:val="center"/>
              <w:rPr>
                <w:bCs/>
              </w:rPr>
            </w:pPr>
            <w:r>
              <w:rPr>
                <w:bCs/>
              </w:rPr>
              <w:t>0.88</w:t>
            </w:r>
          </w:p>
        </w:tc>
        <w:tc>
          <w:tcPr>
            <w:tcW w:w="1260" w:type="dxa"/>
          </w:tcPr>
          <w:p w:rsidR="00882FD6" w:rsidRPr="00972BDD" w:rsidRDefault="00882FD6" w:rsidP="001F1ED5">
            <w:pPr>
              <w:autoSpaceDE w:val="0"/>
              <w:autoSpaceDN w:val="0"/>
              <w:adjustRightInd w:val="0"/>
              <w:jc w:val="center"/>
              <w:rPr>
                <w:bCs/>
              </w:rPr>
            </w:pPr>
            <w:r w:rsidRPr="00972BDD">
              <w:rPr>
                <w:bCs/>
              </w:rPr>
              <w:t>-</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OL1/SL1/SL1M/PL1</w:t>
            </w:r>
          </w:p>
        </w:tc>
        <w:tc>
          <w:tcPr>
            <w:tcW w:w="1350" w:type="dxa"/>
          </w:tcPr>
          <w:p w:rsidR="00882FD6" w:rsidRPr="00972BDD" w:rsidRDefault="00882FD6" w:rsidP="001F1ED5">
            <w:pPr>
              <w:autoSpaceDE w:val="0"/>
              <w:autoSpaceDN w:val="0"/>
              <w:adjustRightInd w:val="0"/>
              <w:jc w:val="center"/>
              <w:rPr>
                <w:bCs/>
              </w:rPr>
            </w:pPr>
            <w:r w:rsidRPr="00972BDD">
              <w:rPr>
                <w:bCs/>
              </w:rPr>
              <w:t>-</w:t>
            </w:r>
          </w:p>
        </w:tc>
        <w:tc>
          <w:tcPr>
            <w:tcW w:w="1260" w:type="dxa"/>
          </w:tcPr>
          <w:p w:rsidR="00882FD6" w:rsidRPr="00972BDD" w:rsidRDefault="002E724F" w:rsidP="001F1ED5">
            <w:pPr>
              <w:autoSpaceDE w:val="0"/>
              <w:autoSpaceDN w:val="0"/>
              <w:adjustRightInd w:val="0"/>
              <w:jc w:val="center"/>
              <w:rPr>
                <w:bCs/>
              </w:rPr>
            </w:pPr>
            <w:r>
              <w:rPr>
                <w:bCs/>
              </w:rPr>
              <w:t>0.00018</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r w:rsidR="00882FD6" w:rsidTr="001F1ED5">
        <w:tc>
          <w:tcPr>
            <w:tcW w:w="3888" w:type="dxa"/>
          </w:tcPr>
          <w:p w:rsidR="00882FD6" w:rsidRPr="00972BDD" w:rsidRDefault="00882FD6" w:rsidP="001F1ED5">
            <w:pPr>
              <w:autoSpaceDE w:val="0"/>
              <w:autoSpaceDN w:val="0"/>
              <w:adjustRightInd w:val="0"/>
              <w:jc w:val="center"/>
              <w:rPr>
                <w:bCs/>
              </w:rPr>
            </w:pPr>
            <w:r w:rsidRPr="00972BDD">
              <w:rPr>
                <w:bCs/>
              </w:rPr>
              <w:t>SL2/SL2M/GSCU1</w:t>
            </w:r>
          </w:p>
        </w:tc>
        <w:tc>
          <w:tcPr>
            <w:tcW w:w="1350" w:type="dxa"/>
          </w:tcPr>
          <w:p w:rsidR="00882FD6" w:rsidRPr="00972BDD" w:rsidRDefault="00882FD6" w:rsidP="001F1ED5">
            <w:pPr>
              <w:autoSpaceDE w:val="0"/>
              <w:autoSpaceDN w:val="0"/>
              <w:adjustRightInd w:val="0"/>
              <w:jc w:val="center"/>
              <w:rPr>
                <w:bCs/>
              </w:rPr>
            </w:pPr>
            <w:r w:rsidRPr="00972BDD">
              <w:rPr>
                <w:bCs/>
              </w:rPr>
              <w:t>-</w:t>
            </w:r>
          </w:p>
        </w:tc>
        <w:tc>
          <w:tcPr>
            <w:tcW w:w="1260" w:type="dxa"/>
          </w:tcPr>
          <w:p w:rsidR="00882FD6" w:rsidRPr="00972BDD" w:rsidRDefault="002E724F" w:rsidP="001F1ED5">
            <w:pPr>
              <w:autoSpaceDE w:val="0"/>
              <w:autoSpaceDN w:val="0"/>
              <w:adjustRightInd w:val="0"/>
              <w:jc w:val="center"/>
              <w:rPr>
                <w:bCs/>
              </w:rPr>
            </w:pPr>
            <w:r>
              <w:rPr>
                <w:bCs/>
              </w:rPr>
              <w:t>0.00153</w:t>
            </w:r>
          </w:p>
        </w:tc>
        <w:tc>
          <w:tcPr>
            <w:tcW w:w="1530" w:type="dxa"/>
          </w:tcPr>
          <w:p w:rsidR="00882FD6" w:rsidRPr="00972BDD" w:rsidRDefault="00882FD6" w:rsidP="001F1ED5">
            <w:pPr>
              <w:autoSpaceDE w:val="0"/>
              <w:autoSpaceDN w:val="0"/>
              <w:adjustRightInd w:val="0"/>
              <w:jc w:val="center"/>
              <w:rPr>
                <w:bCs/>
              </w:rPr>
            </w:pPr>
            <w:r w:rsidRPr="00972BDD">
              <w:rPr>
                <w:bCs/>
              </w:rPr>
              <w:t>-</w:t>
            </w:r>
          </w:p>
        </w:tc>
        <w:tc>
          <w:tcPr>
            <w:tcW w:w="1548" w:type="dxa"/>
          </w:tcPr>
          <w:p w:rsidR="00882FD6" w:rsidRPr="00972BDD" w:rsidRDefault="00882FD6" w:rsidP="001F1ED5">
            <w:pPr>
              <w:autoSpaceDE w:val="0"/>
              <w:autoSpaceDN w:val="0"/>
              <w:adjustRightInd w:val="0"/>
              <w:jc w:val="center"/>
              <w:rPr>
                <w:bCs/>
              </w:rPr>
            </w:pPr>
            <w:r w:rsidRPr="00972BDD">
              <w:rPr>
                <w:bCs/>
              </w:rPr>
              <w:t>-</w:t>
            </w:r>
          </w:p>
        </w:tc>
      </w:tr>
    </w:tbl>
    <w:p w:rsidR="00882FD6" w:rsidRDefault="00882FD6" w:rsidP="00882FD6">
      <w:pPr>
        <w:ind w:left="1440" w:hanging="1440"/>
        <w:rPr>
          <w:sz w:val="20"/>
          <w:szCs w:val="20"/>
        </w:rPr>
        <w:sectPr w:rsidR="00882FD6" w:rsidSect="001F1ED5">
          <w:headerReference w:type="default" r:id="rId15"/>
          <w:type w:val="continuous"/>
          <w:pgSz w:w="12240" w:h="15840" w:code="1"/>
          <w:pgMar w:top="1584" w:right="1440" w:bottom="1440" w:left="1440" w:header="720" w:footer="720" w:gutter="0"/>
          <w:cols w:space="720"/>
          <w:formProt w:val="0"/>
          <w:docGrid w:linePitch="360"/>
        </w:sectPr>
      </w:pPr>
      <w:r>
        <w:rPr>
          <w:sz w:val="22"/>
          <w:szCs w:val="22"/>
        </w:rPr>
        <w:t xml:space="preserve">  </w:t>
      </w:r>
      <w:r w:rsidR="002E724F">
        <w:rPr>
          <w:sz w:val="20"/>
          <w:szCs w:val="20"/>
        </w:rPr>
        <w:t xml:space="preserve">Source: </w:t>
      </w:r>
      <w:r w:rsidR="00B7661F">
        <w:rPr>
          <w:sz w:val="20"/>
          <w:szCs w:val="20"/>
        </w:rPr>
        <w:t>Schedule E1-E, Appendix 1, Page 5 of 20 from</w:t>
      </w:r>
      <w:r w:rsidR="00E65813">
        <w:rPr>
          <w:sz w:val="20"/>
          <w:szCs w:val="20"/>
        </w:rPr>
        <w:t xml:space="preserve"> Mid-Course Petition</w:t>
      </w:r>
    </w:p>
    <w:p w:rsidR="00882FD6" w:rsidRDefault="00882FD6" w:rsidP="00882FD6"/>
    <w:p w:rsidR="003267C6" w:rsidRDefault="003267C6" w:rsidP="00882FD6">
      <w:r>
        <w:rPr>
          <w:noProof/>
        </w:rPr>
        <w:drawing>
          <wp:inline distT="0" distB="0" distL="0" distR="0">
            <wp:extent cx="5943600" cy="7691718"/>
            <wp:effectExtent l="0" t="0" r="0" b="5080"/>
            <wp:docPr id="2" name="Picture 2" descr="C:\Users\lray\AppData\Local\Microsoft\Windows\Temporary Internet Files\Content.Outlook\GQ1W6S14\FPL-Tariiff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ray\AppData\Local\Microsoft\Windows\Temporary Internet Files\Content.Outlook\GQ1W6S14\FPL-Tariiff_Page_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p w:rsidR="003267C6" w:rsidRDefault="003267C6" w:rsidP="003267C6">
      <w:r>
        <w:br w:type="page"/>
      </w:r>
    </w:p>
    <w:p w:rsidR="00882FD6" w:rsidRDefault="00882FD6" w:rsidP="00882FD6">
      <w:pPr>
        <w:sectPr w:rsidR="00882FD6" w:rsidSect="001F1ED5">
          <w:headerReference w:type="default" r:id="rId17"/>
          <w:type w:val="continuous"/>
          <w:pgSz w:w="12240" w:h="15840" w:code="1"/>
          <w:pgMar w:top="1584" w:right="1440" w:bottom="1440" w:left="1440" w:header="720" w:footer="720" w:gutter="0"/>
          <w:cols w:space="720"/>
          <w:formProt w:val="0"/>
          <w:docGrid w:linePitch="360"/>
        </w:sectPr>
      </w:pPr>
    </w:p>
    <w:p w:rsidR="00882FD6" w:rsidRDefault="003267C6" w:rsidP="00882FD6">
      <w:pPr>
        <w:rPr>
          <w:rFonts w:ascii="Arial" w:hAnsi="Arial" w:cs="Arial"/>
          <w:b/>
          <w:noProof/>
        </w:rPr>
        <w:sectPr w:rsidR="00882FD6" w:rsidSect="001F1ED5">
          <w:headerReference w:type="default" r:id="rId18"/>
          <w:type w:val="continuous"/>
          <w:pgSz w:w="12240" w:h="15840" w:code="1"/>
          <w:pgMar w:top="1584" w:right="1440" w:bottom="1440" w:left="1440" w:header="720" w:footer="720" w:gutter="0"/>
          <w:cols w:space="720"/>
          <w:formProt w:val="0"/>
          <w:docGrid w:linePitch="360"/>
        </w:sectPr>
      </w:pPr>
      <w:r>
        <w:rPr>
          <w:rFonts w:ascii="Arial" w:hAnsi="Arial" w:cs="Arial"/>
          <w:b/>
          <w:noProof/>
        </w:rPr>
        <w:drawing>
          <wp:inline distT="0" distB="0" distL="0" distR="0">
            <wp:extent cx="5943600" cy="7682303"/>
            <wp:effectExtent l="0" t="0" r="0" b="0"/>
            <wp:docPr id="3" name="Picture 3" descr="C:\Users\lray\AppData\Local\Microsoft\Windows\Temporary Internet Files\Content.Outlook\GQ1W6S14\FPL-Tariiff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ray\AppData\Local\Microsoft\Windows\Temporary Internet Files\Content.Outlook\GQ1W6S14\FPL-Tariiff_Page_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7682303"/>
                    </a:xfrm>
                    <a:prstGeom prst="rect">
                      <a:avLst/>
                    </a:prstGeom>
                    <a:noFill/>
                    <a:ln>
                      <a:noFill/>
                    </a:ln>
                  </pic:spPr>
                </pic:pic>
              </a:graphicData>
            </a:graphic>
          </wp:inline>
        </w:drawing>
      </w:r>
      <w:r w:rsidR="00D66243">
        <w:rPr>
          <w:rFonts w:ascii="Arial" w:hAnsi="Arial" w:cs="Arial"/>
          <w:b/>
          <w:noProof/>
        </w:rPr>
        <w:br w:type="page"/>
      </w:r>
    </w:p>
    <w:p w:rsidR="00882FD6" w:rsidRPr="00E63309" w:rsidRDefault="00882FD6" w:rsidP="00882FD6">
      <w:pPr>
        <w:jc w:val="center"/>
        <w:rPr>
          <w:rFonts w:ascii="Arial" w:hAnsi="Arial" w:cs="Arial"/>
          <w:b/>
        </w:rPr>
      </w:pPr>
      <w:r>
        <w:rPr>
          <w:rFonts w:ascii="Arial" w:hAnsi="Arial" w:cs="Arial"/>
          <w:b/>
        </w:rPr>
        <w:t>Table 1</w:t>
      </w:r>
    </w:p>
    <w:p w:rsidR="00882FD6" w:rsidRDefault="00882FD6" w:rsidP="00534F44">
      <w:pPr>
        <w:autoSpaceDE w:val="0"/>
        <w:autoSpaceDN w:val="0"/>
        <w:adjustRightInd w:val="0"/>
        <w:jc w:val="center"/>
        <w:rPr>
          <w:rFonts w:ascii="Arial" w:hAnsi="Arial" w:cs="Arial"/>
          <w:b/>
        </w:rPr>
      </w:pPr>
      <w:r>
        <w:rPr>
          <w:rFonts w:ascii="Arial" w:hAnsi="Arial" w:cs="Arial"/>
          <w:b/>
        </w:rPr>
        <w:t>FPL Typical 1,000-kWh Residential Customer Bill Comparison</w:t>
      </w:r>
    </w:p>
    <w:p w:rsidR="00AE06FA" w:rsidRPr="00534F44" w:rsidRDefault="00AE06FA" w:rsidP="00534F44">
      <w:pPr>
        <w:autoSpaceDE w:val="0"/>
        <w:autoSpaceDN w:val="0"/>
        <w:adjustRightInd w:val="0"/>
        <w:jc w:val="center"/>
        <w:rPr>
          <w:rFonts w:ascii="Arial" w:hAnsi="Arial" w:cs="Arial"/>
          <w:b/>
        </w:rPr>
      </w:pPr>
      <w:r>
        <w:rPr>
          <w:rFonts w:ascii="Arial" w:hAnsi="Arial" w:cs="Arial"/>
          <w:b/>
        </w:rPr>
        <w:t>for the period July-December, 2018</w:t>
      </w:r>
    </w:p>
    <w:tbl>
      <w:tblPr>
        <w:tblStyle w:val="TableGrid"/>
        <w:tblW w:w="9468" w:type="dxa"/>
        <w:tblLayout w:type="fixed"/>
        <w:tblLook w:val="01E0" w:firstRow="1" w:lastRow="1" w:firstColumn="1" w:lastColumn="1" w:noHBand="0" w:noVBand="0"/>
      </w:tblPr>
      <w:tblGrid>
        <w:gridCol w:w="1710"/>
        <w:gridCol w:w="1458"/>
        <w:gridCol w:w="1440"/>
        <w:gridCol w:w="1530"/>
        <w:gridCol w:w="1620"/>
        <w:gridCol w:w="1710"/>
      </w:tblGrid>
      <w:tr w:rsidR="00CF5DAE" w:rsidTr="00B33FFC">
        <w:trPr>
          <w:trHeight w:val="288"/>
        </w:trPr>
        <w:tc>
          <w:tcPr>
            <w:tcW w:w="1710" w:type="dxa"/>
          </w:tcPr>
          <w:p w:rsidR="00CF5DAE" w:rsidRDefault="00CF5DAE" w:rsidP="001F1ED5">
            <w:pPr>
              <w:autoSpaceDE w:val="0"/>
              <w:autoSpaceDN w:val="0"/>
              <w:adjustRightInd w:val="0"/>
              <w:jc w:val="center"/>
            </w:pPr>
            <w:r>
              <w:t>(1)</w:t>
            </w:r>
          </w:p>
        </w:tc>
        <w:tc>
          <w:tcPr>
            <w:tcW w:w="1458" w:type="dxa"/>
          </w:tcPr>
          <w:p w:rsidR="00CF5DAE" w:rsidRDefault="00CF5DAE" w:rsidP="001F1ED5">
            <w:pPr>
              <w:autoSpaceDE w:val="0"/>
              <w:autoSpaceDN w:val="0"/>
              <w:adjustRightInd w:val="0"/>
              <w:jc w:val="center"/>
            </w:pPr>
            <w:r>
              <w:t>(2)</w:t>
            </w:r>
          </w:p>
        </w:tc>
        <w:tc>
          <w:tcPr>
            <w:tcW w:w="1440" w:type="dxa"/>
          </w:tcPr>
          <w:p w:rsidR="00CF5DAE" w:rsidRDefault="00CF5DAE" w:rsidP="001F1ED5">
            <w:pPr>
              <w:autoSpaceDE w:val="0"/>
              <w:autoSpaceDN w:val="0"/>
              <w:adjustRightInd w:val="0"/>
              <w:jc w:val="center"/>
            </w:pPr>
            <w:r>
              <w:t>(3)</w:t>
            </w:r>
          </w:p>
        </w:tc>
        <w:tc>
          <w:tcPr>
            <w:tcW w:w="1530" w:type="dxa"/>
          </w:tcPr>
          <w:p w:rsidR="00CF5DAE" w:rsidRDefault="00CF5DAE" w:rsidP="001F1ED5">
            <w:pPr>
              <w:autoSpaceDE w:val="0"/>
              <w:autoSpaceDN w:val="0"/>
              <w:adjustRightInd w:val="0"/>
              <w:jc w:val="center"/>
            </w:pPr>
            <w:r>
              <w:t>(4)</w:t>
            </w:r>
          </w:p>
        </w:tc>
        <w:tc>
          <w:tcPr>
            <w:tcW w:w="1620" w:type="dxa"/>
          </w:tcPr>
          <w:p w:rsidR="00CF5DAE" w:rsidRDefault="00CF5DAE" w:rsidP="001F1ED5">
            <w:pPr>
              <w:autoSpaceDE w:val="0"/>
              <w:autoSpaceDN w:val="0"/>
              <w:adjustRightInd w:val="0"/>
              <w:jc w:val="center"/>
            </w:pPr>
            <w:r>
              <w:t>(5)</w:t>
            </w:r>
          </w:p>
        </w:tc>
        <w:tc>
          <w:tcPr>
            <w:tcW w:w="1710" w:type="dxa"/>
          </w:tcPr>
          <w:p w:rsidR="00CF5DAE" w:rsidRDefault="00CF5DAE" w:rsidP="001F1ED5">
            <w:pPr>
              <w:autoSpaceDE w:val="0"/>
              <w:autoSpaceDN w:val="0"/>
              <w:adjustRightInd w:val="0"/>
              <w:jc w:val="center"/>
            </w:pPr>
            <w:r>
              <w:t>(6)</w:t>
            </w:r>
          </w:p>
        </w:tc>
      </w:tr>
      <w:tr w:rsidR="00925202" w:rsidTr="00B33FFC">
        <w:trPr>
          <w:trHeight w:val="1728"/>
        </w:trPr>
        <w:tc>
          <w:tcPr>
            <w:tcW w:w="1710" w:type="dxa"/>
            <w:vAlign w:val="center"/>
            <w:hideMark/>
          </w:tcPr>
          <w:p w:rsidR="00925202" w:rsidRDefault="00925202" w:rsidP="001F1ED5">
            <w:pPr>
              <w:autoSpaceDE w:val="0"/>
              <w:autoSpaceDN w:val="0"/>
              <w:adjustRightInd w:val="0"/>
              <w:jc w:val="center"/>
            </w:pPr>
            <w:r>
              <w:t>Component</w:t>
            </w:r>
          </w:p>
        </w:tc>
        <w:tc>
          <w:tcPr>
            <w:tcW w:w="1458" w:type="dxa"/>
          </w:tcPr>
          <w:p w:rsidR="00925202" w:rsidRDefault="00925202" w:rsidP="001F1ED5">
            <w:pPr>
              <w:autoSpaceDE w:val="0"/>
              <w:autoSpaceDN w:val="0"/>
              <w:adjustRightInd w:val="0"/>
              <w:jc w:val="center"/>
            </w:pPr>
            <w:r>
              <w:t>Current</w:t>
            </w:r>
          </w:p>
          <w:p w:rsidR="00925202" w:rsidRDefault="00925202" w:rsidP="001F1ED5">
            <w:pPr>
              <w:autoSpaceDE w:val="0"/>
              <w:autoSpaceDN w:val="0"/>
              <w:adjustRightInd w:val="0"/>
              <w:jc w:val="center"/>
            </w:pPr>
          </w:p>
          <w:p w:rsidR="00925202" w:rsidRDefault="00925202" w:rsidP="00925202">
            <w:pPr>
              <w:autoSpaceDE w:val="0"/>
              <w:autoSpaceDN w:val="0"/>
              <w:adjustRightInd w:val="0"/>
            </w:pPr>
          </w:p>
          <w:p w:rsidR="00925202" w:rsidRDefault="00925202" w:rsidP="001F1ED5">
            <w:pPr>
              <w:autoSpaceDE w:val="0"/>
              <w:autoSpaceDN w:val="0"/>
              <w:adjustRightInd w:val="0"/>
              <w:jc w:val="center"/>
            </w:pPr>
            <w:r>
              <w:t>March 2018</w:t>
            </w:r>
          </w:p>
          <w:p w:rsidR="00925202" w:rsidRDefault="00925202" w:rsidP="00925202">
            <w:pPr>
              <w:autoSpaceDE w:val="0"/>
              <w:autoSpaceDN w:val="0"/>
              <w:adjustRightInd w:val="0"/>
              <w:jc w:val="center"/>
            </w:pPr>
          </w:p>
        </w:tc>
        <w:tc>
          <w:tcPr>
            <w:tcW w:w="1440" w:type="dxa"/>
            <w:vAlign w:val="center"/>
          </w:tcPr>
          <w:p w:rsidR="00925202" w:rsidRDefault="00925202" w:rsidP="00925202">
            <w:pPr>
              <w:autoSpaceDE w:val="0"/>
              <w:autoSpaceDN w:val="0"/>
              <w:adjustRightInd w:val="0"/>
              <w:jc w:val="center"/>
            </w:pPr>
            <w:r>
              <w:t>Proposed</w:t>
            </w:r>
            <w:r>
              <w:rPr>
                <w:rStyle w:val="FootnoteReference"/>
              </w:rPr>
              <w:footnoteReference w:id="12"/>
            </w:r>
          </w:p>
          <w:p w:rsidR="00925202" w:rsidRDefault="00925202" w:rsidP="00925202">
            <w:pPr>
              <w:autoSpaceDE w:val="0"/>
              <w:autoSpaceDN w:val="0"/>
              <w:adjustRightInd w:val="0"/>
              <w:jc w:val="center"/>
            </w:pPr>
            <w:r>
              <w:t>July-August</w:t>
            </w:r>
          </w:p>
          <w:p w:rsidR="00925202" w:rsidRDefault="00925202" w:rsidP="00925202">
            <w:pPr>
              <w:autoSpaceDE w:val="0"/>
              <w:autoSpaceDN w:val="0"/>
              <w:adjustRightInd w:val="0"/>
              <w:jc w:val="center"/>
            </w:pPr>
            <w:r>
              <w:t>2018</w:t>
            </w:r>
          </w:p>
          <w:p w:rsidR="00925202" w:rsidRDefault="00925202" w:rsidP="00925202">
            <w:pPr>
              <w:autoSpaceDE w:val="0"/>
              <w:autoSpaceDN w:val="0"/>
              <w:adjustRightInd w:val="0"/>
              <w:jc w:val="center"/>
            </w:pPr>
          </w:p>
          <w:p w:rsidR="00925202" w:rsidRDefault="00925202" w:rsidP="00925202">
            <w:pPr>
              <w:autoSpaceDE w:val="0"/>
              <w:autoSpaceDN w:val="0"/>
              <w:adjustRightInd w:val="0"/>
              <w:jc w:val="center"/>
            </w:pPr>
          </w:p>
        </w:tc>
        <w:tc>
          <w:tcPr>
            <w:tcW w:w="1530" w:type="dxa"/>
            <w:vAlign w:val="center"/>
          </w:tcPr>
          <w:p w:rsidR="00925202" w:rsidRDefault="00925202" w:rsidP="00925202">
            <w:pPr>
              <w:autoSpaceDE w:val="0"/>
              <w:autoSpaceDN w:val="0"/>
              <w:adjustRightInd w:val="0"/>
              <w:jc w:val="center"/>
            </w:pPr>
            <w:r>
              <w:t>Net Difference</w:t>
            </w:r>
            <w:r>
              <w:rPr>
                <w:rStyle w:val="FootnoteReference"/>
              </w:rPr>
              <w:footnoteReference w:id="13"/>
            </w:r>
          </w:p>
          <w:p w:rsidR="00925202" w:rsidRDefault="00925202" w:rsidP="00925202">
            <w:pPr>
              <w:autoSpaceDE w:val="0"/>
              <w:autoSpaceDN w:val="0"/>
              <w:adjustRightInd w:val="0"/>
              <w:jc w:val="center"/>
            </w:pPr>
          </w:p>
          <w:p w:rsidR="00925202" w:rsidRDefault="00925202" w:rsidP="00925202">
            <w:pPr>
              <w:autoSpaceDE w:val="0"/>
              <w:autoSpaceDN w:val="0"/>
              <w:adjustRightInd w:val="0"/>
              <w:jc w:val="center"/>
            </w:pPr>
          </w:p>
        </w:tc>
        <w:tc>
          <w:tcPr>
            <w:tcW w:w="1620" w:type="dxa"/>
            <w:vAlign w:val="center"/>
          </w:tcPr>
          <w:p w:rsidR="00925202" w:rsidRDefault="00925202" w:rsidP="00925202">
            <w:pPr>
              <w:autoSpaceDE w:val="0"/>
              <w:autoSpaceDN w:val="0"/>
              <w:adjustRightInd w:val="0"/>
              <w:jc w:val="center"/>
            </w:pPr>
            <w:r>
              <w:t>Proposed</w:t>
            </w:r>
            <w:r>
              <w:rPr>
                <w:rStyle w:val="FootnoteReference"/>
              </w:rPr>
              <w:footnoteReference w:id="14"/>
            </w:r>
          </w:p>
          <w:p w:rsidR="00925202" w:rsidRDefault="00925202" w:rsidP="00925202">
            <w:pPr>
              <w:autoSpaceDE w:val="0"/>
              <w:autoSpaceDN w:val="0"/>
              <w:adjustRightInd w:val="0"/>
              <w:jc w:val="center"/>
            </w:pPr>
            <w:r>
              <w:t>September-December</w:t>
            </w:r>
          </w:p>
          <w:p w:rsidR="00925202" w:rsidRDefault="00925202" w:rsidP="00925202">
            <w:pPr>
              <w:autoSpaceDE w:val="0"/>
              <w:autoSpaceDN w:val="0"/>
              <w:adjustRightInd w:val="0"/>
              <w:jc w:val="center"/>
            </w:pPr>
            <w:r>
              <w:t>2018</w:t>
            </w:r>
          </w:p>
          <w:p w:rsidR="00925202" w:rsidRDefault="00925202" w:rsidP="00925202">
            <w:pPr>
              <w:autoSpaceDE w:val="0"/>
              <w:autoSpaceDN w:val="0"/>
              <w:adjustRightInd w:val="0"/>
              <w:jc w:val="center"/>
            </w:pPr>
          </w:p>
        </w:tc>
        <w:tc>
          <w:tcPr>
            <w:tcW w:w="1710" w:type="dxa"/>
            <w:vAlign w:val="center"/>
          </w:tcPr>
          <w:p w:rsidR="00925202" w:rsidRDefault="00925202" w:rsidP="00925202">
            <w:pPr>
              <w:autoSpaceDE w:val="0"/>
              <w:autoSpaceDN w:val="0"/>
              <w:adjustRightInd w:val="0"/>
              <w:jc w:val="center"/>
            </w:pPr>
            <w:r>
              <w:t>Net Difference</w:t>
            </w:r>
            <w:r>
              <w:rPr>
                <w:rStyle w:val="FootnoteReference"/>
              </w:rPr>
              <w:footnoteReference w:id="15"/>
            </w:r>
          </w:p>
          <w:p w:rsidR="00925202" w:rsidRDefault="00925202" w:rsidP="00925202">
            <w:pPr>
              <w:autoSpaceDE w:val="0"/>
              <w:autoSpaceDN w:val="0"/>
              <w:adjustRightInd w:val="0"/>
              <w:jc w:val="center"/>
            </w:pPr>
          </w:p>
          <w:p w:rsidR="00925202" w:rsidRDefault="00925202" w:rsidP="00925202">
            <w:pPr>
              <w:autoSpaceDE w:val="0"/>
              <w:autoSpaceDN w:val="0"/>
              <w:adjustRightInd w:val="0"/>
              <w:jc w:val="center"/>
            </w:pPr>
          </w:p>
        </w:tc>
      </w:tr>
      <w:tr w:rsidR="00B33FFC" w:rsidTr="00B33FFC">
        <w:trPr>
          <w:trHeight w:val="562"/>
        </w:trPr>
        <w:tc>
          <w:tcPr>
            <w:tcW w:w="1710" w:type="dxa"/>
            <w:vAlign w:val="center"/>
            <w:hideMark/>
          </w:tcPr>
          <w:p w:rsidR="00B33FFC" w:rsidRDefault="00B33FFC" w:rsidP="001F1ED5">
            <w:pPr>
              <w:autoSpaceDE w:val="0"/>
              <w:autoSpaceDN w:val="0"/>
              <w:adjustRightInd w:val="0"/>
              <w:jc w:val="center"/>
            </w:pPr>
            <w:r>
              <w:t>Base Charge</w:t>
            </w:r>
          </w:p>
        </w:tc>
        <w:tc>
          <w:tcPr>
            <w:tcW w:w="1458" w:type="dxa"/>
            <w:vAlign w:val="center"/>
          </w:tcPr>
          <w:p w:rsidR="00B33FFC" w:rsidRDefault="00B33FFC" w:rsidP="000E48A0">
            <w:pPr>
              <w:autoSpaceDE w:val="0"/>
              <w:autoSpaceDN w:val="0"/>
              <w:adjustRightInd w:val="0"/>
              <w:jc w:val="center"/>
            </w:pPr>
            <w:r>
              <w:t>$67.10</w:t>
            </w:r>
          </w:p>
        </w:tc>
        <w:tc>
          <w:tcPr>
            <w:tcW w:w="1440" w:type="dxa"/>
            <w:vAlign w:val="center"/>
          </w:tcPr>
          <w:p w:rsidR="00B33FFC" w:rsidRDefault="00B33FFC" w:rsidP="001F1ED5">
            <w:pPr>
              <w:autoSpaceDE w:val="0"/>
              <w:autoSpaceDN w:val="0"/>
              <w:adjustRightInd w:val="0"/>
              <w:jc w:val="center"/>
            </w:pPr>
            <w:r>
              <w:t>$67.10</w:t>
            </w:r>
          </w:p>
        </w:tc>
        <w:tc>
          <w:tcPr>
            <w:tcW w:w="1530" w:type="dxa"/>
            <w:vAlign w:val="center"/>
          </w:tcPr>
          <w:p w:rsidR="00B33FFC" w:rsidRDefault="00B33FFC" w:rsidP="00D825C4">
            <w:pPr>
              <w:autoSpaceDE w:val="0"/>
              <w:autoSpaceDN w:val="0"/>
              <w:adjustRightInd w:val="0"/>
              <w:jc w:val="center"/>
            </w:pPr>
            <w:r>
              <w:t>$0.00</w:t>
            </w:r>
          </w:p>
        </w:tc>
        <w:tc>
          <w:tcPr>
            <w:tcW w:w="1620" w:type="dxa"/>
            <w:vAlign w:val="center"/>
          </w:tcPr>
          <w:p w:rsidR="00B33FFC" w:rsidRDefault="00B33FFC" w:rsidP="00E83942">
            <w:pPr>
              <w:autoSpaceDE w:val="0"/>
              <w:autoSpaceDN w:val="0"/>
              <w:adjustRightInd w:val="0"/>
              <w:jc w:val="center"/>
            </w:pPr>
            <w:r>
              <w:t>$66.88</w:t>
            </w:r>
          </w:p>
        </w:tc>
        <w:tc>
          <w:tcPr>
            <w:tcW w:w="1710" w:type="dxa"/>
            <w:vAlign w:val="center"/>
          </w:tcPr>
          <w:p w:rsidR="00B33FFC" w:rsidRDefault="00B33FFC" w:rsidP="00B33FFC">
            <w:pPr>
              <w:autoSpaceDE w:val="0"/>
              <w:autoSpaceDN w:val="0"/>
              <w:adjustRightInd w:val="0"/>
              <w:jc w:val="center"/>
            </w:pPr>
            <w:r>
              <w:t>($0.22)</w:t>
            </w:r>
          </w:p>
        </w:tc>
      </w:tr>
      <w:tr w:rsidR="00B33FFC" w:rsidTr="00B33FFC">
        <w:trPr>
          <w:trHeight w:val="562"/>
        </w:trPr>
        <w:tc>
          <w:tcPr>
            <w:tcW w:w="1710" w:type="dxa"/>
            <w:hideMark/>
          </w:tcPr>
          <w:p w:rsidR="00B33FFC" w:rsidRDefault="00B33FFC" w:rsidP="001F1ED5">
            <w:pPr>
              <w:autoSpaceDE w:val="0"/>
              <w:autoSpaceDN w:val="0"/>
              <w:adjustRightInd w:val="0"/>
              <w:jc w:val="center"/>
            </w:pPr>
            <w:r>
              <w:t>Fuel Cost Recovery</w:t>
            </w:r>
          </w:p>
        </w:tc>
        <w:tc>
          <w:tcPr>
            <w:tcW w:w="1458" w:type="dxa"/>
            <w:vAlign w:val="center"/>
          </w:tcPr>
          <w:p w:rsidR="00B33FFC" w:rsidRDefault="00B33FFC" w:rsidP="000E48A0">
            <w:pPr>
              <w:autoSpaceDE w:val="0"/>
              <w:autoSpaceDN w:val="0"/>
              <w:adjustRightInd w:val="0"/>
              <w:jc w:val="center"/>
            </w:pPr>
            <w:r>
              <w:t>$22.73</w:t>
            </w:r>
          </w:p>
        </w:tc>
        <w:tc>
          <w:tcPr>
            <w:tcW w:w="1440" w:type="dxa"/>
            <w:vAlign w:val="center"/>
          </w:tcPr>
          <w:p w:rsidR="00B33FFC" w:rsidRDefault="00B33FFC" w:rsidP="001F1ED5">
            <w:pPr>
              <w:autoSpaceDE w:val="0"/>
              <w:autoSpaceDN w:val="0"/>
              <w:adjustRightInd w:val="0"/>
              <w:jc w:val="center"/>
            </w:pPr>
            <w:r>
              <w:t>$22.73</w:t>
            </w:r>
          </w:p>
        </w:tc>
        <w:tc>
          <w:tcPr>
            <w:tcW w:w="1530" w:type="dxa"/>
            <w:vAlign w:val="center"/>
          </w:tcPr>
          <w:p w:rsidR="00B33FFC" w:rsidRDefault="00B33FFC" w:rsidP="00D825C4">
            <w:pPr>
              <w:autoSpaceDE w:val="0"/>
              <w:autoSpaceDN w:val="0"/>
              <w:adjustRightInd w:val="0"/>
              <w:jc w:val="center"/>
            </w:pPr>
            <w:r>
              <w:t>$0.00</w:t>
            </w:r>
          </w:p>
        </w:tc>
        <w:tc>
          <w:tcPr>
            <w:tcW w:w="1620" w:type="dxa"/>
            <w:vAlign w:val="center"/>
          </w:tcPr>
          <w:p w:rsidR="00B33FFC" w:rsidRDefault="00B33FFC" w:rsidP="00E83942">
            <w:pPr>
              <w:autoSpaceDE w:val="0"/>
              <w:autoSpaceDN w:val="0"/>
              <w:adjustRightInd w:val="0"/>
              <w:jc w:val="center"/>
            </w:pPr>
            <w:r>
              <w:t>$22.93</w:t>
            </w:r>
          </w:p>
        </w:tc>
        <w:tc>
          <w:tcPr>
            <w:tcW w:w="1710" w:type="dxa"/>
            <w:vAlign w:val="center"/>
          </w:tcPr>
          <w:p w:rsidR="00B33FFC" w:rsidRDefault="00B33FFC" w:rsidP="00B33FFC">
            <w:pPr>
              <w:autoSpaceDE w:val="0"/>
              <w:autoSpaceDN w:val="0"/>
              <w:adjustRightInd w:val="0"/>
              <w:jc w:val="center"/>
            </w:pPr>
            <w:r>
              <w:t>$0.20</w:t>
            </w:r>
          </w:p>
        </w:tc>
      </w:tr>
      <w:tr w:rsidR="00B33FFC" w:rsidTr="00B33FFC">
        <w:trPr>
          <w:trHeight w:val="562"/>
        </w:trPr>
        <w:tc>
          <w:tcPr>
            <w:tcW w:w="1710" w:type="dxa"/>
            <w:hideMark/>
          </w:tcPr>
          <w:p w:rsidR="00B33FFC" w:rsidRDefault="00B33FFC" w:rsidP="001F1ED5">
            <w:pPr>
              <w:autoSpaceDE w:val="0"/>
              <w:autoSpaceDN w:val="0"/>
              <w:adjustRightInd w:val="0"/>
              <w:jc w:val="center"/>
            </w:pPr>
            <w:r>
              <w:t>Energy Conservation Cost Recovery</w:t>
            </w:r>
          </w:p>
        </w:tc>
        <w:tc>
          <w:tcPr>
            <w:tcW w:w="1458" w:type="dxa"/>
            <w:vAlign w:val="center"/>
          </w:tcPr>
          <w:p w:rsidR="00B33FFC" w:rsidRDefault="00B33FFC" w:rsidP="000E48A0">
            <w:pPr>
              <w:autoSpaceDE w:val="0"/>
              <w:autoSpaceDN w:val="0"/>
              <w:adjustRightInd w:val="0"/>
              <w:jc w:val="center"/>
            </w:pPr>
            <w:r>
              <w:t>$1.53</w:t>
            </w:r>
          </w:p>
        </w:tc>
        <w:tc>
          <w:tcPr>
            <w:tcW w:w="1440" w:type="dxa"/>
            <w:vAlign w:val="center"/>
          </w:tcPr>
          <w:p w:rsidR="00B33FFC" w:rsidRDefault="00B33FFC" w:rsidP="001F1ED5">
            <w:pPr>
              <w:autoSpaceDE w:val="0"/>
              <w:autoSpaceDN w:val="0"/>
              <w:adjustRightInd w:val="0"/>
              <w:jc w:val="center"/>
            </w:pPr>
            <w:r>
              <w:t>$1.53</w:t>
            </w:r>
          </w:p>
        </w:tc>
        <w:tc>
          <w:tcPr>
            <w:tcW w:w="1530" w:type="dxa"/>
            <w:vAlign w:val="center"/>
          </w:tcPr>
          <w:p w:rsidR="00B33FFC" w:rsidRDefault="00B33FFC" w:rsidP="001F1ED5">
            <w:pPr>
              <w:autoSpaceDE w:val="0"/>
              <w:autoSpaceDN w:val="0"/>
              <w:adjustRightInd w:val="0"/>
              <w:jc w:val="center"/>
            </w:pPr>
            <w:r>
              <w:t>$0.00</w:t>
            </w:r>
          </w:p>
        </w:tc>
        <w:tc>
          <w:tcPr>
            <w:tcW w:w="1620" w:type="dxa"/>
            <w:vAlign w:val="center"/>
          </w:tcPr>
          <w:p w:rsidR="00B33FFC" w:rsidRDefault="00B33FFC" w:rsidP="00E83942">
            <w:pPr>
              <w:autoSpaceDE w:val="0"/>
              <w:autoSpaceDN w:val="0"/>
              <w:adjustRightInd w:val="0"/>
              <w:jc w:val="center"/>
            </w:pPr>
            <w:r>
              <w:t>$1.53</w:t>
            </w:r>
          </w:p>
        </w:tc>
        <w:tc>
          <w:tcPr>
            <w:tcW w:w="1710" w:type="dxa"/>
            <w:vAlign w:val="center"/>
          </w:tcPr>
          <w:p w:rsidR="00B33FFC" w:rsidRDefault="00B33FFC" w:rsidP="00B33FFC">
            <w:pPr>
              <w:autoSpaceDE w:val="0"/>
              <w:autoSpaceDN w:val="0"/>
              <w:adjustRightInd w:val="0"/>
              <w:jc w:val="center"/>
            </w:pPr>
            <w:r>
              <w:t>$0.00</w:t>
            </w:r>
          </w:p>
        </w:tc>
      </w:tr>
      <w:tr w:rsidR="00B33FFC" w:rsidTr="00B33FFC">
        <w:trPr>
          <w:trHeight w:val="562"/>
        </w:trPr>
        <w:tc>
          <w:tcPr>
            <w:tcW w:w="1710" w:type="dxa"/>
            <w:hideMark/>
          </w:tcPr>
          <w:p w:rsidR="00B33FFC" w:rsidRDefault="00B33FFC" w:rsidP="001F1ED5">
            <w:pPr>
              <w:autoSpaceDE w:val="0"/>
              <w:autoSpaceDN w:val="0"/>
              <w:adjustRightInd w:val="0"/>
              <w:jc w:val="center"/>
            </w:pPr>
            <w:r>
              <w:t>Capacity Cost Recovery</w:t>
            </w:r>
          </w:p>
        </w:tc>
        <w:tc>
          <w:tcPr>
            <w:tcW w:w="1458" w:type="dxa"/>
            <w:vAlign w:val="center"/>
          </w:tcPr>
          <w:p w:rsidR="00B33FFC" w:rsidRDefault="00B33FFC" w:rsidP="000E48A0">
            <w:pPr>
              <w:autoSpaceDE w:val="0"/>
              <w:autoSpaceDN w:val="0"/>
              <w:adjustRightInd w:val="0"/>
              <w:jc w:val="center"/>
            </w:pPr>
            <w:r>
              <w:t>$2.57</w:t>
            </w:r>
          </w:p>
        </w:tc>
        <w:tc>
          <w:tcPr>
            <w:tcW w:w="1440" w:type="dxa"/>
            <w:vAlign w:val="center"/>
          </w:tcPr>
          <w:p w:rsidR="00B33FFC" w:rsidRDefault="00B33FFC" w:rsidP="001F1ED5">
            <w:pPr>
              <w:autoSpaceDE w:val="0"/>
              <w:autoSpaceDN w:val="0"/>
              <w:adjustRightInd w:val="0"/>
              <w:jc w:val="center"/>
            </w:pPr>
            <w:r>
              <w:t>$2.34</w:t>
            </w:r>
          </w:p>
        </w:tc>
        <w:tc>
          <w:tcPr>
            <w:tcW w:w="1530" w:type="dxa"/>
            <w:vAlign w:val="center"/>
          </w:tcPr>
          <w:p w:rsidR="00B33FFC" w:rsidRDefault="00B33FFC" w:rsidP="001F1ED5">
            <w:pPr>
              <w:autoSpaceDE w:val="0"/>
              <w:autoSpaceDN w:val="0"/>
              <w:adjustRightInd w:val="0"/>
              <w:jc w:val="center"/>
            </w:pPr>
            <w:r>
              <w:t>($0.23)</w:t>
            </w:r>
          </w:p>
        </w:tc>
        <w:tc>
          <w:tcPr>
            <w:tcW w:w="1620" w:type="dxa"/>
            <w:vAlign w:val="center"/>
          </w:tcPr>
          <w:p w:rsidR="00B33FFC" w:rsidRDefault="00B33FFC" w:rsidP="00E83942">
            <w:pPr>
              <w:autoSpaceDE w:val="0"/>
              <w:autoSpaceDN w:val="0"/>
              <w:adjustRightInd w:val="0"/>
              <w:jc w:val="center"/>
            </w:pPr>
            <w:r>
              <w:t>$2.34</w:t>
            </w:r>
          </w:p>
        </w:tc>
        <w:tc>
          <w:tcPr>
            <w:tcW w:w="1710" w:type="dxa"/>
            <w:vAlign w:val="center"/>
          </w:tcPr>
          <w:p w:rsidR="00B33FFC" w:rsidRDefault="00B33FFC" w:rsidP="00E83942">
            <w:pPr>
              <w:autoSpaceDE w:val="0"/>
              <w:autoSpaceDN w:val="0"/>
              <w:adjustRightInd w:val="0"/>
              <w:jc w:val="center"/>
            </w:pPr>
            <w:r>
              <w:t>$0.00</w:t>
            </w:r>
          </w:p>
        </w:tc>
      </w:tr>
      <w:tr w:rsidR="00B33FFC" w:rsidTr="00B33FFC">
        <w:trPr>
          <w:trHeight w:val="562"/>
        </w:trPr>
        <w:tc>
          <w:tcPr>
            <w:tcW w:w="1710" w:type="dxa"/>
            <w:hideMark/>
          </w:tcPr>
          <w:p w:rsidR="00B33FFC" w:rsidRDefault="00B33FFC" w:rsidP="001F1ED5">
            <w:pPr>
              <w:autoSpaceDE w:val="0"/>
              <w:autoSpaceDN w:val="0"/>
              <w:adjustRightInd w:val="0"/>
              <w:jc w:val="center"/>
            </w:pPr>
            <w:r>
              <w:t>Environmental Cost Recovery</w:t>
            </w:r>
          </w:p>
        </w:tc>
        <w:tc>
          <w:tcPr>
            <w:tcW w:w="1458" w:type="dxa"/>
            <w:vAlign w:val="center"/>
          </w:tcPr>
          <w:p w:rsidR="00B33FFC" w:rsidRDefault="00B33FFC" w:rsidP="000E48A0">
            <w:pPr>
              <w:autoSpaceDE w:val="0"/>
              <w:autoSpaceDN w:val="0"/>
              <w:adjustRightInd w:val="0"/>
              <w:jc w:val="center"/>
            </w:pPr>
            <w:r>
              <w:t>$1.58</w:t>
            </w:r>
          </w:p>
        </w:tc>
        <w:tc>
          <w:tcPr>
            <w:tcW w:w="1440" w:type="dxa"/>
            <w:vAlign w:val="center"/>
          </w:tcPr>
          <w:p w:rsidR="00B33FFC" w:rsidRDefault="00B33FFC" w:rsidP="001F1ED5">
            <w:pPr>
              <w:autoSpaceDE w:val="0"/>
              <w:autoSpaceDN w:val="0"/>
              <w:adjustRightInd w:val="0"/>
              <w:jc w:val="center"/>
            </w:pPr>
            <w:r>
              <w:t>$1.22</w:t>
            </w:r>
          </w:p>
        </w:tc>
        <w:tc>
          <w:tcPr>
            <w:tcW w:w="1530" w:type="dxa"/>
            <w:vAlign w:val="center"/>
          </w:tcPr>
          <w:p w:rsidR="00B33FFC" w:rsidRDefault="00B33FFC" w:rsidP="001F1ED5">
            <w:pPr>
              <w:autoSpaceDE w:val="0"/>
              <w:autoSpaceDN w:val="0"/>
              <w:adjustRightInd w:val="0"/>
              <w:jc w:val="center"/>
            </w:pPr>
            <w:r>
              <w:t>($0.36)</w:t>
            </w:r>
          </w:p>
        </w:tc>
        <w:tc>
          <w:tcPr>
            <w:tcW w:w="1620" w:type="dxa"/>
            <w:vAlign w:val="center"/>
          </w:tcPr>
          <w:p w:rsidR="00B33FFC" w:rsidRDefault="00B33FFC" w:rsidP="00E83942">
            <w:pPr>
              <w:autoSpaceDE w:val="0"/>
              <w:autoSpaceDN w:val="0"/>
              <w:adjustRightInd w:val="0"/>
              <w:jc w:val="center"/>
            </w:pPr>
            <w:r>
              <w:t>$1.22</w:t>
            </w:r>
          </w:p>
        </w:tc>
        <w:tc>
          <w:tcPr>
            <w:tcW w:w="1710" w:type="dxa"/>
            <w:vAlign w:val="center"/>
          </w:tcPr>
          <w:p w:rsidR="00B33FFC" w:rsidRDefault="00B33FFC" w:rsidP="00E83942">
            <w:pPr>
              <w:autoSpaceDE w:val="0"/>
              <w:autoSpaceDN w:val="0"/>
              <w:adjustRightInd w:val="0"/>
              <w:jc w:val="center"/>
            </w:pPr>
            <w:r>
              <w:t>$0.00</w:t>
            </w:r>
          </w:p>
        </w:tc>
      </w:tr>
      <w:tr w:rsidR="00B33FFC" w:rsidTr="00B33FFC">
        <w:trPr>
          <w:trHeight w:val="562"/>
        </w:trPr>
        <w:tc>
          <w:tcPr>
            <w:tcW w:w="1710" w:type="dxa"/>
          </w:tcPr>
          <w:p w:rsidR="00B33FFC" w:rsidRDefault="0085791D" w:rsidP="008A015B">
            <w:pPr>
              <w:autoSpaceDE w:val="0"/>
              <w:autoSpaceDN w:val="0"/>
              <w:adjustRightInd w:val="0"/>
              <w:jc w:val="center"/>
            </w:pPr>
            <w:r>
              <w:t xml:space="preserve">Storm Bond </w:t>
            </w:r>
            <w:r w:rsidR="008A015B">
              <w:t>C</w:t>
            </w:r>
            <w:r w:rsidR="00B33FFC">
              <w:t>harge</w:t>
            </w:r>
          </w:p>
        </w:tc>
        <w:tc>
          <w:tcPr>
            <w:tcW w:w="1458" w:type="dxa"/>
            <w:vAlign w:val="center"/>
          </w:tcPr>
          <w:p w:rsidR="00B33FFC" w:rsidRDefault="00B33FFC" w:rsidP="000E48A0">
            <w:pPr>
              <w:autoSpaceDE w:val="0"/>
              <w:autoSpaceDN w:val="0"/>
              <w:adjustRightInd w:val="0"/>
              <w:jc w:val="center"/>
            </w:pPr>
            <w:r>
              <w:t>$1.38</w:t>
            </w:r>
          </w:p>
        </w:tc>
        <w:tc>
          <w:tcPr>
            <w:tcW w:w="1440" w:type="dxa"/>
            <w:vAlign w:val="center"/>
          </w:tcPr>
          <w:p w:rsidR="00B33FFC" w:rsidRDefault="00B33FFC" w:rsidP="001F1ED5">
            <w:pPr>
              <w:autoSpaceDE w:val="0"/>
              <w:autoSpaceDN w:val="0"/>
              <w:adjustRightInd w:val="0"/>
              <w:jc w:val="center"/>
            </w:pPr>
            <w:r>
              <w:t>$1.48</w:t>
            </w:r>
          </w:p>
        </w:tc>
        <w:tc>
          <w:tcPr>
            <w:tcW w:w="1530" w:type="dxa"/>
            <w:vAlign w:val="center"/>
          </w:tcPr>
          <w:p w:rsidR="00B33FFC" w:rsidRDefault="00B33FFC" w:rsidP="00E22ED1">
            <w:pPr>
              <w:autoSpaceDE w:val="0"/>
              <w:autoSpaceDN w:val="0"/>
              <w:adjustRightInd w:val="0"/>
              <w:jc w:val="center"/>
            </w:pPr>
            <w:r>
              <w:t>$0.10</w:t>
            </w:r>
          </w:p>
        </w:tc>
        <w:tc>
          <w:tcPr>
            <w:tcW w:w="1620" w:type="dxa"/>
            <w:vAlign w:val="center"/>
          </w:tcPr>
          <w:p w:rsidR="00B33FFC" w:rsidRDefault="00B33FFC" w:rsidP="00E83942">
            <w:pPr>
              <w:autoSpaceDE w:val="0"/>
              <w:autoSpaceDN w:val="0"/>
              <w:adjustRightInd w:val="0"/>
              <w:jc w:val="center"/>
            </w:pPr>
            <w:r>
              <w:t>$1.48</w:t>
            </w:r>
          </w:p>
        </w:tc>
        <w:tc>
          <w:tcPr>
            <w:tcW w:w="1710" w:type="dxa"/>
            <w:vAlign w:val="center"/>
          </w:tcPr>
          <w:p w:rsidR="00B33FFC" w:rsidRDefault="00B33FFC" w:rsidP="00E83942">
            <w:pPr>
              <w:autoSpaceDE w:val="0"/>
              <w:autoSpaceDN w:val="0"/>
              <w:adjustRightInd w:val="0"/>
              <w:jc w:val="center"/>
            </w:pPr>
            <w:r>
              <w:t>$0.00</w:t>
            </w:r>
          </w:p>
        </w:tc>
      </w:tr>
      <w:tr w:rsidR="00B33FFC" w:rsidTr="00B33FFC">
        <w:trPr>
          <w:trHeight w:val="562"/>
        </w:trPr>
        <w:tc>
          <w:tcPr>
            <w:tcW w:w="1710" w:type="dxa"/>
            <w:hideMark/>
          </w:tcPr>
          <w:p w:rsidR="00B33FFC" w:rsidRDefault="00B33FFC" w:rsidP="001F1ED5">
            <w:pPr>
              <w:autoSpaceDE w:val="0"/>
              <w:autoSpaceDN w:val="0"/>
              <w:adjustRightInd w:val="0"/>
              <w:jc w:val="center"/>
            </w:pPr>
            <w:r>
              <w:t>Interim Storm Restoration Surcharge</w:t>
            </w:r>
          </w:p>
        </w:tc>
        <w:tc>
          <w:tcPr>
            <w:tcW w:w="1458" w:type="dxa"/>
            <w:vAlign w:val="center"/>
          </w:tcPr>
          <w:p w:rsidR="00B33FFC" w:rsidRDefault="00B33FFC" w:rsidP="000E48A0">
            <w:pPr>
              <w:autoSpaceDE w:val="0"/>
              <w:autoSpaceDN w:val="0"/>
              <w:adjustRightInd w:val="0"/>
              <w:jc w:val="center"/>
              <w:rPr>
                <w:u w:val="single"/>
              </w:rPr>
            </w:pPr>
            <w:r>
              <w:rPr>
                <w:u w:val="single"/>
              </w:rPr>
              <w:t>$0.00</w:t>
            </w:r>
          </w:p>
        </w:tc>
        <w:tc>
          <w:tcPr>
            <w:tcW w:w="1440" w:type="dxa"/>
            <w:vAlign w:val="center"/>
          </w:tcPr>
          <w:p w:rsidR="00B33FFC" w:rsidRDefault="00B33FFC" w:rsidP="001F1ED5">
            <w:pPr>
              <w:autoSpaceDE w:val="0"/>
              <w:autoSpaceDN w:val="0"/>
              <w:adjustRightInd w:val="0"/>
              <w:jc w:val="center"/>
              <w:rPr>
                <w:u w:val="single"/>
              </w:rPr>
            </w:pPr>
            <w:r>
              <w:rPr>
                <w:u w:val="single"/>
              </w:rPr>
              <w:t>$0.00</w:t>
            </w:r>
          </w:p>
        </w:tc>
        <w:tc>
          <w:tcPr>
            <w:tcW w:w="1530" w:type="dxa"/>
            <w:vAlign w:val="center"/>
          </w:tcPr>
          <w:p w:rsidR="00B33FFC" w:rsidRDefault="00B33FFC" w:rsidP="001F1ED5">
            <w:pPr>
              <w:autoSpaceDE w:val="0"/>
              <w:autoSpaceDN w:val="0"/>
              <w:adjustRightInd w:val="0"/>
              <w:jc w:val="center"/>
              <w:rPr>
                <w:u w:val="single"/>
              </w:rPr>
            </w:pPr>
            <w:r>
              <w:rPr>
                <w:u w:val="single"/>
              </w:rPr>
              <w:t>$0.00</w:t>
            </w:r>
          </w:p>
        </w:tc>
        <w:tc>
          <w:tcPr>
            <w:tcW w:w="1620" w:type="dxa"/>
            <w:vAlign w:val="center"/>
          </w:tcPr>
          <w:p w:rsidR="00B33FFC" w:rsidRDefault="00B33FFC" w:rsidP="00E83942">
            <w:pPr>
              <w:autoSpaceDE w:val="0"/>
              <w:autoSpaceDN w:val="0"/>
              <w:adjustRightInd w:val="0"/>
              <w:jc w:val="center"/>
              <w:rPr>
                <w:u w:val="single"/>
              </w:rPr>
            </w:pPr>
            <w:r>
              <w:rPr>
                <w:u w:val="single"/>
              </w:rPr>
              <w:t>$0.00</w:t>
            </w:r>
          </w:p>
        </w:tc>
        <w:tc>
          <w:tcPr>
            <w:tcW w:w="1710" w:type="dxa"/>
            <w:vAlign w:val="center"/>
          </w:tcPr>
          <w:p w:rsidR="00B33FFC" w:rsidRPr="00B33FFC" w:rsidRDefault="00B33FFC" w:rsidP="00E83942">
            <w:pPr>
              <w:autoSpaceDE w:val="0"/>
              <w:autoSpaceDN w:val="0"/>
              <w:adjustRightInd w:val="0"/>
              <w:jc w:val="center"/>
              <w:rPr>
                <w:u w:val="single"/>
              </w:rPr>
            </w:pPr>
            <w:r w:rsidRPr="00B33FFC">
              <w:rPr>
                <w:u w:val="single"/>
              </w:rPr>
              <w:t>$0.00</w:t>
            </w:r>
          </w:p>
        </w:tc>
      </w:tr>
      <w:tr w:rsidR="00B33FFC" w:rsidTr="00B33FFC">
        <w:trPr>
          <w:trHeight w:val="562"/>
        </w:trPr>
        <w:tc>
          <w:tcPr>
            <w:tcW w:w="1710" w:type="dxa"/>
            <w:vAlign w:val="center"/>
            <w:hideMark/>
          </w:tcPr>
          <w:p w:rsidR="00B33FFC" w:rsidRDefault="00B33FFC" w:rsidP="001F1ED5">
            <w:pPr>
              <w:autoSpaceDE w:val="0"/>
              <w:autoSpaceDN w:val="0"/>
              <w:adjustRightInd w:val="0"/>
              <w:jc w:val="center"/>
            </w:pPr>
            <w:r>
              <w:t>Subtotal</w:t>
            </w:r>
          </w:p>
        </w:tc>
        <w:tc>
          <w:tcPr>
            <w:tcW w:w="1458" w:type="dxa"/>
            <w:vAlign w:val="center"/>
          </w:tcPr>
          <w:p w:rsidR="00B33FFC" w:rsidRDefault="00B33FFC" w:rsidP="000E48A0">
            <w:pPr>
              <w:autoSpaceDE w:val="0"/>
              <w:autoSpaceDN w:val="0"/>
              <w:adjustRightInd w:val="0"/>
              <w:jc w:val="center"/>
            </w:pPr>
            <w:r>
              <w:t>$96.89</w:t>
            </w:r>
          </w:p>
        </w:tc>
        <w:tc>
          <w:tcPr>
            <w:tcW w:w="1440" w:type="dxa"/>
            <w:vAlign w:val="center"/>
          </w:tcPr>
          <w:p w:rsidR="00B33FFC" w:rsidRDefault="00B33FFC" w:rsidP="001F1ED5">
            <w:pPr>
              <w:autoSpaceDE w:val="0"/>
              <w:autoSpaceDN w:val="0"/>
              <w:adjustRightInd w:val="0"/>
              <w:jc w:val="center"/>
            </w:pPr>
            <w:r>
              <w:t>$96.40</w:t>
            </w:r>
          </w:p>
        </w:tc>
        <w:tc>
          <w:tcPr>
            <w:tcW w:w="1530" w:type="dxa"/>
            <w:vAlign w:val="center"/>
          </w:tcPr>
          <w:p w:rsidR="00B33FFC" w:rsidRDefault="00B33FFC" w:rsidP="001F1ED5">
            <w:pPr>
              <w:autoSpaceDE w:val="0"/>
              <w:autoSpaceDN w:val="0"/>
              <w:adjustRightInd w:val="0"/>
              <w:jc w:val="center"/>
            </w:pPr>
            <w:r>
              <w:t>($0.49)</w:t>
            </w:r>
          </w:p>
        </w:tc>
        <w:tc>
          <w:tcPr>
            <w:tcW w:w="1620" w:type="dxa"/>
            <w:vAlign w:val="center"/>
          </w:tcPr>
          <w:p w:rsidR="00B33FFC" w:rsidRDefault="00B33FFC" w:rsidP="00E83942">
            <w:pPr>
              <w:autoSpaceDE w:val="0"/>
              <w:autoSpaceDN w:val="0"/>
              <w:adjustRightInd w:val="0"/>
              <w:jc w:val="center"/>
            </w:pPr>
            <w:r>
              <w:t>$96.38</w:t>
            </w:r>
          </w:p>
        </w:tc>
        <w:tc>
          <w:tcPr>
            <w:tcW w:w="1710" w:type="dxa"/>
            <w:vAlign w:val="center"/>
          </w:tcPr>
          <w:p w:rsidR="00B33FFC" w:rsidRDefault="00B33FFC" w:rsidP="00E83942">
            <w:pPr>
              <w:autoSpaceDE w:val="0"/>
              <w:autoSpaceDN w:val="0"/>
              <w:adjustRightInd w:val="0"/>
              <w:jc w:val="center"/>
            </w:pPr>
            <w:r>
              <w:t>($0.02)</w:t>
            </w:r>
          </w:p>
        </w:tc>
      </w:tr>
      <w:tr w:rsidR="00B33FFC" w:rsidTr="00B33FFC">
        <w:trPr>
          <w:trHeight w:val="562"/>
        </w:trPr>
        <w:tc>
          <w:tcPr>
            <w:tcW w:w="1710" w:type="dxa"/>
            <w:hideMark/>
          </w:tcPr>
          <w:p w:rsidR="00B33FFC" w:rsidRDefault="00B33FFC" w:rsidP="001F1ED5">
            <w:pPr>
              <w:autoSpaceDE w:val="0"/>
              <w:autoSpaceDN w:val="0"/>
              <w:adjustRightInd w:val="0"/>
              <w:jc w:val="center"/>
            </w:pPr>
            <w:r>
              <w:t>Gross Receipts Tax</w:t>
            </w:r>
          </w:p>
        </w:tc>
        <w:tc>
          <w:tcPr>
            <w:tcW w:w="1458" w:type="dxa"/>
            <w:vAlign w:val="center"/>
          </w:tcPr>
          <w:p w:rsidR="00B33FFC" w:rsidRDefault="00B33FFC" w:rsidP="000E48A0">
            <w:pPr>
              <w:autoSpaceDE w:val="0"/>
              <w:autoSpaceDN w:val="0"/>
              <w:adjustRightInd w:val="0"/>
              <w:jc w:val="center"/>
              <w:rPr>
                <w:u w:val="single"/>
              </w:rPr>
            </w:pPr>
            <w:r>
              <w:rPr>
                <w:u w:val="single"/>
              </w:rPr>
              <w:t>$2.48</w:t>
            </w:r>
          </w:p>
        </w:tc>
        <w:tc>
          <w:tcPr>
            <w:tcW w:w="1440" w:type="dxa"/>
            <w:vAlign w:val="center"/>
          </w:tcPr>
          <w:p w:rsidR="00B33FFC" w:rsidRDefault="00B33FFC" w:rsidP="001F1ED5">
            <w:pPr>
              <w:autoSpaceDE w:val="0"/>
              <w:autoSpaceDN w:val="0"/>
              <w:adjustRightInd w:val="0"/>
              <w:jc w:val="center"/>
              <w:rPr>
                <w:u w:val="single"/>
              </w:rPr>
            </w:pPr>
            <w:r>
              <w:rPr>
                <w:u w:val="single"/>
              </w:rPr>
              <w:t>$2.47</w:t>
            </w:r>
          </w:p>
        </w:tc>
        <w:tc>
          <w:tcPr>
            <w:tcW w:w="1530" w:type="dxa"/>
            <w:vAlign w:val="center"/>
          </w:tcPr>
          <w:p w:rsidR="00B33FFC" w:rsidRDefault="00B33FFC" w:rsidP="001F1ED5">
            <w:pPr>
              <w:autoSpaceDE w:val="0"/>
              <w:autoSpaceDN w:val="0"/>
              <w:adjustRightInd w:val="0"/>
              <w:jc w:val="center"/>
              <w:rPr>
                <w:u w:val="single"/>
              </w:rPr>
            </w:pPr>
            <w:r>
              <w:rPr>
                <w:u w:val="single"/>
              </w:rPr>
              <w:t>(0.01)</w:t>
            </w:r>
          </w:p>
        </w:tc>
        <w:tc>
          <w:tcPr>
            <w:tcW w:w="1620" w:type="dxa"/>
            <w:vAlign w:val="center"/>
          </w:tcPr>
          <w:p w:rsidR="00B33FFC" w:rsidRDefault="00B33FFC" w:rsidP="00E83942">
            <w:pPr>
              <w:autoSpaceDE w:val="0"/>
              <w:autoSpaceDN w:val="0"/>
              <w:adjustRightInd w:val="0"/>
              <w:jc w:val="center"/>
              <w:rPr>
                <w:u w:val="single"/>
              </w:rPr>
            </w:pPr>
            <w:r>
              <w:rPr>
                <w:u w:val="single"/>
              </w:rPr>
              <w:t>$2.47</w:t>
            </w:r>
          </w:p>
        </w:tc>
        <w:tc>
          <w:tcPr>
            <w:tcW w:w="1710" w:type="dxa"/>
            <w:vAlign w:val="center"/>
          </w:tcPr>
          <w:p w:rsidR="00B33FFC" w:rsidRDefault="00B33FFC" w:rsidP="00E83942">
            <w:pPr>
              <w:autoSpaceDE w:val="0"/>
              <w:autoSpaceDN w:val="0"/>
              <w:adjustRightInd w:val="0"/>
              <w:jc w:val="center"/>
            </w:pPr>
            <w:r>
              <w:t>$0.00</w:t>
            </w:r>
          </w:p>
        </w:tc>
      </w:tr>
      <w:tr w:rsidR="00B33FFC" w:rsidTr="00B33FFC">
        <w:trPr>
          <w:trHeight w:val="562"/>
        </w:trPr>
        <w:tc>
          <w:tcPr>
            <w:tcW w:w="1710" w:type="dxa"/>
            <w:vAlign w:val="center"/>
            <w:hideMark/>
          </w:tcPr>
          <w:p w:rsidR="00B33FFC" w:rsidRDefault="00B33FFC" w:rsidP="001F1ED5">
            <w:pPr>
              <w:autoSpaceDE w:val="0"/>
              <w:autoSpaceDN w:val="0"/>
              <w:adjustRightInd w:val="0"/>
              <w:jc w:val="center"/>
              <w:rPr>
                <w:b/>
              </w:rPr>
            </w:pPr>
            <w:r>
              <w:rPr>
                <w:b/>
              </w:rPr>
              <w:t>Totals</w:t>
            </w:r>
          </w:p>
        </w:tc>
        <w:tc>
          <w:tcPr>
            <w:tcW w:w="1458" w:type="dxa"/>
            <w:vAlign w:val="center"/>
          </w:tcPr>
          <w:p w:rsidR="00B33FFC" w:rsidRDefault="00B33FFC" w:rsidP="000E48A0">
            <w:pPr>
              <w:autoSpaceDE w:val="0"/>
              <w:autoSpaceDN w:val="0"/>
              <w:adjustRightInd w:val="0"/>
              <w:jc w:val="center"/>
              <w:rPr>
                <w:b/>
                <w:u w:val="double"/>
              </w:rPr>
            </w:pPr>
            <w:r>
              <w:rPr>
                <w:b/>
                <w:u w:val="double"/>
              </w:rPr>
              <w:t>$99.37</w:t>
            </w:r>
          </w:p>
        </w:tc>
        <w:tc>
          <w:tcPr>
            <w:tcW w:w="1440" w:type="dxa"/>
            <w:vAlign w:val="center"/>
          </w:tcPr>
          <w:p w:rsidR="00B33FFC" w:rsidRDefault="00B33FFC" w:rsidP="001F1ED5">
            <w:pPr>
              <w:autoSpaceDE w:val="0"/>
              <w:autoSpaceDN w:val="0"/>
              <w:adjustRightInd w:val="0"/>
              <w:jc w:val="center"/>
              <w:rPr>
                <w:b/>
                <w:u w:val="double"/>
              </w:rPr>
            </w:pPr>
            <w:r>
              <w:rPr>
                <w:b/>
                <w:u w:val="double"/>
              </w:rPr>
              <w:t>$98.87</w:t>
            </w:r>
          </w:p>
        </w:tc>
        <w:tc>
          <w:tcPr>
            <w:tcW w:w="1530" w:type="dxa"/>
            <w:vAlign w:val="center"/>
          </w:tcPr>
          <w:p w:rsidR="00B33FFC" w:rsidRPr="00B33FFC" w:rsidRDefault="00B33FFC" w:rsidP="001F1ED5">
            <w:pPr>
              <w:autoSpaceDE w:val="0"/>
              <w:autoSpaceDN w:val="0"/>
              <w:adjustRightInd w:val="0"/>
              <w:jc w:val="center"/>
              <w:rPr>
                <w:u w:val="double"/>
              </w:rPr>
            </w:pPr>
            <w:r w:rsidRPr="00B33FFC">
              <w:rPr>
                <w:u w:val="double"/>
              </w:rPr>
              <w:t>($0.50)</w:t>
            </w:r>
          </w:p>
        </w:tc>
        <w:tc>
          <w:tcPr>
            <w:tcW w:w="1620" w:type="dxa"/>
            <w:vAlign w:val="center"/>
          </w:tcPr>
          <w:p w:rsidR="00B33FFC" w:rsidRDefault="00B33FFC" w:rsidP="00E83942">
            <w:pPr>
              <w:autoSpaceDE w:val="0"/>
              <w:autoSpaceDN w:val="0"/>
              <w:adjustRightInd w:val="0"/>
              <w:jc w:val="center"/>
              <w:rPr>
                <w:b/>
                <w:u w:val="double"/>
              </w:rPr>
            </w:pPr>
            <w:r>
              <w:rPr>
                <w:b/>
                <w:u w:val="double"/>
              </w:rPr>
              <w:t>$98.85</w:t>
            </w:r>
          </w:p>
        </w:tc>
        <w:tc>
          <w:tcPr>
            <w:tcW w:w="1710" w:type="dxa"/>
            <w:vAlign w:val="center"/>
          </w:tcPr>
          <w:p w:rsidR="00B33FFC" w:rsidRDefault="00B33FFC" w:rsidP="00E83942">
            <w:pPr>
              <w:autoSpaceDE w:val="0"/>
              <w:autoSpaceDN w:val="0"/>
              <w:adjustRightInd w:val="0"/>
              <w:jc w:val="center"/>
            </w:pPr>
            <w:r>
              <w:t>($0.02)</w:t>
            </w:r>
          </w:p>
        </w:tc>
      </w:tr>
    </w:tbl>
    <w:p w:rsidR="00E06484" w:rsidRDefault="00882FD6" w:rsidP="00882FD6">
      <w:r>
        <w:rPr>
          <w:sz w:val="20"/>
          <w:szCs w:val="20"/>
        </w:rPr>
        <w:t xml:space="preserve">  </w:t>
      </w:r>
      <w:r w:rsidR="00534F44">
        <w:rPr>
          <w:sz w:val="20"/>
          <w:szCs w:val="20"/>
        </w:rPr>
        <w:t xml:space="preserve"> Source: Schedule E-10, attached  to</w:t>
      </w:r>
      <w:r>
        <w:rPr>
          <w:sz w:val="20"/>
          <w:szCs w:val="20"/>
        </w:rPr>
        <w:t xml:space="preserve"> FPL’s </w:t>
      </w:r>
      <w:r w:rsidR="00E30635">
        <w:rPr>
          <w:sz w:val="20"/>
          <w:szCs w:val="20"/>
        </w:rPr>
        <w:t>Mid-Course Petition, dated April</w:t>
      </w:r>
      <w:r w:rsidR="00534F44">
        <w:rPr>
          <w:sz w:val="20"/>
          <w:szCs w:val="20"/>
        </w:rPr>
        <w:t xml:space="preserve"> 16, 2018.</w:t>
      </w:r>
    </w:p>
    <w:sectPr w:rsidR="00E06484" w:rsidSect="00882FD6">
      <w:headerReference w:type="default" r:id="rId20"/>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436" w:rsidRDefault="006F6436">
      <w:r>
        <w:separator/>
      </w:r>
    </w:p>
  </w:endnote>
  <w:endnote w:type="continuationSeparator" w:id="0">
    <w:p w:rsidR="006F6436" w:rsidRDefault="006F6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36" w:rsidRDefault="006F643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B2AB6">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36" w:rsidRDefault="006F6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436" w:rsidRDefault="006F6436">
      <w:r>
        <w:separator/>
      </w:r>
    </w:p>
  </w:footnote>
  <w:footnote w:type="continuationSeparator" w:id="0">
    <w:p w:rsidR="006F6436" w:rsidRDefault="006F6436">
      <w:r>
        <w:continuationSeparator/>
      </w:r>
    </w:p>
  </w:footnote>
  <w:footnote w:id="1">
    <w:p w:rsidR="006F6436" w:rsidRPr="00ED0216" w:rsidRDefault="006F6436" w:rsidP="00876E49">
      <w:pPr>
        <w:pStyle w:val="FootnoteText"/>
      </w:pPr>
      <w:r>
        <w:rPr>
          <w:rStyle w:val="FootnoteReference"/>
        </w:rPr>
        <w:footnoteRef/>
      </w:r>
      <w:r>
        <w:t xml:space="preserve">By </w:t>
      </w:r>
      <w:r w:rsidRPr="005C1A77">
        <w:t>Order No. PSC-2018-</w:t>
      </w:r>
      <w:r>
        <w:t>0105-PCO-EI, issued February 26</w:t>
      </w:r>
      <w:r w:rsidR="00F82FCD">
        <w:t xml:space="preserve">, 2018, in Docket No. </w:t>
      </w:r>
      <w:r w:rsidRPr="005C1A77">
        <w:t>20180001-EI (</w:t>
      </w:r>
      <w:r>
        <w:t>First Mid-Course Order</w:t>
      </w:r>
      <w:r w:rsidRPr="005C1A77">
        <w:t xml:space="preserve">), </w:t>
      </w:r>
      <w:r w:rsidRPr="005C1A77">
        <w:rPr>
          <w:i/>
        </w:rPr>
        <w:t>In re: Fuel and Purchased Power Cost Recovery Clause with Generating Performance Incentive Factor</w:t>
      </w:r>
      <w:r>
        <w:t>, the Commission approved a prior mid-course correction from FP</w:t>
      </w:r>
      <w:r w:rsidR="00F82FCD">
        <w:t>L. The instant pleading is the second p</w:t>
      </w:r>
      <w:r>
        <w:t>etition for a mid-course correction FPL has filed in this docket in 2018.</w:t>
      </w:r>
    </w:p>
  </w:footnote>
  <w:footnote w:id="2">
    <w:p w:rsidR="006F6436" w:rsidRPr="00ED0216" w:rsidRDefault="006F6436" w:rsidP="00EE0D32">
      <w:pPr>
        <w:pStyle w:val="FootnoteText"/>
      </w:pPr>
      <w:r>
        <w:rPr>
          <w:rStyle w:val="FootnoteReference"/>
        </w:rPr>
        <w:footnoteRef/>
      </w:r>
      <w:r w:rsidRPr="005C1A77">
        <w:t>Order No. PSC-2018-</w:t>
      </w:r>
      <w:r>
        <w:t>0100-FOF-EI, issued Feb</w:t>
      </w:r>
      <w:r w:rsidR="00F82FCD">
        <w:t>ruary 22, 2018, in Docket No.</w:t>
      </w:r>
      <w:r>
        <w:t xml:space="preserve"> 20180007-EI</w:t>
      </w:r>
      <w:r w:rsidRPr="005C1A77">
        <w:t xml:space="preserve">, </w:t>
      </w:r>
      <w:r w:rsidRPr="005C1A77">
        <w:rPr>
          <w:i/>
        </w:rPr>
        <w:t xml:space="preserve">In re: </w:t>
      </w:r>
      <w:r>
        <w:rPr>
          <w:i/>
        </w:rPr>
        <w:t>Environmental</w:t>
      </w:r>
      <w:r w:rsidRPr="005C1A77">
        <w:rPr>
          <w:i/>
        </w:rPr>
        <w:t xml:space="preserve"> Cost Recovery Clause</w:t>
      </w:r>
      <w:r>
        <w:rPr>
          <w:i/>
        </w:rPr>
        <w:t>.</w:t>
      </w:r>
    </w:p>
  </w:footnote>
  <w:footnote w:id="3">
    <w:p w:rsidR="006F6436" w:rsidRDefault="006F6436">
      <w:pPr>
        <w:pStyle w:val="FootnoteText"/>
      </w:pPr>
      <w:r>
        <w:rPr>
          <w:rStyle w:val="FootnoteReference"/>
        </w:rPr>
        <w:footnoteRef/>
      </w:r>
      <w:r w:rsidRPr="005C1A77">
        <w:t>Order No. PSC-2018-</w:t>
      </w:r>
      <w:r>
        <w:t>0105-PCO-EI, issued February 26</w:t>
      </w:r>
      <w:r w:rsidR="00BD63FF">
        <w:t xml:space="preserve">, 2018, in Docket No. </w:t>
      </w:r>
      <w:r w:rsidRPr="005C1A77">
        <w:t xml:space="preserve">20180001-EI, </w:t>
      </w:r>
      <w:r w:rsidRPr="005C1A77">
        <w:rPr>
          <w:i/>
        </w:rPr>
        <w:t>In re: Fuel and Purchased Power Cost Recovery Clause with Generating Performance Incentive Factor</w:t>
      </w:r>
      <w:r>
        <w:t>.</w:t>
      </w:r>
    </w:p>
  </w:footnote>
  <w:footnote w:id="4">
    <w:p w:rsidR="006F6436" w:rsidRDefault="006F6436">
      <w:pPr>
        <w:pStyle w:val="FootnoteText"/>
      </w:pPr>
      <w:r>
        <w:rPr>
          <w:rStyle w:val="FootnoteReference"/>
        </w:rPr>
        <w:footnoteRef/>
      </w:r>
      <w:r>
        <w:t xml:space="preserve">In its Mid-Course Petition, FPL stated that the Conservation Cost Recovery Clause adjustment attributable to the </w:t>
      </w:r>
      <w:r w:rsidRPr="001F641C">
        <w:t>Tax Cut and Jobs Act of 2017</w:t>
      </w:r>
      <w:r w:rsidR="00BD63FF">
        <w:t xml:space="preserve"> was</w:t>
      </w:r>
      <w:r w:rsidR="00D669C5">
        <w:t xml:space="preserve"> too </w:t>
      </w:r>
      <w:r>
        <w:t xml:space="preserve">small </w:t>
      </w:r>
      <w:r w:rsidR="00D669C5">
        <w:t xml:space="preserve">to </w:t>
      </w:r>
      <w:r>
        <w:t xml:space="preserve">warrant a mid-course correction; instead, the Company believes the adjustment can be recovered in the ordinary true-up process for that clause. </w:t>
      </w:r>
    </w:p>
  </w:footnote>
  <w:footnote w:id="5">
    <w:p w:rsidR="006F6436" w:rsidRPr="001E2979" w:rsidRDefault="006F6436" w:rsidP="00876E49">
      <w:pPr>
        <w:pStyle w:val="FootnoteText"/>
      </w:pPr>
      <w:r w:rsidRPr="001E2979">
        <w:rPr>
          <w:rStyle w:val="FootnoteReference"/>
        </w:rPr>
        <w:footnoteRef/>
      </w:r>
      <w:r w:rsidRPr="001E2979">
        <w:t xml:space="preserve">These amounts do not reflect any storm-related charges attributable to named storms that impacted FPL’s service territory in the 2017 hurricane season, nor do they reflect </w:t>
      </w:r>
      <w:r>
        <w:t xml:space="preserve">a true-up adjustment to the storm restoration surcharge FPL addressed in </w:t>
      </w:r>
      <w:r w:rsidRPr="006F7CD1">
        <w:t xml:space="preserve">its </w:t>
      </w:r>
      <w:r w:rsidR="00C42619" w:rsidRPr="006F7CD1">
        <w:t>May</w:t>
      </w:r>
      <w:r w:rsidR="006F7CD1" w:rsidRPr="006F7CD1">
        <w:t xml:space="preserve"> 30</w:t>
      </w:r>
      <w:r w:rsidRPr="006F7CD1">
        <w:t>, 2018, re</w:t>
      </w:r>
      <w:r w:rsidR="006F7CD1">
        <w:t>sponse to Commission staff’s Second</w:t>
      </w:r>
      <w:r w:rsidRPr="006F7CD1">
        <w:t xml:space="preserve"> Data Request, Question No.</w:t>
      </w:r>
      <w:r w:rsidR="006F7CD1" w:rsidRPr="006F7CD1">
        <w:t xml:space="preserve"> 7</w:t>
      </w:r>
      <w:r w:rsidRPr="006F7CD1">
        <w:t>. In addition, these amounts do not reflect any changes that may be approved by the Commission in other docketed</w:t>
      </w:r>
      <w:r w:rsidRPr="001E2979">
        <w:t xml:space="preserve"> matters. </w:t>
      </w:r>
    </w:p>
  </w:footnote>
  <w:footnote w:id="6">
    <w:p w:rsidR="00342AFD" w:rsidRDefault="00342AFD">
      <w:pPr>
        <w:pStyle w:val="FootnoteText"/>
      </w:pPr>
      <w:r>
        <w:rPr>
          <w:rStyle w:val="FootnoteReference"/>
        </w:rPr>
        <w:footnoteRef/>
      </w:r>
      <w:r w:rsidR="00B23AC8">
        <w:t xml:space="preserve">The </w:t>
      </w:r>
      <w:r w:rsidRPr="00342AFD">
        <w:t xml:space="preserve">storm </w:t>
      </w:r>
      <w:r w:rsidR="00B87105">
        <w:t xml:space="preserve">bond </w:t>
      </w:r>
      <w:r w:rsidR="00B23AC8">
        <w:t>charge</w:t>
      </w:r>
      <w:r w:rsidRPr="00342AFD">
        <w:t xml:space="preserve"> will be</w:t>
      </w:r>
      <w:r w:rsidR="00B23AC8">
        <w:t xml:space="preserve">come effective on June 1, 2018, whereas the clause-adjustment changes are scheduled to become effective July 1, 2018. </w:t>
      </w:r>
      <w:r w:rsidR="00B23AC8" w:rsidRPr="00B23AC8">
        <w:t>In its May 30 2018, response to Commission staff’s Second Data Request, Question No.</w:t>
      </w:r>
      <w:r w:rsidR="00B23AC8">
        <w:t xml:space="preserve"> 7, </w:t>
      </w:r>
      <w:r w:rsidR="00B23AC8" w:rsidRPr="00B23AC8">
        <w:t xml:space="preserve">FPL </w:t>
      </w:r>
      <w:r w:rsidR="00B23AC8">
        <w:t xml:space="preserve">stated that it </w:t>
      </w:r>
      <w:r w:rsidR="00B23AC8" w:rsidRPr="00B23AC8">
        <w:t xml:space="preserve">included the </w:t>
      </w:r>
      <w:r w:rsidRPr="00B23AC8">
        <w:t xml:space="preserve">billing change </w:t>
      </w:r>
      <w:r w:rsidR="00B87105">
        <w:t xml:space="preserve">for storm bond </w:t>
      </w:r>
      <w:r w:rsidR="00B23AC8" w:rsidRPr="00B23AC8">
        <w:t xml:space="preserve">charge </w:t>
      </w:r>
      <w:r w:rsidRPr="00B23AC8">
        <w:t>in Schedule E-10 for informational purposes only, in order to provi</w:t>
      </w:r>
      <w:r w:rsidRPr="00342AFD">
        <w:t>de the full impact on the typical 1,000 kWh residential bill from current rates to the proposed rates that would go into effect on July 1, 2018.</w:t>
      </w:r>
      <w:r w:rsidR="00B23AC8">
        <w:t xml:space="preserve"> </w:t>
      </w:r>
      <w:r w:rsidRPr="00342AFD">
        <w:t xml:space="preserve">On April 2, 2018, in Docket No. 20060038-EI, FPL filed its routine storm charge quarterly true-up adjustment to the storm recovery bond repayment charges and the storm recovery bond tax charges. Based on this true-up adjustment, the residential storm </w:t>
      </w:r>
      <w:r w:rsidR="00B87105">
        <w:t xml:space="preserve">bond </w:t>
      </w:r>
      <w:r w:rsidRPr="00342AFD">
        <w:t xml:space="preserve">charge will increase from $1.38 to $1.48 for the typical residential 1,000 kWh customer bill. </w:t>
      </w:r>
    </w:p>
  </w:footnote>
  <w:footnote w:id="7">
    <w:p w:rsidR="006F6436" w:rsidRDefault="006F6436" w:rsidP="00876E49">
      <w:pPr>
        <w:pStyle w:val="FootnoteText"/>
      </w:pPr>
      <w:r>
        <w:rPr>
          <w:rStyle w:val="FootnoteReference"/>
        </w:rPr>
        <w:footnoteRef/>
      </w:r>
      <w:r w:rsidR="00BD493D">
        <w:t>As of May 30, 2018, the date FPL filed its</w:t>
      </w:r>
      <w:r w:rsidR="00BD493D" w:rsidRPr="006F7CD1">
        <w:t xml:space="preserve"> re</w:t>
      </w:r>
      <w:r w:rsidR="00BD493D">
        <w:t>sponse to Commission staff’s Second</w:t>
      </w:r>
      <w:r w:rsidR="00BD493D" w:rsidRPr="006F7CD1">
        <w:t xml:space="preserve"> Data Request, </w:t>
      </w:r>
      <w:r w:rsidR="00BD493D">
        <w:t xml:space="preserve">draft copies of  the newsletter article were not yet available for staff to review. </w:t>
      </w:r>
      <w:r w:rsidR="006F7CD1">
        <w:t xml:space="preserve">However, FPL </w:t>
      </w:r>
      <w:r w:rsidR="00BD493D">
        <w:t>committed</w:t>
      </w:r>
      <w:r w:rsidR="006F7CD1">
        <w:t xml:space="preserve"> to provide</w:t>
      </w:r>
      <w:r w:rsidR="00DA27EF">
        <w:t xml:space="preserve"> </w:t>
      </w:r>
      <w:r w:rsidR="00BD493D">
        <w:t xml:space="preserve">advance copies before the </w:t>
      </w:r>
      <w:r w:rsidR="00DA27EF">
        <w:t>publication</w:t>
      </w:r>
      <w:r w:rsidR="00BD493D">
        <w:t xml:space="preserve"> date.</w:t>
      </w:r>
      <w:r w:rsidRPr="007409A9">
        <w:t xml:space="preserve"> </w:t>
      </w:r>
    </w:p>
  </w:footnote>
  <w:footnote w:id="8">
    <w:p w:rsidR="00F82FCD" w:rsidRPr="000C268A" w:rsidRDefault="00F82FCD" w:rsidP="00F82FCD">
      <w:pPr>
        <w:pStyle w:val="FootnoteText"/>
        <w:rPr>
          <w:u w:val="single"/>
        </w:rPr>
      </w:pPr>
      <w:r>
        <w:rPr>
          <w:rStyle w:val="FootnoteReference"/>
        </w:rPr>
        <w:footnoteRef/>
      </w:r>
      <w:r>
        <w:rPr>
          <w:u w:val="single"/>
        </w:rPr>
        <w:t>Gulf Power Co. v. Cresse</w:t>
      </w:r>
      <w:r>
        <w:t xml:space="preserve">, 410 So. 2d 492 (Fla. 1982); Order No. PSC-96-0907-FOF-EI, issued on July 15, 1996, in Docket No. Docket No. 19960001-EI, </w:t>
      </w:r>
      <w:r w:rsidRPr="00C30694">
        <w:rPr>
          <w:i/>
        </w:rPr>
        <w:t>In re: Fuel and purchased power cost recovery clause and generating performance incentive factor</w:t>
      </w:r>
      <w:r>
        <w:t xml:space="preserve">; Order No. PSC-1996-0908-FOF-EI, issued July 15, 1996, in Docket No. 19960001-EI, </w:t>
      </w:r>
      <w:r w:rsidRPr="00C30694">
        <w:rPr>
          <w:i/>
        </w:rPr>
        <w:t>In re: Fuel and purchased power cost recovery clause and generating performance incentive factor</w:t>
      </w:r>
      <w:r>
        <w:t xml:space="preserve">; Order No. PSC-97-0021-FOF-EI, issued on January 6, 1997, in Docket No. 19970001-EI, </w:t>
      </w:r>
      <w:r w:rsidRPr="00C30694">
        <w:rPr>
          <w:i/>
        </w:rPr>
        <w:t>In re: Fuel and purchased power cost recovery clause and generating performance incentive factor</w:t>
      </w:r>
      <w:r>
        <w:t>.</w:t>
      </w:r>
    </w:p>
  </w:footnote>
  <w:footnote w:id="9">
    <w:p w:rsidR="00F82FCD" w:rsidRDefault="00F82FCD" w:rsidP="00F82FCD">
      <w:pPr>
        <w:pStyle w:val="FootnoteText"/>
      </w:pPr>
      <w:r>
        <w:rPr>
          <w:rStyle w:val="FootnoteReference"/>
        </w:rPr>
        <w:footnoteRef/>
      </w:r>
      <w:r>
        <w:t xml:space="preserve">Order No. PSC-01-0963-PCO-EI, issued April 18, 2001, in Docket No. 20010001-EI, </w:t>
      </w:r>
      <w:r w:rsidRPr="00C30694">
        <w:rPr>
          <w:i/>
        </w:rPr>
        <w:t>In re: Fuel and purchased power cost recovery clause and generati</w:t>
      </w:r>
      <w:r>
        <w:rPr>
          <w:i/>
        </w:rPr>
        <w:t xml:space="preserve">ng performance incentive factor </w:t>
      </w:r>
      <w:r>
        <w:t xml:space="preserve">(allowing recovery of increase in fuel factor in order to decrease the carrying costs and therefore the  total amount ratepayers were ultimately required to repay.); Order No. PSC-00-2383-FOF-GU, issued December 12, 2000, in Docket No. 20000003-GU, </w:t>
      </w:r>
      <w:r w:rsidRPr="00C30694">
        <w:rPr>
          <w:i/>
        </w:rPr>
        <w:t>In re: Purchased gas adjustment (PGA) true-up (</w:t>
      </w:r>
      <w:r w:rsidRPr="00C81DF7">
        <w:t>allowing recovery of an increased gas fuel factor due to drastic increases in natural gas prices in winter of 2000-2001</w:t>
      </w:r>
      <w:r w:rsidRPr="00C30694">
        <w:rPr>
          <w:i/>
        </w:rPr>
        <w:t>.)</w:t>
      </w:r>
      <w:r>
        <w:t xml:space="preserve">; Order No. PSC-15-0161-PCO-EI, issued April 30, 2015, in Docket No. 20150001-EI, </w:t>
      </w:r>
      <w:r>
        <w:rPr>
          <w:i/>
        </w:rPr>
        <w:t xml:space="preserve">In re: </w:t>
      </w:r>
      <w:r w:rsidRPr="00C30694">
        <w:rPr>
          <w:i/>
        </w:rPr>
        <w:t>Fuel and Purchased Power Cost Recovery Clause with Generating Performance Incentive Factor</w:t>
      </w:r>
      <w:r>
        <w:t xml:space="preserve"> (approving FPL’s petition for a mid-course correction, thereby reducing fuel factors with less than 30 days notice).</w:t>
      </w:r>
    </w:p>
    <w:p w:rsidR="00F82FCD" w:rsidRDefault="00F82FCD" w:rsidP="00F82FCD">
      <w:pPr>
        <w:pStyle w:val="FootnoteText"/>
      </w:pPr>
    </w:p>
  </w:footnote>
  <w:footnote w:id="10">
    <w:p w:rsidR="006F6436" w:rsidRDefault="006F6436" w:rsidP="00882FD6">
      <w:pPr>
        <w:pStyle w:val="FootnoteText"/>
      </w:pPr>
      <w:r>
        <w:rPr>
          <w:rStyle w:val="FootnoteReference"/>
        </w:rPr>
        <w:footnoteRef/>
      </w:r>
      <w:r>
        <w:t>RDC=((Total Capacity Costs )/(Projected Avg</w:t>
      </w:r>
      <w:r w:rsidR="001D5B0D">
        <w:t>.</w:t>
      </w:r>
      <w:r>
        <w:t xml:space="preserve"> 12CP @gen)(.10)(demand loss expansion factor)/12 months</w:t>
      </w:r>
    </w:p>
  </w:footnote>
  <w:footnote w:id="11">
    <w:p w:rsidR="006F6436" w:rsidRDefault="006F6436" w:rsidP="00882FD6">
      <w:pPr>
        <w:pStyle w:val="FootnoteText"/>
      </w:pPr>
      <w:r>
        <w:rPr>
          <w:rStyle w:val="FootnoteReference"/>
        </w:rPr>
        <w:footnoteRef/>
      </w:r>
      <w:r>
        <w:t>SDD=((Total Capacity Costs )/(Projected Avg</w:t>
      </w:r>
      <w:r w:rsidR="001D5B0D">
        <w:t>.</w:t>
      </w:r>
      <w:r>
        <w:t xml:space="preserve"> 12CP @gen)(21 on peak days)(demand loss expn. factor)/12 months</w:t>
      </w:r>
    </w:p>
  </w:footnote>
  <w:footnote w:id="12">
    <w:p w:rsidR="00925202" w:rsidRPr="00925202" w:rsidRDefault="00925202" w:rsidP="00925202">
      <w:pPr>
        <w:autoSpaceDE w:val="0"/>
        <w:autoSpaceDN w:val="0"/>
        <w:adjustRightInd w:val="0"/>
        <w:jc w:val="both"/>
        <w:rPr>
          <w:sz w:val="20"/>
          <w:szCs w:val="20"/>
        </w:rPr>
      </w:pPr>
      <w:r>
        <w:rPr>
          <w:rStyle w:val="FootnoteReference"/>
        </w:rPr>
        <w:footnoteRef/>
      </w:r>
      <w:r w:rsidRPr="00925202">
        <w:rPr>
          <w:sz w:val="20"/>
          <w:szCs w:val="20"/>
        </w:rPr>
        <w:t xml:space="preserve">Reflects </w:t>
      </w:r>
      <w:r w:rsidR="00552F9B">
        <w:rPr>
          <w:sz w:val="20"/>
          <w:szCs w:val="20"/>
        </w:rPr>
        <w:t xml:space="preserve">approval of </w:t>
      </w:r>
      <w:r w:rsidRPr="00925202">
        <w:rPr>
          <w:sz w:val="20"/>
          <w:szCs w:val="20"/>
        </w:rPr>
        <w:t>the Mid-Course</w:t>
      </w:r>
      <w:r>
        <w:rPr>
          <w:sz w:val="20"/>
          <w:szCs w:val="20"/>
        </w:rPr>
        <w:t xml:space="preserve"> c</w:t>
      </w:r>
      <w:r w:rsidRPr="00925202">
        <w:rPr>
          <w:sz w:val="20"/>
          <w:szCs w:val="20"/>
        </w:rPr>
        <w:t>orrections to Capacity and Environmental Cost Recover</w:t>
      </w:r>
      <w:r>
        <w:rPr>
          <w:sz w:val="20"/>
          <w:szCs w:val="20"/>
        </w:rPr>
        <w:t xml:space="preserve">y Clause amounts, and a true-up </w:t>
      </w:r>
      <w:r w:rsidR="0003613F">
        <w:rPr>
          <w:sz w:val="20"/>
          <w:szCs w:val="20"/>
        </w:rPr>
        <w:t>adjustment in storm charges</w:t>
      </w:r>
      <w:r w:rsidR="00552F9B">
        <w:rPr>
          <w:sz w:val="20"/>
          <w:szCs w:val="20"/>
        </w:rPr>
        <w:t>, as filed in Docket No. 20180001-EI.</w:t>
      </w:r>
    </w:p>
  </w:footnote>
  <w:footnote w:id="13">
    <w:p w:rsidR="00925202" w:rsidRPr="00A31ED6" w:rsidRDefault="00925202" w:rsidP="00EE3A97">
      <w:pPr>
        <w:autoSpaceDE w:val="0"/>
        <w:autoSpaceDN w:val="0"/>
        <w:adjustRightInd w:val="0"/>
        <w:jc w:val="both"/>
        <w:rPr>
          <w:sz w:val="20"/>
          <w:szCs w:val="20"/>
        </w:rPr>
      </w:pPr>
      <w:r>
        <w:rPr>
          <w:rStyle w:val="FootnoteReference"/>
        </w:rPr>
        <w:footnoteRef/>
      </w:r>
      <w:r w:rsidRPr="00A31ED6">
        <w:rPr>
          <w:sz w:val="20"/>
          <w:szCs w:val="20"/>
        </w:rPr>
        <w:t xml:space="preserve">The Net Difference shown </w:t>
      </w:r>
      <w:r>
        <w:rPr>
          <w:sz w:val="20"/>
          <w:szCs w:val="20"/>
        </w:rPr>
        <w:t xml:space="preserve">in </w:t>
      </w:r>
      <w:r w:rsidR="006F4527">
        <w:rPr>
          <w:sz w:val="20"/>
          <w:szCs w:val="20"/>
        </w:rPr>
        <w:t xml:space="preserve">Column 4 of </w:t>
      </w:r>
      <w:r>
        <w:rPr>
          <w:sz w:val="20"/>
          <w:szCs w:val="20"/>
        </w:rPr>
        <w:t>Table 1</w:t>
      </w:r>
      <w:r w:rsidR="006F4527">
        <w:rPr>
          <w:sz w:val="20"/>
          <w:szCs w:val="20"/>
        </w:rPr>
        <w:t xml:space="preserve"> </w:t>
      </w:r>
      <w:r w:rsidRPr="00A31ED6">
        <w:rPr>
          <w:sz w:val="20"/>
          <w:szCs w:val="20"/>
        </w:rPr>
        <w:t xml:space="preserve">reflects the </w:t>
      </w:r>
      <w:r w:rsidR="0003613F" w:rsidRPr="00A31ED6">
        <w:rPr>
          <w:sz w:val="20"/>
          <w:szCs w:val="20"/>
        </w:rPr>
        <w:t>true-up adjustment in storm charges e</w:t>
      </w:r>
      <w:r w:rsidR="0003613F">
        <w:rPr>
          <w:sz w:val="20"/>
          <w:szCs w:val="20"/>
        </w:rPr>
        <w:t>ffective June 1, 2018,</w:t>
      </w:r>
      <w:r w:rsidR="00953323">
        <w:rPr>
          <w:sz w:val="20"/>
          <w:szCs w:val="20"/>
        </w:rPr>
        <w:t xml:space="preserve"> and</w:t>
      </w:r>
      <w:r w:rsidR="0003613F">
        <w:rPr>
          <w:sz w:val="20"/>
          <w:szCs w:val="20"/>
        </w:rPr>
        <w:t xml:space="preserve"> the </w:t>
      </w:r>
      <w:r w:rsidRPr="00A31ED6">
        <w:rPr>
          <w:sz w:val="20"/>
          <w:szCs w:val="20"/>
        </w:rPr>
        <w:t>Mid-Course Corrections to Capacity and Environmental Cost Recovery Clause amounts, e</w:t>
      </w:r>
      <w:r w:rsidR="0003613F">
        <w:rPr>
          <w:sz w:val="20"/>
          <w:szCs w:val="20"/>
        </w:rPr>
        <w:t>ffective July 1, 2018.</w:t>
      </w:r>
      <w:r>
        <w:rPr>
          <w:sz w:val="20"/>
          <w:szCs w:val="20"/>
        </w:rPr>
        <w:t xml:space="preserve"> It </w:t>
      </w:r>
      <w:r w:rsidRPr="00A31ED6">
        <w:rPr>
          <w:sz w:val="20"/>
          <w:szCs w:val="20"/>
        </w:rPr>
        <w:t xml:space="preserve">does not reflect </w:t>
      </w:r>
      <w:r w:rsidR="00B87105">
        <w:rPr>
          <w:sz w:val="20"/>
          <w:szCs w:val="20"/>
        </w:rPr>
        <w:t>the Martin-</w:t>
      </w:r>
      <w:r w:rsidRPr="00A31ED6">
        <w:rPr>
          <w:sz w:val="20"/>
          <w:szCs w:val="20"/>
        </w:rPr>
        <w:t>Riviera Natural Gas Pipeline transfer petition in Docket</w:t>
      </w:r>
      <w:r>
        <w:rPr>
          <w:sz w:val="20"/>
          <w:szCs w:val="20"/>
        </w:rPr>
        <w:t xml:space="preserve"> No. 20170231-EI, which, if approved, would change Base and Fuel Cost Recovery amounts, effective </w:t>
      </w:r>
      <w:r w:rsidR="00A85664">
        <w:rPr>
          <w:sz w:val="20"/>
          <w:szCs w:val="20"/>
        </w:rPr>
        <w:t>September</w:t>
      </w:r>
      <w:r>
        <w:rPr>
          <w:sz w:val="20"/>
          <w:szCs w:val="20"/>
        </w:rPr>
        <w:t xml:space="preserve"> 1, 2018.</w:t>
      </w:r>
    </w:p>
  </w:footnote>
  <w:footnote w:id="14">
    <w:p w:rsidR="00925202" w:rsidRDefault="00925202">
      <w:pPr>
        <w:pStyle w:val="FootnoteText"/>
      </w:pPr>
      <w:r>
        <w:rPr>
          <w:rStyle w:val="FootnoteReference"/>
        </w:rPr>
        <w:footnoteRef/>
      </w:r>
      <w:r w:rsidRPr="00925202">
        <w:t>Reflects</w:t>
      </w:r>
      <w:r w:rsidR="00552F9B">
        <w:t xml:space="preserve"> approval of </w:t>
      </w:r>
      <w:r w:rsidRPr="00925202">
        <w:t xml:space="preserve"> the proposed Martin-Riviera pi</w:t>
      </w:r>
      <w:r w:rsidR="00324FA0">
        <w:t>peline lateral transfer, pending</w:t>
      </w:r>
      <w:r w:rsidRPr="00925202">
        <w:t xml:space="preserve"> in Docket No. 20170231-EI.</w:t>
      </w:r>
    </w:p>
  </w:footnote>
  <w:footnote w:id="15">
    <w:p w:rsidR="00925202" w:rsidRPr="00A31ED6" w:rsidRDefault="00925202" w:rsidP="00EE3A97">
      <w:pPr>
        <w:autoSpaceDE w:val="0"/>
        <w:autoSpaceDN w:val="0"/>
        <w:adjustRightInd w:val="0"/>
        <w:jc w:val="both"/>
        <w:rPr>
          <w:sz w:val="20"/>
          <w:szCs w:val="20"/>
        </w:rPr>
      </w:pPr>
      <w:r>
        <w:rPr>
          <w:rStyle w:val="FootnoteReference"/>
        </w:rPr>
        <w:footnoteRef/>
      </w:r>
      <w:r w:rsidRPr="00A31ED6">
        <w:rPr>
          <w:sz w:val="20"/>
          <w:szCs w:val="20"/>
        </w:rPr>
        <w:t xml:space="preserve">The Net Difference shown </w:t>
      </w:r>
      <w:r>
        <w:rPr>
          <w:sz w:val="20"/>
          <w:szCs w:val="20"/>
        </w:rPr>
        <w:t xml:space="preserve">in </w:t>
      </w:r>
      <w:r w:rsidR="006F4527">
        <w:rPr>
          <w:sz w:val="20"/>
          <w:szCs w:val="20"/>
        </w:rPr>
        <w:t xml:space="preserve">Column 6 of </w:t>
      </w:r>
      <w:r>
        <w:rPr>
          <w:sz w:val="20"/>
          <w:szCs w:val="20"/>
        </w:rPr>
        <w:t xml:space="preserve">Table 1 </w:t>
      </w:r>
      <w:r w:rsidR="0003613F">
        <w:rPr>
          <w:sz w:val="20"/>
          <w:szCs w:val="20"/>
        </w:rPr>
        <w:t xml:space="preserve">reflects </w:t>
      </w:r>
      <w:r w:rsidR="0003613F" w:rsidRPr="00A31ED6">
        <w:rPr>
          <w:sz w:val="20"/>
          <w:szCs w:val="20"/>
        </w:rPr>
        <w:t>the true-up adjustment in storm charges e</w:t>
      </w:r>
      <w:r w:rsidR="0003613F">
        <w:rPr>
          <w:sz w:val="20"/>
          <w:szCs w:val="20"/>
        </w:rPr>
        <w:t xml:space="preserve">ffective June 1, 2018, the </w:t>
      </w:r>
      <w:r w:rsidRPr="00A31ED6">
        <w:rPr>
          <w:sz w:val="20"/>
          <w:szCs w:val="20"/>
        </w:rPr>
        <w:t>Mid-Course Corrections to Capacity and Environmental Cost Recovery Clause amounts e</w:t>
      </w:r>
      <w:r w:rsidR="00B33FFC">
        <w:rPr>
          <w:sz w:val="20"/>
          <w:szCs w:val="20"/>
        </w:rPr>
        <w:t>ffective July 1, 2018, and the</w:t>
      </w:r>
      <w:r w:rsidR="00B87105">
        <w:rPr>
          <w:sz w:val="20"/>
          <w:szCs w:val="20"/>
        </w:rPr>
        <w:t xml:space="preserve"> Martin-</w:t>
      </w:r>
      <w:r w:rsidRPr="00A31ED6">
        <w:rPr>
          <w:sz w:val="20"/>
          <w:szCs w:val="20"/>
        </w:rPr>
        <w:t>Riviera Natural Gas Pipeline transfer petition that is pending in Docket</w:t>
      </w:r>
      <w:r>
        <w:rPr>
          <w:sz w:val="20"/>
          <w:szCs w:val="20"/>
        </w:rPr>
        <w:t xml:space="preserve"> No. 20170231-EI, which, if approved, would change Base and Fuel Cost Recovery amounts, effective </w:t>
      </w:r>
      <w:r w:rsidR="00A85664">
        <w:rPr>
          <w:sz w:val="20"/>
          <w:szCs w:val="20"/>
        </w:rPr>
        <w:t>September</w:t>
      </w:r>
      <w:r>
        <w:rPr>
          <w:sz w:val="20"/>
          <w:szCs w:val="20"/>
        </w:rPr>
        <w:t xml:space="preserve"> 1, 2018.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36" w:rsidRDefault="006F6436" w:rsidP="00220732">
    <w:pPr>
      <w:pStyle w:val="Header"/>
      <w:tabs>
        <w:tab w:val="clear" w:pos="4320"/>
        <w:tab w:val="clear" w:pos="8640"/>
        <w:tab w:val="right" w:pos="9360"/>
      </w:tabs>
    </w:pPr>
    <w:bookmarkStart w:id="13" w:name="DocketLabel"/>
    <w:r>
      <w:t>Docket No.</w:t>
    </w:r>
    <w:bookmarkEnd w:id="13"/>
    <w:r>
      <w:t xml:space="preserve"> </w:t>
    </w:r>
    <w:bookmarkStart w:id="14" w:name="DocketList"/>
    <w:r>
      <w:t>20180001-EI</w:t>
    </w:r>
    <w:bookmarkEnd w:id="14"/>
  </w:p>
  <w:p w:rsidR="006F6436" w:rsidRDefault="006F6436">
    <w:pPr>
      <w:pStyle w:val="Header"/>
    </w:pPr>
    <w:r>
      <w:t xml:space="preserve">Date: </w:t>
    </w:r>
    <w:r w:rsidR="00F502BC">
      <w:fldChar w:fldCharType="begin"/>
    </w:r>
    <w:r w:rsidR="00F502BC">
      <w:instrText xml:space="preserve"> REF FilingDate </w:instrText>
    </w:r>
    <w:r w:rsidR="00F502BC">
      <w:fldChar w:fldCharType="separate"/>
    </w:r>
    <w:r w:rsidR="008A015B">
      <w:t>May 23, 2018</w:t>
    </w:r>
    <w:r w:rsidR="00F502B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36" w:rsidRDefault="006F6436" w:rsidP="00220732">
    <w:pPr>
      <w:pStyle w:val="Header"/>
      <w:tabs>
        <w:tab w:val="clear" w:pos="4320"/>
        <w:tab w:val="clear" w:pos="8640"/>
        <w:tab w:val="right" w:pos="9360"/>
      </w:tabs>
    </w:pPr>
    <w:r>
      <w:fldChar w:fldCharType="begin"/>
    </w:r>
    <w:r>
      <w:instrText xml:space="preserve"> REF DocketLabel</w:instrText>
    </w:r>
    <w:r>
      <w:fldChar w:fldCharType="separate"/>
    </w:r>
    <w:r w:rsidR="008A015B">
      <w:t>Docket No.</w:t>
    </w:r>
    <w:r>
      <w:fldChar w:fldCharType="end"/>
    </w:r>
    <w:r>
      <w:t xml:space="preserve"> </w:t>
    </w:r>
    <w:r>
      <w:fldChar w:fldCharType="begin"/>
    </w:r>
    <w:r>
      <w:instrText xml:space="preserve"> REF DocketList</w:instrText>
    </w:r>
    <w:r>
      <w:fldChar w:fldCharType="separate"/>
    </w:r>
    <w:r w:rsidR="008A015B">
      <w:t>20180001-EI</w:t>
    </w:r>
    <w:r>
      <w:fldChar w:fldCharType="end"/>
    </w:r>
    <w:r>
      <w:tab/>
      <w:t xml:space="preserve">Issue </w:t>
    </w:r>
    <w:r w:rsidR="00F502BC">
      <w:fldChar w:fldCharType="begin"/>
    </w:r>
    <w:r w:rsidR="00F502BC">
      <w:instrText xml:space="preserve"> Seq Issue \c \* Arabic </w:instrText>
    </w:r>
    <w:r w:rsidR="00F502BC">
      <w:fldChar w:fldCharType="separate"/>
    </w:r>
    <w:r w:rsidR="00BB2AB6">
      <w:rPr>
        <w:noProof/>
      </w:rPr>
      <w:t>2</w:t>
    </w:r>
    <w:r w:rsidR="00F502BC">
      <w:rPr>
        <w:noProof/>
      </w:rPr>
      <w:fldChar w:fldCharType="end"/>
    </w:r>
  </w:p>
  <w:p w:rsidR="006F6436" w:rsidRDefault="006F6436">
    <w:pPr>
      <w:pStyle w:val="Header"/>
    </w:pPr>
    <w:r>
      <w:t xml:space="preserve">Date: </w:t>
    </w:r>
    <w:r w:rsidR="00F502BC">
      <w:fldChar w:fldCharType="begin"/>
    </w:r>
    <w:r w:rsidR="00F502BC">
      <w:instrText xml:space="preserve"> REF FilingDate </w:instrText>
    </w:r>
    <w:r w:rsidR="00F502BC">
      <w:fldChar w:fldCharType="separate"/>
    </w:r>
    <w:r w:rsidR="008A015B">
      <w:t>May 23, 2018</w:t>
    </w:r>
    <w:r w:rsidR="00F502B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36" w:rsidRDefault="006F64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36" w:rsidRDefault="006F6436" w:rsidP="00220732">
    <w:pPr>
      <w:pStyle w:val="Header"/>
      <w:tabs>
        <w:tab w:val="clear" w:pos="4320"/>
        <w:tab w:val="clear" w:pos="8640"/>
        <w:tab w:val="right" w:pos="9360"/>
      </w:tabs>
    </w:pPr>
    <w:r>
      <w:fldChar w:fldCharType="begin"/>
    </w:r>
    <w:r>
      <w:instrText xml:space="preserve"> REF DocketLabel</w:instrText>
    </w:r>
    <w:r>
      <w:fldChar w:fldCharType="separate"/>
    </w:r>
    <w:r w:rsidR="008A015B">
      <w:t>Docket No.</w:t>
    </w:r>
    <w:r>
      <w:fldChar w:fldCharType="end"/>
    </w:r>
    <w:r>
      <w:t xml:space="preserve"> </w:t>
    </w:r>
    <w:r>
      <w:fldChar w:fldCharType="begin"/>
    </w:r>
    <w:r>
      <w:instrText xml:space="preserve"> REF DocketList</w:instrText>
    </w:r>
    <w:r>
      <w:fldChar w:fldCharType="separate"/>
    </w:r>
    <w:r w:rsidR="008A015B">
      <w:t>20180001-EI</w:t>
    </w:r>
    <w:r>
      <w:fldChar w:fldCharType="end"/>
    </w:r>
    <w:r w:rsidR="005B6009">
      <w:tab/>
      <w:t>Attachment A</w:t>
    </w:r>
  </w:p>
  <w:p w:rsidR="006F6436" w:rsidRDefault="006F6436" w:rsidP="001F1ED5">
    <w:pPr>
      <w:pStyle w:val="Header"/>
      <w:tabs>
        <w:tab w:val="clear" w:pos="8640"/>
        <w:tab w:val="right" w:pos="9360"/>
      </w:tabs>
    </w:pPr>
    <w:r>
      <w:t xml:space="preserve">Date: </w:t>
    </w:r>
    <w:r w:rsidR="00F502BC">
      <w:fldChar w:fldCharType="begin"/>
    </w:r>
    <w:r w:rsidR="00F502BC">
      <w:instrText xml:space="preserve"> REF FilingDate </w:instrText>
    </w:r>
    <w:r w:rsidR="00F502BC">
      <w:fldChar w:fldCharType="separate"/>
    </w:r>
    <w:r w:rsidR="008A015B">
      <w:t>May 23, 2018</w:t>
    </w:r>
    <w:r w:rsidR="00F502BC">
      <w:fldChar w:fldCharType="end"/>
    </w:r>
    <w:r>
      <w:tab/>
    </w:r>
    <w:r>
      <w:tab/>
    </w:r>
  </w:p>
  <w:p w:rsidR="006F6436" w:rsidRDefault="006F643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36" w:rsidRDefault="006F6436" w:rsidP="00220732">
    <w:pPr>
      <w:pStyle w:val="Header"/>
      <w:tabs>
        <w:tab w:val="clear" w:pos="4320"/>
        <w:tab w:val="clear" w:pos="8640"/>
        <w:tab w:val="right" w:pos="9360"/>
      </w:tabs>
    </w:pPr>
    <w:r>
      <w:fldChar w:fldCharType="begin"/>
    </w:r>
    <w:r>
      <w:instrText xml:space="preserve"> REF DocketLabel</w:instrText>
    </w:r>
    <w:r>
      <w:fldChar w:fldCharType="separate"/>
    </w:r>
    <w:r w:rsidR="008A015B">
      <w:t>Docket No.</w:t>
    </w:r>
    <w:r>
      <w:fldChar w:fldCharType="end"/>
    </w:r>
    <w:r>
      <w:t xml:space="preserve"> </w:t>
    </w:r>
    <w:r>
      <w:fldChar w:fldCharType="begin"/>
    </w:r>
    <w:r>
      <w:instrText xml:space="preserve"> REF DocketList</w:instrText>
    </w:r>
    <w:r>
      <w:fldChar w:fldCharType="separate"/>
    </w:r>
    <w:r w:rsidR="008A015B">
      <w:t>20180001-EI</w:t>
    </w:r>
    <w:r>
      <w:fldChar w:fldCharType="end"/>
    </w:r>
    <w:r w:rsidR="00D66243">
      <w:tab/>
      <w:t>Attachment B</w:t>
    </w:r>
  </w:p>
  <w:p w:rsidR="006F6436" w:rsidRDefault="006F6436" w:rsidP="001F1ED5">
    <w:pPr>
      <w:pStyle w:val="Header"/>
      <w:tabs>
        <w:tab w:val="clear" w:pos="8640"/>
        <w:tab w:val="right" w:pos="9360"/>
      </w:tabs>
    </w:pPr>
    <w:r>
      <w:t xml:space="preserve">Date: </w:t>
    </w:r>
    <w:r w:rsidR="00F502BC">
      <w:fldChar w:fldCharType="begin"/>
    </w:r>
    <w:r w:rsidR="00F502BC">
      <w:instrText xml:space="preserve"> REF FilingDate </w:instrText>
    </w:r>
    <w:r w:rsidR="00F502BC">
      <w:fldChar w:fldCharType="separate"/>
    </w:r>
    <w:r w:rsidR="008A015B">
      <w:t>May 23, 2018</w:t>
    </w:r>
    <w:r w:rsidR="00F502BC">
      <w:fldChar w:fldCharType="end"/>
    </w:r>
    <w:r>
      <w:tab/>
    </w:r>
    <w:r>
      <w:tab/>
      <w:t xml:space="preserve">Page </w:t>
    </w:r>
    <w:r w:rsidR="009716E6">
      <w:t>1</w:t>
    </w:r>
    <w:r>
      <w:t xml:space="preserve"> of 2</w:t>
    </w:r>
  </w:p>
  <w:p w:rsidR="006F6436" w:rsidRDefault="006F643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36" w:rsidRDefault="006F6436" w:rsidP="00220732">
    <w:pPr>
      <w:pStyle w:val="Header"/>
      <w:tabs>
        <w:tab w:val="clear" w:pos="4320"/>
        <w:tab w:val="clear" w:pos="8640"/>
        <w:tab w:val="right" w:pos="9360"/>
      </w:tabs>
    </w:pPr>
    <w:r>
      <w:fldChar w:fldCharType="begin"/>
    </w:r>
    <w:r>
      <w:instrText xml:space="preserve"> REF DocketLabel</w:instrText>
    </w:r>
    <w:r>
      <w:fldChar w:fldCharType="separate"/>
    </w:r>
    <w:r w:rsidR="008A015B">
      <w:t>Docket No.</w:t>
    </w:r>
    <w:r>
      <w:fldChar w:fldCharType="end"/>
    </w:r>
    <w:r>
      <w:t xml:space="preserve"> </w:t>
    </w:r>
    <w:r>
      <w:fldChar w:fldCharType="begin"/>
    </w:r>
    <w:r>
      <w:instrText xml:space="preserve"> REF DocketList</w:instrText>
    </w:r>
    <w:r>
      <w:fldChar w:fldCharType="separate"/>
    </w:r>
    <w:r w:rsidR="008A015B">
      <w:t>20180001-EI</w:t>
    </w:r>
    <w:r>
      <w:fldChar w:fldCharType="end"/>
    </w:r>
    <w:r w:rsidR="006B542F">
      <w:tab/>
      <w:t>Attachment B</w:t>
    </w:r>
  </w:p>
  <w:p w:rsidR="006F6436" w:rsidRDefault="006F6436" w:rsidP="001F1ED5">
    <w:pPr>
      <w:pStyle w:val="Header"/>
      <w:tabs>
        <w:tab w:val="clear" w:pos="8640"/>
        <w:tab w:val="right" w:pos="9360"/>
      </w:tabs>
    </w:pPr>
    <w:r>
      <w:t xml:space="preserve">Date: </w:t>
    </w:r>
    <w:r w:rsidR="00F502BC">
      <w:fldChar w:fldCharType="begin"/>
    </w:r>
    <w:r w:rsidR="00F502BC">
      <w:instrText xml:space="preserve"> REF FilingDate </w:instrText>
    </w:r>
    <w:r w:rsidR="00F502BC">
      <w:fldChar w:fldCharType="separate"/>
    </w:r>
    <w:r w:rsidR="008A015B">
      <w:t>May 23, 2018</w:t>
    </w:r>
    <w:r w:rsidR="00F502BC">
      <w:fldChar w:fldCharType="end"/>
    </w:r>
    <w:r w:rsidR="003267C6">
      <w:tab/>
    </w:r>
    <w:r w:rsidR="003267C6">
      <w:tab/>
      <w:t>Page 2</w:t>
    </w:r>
    <w:r>
      <w:t xml:space="preserve"> of 2</w:t>
    </w:r>
  </w:p>
  <w:p w:rsidR="006F6436" w:rsidRDefault="006F643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36" w:rsidRDefault="006F6436" w:rsidP="00220732">
    <w:pPr>
      <w:pStyle w:val="Header"/>
      <w:tabs>
        <w:tab w:val="clear" w:pos="4320"/>
        <w:tab w:val="clear" w:pos="8640"/>
        <w:tab w:val="right" w:pos="9360"/>
      </w:tabs>
    </w:pPr>
    <w:r>
      <w:fldChar w:fldCharType="begin"/>
    </w:r>
    <w:r>
      <w:instrText xml:space="preserve"> REF DocketLabel</w:instrText>
    </w:r>
    <w:r>
      <w:fldChar w:fldCharType="separate"/>
    </w:r>
    <w:r w:rsidR="008A015B">
      <w:t>Docket No.</w:t>
    </w:r>
    <w:r>
      <w:fldChar w:fldCharType="end"/>
    </w:r>
    <w:r>
      <w:t xml:space="preserve"> </w:t>
    </w:r>
    <w:r>
      <w:fldChar w:fldCharType="begin"/>
    </w:r>
    <w:r>
      <w:instrText xml:space="preserve"> REF DocketList</w:instrText>
    </w:r>
    <w:r>
      <w:fldChar w:fldCharType="separate"/>
    </w:r>
    <w:r w:rsidR="008A015B">
      <w:t>20180001-EI</w:t>
    </w:r>
    <w:r>
      <w:fldChar w:fldCharType="end"/>
    </w:r>
    <w:r w:rsidR="00D66243">
      <w:tab/>
      <w:t>Attachment C</w:t>
    </w:r>
  </w:p>
  <w:p w:rsidR="006F6436" w:rsidRDefault="006F6436">
    <w:pPr>
      <w:pStyle w:val="Header"/>
    </w:pPr>
    <w:r>
      <w:t xml:space="preserve">Date: </w:t>
    </w:r>
    <w:r w:rsidR="00F502BC">
      <w:fldChar w:fldCharType="begin"/>
    </w:r>
    <w:r w:rsidR="00F502BC">
      <w:instrText xml:space="preserve"> REF FilingDate </w:instrText>
    </w:r>
    <w:r w:rsidR="00F502BC">
      <w:fldChar w:fldCharType="separate"/>
    </w:r>
    <w:r w:rsidR="008A015B">
      <w:t>May 23, 2018</w:t>
    </w:r>
    <w:r w:rsidR="00F502BC">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5BE2777"/>
    <w:multiLevelType w:val="hybridMultilevel"/>
    <w:tmpl w:val="967E0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710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76E49"/>
    <w:rsid w:val="00003C77"/>
    <w:rsid w:val="000043D5"/>
    <w:rsid w:val="00006170"/>
    <w:rsid w:val="00010E37"/>
    <w:rsid w:val="000172DA"/>
    <w:rsid w:val="000247C5"/>
    <w:rsid w:val="000277C2"/>
    <w:rsid w:val="00035B48"/>
    <w:rsid w:val="0003613F"/>
    <w:rsid w:val="00036CE2"/>
    <w:rsid w:val="00042D3B"/>
    <w:rsid w:val="000437FE"/>
    <w:rsid w:val="000513BE"/>
    <w:rsid w:val="00065A06"/>
    <w:rsid w:val="000666F3"/>
    <w:rsid w:val="00070DCB"/>
    <w:rsid w:val="00073120"/>
    <w:rsid w:val="000764D0"/>
    <w:rsid w:val="000828D3"/>
    <w:rsid w:val="00093D66"/>
    <w:rsid w:val="000946DC"/>
    <w:rsid w:val="000A0B69"/>
    <w:rsid w:val="000A2B57"/>
    <w:rsid w:val="000A418B"/>
    <w:rsid w:val="000A7162"/>
    <w:rsid w:val="000C4431"/>
    <w:rsid w:val="000D1C06"/>
    <w:rsid w:val="000D4319"/>
    <w:rsid w:val="000E48A0"/>
    <w:rsid w:val="000E4B12"/>
    <w:rsid w:val="000F374A"/>
    <w:rsid w:val="00101139"/>
    <w:rsid w:val="001076AF"/>
    <w:rsid w:val="001152AF"/>
    <w:rsid w:val="00117C8C"/>
    <w:rsid w:val="00124E2E"/>
    <w:rsid w:val="00125ED4"/>
    <w:rsid w:val="001305E9"/>
    <w:rsid w:val="001307AF"/>
    <w:rsid w:val="00133CFC"/>
    <w:rsid w:val="00135687"/>
    <w:rsid w:val="0015123E"/>
    <w:rsid w:val="0015506E"/>
    <w:rsid w:val="00163031"/>
    <w:rsid w:val="00171A90"/>
    <w:rsid w:val="00180254"/>
    <w:rsid w:val="00191E1F"/>
    <w:rsid w:val="00192943"/>
    <w:rsid w:val="001A7406"/>
    <w:rsid w:val="001B4FEE"/>
    <w:rsid w:val="001B51C5"/>
    <w:rsid w:val="001B6F3F"/>
    <w:rsid w:val="001C52B5"/>
    <w:rsid w:val="001D0D3E"/>
    <w:rsid w:val="001D5B0D"/>
    <w:rsid w:val="001D79AF"/>
    <w:rsid w:val="001F1ED5"/>
    <w:rsid w:val="001F2245"/>
    <w:rsid w:val="001F2C63"/>
    <w:rsid w:val="001F48C7"/>
    <w:rsid w:val="001F641C"/>
    <w:rsid w:val="001F6DA1"/>
    <w:rsid w:val="002044E6"/>
    <w:rsid w:val="00205C82"/>
    <w:rsid w:val="00205DC2"/>
    <w:rsid w:val="00212B17"/>
    <w:rsid w:val="002163B6"/>
    <w:rsid w:val="00220732"/>
    <w:rsid w:val="00221D32"/>
    <w:rsid w:val="00225C3F"/>
    <w:rsid w:val="00245E41"/>
    <w:rsid w:val="00263D44"/>
    <w:rsid w:val="002702AD"/>
    <w:rsid w:val="00273924"/>
    <w:rsid w:val="00292D82"/>
    <w:rsid w:val="002963CB"/>
    <w:rsid w:val="002D226D"/>
    <w:rsid w:val="002E1EE3"/>
    <w:rsid w:val="002E724F"/>
    <w:rsid w:val="002F6030"/>
    <w:rsid w:val="003037E1"/>
    <w:rsid w:val="00307E51"/>
    <w:rsid w:val="003103EC"/>
    <w:rsid w:val="003144EF"/>
    <w:rsid w:val="00322F74"/>
    <w:rsid w:val="00324FA0"/>
    <w:rsid w:val="003267C6"/>
    <w:rsid w:val="00340073"/>
    <w:rsid w:val="00342AFD"/>
    <w:rsid w:val="003632FD"/>
    <w:rsid w:val="00372805"/>
    <w:rsid w:val="00373180"/>
    <w:rsid w:val="00375AB9"/>
    <w:rsid w:val="0037765F"/>
    <w:rsid w:val="003821A0"/>
    <w:rsid w:val="00385B04"/>
    <w:rsid w:val="003864CF"/>
    <w:rsid w:val="003871D1"/>
    <w:rsid w:val="003937C8"/>
    <w:rsid w:val="003A22A6"/>
    <w:rsid w:val="003A5494"/>
    <w:rsid w:val="003A7032"/>
    <w:rsid w:val="003B2510"/>
    <w:rsid w:val="003C2CC4"/>
    <w:rsid w:val="003C3710"/>
    <w:rsid w:val="003E0EFC"/>
    <w:rsid w:val="003E4A2B"/>
    <w:rsid w:val="003E76C2"/>
    <w:rsid w:val="003F1679"/>
    <w:rsid w:val="003F21EB"/>
    <w:rsid w:val="003F4A35"/>
    <w:rsid w:val="003F7FDD"/>
    <w:rsid w:val="00402481"/>
    <w:rsid w:val="004042B4"/>
    <w:rsid w:val="004072D0"/>
    <w:rsid w:val="00410DC4"/>
    <w:rsid w:val="00412DAE"/>
    <w:rsid w:val="00417E98"/>
    <w:rsid w:val="004242E6"/>
    <w:rsid w:val="00431598"/>
    <w:rsid w:val="004319AD"/>
    <w:rsid w:val="004426B8"/>
    <w:rsid w:val="00444432"/>
    <w:rsid w:val="00471860"/>
    <w:rsid w:val="00485752"/>
    <w:rsid w:val="004A744D"/>
    <w:rsid w:val="004B60BD"/>
    <w:rsid w:val="004C3150"/>
    <w:rsid w:val="004C3641"/>
    <w:rsid w:val="004C4390"/>
    <w:rsid w:val="004C4AF7"/>
    <w:rsid w:val="004D2881"/>
    <w:rsid w:val="004D385F"/>
    <w:rsid w:val="004D5B39"/>
    <w:rsid w:val="004E330D"/>
    <w:rsid w:val="004E5147"/>
    <w:rsid w:val="004F4336"/>
    <w:rsid w:val="004F5C43"/>
    <w:rsid w:val="00500A36"/>
    <w:rsid w:val="0050652D"/>
    <w:rsid w:val="00506C03"/>
    <w:rsid w:val="00511A11"/>
    <w:rsid w:val="00516496"/>
    <w:rsid w:val="00523B11"/>
    <w:rsid w:val="0052572A"/>
    <w:rsid w:val="00534454"/>
    <w:rsid w:val="00534F44"/>
    <w:rsid w:val="00543CB3"/>
    <w:rsid w:val="005442E4"/>
    <w:rsid w:val="00552F9B"/>
    <w:rsid w:val="00560FF0"/>
    <w:rsid w:val="005614BD"/>
    <w:rsid w:val="0057154F"/>
    <w:rsid w:val="00580F69"/>
    <w:rsid w:val="00581CA3"/>
    <w:rsid w:val="005839E2"/>
    <w:rsid w:val="005861C3"/>
    <w:rsid w:val="00587A44"/>
    <w:rsid w:val="00597730"/>
    <w:rsid w:val="005977EC"/>
    <w:rsid w:val="00597DE7"/>
    <w:rsid w:val="005A4AA2"/>
    <w:rsid w:val="005B34B6"/>
    <w:rsid w:val="005B6009"/>
    <w:rsid w:val="005B6C8F"/>
    <w:rsid w:val="005B6EC3"/>
    <w:rsid w:val="005D0F74"/>
    <w:rsid w:val="005D1F0D"/>
    <w:rsid w:val="005D2E7D"/>
    <w:rsid w:val="005D4A8F"/>
    <w:rsid w:val="005D561B"/>
    <w:rsid w:val="005D5ECF"/>
    <w:rsid w:val="005F468D"/>
    <w:rsid w:val="005F69A3"/>
    <w:rsid w:val="00604CC7"/>
    <w:rsid w:val="0061125C"/>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18EA"/>
    <w:rsid w:val="00696F5D"/>
    <w:rsid w:val="00697249"/>
    <w:rsid w:val="006B3947"/>
    <w:rsid w:val="006B4293"/>
    <w:rsid w:val="006B542F"/>
    <w:rsid w:val="006B624F"/>
    <w:rsid w:val="006C0C95"/>
    <w:rsid w:val="006C31E3"/>
    <w:rsid w:val="006D18D3"/>
    <w:rsid w:val="006E08CB"/>
    <w:rsid w:val="006E598D"/>
    <w:rsid w:val="006F4527"/>
    <w:rsid w:val="006F4AF0"/>
    <w:rsid w:val="006F6436"/>
    <w:rsid w:val="006F7CD1"/>
    <w:rsid w:val="0070437D"/>
    <w:rsid w:val="00704CF1"/>
    <w:rsid w:val="00705B04"/>
    <w:rsid w:val="00724992"/>
    <w:rsid w:val="00734820"/>
    <w:rsid w:val="007349DC"/>
    <w:rsid w:val="00742836"/>
    <w:rsid w:val="0074365E"/>
    <w:rsid w:val="00744B55"/>
    <w:rsid w:val="007515FD"/>
    <w:rsid w:val="00760D80"/>
    <w:rsid w:val="00780C09"/>
    <w:rsid w:val="00780DDF"/>
    <w:rsid w:val="007834E9"/>
    <w:rsid w:val="00787DBC"/>
    <w:rsid w:val="0079008C"/>
    <w:rsid w:val="0079019A"/>
    <w:rsid w:val="00792935"/>
    <w:rsid w:val="007A04A1"/>
    <w:rsid w:val="007A1840"/>
    <w:rsid w:val="007A4FE7"/>
    <w:rsid w:val="007C0528"/>
    <w:rsid w:val="007C3D38"/>
    <w:rsid w:val="007D0F35"/>
    <w:rsid w:val="007D4FEB"/>
    <w:rsid w:val="007D6146"/>
    <w:rsid w:val="007E0CE7"/>
    <w:rsid w:val="007F1193"/>
    <w:rsid w:val="007F417F"/>
    <w:rsid w:val="007F7644"/>
    <w:rsid w:val="008042BD"/>
    <w:rsid w:val="00816624"/>
    <w:rsid w:val="00816DEB"/>
    <w:rsid w:val="00822427"/>
    <w:rsid w:val="00822562"/>
    <w:rsid w:val="00823663"/>
    <w:rsid w:val="00832DDC"/>
    <w:rsid w:val="00835611"/>
    <w:rsid w:val="00850BAC"/>
    <w:rsid w:val="0085485A"/>
    <w:rsid w:val="00854A3E"/>
    <w:rsid w:val="00855D08"/>
    <w:rsid w:val="0085791D"/>
    <w:rsid w:val="0086566F"/>
    <w:rsid w:val="00874344"/>
    <w:rsid w:val="00876E49"/>
    <w:rsid w:val="00882155"/>
    <w:rsid w:val="0088233B"/>
    <w:rsid w:val="00882FD6"/>
    <w:rsid w:val="0088599E"/>
    <w:rsid w:val="00886C37"/>
    <w:rsid w:val="00892D99"/>
    <w:rsid w:val="00893315"/>
    <w:rsid w:val="008A015B"/>
    <w:rsid w:val="008B62AE"/>
    <w:rsid w:val="008C04B5"/>
    <w:rsid w:val="008C14FA"/>
    <w:rsid w:val="008C7B0B"/>
    <w:rsid w:val="008D4057"/>
    <w:rsid w:val="008E1F19"/>
    <w:rsid w:val="008E72A2"/>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5202"/>
    <w:rsid w:val="009269DC"/>
    <w:rsid w:val="009271A7"/>
    <w:rsid w:val="0093658B"/>
    <w:rsid w:val="009429FF"/>
    <w:rsid w:val="00945025"/>
    <w:rsid w:val="00945BD6"/>
    <w:rsid w:val="009479FB"/>
    <w:rsid w:val="00951C45"/>
    <w:rsid w:val="00953323"/>
    <w:rsid w:val="009656F2"/>
    <w:rsid w:val="00966A08"/>
    <w:rsid w:val="00971207"/>
    <w:rsid w:val="009716E6"/>
    <w:rsid w:val="00975CB4"/>
    <w:rsid w:val="009863B0"/>
    <w:rsid w:val="00987DE1"/>
    <w:rsid w:val="00990571"/>
    <w:rsid w:val="0099673A"/>
    <w:rsid w:val="00996B8A"/>
    <w:rsid w:val="009A3330"/>
    <w:rsid w:val="009A7C96"/>
    <w:rsid w:val="009C3DB9"/>
    <w:rsid w:val="009D46E5"/>
    <w:rsid w:val="009D568A"/>
    <w:rsid w:val="009F04EC"/>
    <w:rsid w:val="009F2A7C"/>
    <w:rsid w:val="009F3B36"/>
    <w:rsid w:val="00A019B9"/>
    <w:rsid w:val="00A12508"/>
    <w:rsid w:val="00A1282B"/>
    <w:rsid w:val="00A13A27"/>
    <w:rsid w:val="00A16B91"/>
    <w:rsid w:val="00A175B6"/>
    <w:rsid w:val="00A21835"/>
    <w:rsid w:val="00A2374B"/>
    <w:rsid w:val="00A26A7F"/>
    <w:rsid w:val="00A27D6E"/>
    <w:rsid w:val="00A31ED6"/>
    <w:rsid w:val="00A328EC"/>
    <w:rsid w:val="00A33A51"/>
    <w:rsid w:val="00A41CA6"/>
    <w:rsid w:val="00A4374E"/>
    <w:rsid w:val="00A47927"/>
    <w:rsid w:val="00A47FFC"/>
    <w:rsid w:val="00A5442F"/>
    <w:rsid w:val="00A54FF9"/>
    <w:rsid w:val="00A56765"/>
    <w:rsid w:val="00A675AC"/>
    <w:rsid w:val="00A7581F"/>
    <w:rsid w:val="00A85664"/>
    <w:rsid w:val="00A92FB1"/>
    <w:rsid w:val="00A95A0C"/>
    <w:rsid w:val="00AA2765"/>
    <w:rsid w:val="00AA77B5"/>
    <w:rsid w:val="00AB6C5D"/>
    <w:rsid w:val="00AC3401"/>
    <w:rsid w:val="00AC51A7"/>
    <w:rsid w:val="00AD444B"/>
    <w:rsid w:val="00AD6C78"/>
    <w:rsid w:val="00AE06FA"/>
    <w:rsid w:val="00AE2EAB"/>
    <w:rsid w:val="00AF5F89"/>
    <w:rsid w:val="00AF73CB"/>
    <w:rsid w:val="00B002D6"/>
    <w:rsid w:val="00B03379"/>
    <w:rsid w:val="00B05B51"/>
    <w:rsid w:val="00B070B5"/>
    <w:rsid w:val="00B14E5A"/>
    <w:rsid w:val="00B15370"/>
    <w:rsid w:val="00B16DA4"/>
    <w:rsid w:val="00B17BEB"/>
    <w:rsid w:val="00B21A3C"/>
    <w:rsid w:val="00B223C0"/>
    <w:rsid w:val="00B234ED"/>
    <w:rsid w:val="00B23AC8"/>
    <w:rsid w:val="00B249B2"/>
    <w:rsid w:val="00B25CA3"/>
    <w:rsid w:val="00B2765A"/>
    <w:rsid w:val="00B3109A"/>
    <w:rsid w:val="00B33FFC"/>
    <w:rsid w:val="00B37E23"/>
    <w:rsid w:val="00B516ED"/>
    <w:rsid w:val="00B57A6A"/>
    <w:rsid w:val="00B760F1"/>
    <w:rsid w:val="00B7661F"/>
    <w:rsid w:val="00B7669E"/>
    <w:rsid w:val="00B77DA1"/>
    <w:rsid w:val="00B822A0"/>
    <w:rsid w:val="00B858AE"/>
    <w:rsid w:val="00B85964"/>
    <w:rsid w:val="00B87105"/>
    <w:rsid w:val="00B96250"/>
    <w:rsid w:val="00BA0D55"/>
    <w:rsid w:val="00BA37B3"/>
    <w:rsid w:val="00BA4CC6"/>
    <w:rsid w:val="00BB2AB6"/>
    <w:rsid w:val="00BB3493"/>
    <w:rsid w:val="00BB7468"/>
    <w:rsid w:val="00BC188A"/>
    <w:rsid w:val="00BC402E"/>
    <w:rsid w:val="00BD0F48"/>
    <w:rsid w:val="00BD493D"/>
    <w:rsid w:val="00BD63FF"/>
    <w:rsid w:val="00BE31E2"/>
    <w:rsid w:val="00BF5010"/>
    <w:rsid w:val="00C03D5F"/>
    <w:rsid w:val="00C13791"/>
    <w:rsid w:val="00C31BB3"/>
    <w:rsid w:val="00C36977"/>
    <w:rsid w:val="00C42619"/>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18A6"/>
    <w:rsid w:val="00CA2C8F"/>
    <w:rsid w:val="00CA30DA"/>
    <w:rsid w:val="00CA3A24"/>
    <w:rsid w:val="00CB1777"/>
    <w:rsid w:val="00CB33E9"/>
    <w:rsid w:val="00CC10A9"/>
    <w:rsid w:val="00CD234E"/>
    <w:rsid w:val="00CE2BF8"/>
    <w:rsid w:val="00CE484E"/>
    <w:rsid w:val="00CE656F"/>
    <w:rsid w:val="00CF0DA8"/>
    <w:rsid w:val="00CF2E25"/>
    <w:rsid w:val="00CF4453"/>
    <w:rsid w:val="00CF5D94"/>
    <w:rsid w:val="00CF5DAE"/>
    <w:rsid w:val="00CF7E0F"/>
    <w:rsid w:val="00D034D7"/>
    <w:rsid w:val="00D04BE4"/>
    <w:rsid w:val="00D06FC7"/>
    <w:rsid w:val="00D12565"/>
    <w:rsid w:val="00D14127"/>
    <w:rsid w:val="00D43480"/>
    <w:rsid w:val="00D60B16"/>
    <w:rsid w:val="00D60F02"/>
    <w:rsid w:val="00D66243"/>
    <w:rsid w:val="00D669C5"/>
    <w:rsid w:val="00D66E49"/>
    <w:rsid w:val="00D70D71"/>
    <w:rsid w:val="00D72F74"/>
    <w:rsid w:val="00D81563"/>
    <w:rsid w:val="00D85907"/>
    <w:rsid w:val="00D9073E"/>
    <w:rsid w:val="00D9221D"/>
    <w:rsid w:val="00D95354"/>
    <w:rsid w:val="00D958DF"/>
    <w:rsid w:val="00D96DA1"/>
    <w:rsid w:val="00DA27EF"/>
    <w:rsid w:val="00DA51E7"/>
    <w:rsid w:val="00DB0260"/>
    <w:rsid w:val="00DB1C78"/>
    <w:rsid w:val="00DB7D96"/>
    <w:rsid w:val="00DC23FE"/>
    <w:rsid w:val="00DC59E6"/>
    <w:rsid w:val="00DD150B"/>
    <w:rsid w:val="00DD5025"/>
    <w:rsid w:val="00DF1510"/>
    <w:rsid w:val="00E02F1F"/>
    <w:rsid w:val="00E06484"/>
    <w:rsid w:val="00E20A7D"/>
    <w:rsid w:val="00E22ED1"/>
    <w:rsid w:val="00E275D8"/>
    <w:rsid w:val="00E30635"/>
    <w:rsid w:val="00E30F6A"/>
    <w:rsid w:val="00E3117C"/>
    <w:rsid w:val="00E35DF5"/>
    <w:rsid w:val="00E375CA"/>
    <w:rsid w:val="00E567E8"/>
    <w:rsid w:val="00E64679"/>
    <w:rsid w:val="00E65813"/>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D60BD"/>
    <w:rsid w:val="00ED6D8A"/>
    <w:rsid w:val="00EE0D32"/>
    <w:rsid w:val="00EE3A97"/>
    <w:rsid w:val="00EF1486"/>
    <w:rsid w:val="00EF264C"/>
    <w:rsid w:val="00EF3FEE"/>
    <w:rsid w:val="00EF50A0"/>
    <w:rsid w:val="00F04B59"/>
    <w:rsid w:val="00F11741"/>
    <w:rsid w:val="00F12B1C"/>
    <w:rsid w:val="00F13CF8"/>
    <w:rsid w:val="00F15855"/>
    <w:rsid w:val="00F207BE"/>
    <w:rsid w:val="00F20EA6"/>
    <w:rsid w:val="00F32978"/>
    <w:rsid w:val="00F45CB2"/>
    <w:rsid w:val="00F544C0"/>
    <w:rsid w:val="00F55332"/>
    <w:rsid w:val="00F6504A"/>
    <w:rsid w:val="00F65519"/>
    <w:rsid w:val="00F713C0"/>
    <w:rsid w:val="00F75DDC"/>
    <w:rsid w:val="00F7792F"/>
    <w:rsid w:val="00F82FCD"/>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5C2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rsid w:val="00876E49"/>
    <w:rPr>
      <w:vertAlign w:val="superscript"/>
    </w:rPr>
  </w:style>
  <w:style w:type="character" w:customStyle="1" w:styleId="HeaderChar">
    <w:name w:val="Header Char"/>
    <w:link w:val="Header"/>
    <w:uiPriority w:val="99"/>
    <w:rsid w:val="00876E49"/>
    <w:rPr>
      <w:sz w:val="24"/>
      <w:szCs w:val="24"/>
    </w:rPr>
  </w:style>
  <w:style w:type="character" w:customStyle="1" w:styleId="FooterChar">
    <w:name w:val="Footer Char"/>
    <w:link w:val="Footer"/>
    <w:uiPriority w:val="99"/>
    <w:rsid w:val="00876E49"/>
    <w:rPr>
      <w:sz w:val="24"/>
      <w:szCs w:val="24"/>
    </w:rPr>
  </w:style>
  <w:style w:type="character" w:customStyle="1" w:styleId="FootnoteTextChar">
    <w:name w:val="Footnote Text Char"/>
    <w:link w:val="FootnoteText"/>
    <w:uiPriority w:val="99"/>
    <w:rsid w:val="00876E49"/>
  </w:style>
  <w:style w:type="character" w:styleId="Strong">
    <w:name w:val="Strong"/>
    <w:uiPriority w:val="22"/>
    <w:qFormat/>
    <w:rsid w:val="00876E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uiPriority w:val="99"/>
    <w:rsid w:val="00876E49"/>
    <w:rPr>
      <w:vertAlign w:val="superscript"/>
    </w:rPr>
  </w:style>
  <w:style w:type="character" w:customStyle="1" w:styleId="HeaderChar">
    <w:name w:val="Header Char"/>
    <w:link w:val="Header"/>
    <w:uiPriority w:val="99"/>
    <w:rsid w:val="00876E49"/>
    <w:rPr>
      <w:sz w:val="24"/>
      <w:szCs w:val="24"/>
    </w:rPr>
  </w:style>
  <w:style w:type="character" w:customStyle="1" w:styleId="FooterChar">
    <w:name w:val="Footer Char"/>
    <w:link w:val="Footer"/>
    <w:uiPriority w:val="99"/>
    <w:rsid w:val="00876E49"/>
    <w:rPr>
      <w:sz w:val="24"/>
      <w:szCs w:val="24"/>
    </w:rPr>
  </w:style>
  <w:style w:type="character" w:customStyle="1" w:styleId="FootnoteTextChar">
    <w:name w:val="Footnote Text Char"/>
    <w:link w:val="FootnoteText"/>
    <w:uiPriority w:val="99"/>
    <w:rsid w:val="00876E49"/>
  </w:style>
  <w:style w:type="character" w:styleId="Strong">
    <w:name w:val="Strong"/>
    <w:uiPriority w:val="22"/>
    <w:qFormat/>
    <w:rsid w:val="00876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FA9F9-7798-4BCA-A1B5-6EB26016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10</Pages>
  <Words>1766</Words>
  <Characters>10193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Michael Barrett</dc:creator>
  <cp:lastModifiedBy>Lisa Ray</cp:lastModifiedBy>
  <cp:revision>2</cp:revision>
  <cp:lastPrinted>2018-05-23T13:02:00Z</cp:lastPrinted>
  <dcterms:created xsi:type="dcterms:W3CDTF">2018-05-23T13:44:00Z</dcterms:created>
  <dcterms:modified xsi:type="dcterms:W3CDTF">2018-05-23T13:44:00Z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20180001-EI</vt:lpwstr>
  </property>
  <property fmtid="{D5CDD505-2E9C-101B-9397-08002B2CF9AE}" pid="3" name="MasterDocument">
    <vt:bool>false</vt:bool>
  </property>
</Properties>
</file>