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6E08CB">
            <w:pPr>
              <w:pStyle w:val="MastHeadState"/>
              <w:jc w:val="right"/>
            </w:pPr>
            <w:bookmarkStart w:id="0" w:name="_GoBack"/>
            <w:bookmarkEnd w:id="0"/>
            <w:r>
              <w:t>State of Florida</w:t>
            </w:r>
          </w:p>
          <w:p w:rsidR="007C0528" w:rsidRDefault="00E90C5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Pr="00E90C5A" w:rsidRDefault="00E90C5A">
            <w:pPr>
              <w:pStyle w:val="MemoHeading"/>
            </w:pPr>
            <w:bookmarkStart w:id="1" w:name="FilingDate"/>
            <w:r w:rsidRPr="00F84CB4">
              <w:t xml:space="preserve">May </w:t>
            </w:r>
            <w:r w:rsidR="00F84CB4" w:rsidRPr="00F84CB4">
              <w:t>2</w:t>
            </w:r>
            <w:r w:rsidRPr="00F84CB4">
              <w:t>3, 2018</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93658B">
              <w:t>Stauffer</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E90C5A" w:rsidRDefault="00E90C5A">
            <w:pPr>
              <w:pStyle w:val="MemoHeading"/>
            </w:pPr>
            <w:bookmarkStart w:id="2" w:name="From"/>
            <w:r>
              <w:t>Division of Engineering (Wooten, Ellis, Wright)</w:t>
            </w:r>
          </w:p>
          <w:p w:rsidR="007C0528" w:rsidRDefault="00E90C5A">
            <w:pPr>
              <w:pStyle w:val="MemoHeading"/>
            </w:pPr>
            <w:r>
              <w:t>Office of the General Counsel (Dziechciarz)</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E90C5A">
            <w:pPr>
              <w:pStyle w:val="MemoHeadingRe"/>
            </w:pPr>
            <w:bookmarkStart w:id="3" w:name="Re"/>
            <w:r>
              <w:t>Docket No. 20180091-EQ – Petition for approval of revisions to standard offer for energy purchased from cogenerators and renewable generating facilities and standard offer contract for purchases of firm capacity and energy, by Florida Public Utilities Company.</w:t>
            </w:r>
            <w:bookmarkEnd w:id="3"/>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E90C5A">
            <w:pPr>
              <w:pStyle w:val="MemoHeading"/>
            </w:pPr>
            <w:bookmarkStart w:id="4" w:name="AgendaDate"/>
            <w:r>
              <w:t>06/05/18</w:t>
            </w:r>
            <w:bookmarkEnd w:id="4"/>
            <w:r w:rsidR="007C0528">
              <w:t xml:space="preserve"> – </w:t>
            </w:r>
            <w:bookmarkStart w:id="5" w:name="PermittedStatus"/>
            <w:r>
              <w:t>Regular Agenda – Proposed Agency Action –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E90C5A">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E90C5A">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E90C5A">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E90C5A" w:rsidP="00B70066">
            <w:pPr>
              <w:pStyle w:val="MemoHeading"/>
            </w:pPr>
            <w:bookmarkStart w:id="10" w:name="SpecialInstructions"/>
            <w:r w:rsidRPr="004A457D">
              <w:t xml:space="preserve">Staff recommends the Commission simultaneously consider Docket Nos. </w:t>
            </w:r>
            <w:r w:rsidR="00CB7D92">
              <w:t>20</w:t>
            </w:r>
            <w:r w:rsidRPr="004A457D">
              <w:t>1</w:t>
            </w:r>
            <w:r w:rsidR="00F6169E" w:rsidRPr="004A457D">
              <w:t>8</w:t>
            </w:r>
            <w:r w:rsidRPr="004A457D">
              <w:t>007</w:t>
            </w:r>
            <w:r w:rsidR="00F6169E" w:rsidRPr="004A457D">
              <w:t>3</w:t>
            </w:r>
            <w:r w:rsidRPr="004A457D">
              <w:t xml:space="preserve">-EQ, </w:t>
            </w:r>
            <w:r w:rsidR="00CB7D92">
              <w:t>20</w:t>
            </w:r>
            <w:r w:rsidRPr="004A457D">
              <w:t>1</w:t>
            </w:r>
            <w:r w:rsidR="00F6169E" w:rsidRPr="004A457D">
              <w:t>8</w:t>
            </w:r>
            <w:r w:rsidRPr="004A457D">
              <w:t>00</w:t>
            </w:r>
            <w:r w:rsidR="00F6169E" w:rsidRPr="004A457D">
              <w:t>81</w:t>
            </w:r>
            <w:r w:rsidRPr="004A457D">
              <w:t xml:space="preserve">-EQ, </w:t>
            </w:r>
            <w:r w:rsidR="00CB7D92">
              <w:t>20</w:t>
            </w:r>
            <w:r w:rsidRPr="004A457D">
              <w:t>1</w:t>
            </w:r>
            <w:r w:rsidR="00422C40" w:rsidRPr="004A457D">
              <w:t>8</w:t>
            </w:r>
            <w:r w:rsidRPr="004A457D">
              <w:t>00</w:t>
            </w:r>
            <w:r w:rsidR="00F6169E" w:rsidRPr="004A457D">
              <w:t>82</w:t>
            </w:r>
            <w:r w:rsidRPr="004A457D">
              <w:t xml:space="preserve">-EQ, </w:t>
            </w:r>
            <w:r w:rsidR="00CB7D92">
              <w:t>20</w:t>
            </w:r>
            <w:r w:rsidRPr="004A457D">
              <w:t>1</w:t>
            </w:r>
            <w:r w:rsidR="00F6169E" w:rsidRPr="004A457D">
              <w:t>8</w:t>
            </w:r>
            <w:r w:rsidRPr="004A457D">
              <w:t>00</w:t>
            </w:r>
            <w:r w:rsidR="00F6169E" w:rsidRPr="004A457D">
              <w:t>83</w:t>
            </w:r>
            <w:r w:rsidRPr="004A457D">
              <w:t>-EQ</w:t>
            </w:r>
            <w:r w:rsidR="00B70066">
              <w:t>, and 20180091-EQ</w:t>
            </w:r>
            <w:r w:rsidRPr="004A457D">
              <w:t>.</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FD0DE9" w:rsidRDefault="00FD0DE9" w:rsidP="00FD0DE9">
      <w:pPr>
        <w:pStyle w:val="BodyText"/>
      </w:pPr>
      <w:r w:rsidRPr="000B27F6">
        <w:t>Section 366.91(3), Florida Statutes (F.S.)</w:t>
      </w:r>
      <w:r w:rsidR="00473AE3">
        <w:t>,</w:t>
      </w:r>
      <w:r w:rsidRPr="000B27F6">
        <w:t xml:space="preserve"> requires that each investor-owned utility (IOU) continuously offer to purchase capacity and energy fr</w:t>
      </w:r>
      <w:r>
        <w:t>om renewable energy generators and small qualifying facilities.</w:t>
      </w:r>
      <w:r w:rsidR="00361F5C">
        <w:t xml:space="preserve"> </w:t>
      </w:r>
      <w:r>
        <w:t xml:space="preserve">Florida </w:t>
      </w:r>
      <w:r w:rsidRPr="009F2EE7">
        <w:t>Public Service Commission</w:t>
      </w:r>
      <w:r>
        <w:t xml:space="preserve"> (</w:t>
      </w:r>
      <w:r w:rsidRPr="000B27F6">
        <w:t>Commission</w:t>
      </w:r>
      <w:r>
        <w:t xml:space="preserve">) </w:t>
      </w:r>
      <w:r w:rsidRPr="000B27F6">
        <w:t>Rules 25-17.200 through 25-17.310, Florida Administrative Code (F.A.C.), implement the statute and require each IOU to file with the Commission</w:t>
      </w:r>
      <w:r>
        <w:t>,</w:t>
      </w:r>
      <w:r w:rsidRPr="000B27F6">
        <w:t xml:space="preserve"> by April 1 of each year, a </w:t>
      </w:r>
      <w:r>
        <w:t>standard offer contract</w:t>
      </w:r>
      <w:r w:rsidRPr="000B27F6">
        <w:t xml:space="preserve"> based on the next avoidable fossil fueled generating unit of each technology type identified in the </w:t>
      </w:r>
      <w:r w:rsidR="003D3A1F">
        <w:t>U</w:t>
      </w:r>
      <w:r w:rsidRPr="000B27F6">
        <w:t xml:space="preserve">tility’s current Ten-Year Site Plan. </w:t>
      </w:r>
      <w:r w:rsidRPr="004A457D">
        <w:t xml:space="preserve">On March </w:t>
      </w:r>
      <w:r w:rsidR="001A7111" w:rsidRPr="004A457D">
        <w:t>29</w:t>
      </w:r>
      <w:r w:rsidRPr="004A457D">
        <w:t>, 201</w:t>
      </w:r>
      <w:r w:rsidR="001A7111" w:rsidRPr="004A457D">
        <w:t>8</w:t>
      </w:r>
      <w:r w:rsidRPr="004A457D">
        <w:t>, Florida Public Utilities Company (FPUC)</w:t>
      </w:r>
      <w:r w:rsidR="001A7111" w:rsidRPr="004A457D">
        <w:t xml:space="preserve"> submitted </w:t>
      </w:r>
      <w:r w:rsidRPr="004A457D">
        <w:t xml:space="preserve">a petition for approval of its </w:t>
      </w:r>
      <w:r w:rsidR="001A7111" w:rsidRPr="004A457D">
        <w:t xml:space="preserve">revised </w:t>
      </w:r>
      <w:r w:rsidRPr="004A457D">
        <w:t xml:space="preserve">standard offer contract, </w:t>
      </w:r>
      <w:r w:rsidR="00766FB7" w:rsidRPr="004A457D">
        <w:t xml:space="preserve">pursuant to </w:t>
      </w:r>
      <w:r w:rsidRPr="004A457D">
        <w:t xml:space="preserve">the rules cited above and </w:t>
      </w:r>
      <w:r w:rsidRPr="004A457D">
        <w:lastRenderedPageBreak/>
        <w:t>Rules 25-9.003, 25-17.0825, and 25-17.0832, F.A.C.</w:t>
      </w:r>
      <w:r w:rsidR="00766FB7" w:rsidRPr="004A457D">
        <w:t xml:space="preserve"> However, the petition was erroneously submitted to the Commission’s Division of Economics</w:t>
      </w:r>
      <w:r w:rsidR="008E6DCE" w:rsidRPr="004A457D">
        <w:t xml:space="preserve">. On April 5, 2018, FPUC </w:t>
      </w:r>
      <w:r w:rsidR="00374CE3" w:rsidRPr="004A457D">
        <w:t xml:space="preserve">filed </w:t>
      </w:r>
      <w:r w:rsidR="008E6DCE" w:rsidRPr="004A457D">
        <w:t xml:space="preserve">its petition </w:t>
      </w:r>
      <w:r w:rsidR="00374CE3" w:rsidRPr="004A457D">
        <w:t xml:space="preserve">with </w:t>
      </w:r>
      <w:r w:rsidR="008E6DCE" w:rsidRPr="004A457D">
        <w:t xml:space="preserve">the Office of Commission Clerk, </w:t>
      </w:r>
      <w:r w:rsidR="00374CE3" w:rsidRPr="004A457D">
        <w:t>requesting that the Commission accept its late-filed petition.</w:t>
      </w:r>
    </w:p>
    <w:p w:rsidR="00913FDE" w:rsidRDefault="00FD0DE9" w:rsidP="00FD0DE9">
      <w:pPr>
        <w:pStyle w:val="BodyText"/>
      </w:pPr>
      <w:r>
        <w:t>Because FPUC, an IOU, does not own or operate any electric generating units, it does not have any avoidable units on which to base its standard offer contract. Rule 25-17.250(1), F.A.C., requires that, under these circumstances, the standard offer contract be based on avoiding or deferring a planned purchase.</w:t>
      </w:r>
      <w:r w:rsidR="00E87332">
        <w:t xml:space="preserve"> In its Northwest Division,</w:t>
      </w:r>
      <w:r w:rsidR="00E505EF">
        <w:t xml:space="preserve"> </w:t>
      </w:r>
      <w:r>
        <w:t xml:space="preserve">FPUC currently purchases all of its electric power through purchased power agreements </w:t>
      </w:r>
      <w:r w:rsidR="00E87332">
        <w:t xml:space="preserve">with </w:t>
      </w:r>
      <w:r w:rsidR="00E505EF" w:rsidRPr="00A648CE">
        <w:t>Gulf Power Company</w:t>
      </w:r>
      <w:r w:rsidR="00E505EF">
        <w:t xml:space="preserve"> (Gulf). FPUC has recently changed its full requirements</w:t>
      </w:r>
      <w:r w:rsidR="00D75B18">
        <w:t xml:space="preserve"> purchased power</w:t>
      </w:r>
      <w:r w:rsidR="00E505EF">
        <w:t xml:space="preserve"> supplier for the Northeast Division from</w:t>
      </w:r>
      <w:r w:rsidR="00D82331">
        <w:t xml:space="preserve"> JEA, formerly known as the </w:t>
      </w:r>
      <w:r w:rsidR="00E505EF">
        <w:t>Jacksonville Electric Authority</w:t>
      </w:r>
      <w:r w:rsidR="00D82331">
        <w:t xml:space="preserve">, </w:t>
      </w:r>
      <w:r w:rsidR="00E505EF">
        <w:t>to Florida Power &amp; Light (FPL)</w:t>
      </w:r>
      <w:r w:rsidR="00D75B18">
        <w:t>.</w:t>
      </w:r>
      <w:r w:rsidR="00316755">
        <w:t xml:space="preserve"> R</w:t>
      </w:r>
      <w:r w:rsidR="00913FDE" w:rsidRPr="00A0106E">
        <w:t>evisions to FPUC’s standard offer contract and rate schedule are limited to changes reflecting FPL replacing JEA</w:t>
      </w:r>
      <w:r w:rsidR="00316755">
        <w:t>.</w:t>
      </w:r>
    </w:p>
    <w:p w:rsidR="0068481F" w:rsidRDefault="00FD0DE9" w:rsidP="00FD0DE9">
      <w:pPr>
        <w:pStyle w:val="BodyText"/>
      </w:pPr>
      <w:r>
        <w:t>The Commission has jurisdiction over this standard offer contract pursuant to Sections 366.04 through 366.06, and 366.91, F.S.</w:t>
      </w:r>
    </w:p>
    <w:p w:rsidR="007C0528" w:rsidRDefault="007C0528" w:rsidP="0068481F"/>
    <w:bookmarkEnd w:id="12"/>
    <w:p w:rsidR="00EA2273" w:rsidRDefault="00EA2273">
      <w:pPr>
        <w:pStyle w:val="RecommendationMajorSectionHeading"/>
        <w:sectPr w:rsidR="00EA2273">
          <w:headerReference w:type="default" r:id="rId10"/>
          <w:footerReference w:type="default" r:id="rId11"/>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6" w:name="DiscussionOfIssues"/>
      <w:r>
        <w:lastRenderedPageBreak/>
        <w:t>Discussion of Issues</w:t>
      </w:r>
    </w:p>
    <w:bookmarkEnd w:id="16"/>
    <w:p w:rsidR="006F2B5F" w:rsidRDefault="006F2B5F" w:rsidP="006F2B5F">
      <w:pPr>
        <w:pStyle w:val="IssueHeading"/>
        <w:rPr>
          <w:vanish/>
          <w:specVanish/>
        </w:rPr>
      </w:pPr>
      <w:r w:rsidRPr="004C3641">
        <w:t xml:space="preserve">Issue </w:t>
      </w:r>
      <w:r w:rsidR="009668B0">
        <w:fldChar w:fldCharType="begin"/>
      </w:r>
      <w:r w:rsidR="009668B0">
        <w:instrText xml:space="preserve"> SEQ Issue \* MERGEFORMAT </w:instrText>
      </w:r>
      <w:r w:rsidR="009668B0">
        <w:fldChar w:fldCharType="separate"/>
      </w:r>
      <w:r w:rsidR="00F534B3">
        <w:rPr>
          <w:noProof/>
        </w:rPr>
        <w:t>1</w:t>
      </w:r>
      <w:r w:rsidR="009668B0">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F534B3">
        <w:rPr>
          <w:noProof/>
        </w:rPr>
        <w:instrText>1</w:instrText>
      </w:r>
      <w:r>
        <w:fldChar w:fldCharType="end"/>
      </w:r>
      <w:r>
        <w:tab/>
        <w:instrText xml:space="preserve">" \l 1 </w:instrText>
      </w:r>
      <w:r>
        <w:fldChar w:fldCharType="end"/>
      </w:r>
      <w:r>
        <w:t> </w:t>
      </w:r>
    </w:p>
    <w:p w:rsidR="006F2B5F" w:rsidRDefault="006F2B5F" w:rsidP="006F2B5F">
      <w:pPr>
        <w:pStyle w:val="BodyText"/>
      </w:pPr>
      <w:r>
        <w:t> </w:t>
      </w:r>
      <w:r w:rsidRPr="004A457D">
        <w:t>Should the Commission approve the revisions to the standard offer rate schedule and standard offer contract filed by Florida Public Utilities Company?</w:t>
      </w:r>
    </w:p>
    <w:p w:rsidR="006F2B5F" w:rsidRPr="004C3641" w:rsidRDefault="006F2B5F" w:rsidP="006F2B5F">
      <w:pPr>
        <w:pStyle w:val="IssueSubsectionHeading"/>
        <w:rPr>
          <w:vanish/>
          <w:specVanish/>
        </w:rPr>
      </w:pPr>
      <w:r w:rsidRPr="004C3641">
        <w:t>Recommendation: </w:t>
      </w:r>
    </w:p>
    <w:p w:rsidR="006F2B5F" w:rsidRDefault="006F2B5F" w:rsidP="006F2B5F">
      <w:pPr>
        <w:pStyle w:val="BodyText"/>
      </w:pPr>
      <w:r>
        <w:t> </w:t>
      </w:r>
      <w:r w:rsidRPr="00D23C78">
        <w:t>Yes. FPUC’s revised standard offer rate schedule and standard offer contract conform to all the requirements of Rules 25-17.200 through 25-17.310, F.A.C., and reflect the avoidable costs associated with FP</w:t>
      </w:r>
      <w:r w:rsidR="001C7F89">
        <w:t xml:space="preserve">UC’s power purchase agreements. </w:t>
      </w:r>
      <w:r w:rsidRPr="00D23C78">
        <w:t>(</w:t>
      </w:r>
      <w:r w:rsidR="00FA0366" w:rsidRPr="00D23C78">
        <w:t>Wright</w:t>
      </w:r>
      <w:r w:rsidRPr="00D23C78">
        <w:t>)</w:t>
      </w:r>
    </w:p>
    <w:p w:rsidR="006F2B5F" w:rsidRPr="004C3641" w:rsidRDefault="006F2B5F" w:rsidP="006F2B5F">
      <w:pPr>
        <w:pStyle w:val="IssueSubsectionHeading"/>
        <w:rPr>
          <w:vanish/>
          <w:specVanish/>
        </w:rPr>
      </w:pPr>
      <w:r w:rsidRPr="004C3641">
        <w:t>Staff Analysis: </w:t>
      </w:r>
    </w:p>
    <w:p w:rsidR="006F2B5F" w:rsidRDefault="006F2B5F" w:rsidP="006F2B5F">
      <w:pPr>
        <w:pStyle w:val="BodyText"/>
      </w:pPr>
      <w:r>
        <w:t> </w:t>
      </w:r>
      <w:r w:rsidRPr="000326C1">
        <w:t>P</w:t>
      </w:r>
      <w:r w:rsidRPr="0056339A">
        <w:t>ursuant to Rule 25-17</w:t>
      </w:r>
      <w:r>
        <w:t>.</w:t>
      </w:r>
      <w:r w:rsidRPr="0056339A">
        <w:t>250, F</w:t>
      </w:r>
      <w:r>
        <w:t>.</w:t>
      </w:r>
      <w:r w:rsidRPr="0056339A">
        <w:t>A</w:t>
      </w:r>
      <w:r>
        <w:t>.</w:t>
      </w:r>
      <w:r w:rsidRPr="0056339A">
        <w:t>C</w:t>
      </w:r>
      <w:r>
        <w:t>.</w:t>
      </w:r>
      <w:r w:rsidRPr="0056339A">
        <w:t xml:space="preserve">, an IOU must continuously make available a </w:t>
      </w:r>
      <w:r>
        <w:t>standard offer contract</w:t>
      </w:r>
      <w:r w:rsidRPr="0056339A">
        <w:t xml:space="preserve"> for the purchase of firm capacity and energy from renewable generating facilities </w:t>
      </w:r>
      <w:r>
        <w:t xml:space="preserve">(RF) </w:t>
      </w:r>
      <w:r w:rsidRPr="0056339A">
        <w:t>and small qualifying facilities</w:t>
      </w:r>
      <w:r>
        <w:t xml:space="preserve"> (QF)</w:t>
      </w:r>
      <w:r w:rsidRPr="0056339A">
        <w:t xml:space="preserve"> with a design capacity of 100 kilowatt</w:t>
      </w:r>
      <w:r w:rsidR="00862808">
        <w:t>s</w:t>
      </w:r>
      <w:r w:rsidRPr="0056339A">
        <w:t xml:space="preserve"> (kW) or less</w:t>
      </w:r>
      <w:r>
        <w:t xml:space="preserve">. </w:t>
      </w:r>
      <w:r w:rsidRPr="00C62748">
        <w:t>FPUC does not own or operate any of its own electric generating facilities</w:t>
      </w:r>
      <w:r w:rsidR="00862808">
        <w:t>,</w:t>
      </w:r>
      <w:r w:rsidRPr="00C62748">
        <w:t xml:space="preserve"> and thus does not file a Ten-Year Site Plan. Instead, FPUC purchases its electric energy under long-term, full requirements contracts with wholesale providers.</w:t>
      </w:r>
    </w:p>
    <w:p w:rsidR="006F2B5F" w:rsidRDefault="006F2B5F" w:rsidP="006F2B5F">
      <w:pPr>
        <w:pStyle w:val="BodyText"/>
      </w:pPr>
      <w:r>
        <w:t>The standard offer rate schedule consists of three components: (1) the Standard Offer</w:t>
      </w:r>
      <w:r w:rsidR="002C5287">
        <w:t xml:space="preserve"> – </w:t>
      </w:r>
      <w:r>
        <w:t xml:space="preserve">As Available </w:t>
      </w:r>
      <w:r w:rsidR="002C5287">
        <w:t>S</w:t>
      </w:r>
      <w:r>
        <w:t>chedule</w:t>
      </w:r>
      <w:r w:rsidR="002C5287">
        <w:t xml:space="preserve"> (SOA); (2) the Standard Offer – </w:t>
      </w:r>
      <w:r>
        <w:t xml:space="preserve">Firm Schedule (SOF); and (3) the Standard Offer Contract. </w:t>
      </w:r>
      <w:r w:rsidR="00DE1B59" w:rsidRPr="00A0106E">
        <w:t>Current r</w:t>
      </w:r>
      <w:r w:rsidRPr="00A0106E">
        <w:t>evisions to FPUC’s standard offer contract and rate schedule</w:t>
      </w:r>
      <w:r w:rsidR="00DE1B59" w:rsidRPr="00A0106E">
        <w:t xml:space="preserve"> are limited to changes reflecting FPL replacing JEA as FPUC’s full requirements supplier for FPUC’s Northeast Division. </w:t>
      </w:r>
      <w:r w:rsidR="00473AE3">
        <w:t>T</w:t>
      </w:r>
      <w:r w:rsidR="00DE1B59" w:rsidRPr="00CF00EF">
        <w:t xml:space="preserve">he </w:t>
      </w:r>
      <w:r w:rsidR="00F54568" w:rsidRPr="00D23C78">
        <w:t>revised standard offer rate schedule and standard offer contract</w:t>
      </w:r>
      <w:r w:rsidRPr="00CF00EF">
        <w:t>, in type-and-strike format, are included as Atta</w:t>
      </w:r>
      <w:r w:rsidR="00207AC7" w:rsidRPr="00CF00EF">
        <w:t>chment A to this recommendation</w:t>
      </w:r>
      <w:r w:rsidR="00E66EE5" w:rsidRPr="00CF00EF">
        <w:t>.</w:t>
      </w:r>
      <w:r w:rsidR="004A457D">
        <w:t xml:space="preserve"> </w:t>
      </w:r>
      <w:r>
        <w:t>T</w:t>
      </w:r>
      <w:r w:rsidRPr="00882EFE">
        <w:t xml:space="preserve">he capacity </w:t>
      </w:r>
      <w:r>
        <w:t xml:space="preserve">and energy </w:t>
      </w:r>
      <w:r w:rsidRPr="00882EFE">
        <w:t xml:space="preserve">payments </w:t>
      </w:r>
      <w:r>
        <w:t>under the proposed rate schedule</w:t>
      </w:r>
      <w:r w:rsidRPr="00882EFE">
        <w:t xml:space="preserve"> </w:t>
      </w:r>
      <w:r>
        <w:t>depend on</w:t>
      </w:r>
      <w:r w:rsidRPr="00882EFE">
        <w:t xml:space="preserve"> </w:t>
      </w:r>
      <w:r>
        <w:t xml:space="preserve">the terms of </w:t>
      </w:r>
      <w:r w:rsidRPr="00882EFE">
        <w:t>FPUC’s wholesale contracts</w:t>
      </w:r>
      <w:r>
        <w:t xml:space="preserve"> with its </w:t>
      </w:r>
      <w:r w:rsidRPr="00882EFE">
        <w:t>supplier</w:t>
      </w:r>
      <w:r>
        <w:t>s</w:t>
      </w:r>
      <w:r w:rsidRPr="00882EFE">
        <w:t xml:space="preserve"> for FPUC's Northeast Division</w:t>
      </w:r>
      <w:r>
        <w:t xml:space="preserve"> and </w:t>
      </w:r>
      <w:r w:rsidRPr="00882EFE">
        <w:t>Northwest Division</w:t>
      </w:r>
      <w:r>
        <w:t>.</w:t>
      </w:r>
    </w:p>
    <w:p w:rsidR="006F2B5F" w:rsidRDefault="006F2B5F" w:rsidP="006F2B5F">
      <w:pPr>
        <w:pStyle w:val="First-LevelSubheading"/>
      </w:pPr>
      <w:r>
        <w:t>Northeast Division</w:t>
      </w:r>
    </w:p>
    <w:p w:rsidR="006F2B5F" w:rsidRDefault="006F2B5F" w:rsidP="006F2B5F">
      <w:pPr>
        <w:pStyle w:val="BodyText"/>
      </w:pPr>
      <w:r w:rsidRPr="00882EFE">
        <w:t xml:space="preserve">At present, </w:t>
      </w:r>
      <w:r w:rsidR="006C0882">
        <w:t>FPL</w:t>
      </w:r>
      <w:r w:rsidRPr="00882EFE">
        <w:t xml:space="preserve"> is</w:t>
      </w:r>
      <w:r>
        <w:t xml:space="preserve"> </w:t>
      </w:r>
      <w:r w:rsidRPr="00882EFE">
        <w:t>the full requirements supplier for FPUC</w:t>
      </w:r>
      <w:r w:rsidR="00865A9A">
        <w:t>’</w:t>
      </w:r>
      <w:r w:rsidRPr="00882EFE">
        <w:t>s Northeast Division, which consists of Fernandina Beach and Amelia Island</w:t>
      </w:r>
      <w:r>
        <w:t>.</w:t>
      </w:r>
      <w:r w:rsidR="006C0882">
        <w:t xml:space="preserve"> </w:t>
      </w:r>
      <w:r>
        <w:t xml:space="preserve">In response to Staff’s First Data Request, FPUC provided </w:t>
      </w:r>
      <w:r w:rsidRPr="00CD2806">
        <w:t>estima</w:t>
      </w:r>
      <w:r w:rsidR="009F6C05">
        <w:t>tes of the annual payments to an operator of a 10</w:t>
      </w:r>
      <w:r w:rsidR="003D1202">
        <w:t xml:space="preserve"> megawatt</w:t>
      </w:r>
      <w:r w:rsidR="009F6C05">
        <w:t xml:space="preserve"> </w:t>
      </w:r>
      <w:r w:rsidR="003D1202">
        <w:t>(</w:t>
      </w:r>
      <w:r w:rsidR="009F6C05">
        <w:t>MW</w:t>
      </w:r>
      <w:r w:rsidR="003D1202">
        <w:t>)</w:t>
      </w:r>
      <w:r w:rsidR="009F6C05">
        <w:t xml:space="preserve"> facility, </w:t>
      </w:r>
      <w:r w:rsidR="009F6C05" w:rsidRPr="00CD2806">
        <w:t xml:space="preserve">operating at a capacity factor </w:t>
      </w:r>
      <w:r w:rsidR="009F6C05" w:rsidRPr="00E96DBA">
        <w:t>of 70 percent</w:t>
      </w:r>
      <w:r w:rsidR="009F6C05">
        <w:t xml:space="preserve">, under a 20 year contract </w:t>
      </w:r>
      <w:r w:rsidRPr="00CD2806">
        <w:t>for</w:t>
      </w:r>
      <w:r w:rsidR="009A59DC">
        <w:t xml:space="preserve"> (1)</w:t>
      </w:r>
      <w:r w:rsidRPr="00CD2806">
        <w:t xml:space="preserve"> RF/QF operator</w:t>
      </w:r>
      <w:r w:rsidR="0092746F">
        <w:t>s</w:t>
      </w:r>
      <w:r w:rsidR="009A59DC">
        <w:t xml:space="preserve"> </w:t>
      </w:r>
      <w:r w:rsidRPr="00CD2806">
        <w:t>located inside the service territory</w:t>
      </w:r>
      <w:r w:rsidR="006C0882">
        <w:t xml:space="preserve"> and</w:t>
      </w:r>
      <w:r w:rsidR="009A59DC">
        <w:t xml:space="preserve"> (2)</w:t>
      </w:r>
      <w:r w:rsidR="00E96DBA">
        <w:t xml:space="preserve"> for operators </w:t>
      </w:r>
      <w:r w:rsidR="006C0882">
        <w:t>deliver</w:t>
      </w:r>
      <w:r w:rsidR="00E96DBA">
        <w:t>ing power to interconnection with the territory</w:t>
      </w:r>
      <w:r>
        <w:t>.</w:t>
      </w:r>
      <w:r>
        <w:rPr>
          <w:rStyle w:val="FootnoteReference"/>
        </w:rPr>
        <w:footnoteReference w:id="1"/>
      </w:r>
      <w:r w:rsidR="005C35EF">
        <w:t xml:space="preserve"> Under both of these scenarios, </w:t>
      </w:r>
      <w:r w:rsidR="00DB1DE2">
        <w:t>FPUC estimated that its annual energy payments</w:t>
      </w:r>
      <w:r w:rsidR="005C35EF">
        <w:t xml:space="preserve"> </w:t>
      </w:r>
      <w:r w:rsidR="00DB1DE2">
        <w:t xml:space="preserve">would </w:t>
      </w:r>
      <w:r w:rsidR="005C35EF">
        <w:t xml:space="preserve">be </w:t>
      </w:r>
      <w:r w:rsidR="00DB1DE2">
        <w:t xml:space="preserve">approximately </w:t>
      </w:r>
      <w:r w:rsidR="005C35EF">
        <w:t>$1.9 million starting in 2019</w:t>
      </w:r>
      <w:r w:rsidR="009A59DC">
        <w:t xml:space="preserve"> and would</w:t>
      </w:r>
      <w:r w:rsidR="00D54BE3">
        <w:t xml:space="preserve"> increas</w:t>
      </w:r>
      <w:r w:rsidR="009A59DC">
        <w:t xml:space="preserve">e </w:t>
      </w:r>
      <w:r w:rsidR="00D54BE3">
        <w:t>annually</w:t>
      </w:r>
      <w:r w:rsidR="005C35EF">
        <w:t>,</w:t>
      </w:r>
      <w:r w:rsidR="00171A66">
        <w:t xml:space="preserve"> based on the full reduction in FPL billing to FPUC</w:t>
      </w:r>
      <w:r w:rsidR="00DB1DE2">
        <w:t>.</w:t>
      </w:r>
      <w:r w:rsidR="00E036AF">
        <w:t xml:space="preserve"> FPUC’s</w:t>
      </w:r>
      <w:r w:rsidR="002A7CBB">
        <w:t xml:space="preserve"> estimated</w:t>
      </w:r>
      <w:r w:rsidR="00E036AF">
        <w:t xml:space="preserve"> annual capacity payments are confidential.</w:t>
      </w:r>
    </w:p>
    <w:p w:rsidR="009A59DC" w:rsidRDefault="009A59DC" w:rsidP="006F2B5F">
      <w:pPr>
        <w:pStyle w:val="First-LevelSubheading"/>
      </w:pPr>
    </w:p>
    <w:p w:rsidR="009A59DC" w:rsidRDefault="009A59DC" w:rsidP="006F2B5F">
      <w:pPr>
        <w:pStyle w:val="First-LevelSubheading"/>
      </w:pPr>
    </w:p>
    <w:p w:rsidR="009A59DC" w:rsidRDefault="009A59DC" w:rsidP="006F2B5F">
      <w:pPr>
        <w:pStyle w:val="First-LevelSubheading"/>
      </w:pPr>
    </w:p>
    <w:p w:rsidR="009A59DC" w:rsidRDefault="009A59DC" w:rsidP="006F2B5F">
      <w:pPr>
        <w:pStyle w:val="First-LevelSubheading"/>
      </w:pPr>
    </w:p>
    <w:p w:rsidR="009A59DC" w:rsidRDefault="009A59DC" w:rsidP="006F2B5F">
      <w:pPr>
        <w:pStyle w:val="First-LevelSubheading"/>
      </w:pPr>
    </w:p>
    <w:p w:rsidR="009A59DC" w:rsidRDefault="009A59DC" w:rsidP="006F2B5F">
      <w:pPr>
        <w:pStyle w:val="First-LevelSubheading"/>
      </w:pPr>
    </w:p>
    <w:p w:rsidR="009A59DC" w:rsidRDefault="009A59DC" w:rsidP="006F2B5F">
      <w:pPr>
        <w:pStyle w:val="First-LevelSubheading"/>
      </w:pPr>
    </w:p>
    <w:p w:rsidR="009A59DC" w:rsidRDefault="009A59DC" w:rsidP="006F2B5F">
      <w:pPr>
        <w:pStyle w:val="First-LevelSubheading"/>
      </w:pPr>
    </w:p>
    <w:p w:rsidR="009A59DC" w:rsidRDefault="009A59DC" w:rsidP="006F2B5F">
      <w:pPr>
        <w:pStyle w:val="First-LevelSubheading"/>
      </w:pPr>
    </w:p>
    <w:p w:rsidR="006F2B5F" w:rsidRDefault="006F2B5F" w:rsidP="006F2B5F">
      <w:pPr>
        <w:pStyle w:val="First-LevelSubheading"/>
      </w:pPr>
      <w:r>
        <w:lastRenderedPageBreak/>
        <w:t>Northwest Division</w:t>
      </w:r>
    </w:p>
    <w:p w:rsidR="006F2B5F" w:rsidRPr="00BC32E6" w:rsidRDefault="006F2B5F" w:rsidP="006F2B5F">
      <w:pPr>
        <w:pStyle w:val="BodyText"/>
        <w:rPr>
          <w:rFonts w:cs="Arial"/>
          <w:bCs/>
          <w:kern w:val="32"/>
          <w:szCs w:val="32"/>
        </w:rPr>
      </w:pPr>
      <w:r w:rsidRPr="004B55F3">
        <w:rPr>
          <w:rFonts w:cs="Arial"/>
          <w:bCs/>
          <w:kern w:val="32"/>
          <w:szCs w:val="32"/>
        </w:rPr>
        <w:t xml:space="preserve">At present, </w:t>
      </w:r>
      <w:r w:rsidRPr="00965ECF">
        <w:rPr>
          <w:rFonts w:cs="Arial"/>
          <w:bCs/>
          <w:kern w:val="32"/>
          <w:szCs w:val="32"/>
        </w:rPr>
        <w:t>Gulf is the full requirements supplier for FPUC</w:t>
      </w:r>
      <w:r w:rsidR="00865A9A">
        <w:rPr>
          <w:rFonts w:cs="Arial"/>
          <w:bCs/>
          <w:kern w:val="32"/>
          <w:szCs w:val="32"/>
        </w:rPr>
        <w:t>’</w:t>
      </w:r>
      <w:r w:rsidRPr="00965ECF">
        <w:rPr>
          <w:rFonts w:cs="Arial"/>
          <w:bCs/>
          <w:kern w:val="32"/>
          <w:szCs w:val="32"/>
        </w:rPr>
        <w:t xml:space="preserve">s Northwest Division, which consists of portions of Jackson, Calhoun, and Liberty counties. </w:t>
      </w:r>
      <w:r>
        <w:t>In response to Staff’s First Data Request, FPUC</w:t>
      </w:r>
      <w:r>
        <w:rPr>
          <w:rFonts w:cs="Arial"/>
          <w:bCs/>
          <w:kern w:val="32"/>
          <w:szCs w:val="32"/>
        </w:rPr>
        <w:t xml:space="preserve"> provided</w:t>
      </w:r>
      <w:r w:rsidRPr="00AF1519">
        <w:rPr>
          <w:rFonts w:cs="Arial"/>
          <w:bCs/>
          <w:kern w:val="32"/>
          <w:szCs w:val="32"/>
        </w:rPr>
        <w:t xml:space="preserve"> estimates of the annual payments to an operator </w:t>
      </w:r>
      <w:r w:rsidR="00E036AF">
        <w:rPr>
          <w:rFonts w:cs="Arial"/>
          <w:bCs/>
          <w:kern w:val="32"/>
          <w:szCs w:val="32"/>
        </w:rPr>
        <w:t xml:space="preserve">of </w:t>
      </w:r>
      <w:r w:rsidRPr="00AF1519">
        <w:rPr>
          <w:rFonts w:cs="Arial"/>
          <w:bCs/>
          <w:kern w:val="32"/>
          <w:szCs w:val="32"/>
        </w:rPr>
        <w:t xml:space="preserve">a </w:t>
      </w:r>
      <w:r>
        <w:rPr>
          <w:rFonts w:cs="Arial"/>
          <w:bCs/>
          <w:kern w:val="32"/>
          <w:szCs w:val="32"/>
        </w:rPr>
        <w:t>1</w:t>
      </w:r>
      <w:r w:rsidRPr="00AF1519">
        <w:rPr>
          <w:rFonts w:cs="Arial"/>
          <w:bCs/>
          <w:kern w:val="32"/>
          <w:szCs w:val="32"/>
        </w:rPr>
        <w:t>0 MW facility</w:t>
      </w:r>
      <w:r>
        <w:rPr>
          <w:rFonts w:cs="Arial"/>
          <w:bCs/>
          <w:kern w:val="32"/>
          <w:szCs w:val="32"/>
        </w:rPr>
        <w:t>,</w:t>
      </w:r>
      <w:r w:rsidRPr="00AF1519">
        <w:rPr>
          <w:rFonts w:cs="Arial"/>
          <w:bCs/>
          <w:kern w:val="32"/>
          <w:szCs w:val="32"/>
        </w:rPr>
        <w:t xml:space="preserve"> operating at a capacity factor of </w:t>
      </w:r>
      <w:r w:rsidR="003122FA">
        <w:rPr>
          <w:rFonts w:cs="Arial"/>
          <w:bCs/>
          <w:kern w:val="32"/>
          <w:szCs w:val="32"/>
        </w:rPr>
        <w:t>7</w:t>
      </w:r>
      <w:r w:rsidRPr="00AF1519">
        <w:rPr>
          <w:rFonts w:cs="Arial"/>
          <w:bCs/>
          <w:kern w:val="32"/>
          <w:szCs w:val="32"/>
        </w:rPr>
        <w:t>0 percent,</w:t>
      </w:r>
      <w:r w:rsidR="00E036AF">
        <w:rPr>
          <w:rFonts w:cs="Arial"/>
          <w:bCs/>
          <w:kern w:val="32"/>
          <w:szCs w:val="32"/>
        </w:rPr>
        <w:t xml:space="preserve"> under a 20 year contract</w:t>
      </w:r>
      <w:r w:rsidRPr="00AF1519">
        <w:rPr>
          <w:rFonts w:cs="Arial"/>
          <w:bCs/>
          <w:kern w:val="32"/>
          <w:szCs w:val="32"/>
        </w:rPr>
        <w:t xml:space="preserve"> </w:t>
      </w:r>
      <w:r w:rsidR="003122FA" w:rsidRPr="00CD2806">
        <w:t>for</w:t>
      </w:r>
      <w:r w:rsidR="00E44E7E">
        <w:t xml:space="preserve"> (1)</w:t>
      </w:r>
      <w:r w:rsidR="003122FA" w:rsidRPr="00CD2806">
        <w:t xml:space="preserve"> RF/QF operator</w:t>
      </w:r>
      <w:r w:rsidR="003122FA">
        <w:t>s</w:t>
      </w:r>
      <w:r w:rsidR="003122FA" w:rsidRPr="00CD2806">
        <w:t xml:space="preserve"> located inside the service territory</w:t>
      </w:r>
      <w:r w:rsidR="003122FA">
        <w:t xml:space="preserve"> and</w:t>
      </w:r>
      <w:r w:rsidR="00E44E7E">
        <w:t xml:space="preserve"> (2)</w:t>
      </w:r>
      <w:r w:rsidR="003122FA">
        <w:t xml:space="preserve"> for operators delivering power to interconnection with the territory.</w:t>
      </w:r>
      <w:r>
        <w:rPr>
          <w:rStyle w:val="FootnoteReference"/>
          <w:rFonts w:cs="Arial"/>
          <w:bCs/>
          <w:kern w:val="32"/>
          <w:szCs w:val="32"/>
        </w:rPr>
        <w:footnoteReference w:id="2"/>
      </w:r>
      <w:r w:rsidR="00E036AF">
        <w:t xml:space="preserve"> Under both of these scenarios, FPUC estimated that its annual energy payments would be approximately $2.1 million starting in 2019</w:t>
      </w:r>
      <w:r w:rsidR="00E44E7E">
        <w:t xml:space="preserve"> and would</w:t>
      </w:r>
      <w:r w:rsidR="0008214C">
        <w:t xml:space="preserve"> increas</w:t>
      </w:r>
      <w:r w:rsidR="00E44E7E">
        <w:t xml:space="preserve">e </w:t>
      </w:r>
      <w:r w:rsidR="0008214C">
        <w:t>annually</w:t>
      </w:r>
      <w:r w:rsidR="00E036AF">
        <w:t xml:space="preserve">, based on the full reduction </w:t>
      </w:r>
      <w:r w:rsidR="0054682B">
        <w:t>in Gulf</w:t>
      </w:r>
      <w:r w:rsidR="00E036AF">
        <w:t xml:space="preserve"> billing to FPUC.</w:t>
      </w:r>
      <w:r w:rsidR="00E036AF" w:rsidRPr="00E036AF">
        <w:t xml:space="preserve"> </w:t>
      </w:r>
      <w:r w:rsidR="00E036AF">
        <w:t>FPUC’s</w:t>
      </w:r>
      <w:r w:rsidR="002A7CBB">
        <w:t xml:space="preserve"> estimated</w:t>
      </w:r>
      <w:r w:rsidR="00E036AF">
        <w:t xml:space="preserve"> annual capacity payments are confidential.</w:t>
      </w:r>
    </w:p>
    <w:p w:rsidR="006F2B5F" w:rsidRDefault="006F2B5F" w:rsidP="006F2B5F">
      <w:pPr>
        <w:pStyle w:val="First-LevelSubheading"/>
      </w:pPr>
      <w:r>
        <w:t>Conclusion</w:t>
      </w:r>
    </w:p>
    <w:p w:rsidR="006F2B5F" w:rsidRDefault="00CD3893" w:rsidP="006F2B5F">
      <w:pPr>
        <w:pStyle w:val="BodyText"/>
      </w:pPr>
      <w:r w:rsidRPr="00D23C78">
        <w:t>FPUC’s revised standard offer rate schedule and standard offer contract conform to all the requirements of Rules 25-17.200 through 25-17.310, F.A.C., and reflect the avoidable costs associated with FPUC’s power purchase agreements. Staff recommends that the revisions to the rate schedule and standard offer contract filed by FPUC be approved as filed.</w:t>
      </w:r>
    </w:p>
    <w:p w:rsidR="006F2B5F" w:rsidRDefault="006F2B5F" w:rsidP="006F2B5F">
      <w:pPr>
        <w:pStyle w:val="IssueHeading"/>
        <w:rPr>
          <w:vanish/>
          <w:specVanish/>
        </w:rPr>
      </w:pPr>
      <w:r>
        <w:br w:type="page"/>
      </w:r>
      <w:r w:rsidRPr="004C3641">
        <w:lastRenderedPageBreak/>
        <w:t xml:space="preserve">Issue </w:t>
      </w:r>
      <w:r w:rsidR="009668B0">
        <w:fldChar w:fldCharType="begin"/>
      </w:r>
      <w:r w:rsidR="009668B0">
        <w:instrText xml:space="preserve"> SEQ Issue \* MERGEFORMAT </w:instrText>
      </w:r>
      <w:r w:rsidR="009668B0">
        <w:fldChar w:fldCharType="separate"/>
      </w:r>
      <w:r w:rsidR="00F534B3">
        <w:rPr>
          <w:noProof/>
        </w:rPr>
        <w:t>2</w:t>
      </w:r>
      <w:r w:rsidR="009668B0">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F534B3">
        <w:rPr>
          <w:noProof/>
        </w:rPr>
        <w:instrText>2</w:instrText>
      </w:r>
      <w:r>
        <w:fldChar w:fldCharType="end"/>
      </w:r>
      <w:r>
        <w:tab/>
        <w:instrText xml:space="preserve">" \l 1 </w:instrText>
      </w:r>
      <w:r>
        <w:fldChar w:fldCharType="end"/>
      </w:r>
      <w:r>
        <w:t> </w:t>
      </w:r>
    </w:p>
    <w:p w:rsidR="006F2B5F" w:rsidRDefault="006F2B5F" w:rsidP="006F2B5F">
      <w:pPr>
        <w:pStyle w:val="BodyText"/>
      </w:pPr>
      <w:r>
        <w:t> Should this docket be closed?</w:t>
      </w:r>
    </w:p>
    <w:p w:rsidR="006F2B5F" w:rsidRPr="004C3641" w:rsidRDefault="006F2B5F" w:rsidP="006F2B5F">
      <w:pPr>
        <w:pStyle w:val="IssueSubsectionHeading"/>
        <w:rPr>
          <w:vanish/>
          <w:specVanish/>
        </w:rPr>
      </w:pPr>
      <w:r w:rsidRPr="004C3641">
        <w:t>Recommendation: </w:t>
      </w:r>
    </w:p>
    <w:p w:rsidR="006F2B5F" w:rsidRDefault="006F2B5F" w:rsidP="006F2B5F">
      <w:pPr>
        <w:pStyle w:val="BodyText"/>
      </w:pPr>
      <w:r>
        <w:t> </w:t>
      </w:r>
      <w:r w:rsidRPr="00F85A95">
        <w:t>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w:t>
      </w:r>
      <w:r>
        <w:t>f a timely protest is filed, FPUC</w:t>
      </w:r>
      <w:r w:rsidRPr="00F85A95">
        <w:t xml:space="preserve">’s </w:t>
      </w:r>
      <w:r>
        <w:t>s</w:t>
      </w:r>
      <w:r w:rsidRPr="00F21FCE">
        <w:t xml:space="preserve">tandard </w:t>
      </w:r>
      <w:r>
        <w:t>o</w:t>
      </w:r>
      <w:r w:rsidRPr="00F21FCE">
        <w:t xml:space="preserve">ffer </w:t>
      </w:r>
      <w:r>
        <w:t>c</w:t>
      </w:r>
      <w:r w:rsidRPr="00F21FCE">
        <w:t>ontract</w:t>
      </w:r>
      <w:r>
        <w:t xml:space="preserve"> </w:t>
      </w:r>
      <w:r w:rsidRPr="00F85A95">
        <w:t>may subsequently be revised. (</w:t>
      </w:r>
      <w:r w:rsidR="009909E1" w:rsidRPr="009909E1">
        <w:t>Dziechciarz</w:t>
      </w:r>
      <w:r>
        <w:t xml:space="preserve">) </w:t>
      </w:r>
    </w:p>
    <w:p w:rsidR="006F2B5F" w:rsidRPr="004C3641" w:rsidRDefault="006F2B5F" w:rsidP="006F2B5F">
      <w:pPr>
        <w:pStyle w:val="IssueSubsectionHeading"/>
        <w:rPr>
          <w:vanish/>
          <w:specVanish/>
        </w:rPr>
      </w:pPr>
      <w:r w:rsidRPr="004C3641">
        <w:t>Staff Analysis: </w:t>
      </w:r>
    </w:p>
    <w:p w:rsidR="000738B6" w:rsidRDefault="006F2B5F" w:rsidP="00CD6403">
      <w:pPr>
        <w:jc w:val="both"/>
        <w:sectPr w:rsidR="000738B6" w:rsidSect="0068481F">
          <w:headerReference w:type="default" r:id="rId12"/>
          <w:headerReference w:type="first" r:id="rId13"/>
          <w:footerReference w:type="first" r:id="rId14"/>
          <w:pgSz w:w="12240" w:h="15840" w:code="1"/>
          <w:pgMar w:top="1584" w:right="1440" w:bottom="1440" w:left="1440" w:header="720" w:footer="720" w:gutter="0"/>
          <w:cols w:space="720"/>
          <w:formProt w:val="0"/>
          <w:docGrid w:linePitch="360"/>
        </w:sectPr>
      </w:pPr>
      <w:r>
        <w:t> </w:t>
      </w:r>
      <w:r w:rsidRPr="00F85A95">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w:t>
      </w:r>
      <w:r>
        <w:t>f a timely protest is filed, FPUC</w:t>
      </w:r>
      <w:r w:rsidRPr="00F85A95">
        <w:t xml:space="preserve">’s </w:t>
      </w:r>
      <w:r>
        <w:t>s</w:t>
      </w:r>
      <w:r w:rsidRPr="00F21FCE">
        <w:t xml:space="preserve">tandard </w:t>
      </w:r>
      <w:r>
        <w:t>o</w:t>
      </w:r>
      <w:r w:rsidRPr="00F21FCE">
        <w:t xml:space="preserve">ffer </w:t>
      </w:r>
      <w:r>
        <w:t>c</w:t>
      </w:r>
      <w:r w:rsidRPr="00F21FCE">
        <w:t>ontract</w:t>
      </w:r>
      <w:r w:rsidRPr="00F85A95">
        <w:t xml:space="preserve"> may subsequently be revise</w:t>
      </w:r>
      <w:r>
        <w:t>d.</w:t>
      </w:r>
    </w:p>
    <w:p w:rsidR="000738B6" w:rsidRDefault="00300933" w:rsidP="006F2B5F">
      <w:pPr>
        <w:sectPr w:rsidR="000738B6" w:rsidSect="0068481F">
          <w:headerReference w:type="default" r:id="rId15"/>
          <w:pgSz w:w="12240" w:h="15840" w:code="1"/>
          <w:pgMar w:top="1584" w:right="1440" w:bottom="1440" w:left="1440" w:header="720" w:footer="720" w:gutter="0"/>
          <w:cols w:space="720"/>
          <w:formProt w:val="0"/>
          <w:docGrid w:linePitch="360"/>
        </w:sectPr>
      </w:pPr>
      <w:r>
        <w:rPr>
          <w:noProof/>
        </w:rPr>
        <w:lastRenderedPageBreak/>
        <w:drawing>
          <wp:inline distT="0" distB="0" distL="0" distR="0">
            <wp:extent cx="5943600" cy="7683500"/>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7683500"/>
                    </a:xfrm>
                    <a:prstGeom prst="rect">
                      <a:avLst/>
                    </a:prstGeom>
                  </pic:spPr>
                </pic:pic>
              </a:graphicData>
            </a:graphic>
          </wp:inline>
        </w:drawing>
      </w:r>
    </w:p>
    <w:p w:rsidR="000738B6" w:rsidRDefault="00300933">
      <w:r>
        <w:rPr>
          <w:noProof/>
        </w:rPr>
        <w:lastRenderedPageBreak/>
        <w:drawing>
          <wp:inline distT="0" distB="0" distL="0" distR="0">
            <wp:extent cx="5943600" cy="7712075"/>
            <wp:effectExtent l="0" t="0" r="0" b="3175"/>
            <wp:docPr id="3" name="Picture 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7712075"/>
                    </a:xfrm>
                    <a:prstGeom prst="rect">
                      <a:avLst/>
                    </a:prstGeom>
                  </pic:spPr>
                </pic:pic>
              </a:graphicData>
            </a:graphic>
          </wp:inline>
        </w:drawing>
      </w:r>
    </w:p>
    <w:p w:rsidR="00300933" w:rsidRDefault="00300933">
      <w:r>
        <w:br w:type="page"/>
      </w:r>
    </w:p>
    <w:p w:rsidR="000738B6" w:rsidRDefault="00300933" w:rsidP="006F2B5F">
      <w:pPr>
        <w:sectPr w:rsidR="000738B6" w:rsidSect="0068481F">
          <w:pgSz w:w="12240" w:h="15840" w:code="1"/>
          <w:pgMar w:top="1584" w:right="1440" w:bottom="1440" w:left="1440" w:header="720" w:footer="720" w:gutter="0"/>
          <w:cols w:space="720"/>
          <w:formProt w:val="0"/>
          <w:docGrid w:linePitch="360"/>
        </w:sectPr>
      </w:pPr>
      <w:r>
        <w:rPr>
          <w:noProof/>
        </w:rPr>
        <w:lastRenderedPageBreak/>
        <w:drawing>
          <wp:inline distT="0" distB="0" distL="0" distR="0">
            <wp:extent cx="5943600" cy="7696835"/>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7696835"/>
                    </a:xfrm>
                    <a:prstGeom prst="rect">
                      <a:avLst/>
                    </a:prstGeom>
                  </pic:spPr>
                </pic:pic>
              </a:graphicData>
            </a:graphic>
          </wp:inline>
        </w:drawing>
      </w:r>
    </w:p>
    <w:p w:rsidR="000738B6" w:rsidRDefault="00300933">
      <w:r>
        <w:rPr>
          <w:noProof/>
        </w:rPr>
        <w:lastRenderedPageBreak/>
        <w:drawing>
          <wp:inline distT="0" distB="0" distL="0" distR="0">
            <wp:extent cx="5943600" cy="770001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943600" cy="7700010"/>
                    </a:xfrm>
                    <a:prstGeom prst="rect">
                      <a:avLst/>
                    </a:prstGeom>
                  </pic:spPr>
                </pic:pic>
              </a:graphicData>
            </a:graphic>
          </wp:inline>
        </w:drawing>
      </w:r>
    </w:p>
    <w:p w:rsidR="00300933" w:rsidRDefault="00300933">
      <w:r>
        <w:br w:type="page"/>
      </w:r>
    </w:p>
    <w:p w:rsidR="000738B6" w:rsidRDefault="00300933" w:rsidP="006F2B5F">
      <w:pPr>
        <w:sectPr w:rsidR="000738B6" w:rsidSect="0068481F">
          <w:pgSz w:w="12240" w:h="15840" w:code="1"/>
          <w:pgMar w:top="1584" w:right="1440" w:bottom="1440" w:left="1440" w:header="720" w:footer="720" w:gutter="0"/>
          <w:cols w:space="720"/>
          <w:formProt w:val="0"/>
          <w:docGrid w:linePitch="360"/>
        </w:sectPr>
      </w:pPr>
      <w:r>
        <w:rPr>
          <w:noProof/>
        </w:rPr>
        <w:lastRenderedPageBreak/>
        <w:drawing>
          <wp:inline distT="0" distB="0" distL="0" distR="0">
            <wp:extent cx="5943600" cy="7704455"/>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7704455"/>
                    </a:xfrm>
                    <a:prstGeom prst="rect">
                      <a:avLst/>
                    </a:prstGeom>
                  </pic:spPr>
                </pic:pic>
              </a:graphicData>
            </a:graphic>
          </wp:inline>
        </w:drawing>
      </w:r>
    </w:p>
    <w:p w:rsidR="00300933" w:rsidRDefault="00300933"/>
    <w:p w:rsidR="000738B6" w:rsidRDefault="00300933">
      <w:r>
        <w:rPr>
          <w:noProof/>
        </w:rPr>
        <w:drawing>
          <wp:inline distT="0" distB="0" distL="0" distR="0">
            <wp:extent cx="5943600" cy="768223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7682230"/>
                    </a:xfrm>
                    <a:prstGeom prst="rect">
                      <a:avLst/>
                    </a:prstGeom>
                  </pic:spPr>
                </pic:pic>
              </a:graphicData>
            </a:graphic>
          </wp:inline>
        </w:drawing>
      </w:r>
    </w:p>
    <w:p w:rsidR="00300933" w:rsidRDefault="00300933">
      <w:r>
        <w:br w:type="page"/>
      </w:r>
    </w:p>
    <w:p w:rsidR="00300933" w:rsidRDefault="00300933" w:rsidP="006F2B5F">
      <w:r>
        <w:rPr>
          <w:noProof/>
        </w:rPr>
        <w:lastRenderedPageBreak/>
        <w:drawing>
          <wp:inline distT="0" distB="0" distL="0" distR="0">
            <wp:extent cx="5943600" cy="768350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3600" cy="7683500"/>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693025"/>
            <wp:effectExtent l="0" t="0" r="0" b="3175"/>
            <wp:docPr id="9" name="Picture 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769302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680325"/>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943600" cy="768032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67270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767270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80669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943600" cy="7806690"/>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689215"/>
            <wp:effectExtent l="0" t="0" r="0" b="6985"/>
            <wp:docPr id="13" name="Picture 1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3600" cy="768921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713980"/>
            <wp:effectExtent l="0" t="0" r="0" b="1270"/>
            <wp:docPr id="14" name="Picture 1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3600" cy="7713980"/>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717155"/>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771715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696835"/>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943600" cy="769683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704455"/>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943600" cy="770445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701915"/>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943600" cy="770191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696200"/>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3600" cy="7696200"/>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694930"/>
            <wp:effectExtent l="0" t="0" r="0" b="1270"/>
            <wp:docPr id="20"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43600" cy="7694930"/>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701915"/>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770191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707630"/>
            <wp:effectExtent l="0" t="0" r="0" b="7620"/>
            <wp:docPr id="2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943600" cy="7707630"/>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684770"/>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7684770"/>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697470"/>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7697470"/>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686040"/>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7686040"/>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745730"/>
            <wp:effectExtent l="0" t="0" r="0" b="7620"/>
            <wp:docPr id="26" name="Picture 2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943600" cy="7745730"/>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696835"/>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769683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706995"/>
            <wp:effectExtent l="0" t="0" r="0" b="8255"/>
            <wp:docPr id="28" name="Picture 2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943600" cy="770699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750175"/>
            <wp:effectExtent l="0" t="0" r="0" b="3175"/>
            <wp:docPr id="29" name="Picture 2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943600" cy="775017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690485"/>
            <wp:effectExtent l="0" t="0" r="0" b="5715"/>
            <wp:docPr id="30" name="Picture 3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43600" cy="769048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693660"/>
            <wp:effectExtent l="0" t="0" r="0" b="2540"/>
            <wp:docPr id="31" name="Picture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943600" cy="7693660"/>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695565"/>
            <wp:effectExtent l="0" t="0" r="0" b="635"/>
            <wp:docPr id="32" name="Picture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43600" cy="769556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725410"/>
            <wp:effectExtent l="0" t="0" r="0" b="8890"/>
            <wp:docPr id="33" name="Picture 3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943600" cy="7725410"/>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706995"/>
            <wp:effectExtent l="0" t="0" r="0" b="8255"/>
            <wp:docPr id="34" name="Picture 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943600" cy="7706995"/>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701280"/>
            <wp:effectExtent l="0" t="0" r="0" b="0"/>
            <wp:docPr id="35" name="Picture 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43600" cy="7701280"/>
                    </a:xfrm>
                    <a:prstGeom prst="rect">
                      <a:avLst/>
                    </a:prstGeom>
                  </pic:spPr>
                </pic:pic>
              </a:graphicData>
            </a:graphic>
          </wp:inline>
        </w:drawing>
      </w:r>
    </w:p>
    <w:p w:rsidR="00300933" w:rsidRDefault="00300933" w:rsidP="00300933">
      <w:r>
        <w:br w:type="page"/>
      </w:r>
    </w:p>
    <w:p w:rsidR="00300933" w:rsidRDefault="00300933" w:rsidP="006F2B5F">
      <w:r>
        <w:rPr>
          <w:noProof/>
        </w:rPr>
        <w:lastRenderedPageBreak/>
        <w:drawing>
          <wp:inline distT="0" distB="0" distL="0" distR="0">
            <wp:extent cx="5943600" cy="7705725"/>
            <wp:effectExtent l="0" t="0" r="0" b="9525"/>
            <wp:docPr id="36" name="Picture 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943600" cy="7705725"/>
                    </a:xfrm>
                    <a:prstGeom prst="rect">
                      <a:avLst/>
                    </a:prstGeom>
                  </pic:spPr>
                </pic:pic>
              </a:graphicData>
            </a:graphic>
          </wp:inline>
        </w:drawing>
      </w:r>
    </w:p>
    <w:p w:rsidR="00300933" w:rsidRDefault="00300933" w:rsidP="00300933">
      <w:r>
        <w:br w:type="page"/>
      </w:r>
    </w:p>
    <w:p w:rsidR="00E06484" w:rsidRDefault="00300933" w:rsidP="006F2B5F">
      <w:r>
        <w:rPr>
          <w:noProof/>
        </w:rPr>
        <w:lastRenderedPageBreak/>
        <w:drawing>
          <wp:inline distT="0" distB="0" distL="0" distR="0">
            <wp:extent cx="5943600" cy="7700010"/>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943600" cy="7700010"/>
                    </a:xfrm>
                    <a:prstGeom prst="rect">
                      <a:avLst/>
                    </a:prstGeom>
                  </pic:spPr>
                </pic:pic>
              </a:graphicData>
            </a:graphic>
          </wp:inline>
        </w:drawing>
      </w:r>
    </w:p>
    <w:sectPr w:rsidR="00E06484" w:rsidSect="0068481F">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90C5A" w:rsidRDefault="00E90C5A">
      <w:r>
        <w:separator/>
      </w:r>
    </w:p>
  </w:endnote>
  <w:endnote w:type="continuationSeparator" w:id="0">
    <w:p w:rsidR="00E90C5A" w:rsidRDefault="00E90C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FF1591">
      <w:rPr>
        <w:rStyle w:val="PageNumber"/>
        <w:noProof/>
      </w:rPr>
      <w:t>41</w:t>
    </w:r>
    <w:r>
      <w:rPr>
        <w:rStyle w:val="PageNumber"/>
      </w:rPr>
      <w:fldChar w:fldCharType="end"/>
    </w:r>
    <w:r>
      <w:rPr>
        <w:rStyle w:val="PageNumber"/>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90C5A" w:rsidRDefault="00E90C5A">
      <w:r>
        <w:separator/>
      </w:r>
    </w:p>
  </w:footnote>
  <w:footnote w:type="continuationSeparator" w:id="0">
    <w:p w:rsidR="00E90C5A" w:rsidRDefault="00E90C5A">
      <w:r>
        <w:continuationSeparator/>
      </w:r>
    </w:p>
  </w:footnote>
  <w:footnote w:id="1">
    <w:p w:rsidR="006F2B5F" w:rsidRPr="00865A9A" w:rsidRDefault="006F2B5F" w:rsidP="006F2B5F">
      <w:pPr>
        <w:pStyle w:val="FootnoteText"/>
      </w:pPr>
      <w:r w:rsidRPr="00865A9A">
        <w:rPr>
          <w:rStyle w:val="FootnoteReference"/>
        </w:rPr>
        <w:footnoteRef/>
      </w:r>
      <w:r w:rsidRPr="00865A9A">
        <w:t xml:space="preserve">Document No. </w:t>
      </w:r>
      <w:r w:rsidR="00E96DBA" w:rsidRPr="00865A9A">
        <w:t>03336</w:t>
      </w:r>
      <w:r w:rsidRPr="00865A9A">
        <w:t>-</w:t>
      </w:r>
      <w:r w:rsidR="00E96DBA" w:rsidRPr="00865A9A">
        <w:t>2018</w:t>
      </w:r>
      <w:r w:rsidRPr="00865A9A">
        <w:t xml:space="preserve">, </w:t>
      </w:r>
      <w:r w:rsidR="00FC5931">
        <w:t>filed</w:t>
      </w:r>
      <w:r w:rsidRPr="00865A9A">
        <w:t xml:space="preserve"> </w:t>
      </w:r>
      <w:r w:rsidR="00E96DBA" w:rsidRPr="00865A9A">
        <w:t>April 30</w:t>
      </w:r>
      <w:r w:rsidRPr="00865A9A">
        <w:t>, 201</w:t>
      </w:r>
      <w:r w:rsidR="00E96DBA" w:rsidRPr="00865A9A">
        <w:t>8</w:t>
      </w:r>
      <w:r w:rsidRPr="00865A9A">
        <w:t xml:space="preserve">, in Docket No. </w:t>
      </w:r>
      <w:r w:rsidR="004A6074" w:rsidRPr="00865A9A">
        <w:t>20</w:t>
      </w:r>
      <w:r w:rsidRPr="00865A9A">
        <w:t>1</w:t>
      </w:r>
      <w:r w:rsidR="00E96DBA" w:rsidRPr="00865A9A">
        <w:t>8</w:t>
      </w:r>
      <w:r w:rsidRPr="00865A9A">
        <w:t>00</w:t>
      </w:r>
      <w:r w:rsidR="00E96DBA" w:rsidRPr="00865A9A">
        <w:t>91</w:t>
      </w:r>
      <w:r w:rsidRPr="00865A9A">
        <w:t>-EQ.</w:t>
      </w:r>
    </w:p>
  </w:footnote>
  <w:footnote w:id="2">
    <w:p w:rsidR="006F2B5F" w:rsidRDefault="006F2B5F" w:rsidP="006F2B5F">
      <w:pPr>
        <w:pStyle w:val="FootnoteText"/>
      </w:pPr>
      <w:r w:rsidRPr="00D23C78">
        <w:rPr>
          <w:rStyle w:val="FootnoteReference"/>
        </w:rPr>
        <w:footnoteRef/>
      </w:r>
      <w:r w:rsidRPr="00D23C78">
        <w:t>Document No. 0</w:t>
      </w:r>
      <w:r w:rsidR="00E96DBA" w:rsidRPr="00D23C78">
        <w:t>3336</w:t>
      </w:r>
      <w:r w:rsidRPr="00D23C78">
        <w:t>-</w:t>
      </w:r>
      <w:r w:rsidR="00E96DBA" w:rsidRPr="00D23C78">
        <w:t>2018</w:t>
      </w:r>
      <w:r w:rsidRPr="00D23C78">
        <w:t xml:space="preserve">, </w:t>
      </w:r>
      <w:r w:rsidR="005B3AC3">
        <w:t>filed</w:t>
      </w:r>
      <w:r w:rsidRPr="00D23C78">
        <w:t xml:space="preserve"> </w:t>
      </w:r>
      <w:r w:rsidR="00E96DBA" w:rsidRPr="00D23C78">
        <w:t xml:space="preserve">April </w:t>
      </w:r>
      <w:r w:rsidRPr="00D23C78">
        <w:t>3</w:t>
      </w:r>
      <w:r w:rsidR="00E96DBA" w:rsidRPr="00D23C78">
        <w:t>0</w:t>
      </w:r>
      <w:r w:rsidRPr="00D23C78">
        <w:t>, 201</w:t>
      </w:r>
      <w:r w:rsidR="00E96DBA" w:rsidRPr="00D23C78">
        <w:t>8</w:t>
      </w:r>
      <w:r w:rsidRPr="00D23C78">
        <w:t xml:space="preserve">, in Docket No. </w:t>
      </w:r>
      <w:r w:rsidR="004A6074" w:rsidRPr="00D23C78">
        <w:t>20</w:t>
      </w:r>
      <w:r w:rsidRPr="00D23C78">
        <w:t>1</w:t>
      </w:r>
      <w:r w:rsidR="00E96DBA" w:rsidRPr="00D23C78">
        <w:t>8</w:t>
      </w:r>
      <w:r w:rsidRPr="00D23C78">
        <w:t>00</w:t>
      </w:r>
      <w:r w:rsidR="00E96DBA" w:rsidRPr="00D23C78">
        <w:t>91</w:t>
      </w:r>
      <w:r w:rsidRPr="00D23C78">
        <w:t>-EQ.</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E90C5A"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20180091-EQ</w:t>
    </w:r>
    <w:bookmarkEnd w:id="15"/>
  </w:p>
  <w:p w:rsidR="00BC402E" w:rsidRDefault="00BC402E">
    <w:pPr>
      <w:pStyle w:val="Header"/>
    </w:pPr>
    <w:r>
      <w:t xml:space="preserve">Date: </w:t>
    </w:r>
    <w:r w:rsidR="009668B0">
      <w:fldChar w:fldCharType="begin"/>
    </w:r>
    <w:r w:rsidR="009668B0">
      <w:instrText xml:space="preserve"> REF FilingDate </w:instrText>
    </w:r>
    <w:r w:rsidR="009668B0">
      <w:fldChar w:fldCharType="separate"/>
    </w:r>
    <w:r w:rsidR="00F534B3" w:rsidRPr="00F84CB4">
      <w:t>May 23, 2018</w:t>
    </w:r>
    <w:r w:rsidR="009668B0">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F534B3">
      <w:t>Docket No.</w:t>
    </w:r>
    <w:r>
      <w:fldChar w:fldCharType="end"/>
    </w:r>
    <w:r>
      <w:t xml:space="preserve"> </w:t>
    </w:r>
    <w:r>
      <w:fldChar w:fldCharType="begin"/>
    </w:r>
    <w:r>
      <w:instrText xml:space="preserve"> REF DocketList</w:instrText>
    </w:r>
    <w:r>
      <w:fldChar w:fldCharType="separate"/>
    </w:r>
    <w:r w:rsidR="00F534B3">
      <w:t>20180091-EQ</w:t>
    </w:r>
    <w:r>
      <w:fldChar w:fldCharType="end"/>
    </w:r>
    <w:r>
      <w:tab/>
      <w:t xml:space="preserve">Issue </w:t>
    </w:r>
    <w:r w:rsidR="009668B0">
      <w:fldChar w:fldCharType="begin"/>
    </w:r>
    <w:r w:rsidR="009668B0">
      <w:instrText xml:space="preserve"> Seq Issue \c \* Arabic </w:instrText>
    </w:r>
    <w:r w:rsidR="009668B0">
      <w:fldChar w:fldCharType="separate"/>
    </w:r>
    <w:r w:rsidR="00FF1591">
      <w:rPr>
        <w:noProof/>
      </w:rPr>
      <w:t>2</w:t>
    </w:r>
    <w:r w:rsidR="009668B0">
      <w:rPr>
        <w:noProof/>
      </w:rPr>
      <w:fldChar w:fldCharType="end"/>
    </w:r>
  </w:p>
  <w:p w:rsidR="00BC402E" w:rsidRDefault="00BC402E">
    <w:pPr>
      <w:pStyle w:val="Header"/>
    </w:pPr>
    <w:r>
      <w:t xml:space="preserve">Date: </w:t>
    </w:r>
    <w:r w:rsidR="009668B0">
      <w:fldChar w:fldCharType="begin"/>
    </w:r>
    <w:r w:rsidR="009668B0">
      <w:instrText xml:space="preserve"> REF FilingDate </w:instrText>
    </w:r>
    <w:r w:rsidR="009668B0">
      <w:fldChar w:fldCharType="separate"/>
    </w:r>
    <w:r w:rsidR="00F534B3" w:rsidRPr="00F84CB4">
      <w:t>May 23, 2018</w:t>
    </w:r>
    <w:r w:rsidR="009668B0">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402E" w:rsidRDefault="00BC402E">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38B6" w:rsidRDefault="000738B6" w:rsidP="00220732">
    <w:pPr>
      <w:pStyle w:val="Header"/>
      <w:tabs>
        <w:tab w:val="clear" w:pos="4320"/>
        <w:tab w:val="clear" w:pos="8640"/>
        <w:tab w:val="right" w:pos="9360"/>
      </w:tabs>
    </w:pPr>
    <w:r>
      <w:fldChar w:fldCharType="begin"/>
    </w:r>
    <w:r>
      <w:instrText xml:space="preserve"> REF DocketLabel</w:instrText>
    </w:r>
    <w:r>
      <w:fldChar w:fldCharType="separate"/>
    </w:r>
    <w:r w:rsidR="00F534B3">
      <w:t>Docket No.</w:t>
    </w:r>
    <w:r>
      <w:fldChar w:fldCharType="end"/>
    </w:r>
    <w:r>
      <w:t xml:space="preserve"> </w:t>
    </w:r>
    <w:r>
      <w:fldChar w:fldCharType="begin"/>
    </w:r>
    <w:r>
      <w:instrText xml:space="preserve"> REF DocketList</w:instrText>
    </w:r>
    <w:r>
      <w:fldChar w:fldCharType="separate"/>
    </w:r>
    <w:r w:rsidR="00F534B3">
      <w:t>20180091-EQ</w:t>
    </w:r>
    <w:r>
      <w:fldChar w:fldCharType="end"/>
    </w:r>
    <w:r>
      <w:tab/>
      <w:t>Attachment A</w:t>
    </w:r>
  </w:p>
  <w:p w:rsidR="000738B6" w:rsidRDefault="000738B6" w:rsidP="000738B6">
    <w:pPr>
      <w:pStyle w:val="Header"/>
      <w:tabs>
        <w:tab w:val="clear" w:pos="8640"/>
        <w:tab w:val="right" w:pos="9360"/>
      </w:tabs>
    </w:pPr>
    <w:r>
      <w:t xml:space="preserve">Date: </w:t>
    </w:r>
    <w:r w:rsidR="009668B0">
      <w:fldChar w:fldCharType="begin"/>
    </w:r>
    <w:r w:rsidR="009668B0">
      <w:instrText xml:space="preserve"> REF FilingDate </w:instrText>
    </w:r>
    <w:r w:rsidR="009668B0">
      <w:fldChar w:fldCharType="separate"/>
    </w:r>
    <w:r w:rsidR="00F534B3" w:rsidRPr="00F84CB4">
      <w:t>May 23, 2018</w:t>
    </w:r>
    <w:r w:rsidR="009668B0">
      <w:fldChar w:fldCharType="end"/>
    </w:r>
    <w:r>
      <w:tab/>
    </w:r>
    <w:r>
      <w:tab/>
    </w:r>
    <w:r w:rsidR="00DE4724">
      <w:t xml:space="preserve">  </w:t>
    </w:r>
    <w:r>
      <w:t xml:space="preserve">Page </w:t>
    </w:r>
    <w:r>
      <w:fldChar w:fldCharType="begin"/>
    </w:r>
    <w:r>
      <w:instrText xml:space="preserve"> =</w:instrText>
    </w:r>
    <w:r>
      <w:fldChar w:fldCharType="begin"/>
    </w:r>
    <w:r>
      <w:instrText xml:space="preserve"> page </w:instrText>
    </w:r>
    <w:r>
      <w:fldChar w:fldCharType="separate"/>
    </w:r>
    <w:r w:rsidR="00FF1591">
      <w:rPr>
        <w:noProof/>
      </w:rPr>
      <w:instrText>41</w:instrText>
    </w:r>
    <w:r>
      <w:fldChar w:fldCharType="end"/>
    </w:r>
    <w:r>
      <w:instrText xml:space="preserve">-5 </w:instrText>
    </w:r>
    <w:r>
      <w:fldChar w:fldCharType="separate"/>
    </w:r>
    <w:r w:rsidR="00FF1591">
      <w:rPr>
        <w:noProof/>
      </w:rPr>
      <w:t>36</w:t>
    </w:r>
    <w:r>
      <w:fldChar w:fldCharType="end"/>
    </w:r>
    <w:r>
      <w:t xml:space="preserve"> of </w:t>
    </w:r>
    <w:r w:rsidR="00300933">
      <w:t>3</w:t>
    </w:r>
    <w:r w:rsidR="007B18EF">
      <w:t>6</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BEFC6C16"/>
    <w:lvl w:ilvl="0">
      <w:start w:val="1"/>
      <w:numFmt w:val="decimal"/>
      <w:lvlText w:val="%1."/>
      <w:lvlJc w:val="left"/>
      <w:pPr>
        <w:tabs>
          <w:tab w:val="num" w:pos="1800"/>
        </w:tabs>
        <w:ind w:left="1800" w:hanging="360"/>
      </w:pPr>
    </w:lvl>
  </w:abstractNum>
  <w:abstractNum w:abstractNumId="1">
    <w:nsid w:val="FFFFFF7D"/>
    <w:multiLevelType w:val="singleLevel"/>
    <w:tmpl w:val="40AA0D90"/>
    <w:lvl w:ilvl="0">
      <w:start w:val="1"/>
      <w:numFmt w:val="decimal"/>
      <w:lvlText w:val="%1."/>
      <w:lvlJc w:val="left"/>
      <w:pPr>
        <w:tabs>
          <w:tab w:val="num" w:pos="1440"/>
        </w:tabs>
        <w:ind w:left="1440" w:hanging="360"/>
      </w:pPr>
    </w:lvl>
  </w:abstractNum>
  <w:abstractNum w:abstractNumId="2">
    <w:nsid w:val="FFFFFF7E"/>
    <w:multiLevelType w:val="singleLevel"/>
    <w:tmpl w:val="E7762B08"/>
    <w:lvl w:ilvl="0">
      <w:start w:val="1"/>
      <w:numFmt w:val="decimal"/>
      <w:lvlText w:val="%1."/>
      <w:lvlJc w:val="left"/>
      <w:pPr>
        <w:tabs>
          <w:tab w:val="num" w:pos="1080"/>
        </w:tabs>
        <w:ind w:left="1080" w:hanging="360"/>
      </w:pPr>
    </w:lvl>
  </w:abstractNum>
  <w:abstractNum w:abstractNumId="3">
    <w:nsid w:val="FFFFFF7F"/>
    <w:multiLevelType w:val="singleLevel"/>
    <w:tmpl w:val="C8FE44F6"/>
    <w:lvl w:ilvl="0">
      <w:start w:val="1"/>
      <w:numFmt w:val="decimal"/>
      <w:lvlText w:val="%1."/>
      <w:lvlJc w:val="left"/>
      <w:pPr>
        <w:tabs>
          <w:tab w:val="num" w:pos="720"/>
        </w:tabs>
        <w:ind w:left="720" w:hanging="360"/>
      </w:pPr>
    </w:lvl>
  </w:abstractNum>
  <w:abstractNum w:abstractNumId="4">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D0D63E3A"/>
    <w:lvl w:ilvl="0">
      <w:start w:val="1"/>
      <w:numFmt w:val="decimal"/>
      <w:lvlText w:val="%1."/>
      <w:lvlJc w:val="left"/>
      <w:pPr>
        <w:tabs>
          <w:tab w:val="num" w:pos="360"/>
        </w:tabs>
        <w:ind w:left="360" w:hanging="360"/>
      </w:pPr>
    </w:lvl>
  </w:abstractNum>
  <w:abstractNum w:abstractNumId="9">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51201"/>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E90C5A"/>
    <w:rsid w:val="000043D5"/>
    <w:rsid w:val="00006170"/>
    <w:rsid w:val="000074BB"/>
    <w:rsid w:val="00010E37"/>
    <w:rsid w:val="000172DA"/>
    <w:rsid w:val="000247C5"/>
    <w:rsid w:val="000277C2"/>
    <w:rsid w:val="00035B48"/>
    <w:rsid w:val="00036CE2"/>
    <w:rsid w:val="000437FE"/>
    <w:rsid w:val="000513BE"/>
    <w:rsid w:val="00065A06"/>
    <w:rsid w:val="000666F3"/>
    <w:rsid w:val="00070DCB"/>
    <w:rsid w:val="00073120"/>
    <w:rsid w:val="000738B6"/>
    <w:rsid w:val="000764D0"/>
    <w:rsid w:val="0008214C"/>
    <w:rsid w:val="000828D3"/>
    <w:rsid w:val="000A2B57"/>
    <w:rsid w:val="000A418B"/>
    <w:rsid w:val="000C4431"/>
    <w:rsid w:val="000D1C06"/>
    <w:rsid w:val="000D4319"/>
    <w:rsid w:val="000F374A"/>
    <w:rsid w:val="001076AF"/>
    <w:rsid w:val="00117C8C"/>
    <w:rsid w:val="00124E2E"/>
    <w:rsid w:val="00125ED4"/>
    <w:rsid w:val="001305E9"/>
    <w:rsid w:val="001307AF"/>
    <w:rsid w:val="00135687"/>
    <w:rsid w:val="0015506E"/>
    <w:rsid w:val="00163031"/>
    <w:rsid w:val="00171A66"/>
    <w:rsid w:val="00171A90"/>
    <w:rsid w:val="00180254"/>
    <w:rsid w:val="00191E1F"/>
    <w:rsid w:val="00192943"/>
    <w:rsid w:val="001A7111"/>
    <w:rsid w:val="001A7406"/>
    <w:rsid w:val="001B4FEE"/>
    <w:rsid w:val="001B51C5"/>
    <w:rsid w:val="001B6F3F"/>
    <w:rsid w:val="001B6FDE"/>
    <w:rsid w:val="001C52B5"/>
    <w:rsid w:val="001C7F89"/>
    <w:rsid w:val="001D0D3E"/>
    <w:rsid w:val="001F2245"/>
    <w:rsid w:val="001F2C63"/>
    <w:rsid w:val="001F48C7"/>
    <w:rsid w:val="001F6DA1"/>
    <w:rsid w:val="002044E6"/>
    <w:rsid w:val="00205C82"/>
    <w:rsid w:val="00205DC2"/>
    <w:rsid w:val="00207AC7"/>
    <w:rsid w:val="00212B17"/>
    <w:rsid w:val="002163B6"/>
    <w:rsid w:val="00220732"/>
    <w:rsid w:val="00221D32"/>
    <w:rsid w:val="00225C3F"/>
    <w:rsid w:val="00263D44"/>
    <w:rsid w:val="002702AD"/>
    <w:rsid w:val="00292D82"/>
    <w:rsid w:val="002963CB"/>
    <w:rsid w:val="002A7CBB"/>
    <w:rsid w:val="002C5287"/>
    <w:rsid w:val="002D226D"/>
    <w:rsid w:val="002F6030"/>
    <w:rsid w:val="00300933"/>
    <w:rsid w:val="003037E1"/>
    <w:rsid w:val="00307E51"/>
    <w:rsid w:val="003103EC"/>
    <w:rsid w:val="003122FA"/>
    <w:rsid w:val="003144EF"/>
    <w:rsid w:val="00316755"/>
    <w:rsid w:val="00322F74"/>
    <w:rsid w:val="00340073"/>
    <w:rsid w:val="00361F5C"/>
    <w:rsid w:val="003632FD"/>
    <w:rsid w:val="00372805"/>
    <w:rsid w:val="00373180"/>
    <w:rsid w:val="00374CE3"/>
    <w:rsid w:val="00375AB9"/>
    <w:rsid w:val="003821A0"/>
    <w:rsid w:val="00385B04"/>
    <w:rsid w:val="003864CF"/>
    <w:rsid w:val="003A22A6"/>
    <w:rsid w:val="003A5494"/>
    <w:rsid w:val="003B2510"/>
    <w:rsid w:val="003C2CC4"/>
    <w:rsid w:val="003C3710"/>
    <w:rsid w:val="003C48C9"/>
    <w:rsid w:val="003D1202"/>
    <w:rsid w:val="003D3A1F"/>
    <w:rsid w:val="003E0EFC"/>
    <w:rsid w:val="003E4A2B"/>
    <w:rsid w:val="003E76C2"/>
    <w:rsid w:val="003F1679"/>
    <w:rsid w:val="003F21EB"/>
    <w:rsid w:val="003F4A35"/>
    <w:rsid w:val="003F7FDD"/>
    <w:rsid w:val="00402481"/>
    <w:rsid w:val="004042B4"/>
    <w:rsid w:val="00410DC4"/>
    <w:rsid w:val="00412DAE"/>
    <w:rsid w:val="00422C40"/>
    <w:rsid w:val="004242E6"/>
    <w:rsid w:val="00431598"/>
    <w:rsid w:val="004319AD"/>
    <w:rsid w:val="004426B8"/>
    <w:rsid w:val="00444432"/>
    <w:rsid w:val="00471860"/>
    <w:rsid w:val="00473AE3"/>
    <w:rsid w:val="004A457D"/>
    <w:rsid w:val="004A6074"/>
    <w:rsid w:val="004A744D"/>
    <w:rsid w:val="004B60BD"/>
    <w:rsid w:val="004C3150"/>
    <w:rsid w:val="004C3641"/>
    <w:rsid w:val="004C4390"/>
    <w:rsid w:val="004C4AF7"/>
    <w:rsid w:val="004D2881"/>
    <w:rsid w:val="004D385F"/>
    <w:rsid w:val="004D5B39"/>
    <w:rsid w:val="004E330D"/>
    <w:rsid w:val="004E5147"/>
    <w:rsid w:val="004F5C43"/>
    <w:rsid w:val="0050652D"/>
    <w:rsid w:val="00506C03"/>
    <w:rsid w:val="00511A11"/>
    <w:rsid w:val="00516496"/>
    <w:rsid w:val="00523B11"/>
    <w:rsid w:val="0052572A"/>
    <w:rsid w:val="005439D2"/>
    <w:rsid w:val="00543CB3"/>
    <w:rsid w:val="005442E4"/>
    <w:rsid w:val="0054682B"/>
    <w:rsid w:val="00560FF0"/>
    <w:rsid w:val="005614BD"/>
    <w:rsid w:val="0057154F"/>
    <w:rsid w:val="00580F69"/>
    <w:rsid w:val="00581CA3"/>
    <w:rsid w:val="00587A44"/>
    <w:rsid w:val="00597730"/>
    <w:rsid w:val="005977EC"/>
    <w:rsid w:val="00597DE7"/>
    <w:rsid w:val="005A4AA2"/>
    <w:rsid w:val="005B34B6"/>
    <w:rsid w:val="005B3AC3"/>
    <w:rsid w:val="005B6C8F"/>
    <w:rsid w:val="005B6EC3"/>
    <w:rsid w:val="005C35EF"/>
    <w:rsid w:val="005D0F74"/>
    <w:rsid w:val="005D2E7D"/>
    <w:rsid w:val="005D4A8F"/>
    <w:rsid w:val="005D561B"/>
    <w:rsid w:val="005D5ECF"/>
    <w:rsid w:val="005F468D"/>
    <w:rsid w:val="005F69A3"/>
    <w:rsid w:val="00604CC7"/>
    <w:rsid w:val="006077FF"/>
    <w:rsid w:val="00615423"/>
    <w:rsid w:val="006165B2"/>
    <w:rsid w:val="00617276"/>
    <w:rsid w:val="0062527B"/>
    <w:rsid w:val="00625D97"/>
    <w:rsid w:val="00625F1C"/>
    <w:rsid w:val="006279E1"/>
    <w:rsid w:val="00630CEB"/>
    <w:rsid w:val="00632264"/>
    <w:rsid w:val="006470BC"/>
    <w:rsid w:val="006554D3"/>
    <w:rsid w:val="00667036"/>
    <w:rsid w:val="00673BDB"/>
    <w:rsid w:val="00674341"/>
    <w:rsid w:val="006771B8"/>
    <w:rsid w:val="006843B6"/>
    <w:rsid w:val="0068481F"/>
    <w:rsid w:val="00696F5D"/>
    <w:rsid w:val="00697249"/>
    <w:rsid w:val="006B3947"/>
    <w:rsid w:val="006B4293"/>
    <w:rsid w:val="006B624F"/>
    <w:rsid w:val="006C0882"/>
    <w:rsid w:val="006C0C95"/>
    <w:rsid w:val="006C31E3"/>
    <w:rsid w:val="006D18D3"/>
    <w:rsid w:val="006E08CB"/>
    <w:rsid w:val="006E598D"/>
    <w:rsid w:val="006F2B5F"/>
    <w:rsid w:val="0070437D"/>
    <w:rsid w:val="00704CF1"/>
    <w:rsid w:val="00705B04"/>
    <w:rsid w:val="00724992"/>
    <w:rsid w:val="00734820"/>
    <w:rsid w:val="007349DC"/>
    <w:rsid w:val="0074365E"/>
    <w:rsid w:val="00744B55"/>
    <w:rsid w:val="007515FD"/>
    <w:rsid w:val="00760D80"/>
    <w:rsid w:val="00766FB7"/>
    <w:rsid w:val="00780C09"/>
    <w:rsid w:val="00780DDF"/>
    <w:rsid w:val="007834E9"/>
    <w:rsid w:val="00787DBC"/>
    <w:rsid w:val="0079019A"/>
    <w:rsid w:val="00792935"/>
    <w:rsid w:val="007A04A1"/>
    <w:rsid w:val="007A1840"/>
    <w:rsid w:val="007B18EF"/>
    <w:rsid w:val="007C0528"/>
    <w:rsid w:val="007C3D38"/>
    <w:rsid w:val="007D0F35"/>
    <w:rsid w:val="007D4FEB"/>
    <w:rsid w:val="007D6146"/>
    <w:rsid w:val="007E0CE7"/>
    <w:rsid w:val="007F1193"/>
    <w:rsid w:val="007F417F"/>
    <w:rsid w:val="007F7644"/>
    <w:rsid w:val="008042BD"/>
    <w:rsid w:val="00804D51"/>
    <w:rsid w:val="00816624"/>
    <w:rsid w:val="00822427"/>
    <w:rsid w:val="00822562"/>
    <w:rsid w:val="00823663"/>
    <w:rsid w:val="00832DDC"/>
    <w:rsid w:val="00850BAC"/>
    <w:rsid w:val="00854A3E"/>
    <w:rsid w:val="00855D08"/>
    <w:rsid w:val="00862808"/>
    <w:rsid w:val="00865A9A"/>
    <w:rsid w:val="00874344"/>
    <w:rsid w:val="00882155"/>
    <w:rsid w:val="0088233B"/>
    <w:rsid w:val="0088599E"/>
    <w:rsid w:val="00886C37"/>
    <w:rsid w:val="00892D99"/>
    <w:rsid w:val="00893315"/>
    <w:rsid w:val="00895ECA"/>
    <w:rsid w:val="008B62AE"/>
    <w:rsid w:val="008C04B5"/>
    <w:rsid w:val="008C14FA"/>
    <w:rsid w:val="008C7B0B"/>
    <w:rsid w:val="008D4057"/>
    <w:rsid w:val="008E1F19"/>
    <w:rsid w:val="008E6D74"/>
    <w:rsid w:val="008E6DCE"/>
    <w:rsid w:val="008F2262"/>
    <w:rsid w:val="008F4D2B"/>
    <w:rsid w:val="008F7736"/>
    <w:rsid w:val="0090019E"/>
    <w:rsid w:val="00901086"/>
    <w:rsid w:val="00901C8A"/>
    <w:rsid w:val="00905886"/>
    <w:rsid w:val="009070D6"/>
    <w:rsid w:val="009076C6"/>
    <w:rsid w:val="0091019E"/>
    <w:rsid w:val="009106F1"/>
    <w:rsid w:val="00912404"/>
    <w:rsid w:val="00913FDE"/>
    <w:rsid w:val="009145D6"/>
    <w:rsid w:val="00920E64"/>
    <w:rsid w:val="00922002"/>
    <w:rsid w:val="00924020"/>
    <w:rsid w:val="009271A7"/>
    <w:rsid w:val="0092746F"/>
    <w:rsid w:val="0093658B"/>
    <w:rsid w:val="009429FF"/>
    <w:rsid w:val="00945BD6"/>
    <w:rsid w:val="009479FB"/>
    <w:rsid w:val="00951C45"/>
    <w:rsid w:val="009656F2"/>
    <w:rsid w:val="00966A08"/>
    <w:rsid w:val="00971207"/>
    <w:rsid w:val="00975CB4"/>
    <w:rsid w:val="009863B0"/>
    <w:rsid w:val="00987DE1"/>
    <w:rsid w:val="00990571"/>
    <w:rsid w:val="009909E1"/>
    <w:rsid w:val="0099673A"/>
    <w:rsid w:val="009A3330"/>
    <w:rsid w:val="009A59DC"/>
    <w:rsid w:val="009A7C96"/>
    <w:rsid w:val="009C3DB9"/>
    <w:rsid w:val="009D25AF"/>
    <w:rsid w:val="009D46E5"/>
    <w:rsid w:val="009D568A"/>
    <w:rsid w:val="009F04EC"/>
    <w:rsid w:val="009F2A7C"/>
    <w:rsid w:val="009F3B36"/>
    <w:rsid w:val="009F6C05"/>
    <w:rsid w:val="00A0106E"/>
    <w:rsid w:val="00A019B9"/>
    <w:rsid w:val="00A12508"/>
    <w:rsid w:val="00A1282B"/>
    <w:rsid w:val="00A13A27"/>
    <w:rsid w:val="00A16A25"/>
    <w:rsid w:val="00A175B6"/>
    <w:rsid w:val="00A21835"/>
    <w:rsid w:val="00A2374B"/>
    <w:rsid w:val="00A27D6E"/>
    <w:rsid w:val="00A328EC"/>
    <w:rsid w:val="00A33A51"/>
    <w:rsid w:val="00A41CA6"/>
    <w:rsid w:val="00A47927"/>
    <w:rsid w:val="00A47FFC"/>
    <w:rsid w:val="00A5442F"/>
    <w:rsid w:val="00A54FF9"/>
    <w:rsid w:val="00A56765"/>
    <w:rsid w:val="00A675AC"/>
    <w:rsid w:val="00A7581F"/>
    <w:rsid w:val="00A91EF3"/>
    <w:rsid w:val="00A92396"/>
    <w:rsid w:val="00A92FB1"/>
    <w:rsid w:val="00A95A0C"/>
    <w:rsid w:val="00AA2765"/>
    <w:rsid w:val="00AA77B5"/>
    <w:rsid w:val="00AB6C5D"/>
    <w:rsid w:val="00AC3401"/>
    <w:rsid w:val="00AC51A7"/>
    <w:rsid w:val="00AD444B"/>
    <w:rsid w:val="00AD6C78"/>
    <w:rsid w:val="00AE2EAB"/>
    <w:rsid w:val="00AF5F89"/>
    <w:rsid w:val="00AF73CB"/>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516ED"/>
    <w:rsid w:val="00B57A6A"/>
    <w:rsid w:val="00B614DA"/>
    <w:rsid w:val="00B70066"/>
    <w:rsid w:val="00B760F1"/>
    <w:rsid w:val="00B7669E"/>
    <w:rsid w:val="00B77DA1"/>
    <w:rsid w:val="00B822A0"/>
    <w:rsid w:val="00B858AE"/>
    <w:rsid w:val="00B85964"/>
    <w:rsid w:val="00B96250"/>
    <w:rsid w:val="00BA0D55"/>
    <w:rsid w:val="00BA37B3"/>
    <w:rsid w:val="00BA4CC6"/>
    <w:rsid w:val="00BA6C89"/>
    <w:rsid w:val="00BB3493"/>
    <w:rsid w:val="00BB7468"/>
    <w:rsid w:val="00BC188A"/>
    <w:rsid w:val="00BC402E"/>
    <w:rsid w:val="00BD0F48"/>
    <w:rsid w:val="00BF5010"/>
    <w:rsid w:val="00C03D5F"/>
    <w:rsid w:val="00C13791"/>
    <w:rsid w:val="00C31BB3"/>
    <w:rsid w:val="00C36977"/>
    <w:rsid w:val="00C467DA"/>
    <w:rsid w:val="00C477D9"/>
    <w:rsid w:val="00C60BA3"/>
    <w:rsid w:val="00C623F7"/>
    <w:rsid w:val="00C75BC5"/>
    <w:rsid w:val="00C81670"/>
    <w:rsid w:val="00C81773"/>
    <w:rsid w:val="00C82861"/>
    <w:rsid w:val="00C86896"/>
    <w:rsid w:val="00C907A8"/>
    <w:rsid w:val="00C93211"/>
    <w:rsid w:val="00C942EC"/>
    <w:rsid w:val="00C96047"/>
    <w:rsid w:val="00C979D0"/>
    <w:rsid w:val="00CA0818"/>
    <w:rsid w:val="00CA15C8"/>
    <w:rsid w:val="00CA2C8F"/>
    <w:rsid w:val="00CA30DA"/>
    <w:rsid w:val="00CA3A24"/>
    <w:rsid w:val="00CB1777"/>
    <w:rsid w:val="00CB33E9"/>
    <w:rsid w:val="00CB7D92"/>
    <w:rsid w:val="00CC10A9"/>
    <w:rsid w:val="00CD3893"/>
    <w:rsid w:val="00CD6403"/>
    <w:rsid w:val="00CE2BF8"/>
    <w:rsid w:val="00CE484E"/>
    <w:rsid w:val="00CE656F"/>
    <w:rsid w:val="00CF00EF"/>
    <w:rsid w:val="00CF0DA8"/>
    <w:rsid w:val="00CF2E25"/>
    <w:rsid w:val="00CF4453"/>
    <w:rsid w:val="00CF5D94"/>
    <w:rsid w:val="00CF7E0F"/>
    <w:rsid w:val="00D034D7"/>
    <w:rsid w:val="00D04BE4"/>
    <w:rsid w:val="00D06FC7"/>
    <w:rsid w:val="00D119A8"/>
    <w:rsid w:val="00D12565"/>
    <w:rsid w:val="00D14127"/>
    <w:rsid w:val="00D23C78"/>
    <w:rsid w:val="00D41D89"/>
    <w:rsid w:val="00D50070"/>
    <w:rsid w:val="00D54BE3"/>
    <w:rsid w:val="00D60B16"/>
    <w:rsid w:val="00D60F02"/>
    <w:rsid w:val="00D66E49"/>
    <w:rsid w:val="00D70D71"/>
    <w:rsid w:val="00D72F74"/>
    <w:rsid w:val="00D75B18"/>
    <w:rsid w:val="00D81563"/>
    <w:rsid w:val="00D82331"/>
    <w:rsid w:val="00D85907"/>
    <w:rsid w:val="00D9073E"/>
    <w:rsid w:val="00D9221D"/>
    <w:rsid w:val="00D958DF"/>
    <w:rsid w:val="00D96DA1"/>
    <w:rsid w:val="00DA51E7"/>
    <w:rsid w:val="00DB0260"/>
    <w:rsid w:val="00DB1C78"/>
    <w:rsid w:val="00DB1DE2"/>
    <w:rsid w:val="00DB7D96"/>
    <w:rsid w:val="00DC23FE"/>
    <w:rsid w:val="00DC432C"/>
    <w:rsid w:val="00DC59E6"/>
    <w:rsid w:val="00DD150B"/>
    <w:rsid w:val="00DD5025"/>
    <w:rsid w:val="00DE1B59"/>
    <w:rsid w:val="00DE4724"/>
    <w:rsid w:val="00DF1510"/>
    <w:rsid w:val="00DF389E"/>
    <w:rsid w:val="00E02F1F"/>
    <w:rsid w:val="00E036AF"/>
    <w:rsid w:val="00E06484"/>
    <w:rsid w:val="00E20A7D"/>
    <w:rsid w:val="00E275D8"/>
    <w:rsid w:val="00E30F6A"/>
    <w:rsid w:val="00E3117C"/>
    <w:rsid w:val="00E375CA"/>
    <w:rsid w:val="00E44E7E"/>
    <w:rsid w:val="00E505EF"/>
    <w:rsid w:val="00E567E8"/>
    <w:rsid w:val="00E64679"/>
    <w:rsid w:val="00E65EBC"/>
    <w:rsid w:val="00E66EE5"/>
    <w:rsid w:val="00E677FE"/>
    <w:rsid w:val="00E73432"/>
    <w:rsid w:val="00E77B0C"/>
    <w:rsid w:val="00E77FB8"/>
    <w:rsid w:val="00E80978"/>
    <w:rsid w:val="00E838B0"/>
    <w:rsid w:val="00E86A7C"/>
    <w:rsid w:val="00E87332"/>
    <w:rsid w:val="00E878E1"/>
    <w:rsid w:val="00E87F2C"/>
    <w:rsid w:val="00E90C5A"/>
    <w:rsid w:val="00E95278"/>
    <w:rsid w:val="00E96DBA"/>
    <w:rsid w:val="00EA2273"/>
    <w:rsid w:val="00EA665A"/>
    <w:rsid w:val="00EA7C3C"/>
    <w:rsid w:val="00EB2DB3"/>
    <w:rsid w:val="00EC3FBB"/>
    <w:rsid w:val="00EC6B7A"/>
    <w:rsid w:val="00ED3A87"/>
    <w:rsid w:val="00ED5B67"/>
    <w:rsid w:val="00EE2685"/>
    <w:rsid w:val="00EF264C"/>
    <w:rsid w:val="00EF3FEE"/>
    <w:rsid w:val="00F04B59"/>
    <w:rsid w:val="00F11741"/>
    <w:rsid w:val="00F12B1C"/>
    <w:rsid w:val="00F1379C"/>
    <w:rsid w:val="00F13CF8"/>
    <w:rsid w:val="00F15855"/>
    <w:rsid w:val="00F32978"/>
    <w:rsid w:val="00F45CB2"/>
    <w:rsid w:val="00F534B3"/>
    <w:rsid w:val="00F544C0"/>
    <w:rsid w:val="00F54568"/>
    <w:rsid w:val="00F55332"/>
    <w:rsid w:val="00F6169E"/>
    <w:rsid w:val="00F6504A"/>
    <w:rsid w:val="00F65519"/>
    <w:rsid w:val="00F713C0"/>
    <w:rsid w:val="00F75DDC"/>
    <w:rsid w:val="00F7792F"/>
    <w:rsid w:val="00F842AA"/>
    <w:rsid w:val="00F8476F"/>
    <w:rsid w:val="00F84CB4"/>
    <w:rsid w:val="00F853E1"/>
    <w:rsid w:val="00F85604"/>
    <w:rsid w:val="00F94B7A"/>
    <w:rsid w:val="00FA0366"/>
    <w:rsid w:val="00FA17AC"/>
    <w:rsid w:val="00FA32DE"/>
    <w:rsid w:val="00FA3382"/>
    <w:rsid w:val="00FA59CD"/>
    <w:rsid w:val="00FB1740"/>
    <w:rsid w:val="00FC5469"/>
    <w:rsid w:val="00FC5931"/>
    <w:rsid w:val="00FC6D7D"/>
    <w:rsid w:val="00FD0DE9"/>
    <w:rsid w:val="00FD16B0"/>
    <w:rsid w:val="00FD4FED"/>
    <w:rsid w:val="00FE0577"/>
    <w:rsid w:val="00FE59EC"/>
    <w:rsid w:val="00FE5B67"/>
    <w:rsid w:val="00FE60D6"/>
    <w:rsid w:val="00FF15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0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rsid w:val="006F2B5F"/>
    <w:rPr>
      <w:vertAlign w:val="superscript"/>
    </w:rPr>
  </w:style>
  <w:style w:type="character" w:customStyle="1" w:styleId="FootnoteTextChar">
    <w:name w:val="Footnote Text Char"/>
    <w:basedOn w:val="DefaultParagraphFont"/>
    <w:link w:val="FootnoteText"/>
    <w:uiPriority w:val="99"/>
    <w:rsid w:val="006F2B5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note text" w:uiPriority="99"/>
    <w:lsdException w:name="caption"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uiPriority w:val="99"/>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uiPriority w:val="99"/>
    <w:rsid w:val="006F2B5F"/>
    <w:rPr>
      <w:vertAlign w:val="superscript"/>
    </w:rPr>
  </w:style>
  <w:style w:type="character" w:customStyle="1" w:styleId="FootnoteTextChar">
    <w:name w:val="Footnote Text Char"/>
    <w:basedOn w:val="DefaultParagraphFont"/>
    <w:link w:val="FootnoteText"/>
    <w:uiPriority w:val="99"/>
    <w:rsid w:val="006F2B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4.JPG"/><Relationship Id="rId26" Type="http://schemas.openxmlformats.org/officeDocument/2006/relationships/image" Target="media/image12.JPG"/><Relationship Id="rId39" Type="http://schemas.openxmlformats.org/officeDocument/2006/relationships/image" Target="media/image25.JPG"/><Relationship Id="rId3" Type="http://schemas.openxmlformats.org/officeDocument/2006/relationships/styles" Target="styles.xml"/><Relationship Id="rId21" Type="http://schemas.openxmlformats.org/officeDocument/2006/relationships/image" Target="media/image7.JPG"/><Relationship Id="rId34" Type="http://schemas.openxmlformats.org/officeDocument/2006/relationships/image" Target="media/image20.JPG"/><Relationship Id="rId42" Type="http://schemas.openxmlformats.org/officeDocument/2006/relationships/image" Target="media/image28.JPG"/><Relationship Id="rId47" Type="http://schemas.openxmlformats.org/officeDocument/2006/relationships/image" Target="media/image33.JPG"/><Relationship Id="rId50" Type="http://schemas.openxmlformats.org/officeDocument/2006/relationships/image" Target="media/image36.JPG"/><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3.JPG"/><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2" Type="http://schemas.openxmlformats.org/officeDocument/2006/relationships/numbering" Target="numbering.xml"/><Relationship Id="rId16" Type="http://schemas.openxmlformats.org/officeDocument/2006/relationships/image" Target="media/image2.JPG"/><Relationship Id="rId20" Type="http://schemas.openxmlformats.org/officeDocument/2006/relationships/image" Target="media/image6.JPG"/><Relationship Id="rId29" Type="http://schemas.openxmlformats.org/officeDocument/2006/relationships/image" Target="media/image15.JPG"/><Relationship Id="rId41" Type="http://schemas.openxmlformats.org/officeDocument/2006/relationships/image" Target="media/image27.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eader" Target="header4.xml"/><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JPG"/><Relationship Id="rId10" Type="http://schemas.openxmlformats.org/officeDocument/2006/relationships/header" Target="header1.xml"/><Relationship Id="rId19" Type="http://schemas.openxmlformats.org/officeDocument/2006/relationships/image" Target="media/image5.JPG"/><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8" Type="http://schemas.openxmlformats.org/officeDocument/2006/relationships/endnotes" Target="endnotes.xml"/><Relationship Id="rId51" Type="http://schemas.openxmlformats.org/officeDocument/2006/relationships/image" Target="media/image37.JP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2002\templates\PSC\Recommendation%20(Regula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C47453-9E56-47B5-B599-DE47F58F4E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Template>
  <TotalTime>0</TotalTime>
  <Pages>41</Pages>
  <Words>1073</Words>
  <Characters>6635</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Recommendation</vt:lpstr>
    </vt:vector>
  </TitlesOfParts>
  <Company>FPSC</Company>
  <LinksUpToDate>false</LinksUpToDate>
  <CharactersWithSpaces>7693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Doug Wright</dc:creator>
  <cp:lastModifiedBy>Terri Jones</cp:lastModifiedBy>
  <cp:revision>2</cp:revision>
  <cp:lastPrinted>2018-05-23T10:52:00Z</cp:lastPrinted>
  <dcterms:created xsi:type="dcterms:W3CDTF">2018-05-23T16:25:00Z</dcterms:created>
  <dcterms:modified xsi:type="dcterms:W3CDTF">2018-05-23T16:25:00Z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20180091-EQ</vt:lpwstr>
  </property>
  <property fmtid="{D5CDD505-2E9C-101B-9397-08002B2CF9AE}" pid="3" name="MasterDocument">
    <vt:bool>false</vt:bool>
  </property>
</Properties>
</file>