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01A38" w:rsidP="00E01A38">
      <w:pPr>
        <w:pStyle w:val="OrderHeading"/>
      </w:pPr>
      <w:bookmarkStart w:id="0" w:name="_GoBack"/>
      <w:bookmarkEnd w:id="0"/>
      <w:r>
        <w:t>BEFORE THE FLORIDA PUBLIC SERVICE COMMISSION</w:t>
      </w:r>
    </w:p>
    <w:p w:rsidR="00E01A38" w:rsidRDefault="00E01A38" w:rsidP="00E01A38">
      <w:pPr>
        <w:pStyle w:val="OrderBody"/>
      </w:pPr>
    </w:p>
    <w:p w:rsidR="00E01A38" w:rsidRDefault="00E01A38" w:rsidP="00E01A3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01A38" w:rsidRPr="00C63FCF" w:rsidTr="00CA671C">
        <w:trPr>
          <w:trHeight w:val="828"/>
        </w:trPr>
        <w:tc>
          <w:tcPr>
            <w:tcW w:w="4788" w:type="dxa"/>
            <w:tcBorders>
              <w:bottom w:val="single" w:sz="8" w:space="0" w:color="auto"/>
              <w:right w:val="double" w:sz="6" w:space="0" w:color="auto"/>
            </w:tcBorders>
            <w:shd w:val="clear" w:color="auto" w:fill="auto"/>
          </w:tcPr>
          <w:p w:rsidR="00E01A38" w:rsidRDefault="00E01A38" w:rsidP="00CA671C">
            <w:pPr>
              <w:pStyle w:val="OrderBody"/>
              <w:tabs>
                <w:tab w:val="center" w:pos="4320"/>
                <w:tab w:val="right" w:pos="8640"/>
              </w:tabs>
              <w:jc w:val="left"/>
            </w:pPr>
            <w:r>
              <w:t xml:space="preserve">In re: </w:t>
            </w:r>
            <w:bookmarkStart w:id="1" w:name="SSInRe"/>
            <w:bookmarkEnd w:id="1"/>
            <w:r>
              <w:t>Water and wastewater industry annual reestablishment of authorized range of return on common equity for water and wastewater utilities pursuant to Section 367.081(4)(f), F.S.</w:t>
            </w:r>
          </w:p>
        </w:tc>
        <w:tc>
          <w:tcPr>
            <w:tcW w:w="4788" w:type="dxa"/>
            <w:tcBorders>
              <w:left w:val="double" w:sz="6" w:space="0" w:color="auto"/>
            </w:tcBorders>
            <w:shd w:val="clear" w:color="auto" w:fill="auto"/>
          </w:tcPr>
          <w:p w:rsidR="00E01A38" w:rsidRDefault="00E01A38" w:rsidP="00E01A38">
            <w:pPr>
              <w:pStyle w:val="OrderBody"/>
            </w:pPr>
            <w:r>
              <w:t xml:space="preserve">DOCKET NO. </w:t>
            </w:r>
            <w:bookmarkStart w:id="2" w:name="SSDocketNo"/>
            <w:bookmarkEnd w:id="2"/>
            <w:r>
              <w:t>20180006-WS</w:t>
            </w:r>
          </w:p>
          <w:p w:rsidR="00E01A38" w:rsidRDefault="00E01A38" w:rsidP="00CA671C">
            <w:pPr>
              <w:pStyle w:val="OrderBody"/>
              <w:tabs>
                <w:tab w:val="center" w:pos="4320"/>
                <w:tab w:val="right" w:pos="8640"/>
              </w:tabs>
              <w:jc w:val="left"/>
            </w:pPr>
            <w:r>
              <w:t xml:space="preserve">ORDER NO. </w:t>
            </w:r>
            <w:bookmarkStart w:id="3" w:name="OrderNo0327"/>
            <w:r w:rsidR="00D23438">
              <w:t>PSC-2018-0327-PAA-WS</w:t>
            </w:r>
            <w:bookmarkEnd w:id="3"/>
          </w:p>
          <w:p w:rsidR="00E01A38" w:rsidRDefault="00E01A38" w:rsidP="00CA671C">
            <w:pPr>
              <w:pStyle w:val="OrderBody"/>
              <w:tabs>
                <w:tab w:val="center" w:pos="4320"/>
                <w:tab w:val="right" w:pos="8640"/>
              </w:tabs>
              <w:jc w:val="left"/>
            </w:pPr>
            <w:r>
              <w:t xml:space="preserve">ISSUED: </w:t>
            </w:r>
            <w:r w:rsidR="00D23438">
              <w:t>June 26, 2018</w:t>
            </w:r>
          </w:p>
        </w:tc>
      </w:tr>
    </w:tbl>
    <w:p w:rsidR="00E01A38" w:rsidRDefault="00E01A38" w:rsidP="00E01A38"/>
    <w:p w:rsidR="00E01A38" w:rsidRDefault="00E01A38" w:rsidP="00E01A38"/>
    <w:p w:rsidR="00E01A38" w:rsidRDefault="00E01A38">
      <w:pPr>
        <w:ind w:firstLine="720"/>
        <w:jc w:val="both"/>
      </w:pPr>
      <w:bookmarkStart w:id="4" w:name="Commissioners"/>
      <w:bookmarkEnd w:id="4"/>
      <w:r>
        <w:t>The following Commissioners participated in the disposition of this matter:</w:t>
      </w:r>
    </w:p>
    <w:p w:rsidR="00E01A38" w:rsidRDefault="00E01A38"/>
    <w:p w:rsidR="00E01A38" w:rsidRDefault="00E01A38">
      <w:pPr>
        <w:jc w:val="center"/>
      </w:pPr>
      <w:r>
        <w:t>ART GRAHAM, Chairman</w:t>
      </w:r>
    </w:p>
    <w:p w:rsidR="00E01A38" w:rsidRDefault="00E01A38">
      <w:pPr>
        <w:jc w:val="center"/>
      </w:pPr>
      <w:r>
        <w:t xml:space="preserve">JULIE I. BROWN </w:t>
      </w:r>
    </w:p>
    <w:p w:rsidR="00E01A38" w:rsidRDefault="00E01A38">
      <w:pPr>
        <w:jc w:val="center"/>
      </w:pPr>
      <w:r>
        <w:t>DONALD J. POLMANN</w:t>
      </w:r>
    </w:p>
    <w:p w:rsidR="00E01A38" w:rsidRDefault="00E01A38">
      <w:pPr>
        <w:jc w:val="center"/>
      </w:pPr>
      <w:r>
        <w:t>GARY F. CLARK</w:t>
      </w:r>
    </w:p>
    <w:p w:rsidR="00E01A38" w:rsidRDefault="00E01A38">
      <w:pPr>
        <w:jc w:val="center"/>
      </w:pPr>
      <w:r>
        <w:t>ANDREW GILES FAY</w:t>
      </w:r>
    </w:p>
    <w:p w:rsidR="00E01A38" w:rsidRDefault="00E01A38"/>
    <w:p w:rsidR="00097C60" w:rsidRDefault="00097C60">
      <w:pPr>
        <w:pStyle w:val="OrderBody"/>
        <w:jc w:val="center"/>
        <w:rPr>
          <w:lang w:val="en-CA"/>
        </w:rPr>
      </w:pPr>
      <w:bookmarkStart w:id="5" w:name="OrderText"/>
      <w:bookmarkEnd w:id="5"/>
    </w:p>
    <w:p w:rsidR="00E01A38" w:rsidRPr="003E4B2D" w:rsidRDefault="00E01A38">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E01A38" w:rsidRPr="003E4B2D" w:rsidRDefault="00E01A38">
      <w:pPr>
        <w:pStyle w:val="OrderBody"/>
        <w:jc w:val="center"/>
        <w:rPr>
          <w:u w:val="single"/>
        </w:rPr>
      </w:pPr>
      <w:r w:rsidRPr="003E4B2D">
        <w:rPr>
          <w:u w:val="single"/>
        </w:rPr>
        <w:t>ORDER</w:t>
      </w:r>
      <w:bookmarkStart w:id="6" w:name="OrderTitle"/>
      <w:r w:rsidR="004B78AF">
        <w:rPr>
          <w:u w:val="single"/>
        </w:rPr>
        <w:t xml:space="preserve"> </w:t>
      </w:r>
      <w:r w:rsidR="00E7365A" w:rsidRPr="00E7365A">
        <w:rPr>
          <w:u w:val="single"/>
        </w:rPr>
        <w:t>APPROV</w:t>
      </w:r>
      <w:r w:rsidR="004B78AF">
        <w:rPr>
          <w:u w:val="single"/>
        </w:rPr>
        <w:t>ING</w:t>
      </w:r>
      <w:r w:rsidR="00E7365A" w:rsidRPr="00E7365A">
        <w:rPr>
          <w:u w:val="single"/>
        </w:rPr>
        <w:t xml:space="preserve"> THE LEVERAGE FORMULA FOR WATER AND WASTEWATER UTILITIE</w:t>
      </w:r>
      <w:r w:rsidR="00E7365A" w:rsidRPr="004B78AF">
        <w:rPr>
          <w:u w:val="single"/>
        </w:rPr>
        <w:t>S</w:t>
      </w:r>
      <w:r w:rsidRPr="004B78AF">
        <w:rPr>
          <w:u w:val="single"/>
        </w:rPr>
        <w:t xml:space="preserve"> </w:t>
      </w:r>
      <w:bookmarkEnd w:id="6"/>
    </w:p>
    <w:p w:rsidR="00E01A38" w:rsidRPr="003E4B2D" w:rsidRDefault="00E01A38">
      <w:pPr>
        <w:pStyle w:val="OrderBody"/>
      </w:pPr>
    </w:p>
    <w:p w:rsidR="00E01A38" w:rsidRPr="003E4B2D" w:rsidRDefault="00E01A38">
      <w:pPr>
        <w:pStyle w:val="OrderBody"/>
      </w:pPr>
    </w:p>
    <w:p w:rsidR="00E01A38" w:rsidRPr="003E4B2D" w:rsidRDefault="00E01A38">
      <w:pPr>
        <w:pStyle w:val="OrderBody"/>
      </w:pPr>
      <w:r w:rsidRPr="003E4B2D">
        <w:t>BY THE COMMISSION:</w:t>
      </w:r>
    </w:p>
    <w:p w:rsidR="00E01A38" w:rsidRPr="003E4B2D" w:rsidRDefault="00E01A38">
      <w:pPr>
        <w:pStyle w:val="OrderBody"/>
      </w:pPr>
    </w:p>
    <w:p w:rsidR="00E01A38" w:rsidRDefault="00E01A38">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E01A38"/>
    <w:p w:rsidR="008E3BF7" w:rsidRPr="003825F0" w:rsidRDefault="008E3BF7" w:rsidP="008E3BF7">
      <w:pPr>
        <w:pStyle w:val="RecommendationMajorSectionHeading"/>
        <w:numPr>
          <w:ilvl w:val="0"/>
          <w:numId w:val="2"/>
        </w:numPr>
        <w:ind w:left="720"/>
        <w:jc w:val="left"/>
        <w:rPr>
          <w:rFonts w:ascii="Times New Roman" w:hAnsi="Times New Roman" w:cs="Times New Roman"/>
          <w:b w:val="0"/>
          <w:u w:val="single"/>
        </w:rPr>
      </w:pPr>
      <w:bookmarkStart w:id="7" w:name="CaseBackground"/>
      <w:r w:rsidRPr="003825F0">
        <w:rPr>
          <w:rFonts w:ascii="Times New Roman" w:hAnsi="Times New Roman" w:cs="Times New Roman"/>
          <w:b w:val="0"/>
          <w:u w:val="single"/>
        </w:rPr>
        <w:t>Case Background</w:t>
      </w:r>
      <w:r w:rsidRPr="003825F0">
        <w:rPr>
          <w:rFonts w:ascii="Times New Roman" w:hAnsi="Times New Roman" w:cs="Times New Roman"/>
          <w:b w:val="0"/>
          <w:u w:val="single"/>
        </w:rPr>
        <w:fldChar w:fldCharType="begin"/>
      </w:r>
      <w:r w:rsidRPr="003825F0">
        <w:rPr>
          <w:rFonts w:ascii="Times New Roman" w:hAnsi="Times New Roman" w:cs="Times New Roman"/>
          <w:b w:val="0"/>
          <w:u w:val="single"/>
        </w:rPr>
        <w:instrText xml:space="preserve"> TC  "</w:instrText>
      </w:r>
      <w:r w:rsidRPr="003825F0">
        <w:rPr>
          <w:rFonts w:ascii="Times New Roman" w:hAnsi="Times New Roman" w:cs="Times New Roman"/>
          <w:b w:val="0"/>
          <w:u w:val="single"/>
        </w:rPr>
        <w:tab/>
      </w:r>
      <w:bookmarkStart w:id="8" w:name="_Toc94516455"/>
      <w:r w:rsidRPr="003825F0">
        <w:rPr>
          <w:rFonts w:ascii="Times New Roman" w:hAnsi="Times New Roman" w:cs="Times New Roman"/>
          <w:b w:val="0"/>
          <w:u w:val="single"/>
        </w:rPr>
        <w:instrText>Case Background</w:instrText>
      </w:r>
      <w:bookmarkEnd w:id="8"/>
      <w:r w:rsidRPr="003825F0">
        <w:rPr>
          <w:rFonts w:ascii="Times New Roman" w:hAnsi="Times New Roman" w:cs="Times New Roman"/>
          <w:b w:val="0"/>
          <w:u w:val="single"/>
        </w:rPr>
        <w:instrText xml:space="preserve">" \l 1 </w:instrText>
      </w:r>
      <w:r w:rsidRPr="003825F0">
        <w:rPr>
          <w:rFonts w:ascii="Times New Roman" w:hAnsi="Times New Roman" w:cs="Times New Roman"/>
          <w:b w:val="0"/>
          <w:u w:val="single"/>
        </w:rPr>
        <w:fldChar w:fldCharType="end"/>
      </w:r>
    </w:p>
    <w:p w:rsidR="008E3BF7" w:rsidRDefault="008E3BF7" w:rsidP="008E3BF7">
      <w:pPr>
        <w:spacing w:after="240"/>
        <w:ind w:firstLine="720"/>
        <w:jc w:val="both"/>
      </w:pPr>
      <w:r w:rsidRPr="007A5AFC">
        <w:t xml:space="preserve">Section 367.081(4)(f), Florida </w:t>
      </w:r>
      <w:r>
        <w:t xml:space="preserve">Statutes </w:t>
      </w:r>
      <w:r w:rsidRPr="007A5AFC">
        <w:t xml:space="preserve">(F.S.), authorizes </w:t>
      </w:r>
      <w:r>
        <w:t xml:space="preserve">us </w:t>
      </w:r>
      <w:r w:rsidRPr="007A5AFC">
        <w:t>to establish, not less than once each year, a leverage formula to calculate a reasonable range of returns on equity (ROE) for water and wastewater (WAW) utilities</w:t>
      </w:r>
      <w:r>
        <w:t>. In 2001, t</w:t>
      </w:r>
      <w:r w:rsidRPr="007A5AFC">
        <w:t>he leverage formula methodology was established in Order No. PSC-</w:t>
      </w:r>
      <w:r>
        <w:t>20</w:t>
      </w:r>
      <w:r w:rsidRPr="007A5AFC">
        <w:t>01-2514-FOF-WS.</w:t>
      </w:r>
      <w:r w:rsidRPr="007A5AFC">
        <w:rPr>
          <w:vertAlign w:val="superscript"/>
        </w:rPr>
        <w:footnoteReference w:id="1"/>
      </w:r>
      <w:r>
        <w:t xml:space="preserve"> </w:t>
      </w:r>
    </w:p>
    <w:p w:rsidR="008E3BF7" w:rsidRPr="007A5AFC" w:rsidRDefault="008E3BF7" w:rsidP="008E3BF7">
      <w:pPr>
        <w:spacing w:after="240"/>
        <w:ind w:firstLine="720"/>
        <w:jc w:val="both"/>
      </w:pPr>
      <w:r w:rsidRPr="007A5AFC">
        <w:t xml:space="preserve">On October 23, 2008, </w:t>
      </w:r>
      <w:r>
        <w:t>we</w:t>
      </w:r>
      <w:r w:rsidRPr="007A5AFC">
        <w:t xml:space="preserve"> held a formal hearing in Docket No. </w:t>
      </w:r>
      <w:r>
        <w:t>20</w:t>
      </w:r>
      <w:r w:rsidRPr="007A5AFC">
        <w:t>080006-WS to allow interested parties to provide testimony regarding the validity of the leverage formula</w:t>
      </w:r>
      <w:r>
        <w:t xml:space="preserve"> that was </w:t>
      </w:r>
      <w:r>
        <w:lastRenderedPageBreak/>
        <w:t>established in 2001</w:t>
      </w:r>
      <w:r w:rsidRPr="007A5AFC">
        <w:t>.</w:t>
      </w:r>
      <w:r w:rsidRPr="007A5AFC">
        <w:rPr>
          <w:vertAlign w:val="superscript"/>
        </w:rPr>
        <w:footnoteReference w:id="2"/>
      </w:r>
      <w:r>
        <w:t xml:space="preserve"> </w:t>
      </w:r>
      <w:r w:rsidRPr="007A5AFC">
        <w:t xml:space="preserve">Based on the record in that proceeding, </w:t>
      </w:r>
      <w:r>
        <w:t>we</w:t>
      </w:r>
      <w:r w:rsidRPr="007A5AFC">
        <w:t xml:space="preserve"> appro</w:t>
      </w:r>
      <w:r>
        <w:t>ved the 2008 leverage formula</w:t>
      </w:r>
      <w:r w:rsidRPr="007A5AFC">
        <w:t>.</w:t>
      </w:r>
      <w:r w:rsidRPr="007A5AFC">
        <w:rPr>
          <w:vertAlign w:val="superscript"/>
        </w:rPr>
        <w:footnoteReference w:id="3"/>
      </w:r>
      <w:r>
        <w:t xml:space="preserve"> </w:t>
      </w:r>
      <w:r w:rsidRPr="007A5AFC">
        <w:t xml:space="preserve">In that order, </w:t>
      </w:r>
      <w:r>
        <w:t xml:space="preserve">we </w:t>
      </w:r>
      <w:r w:rsidRPr="007A5AFC">
        <w:t xml:space="preserve">reaffirmed the methodology that was previously approved in </w:t>
      </w:r>
      <w:r>
        <w:t xml:space="preserve">2001. </w:t>
      </w:r>
    </w:p>
    <w:p w:rsidR="008E3BF7" w:rsidRDefault="008E3BF7" w:rsidP="008E3BF7">
      <w:pPr>
        <w:spacing w:after="240"/>
        <w:ind w:firstLine="720"/>
        <w:jc w:val="both"/>
      </w:pPr>
      <w:r>
        <w:t xml:space="preserve">In 2011, we </w:t>
      </w:r>
      <w:r w:rsidRPr="002D466B">
        <w:t>approved the current leverage formula by Order No. PSC-</w:t>
      </w:r>
      <w:r>
        <w:t>20</w:t>
      </w:r>
      <w:r w:rsidRPr="002D466B">
        <w:t>11-0287-</w:t>
      </w:r>
      <w:r w:rsidRPr="00196178">
        <w:t>PAA-WS.</w:t>
      </w:r>
      <w:r w:rsidRPr="00196178">
        <w:rPr>
          <w:vertAlign w:val="superscript"/>
        </w:rPr>
        <w:footnoteReference w:id="4"/>
      </w:r>
      <w:r w:rsidRPr="00196178">
        <w:t xml:space="preserve"> </w:t>
      </w:r>
      <w:r>
        <w:t>From</w:t>
      </w:r>
      <w:r w:rsidRPr="00196178">
        <w:t xml:space="preserve"> 2012</w:t>
      </w:r>
      <w:r>
        <w:t xml:space="preserve"> through 2017, we voted</w:t>
      </w:r>
      <w:r w:rsidRPr="00196178">
        <w:t xml:space="preserve"> to continue to use the 2011 leverage formula for establishing the authorized ROE for WAW utilities</w:t>
      </w:r>
      <w:r>
        <w:t>.</w:t>
      </w:r>
      <w:r>
        <w:rPr>
          <w:rStyle w:val="FootnoteReference"/>
        </w:rPr>
        <w:footnoteReference w:id="5"/>
      </w:r>
      <w:r>
        <w:t xml:space="preserve"> From</w:t>
      </w:r>
      <w:r w:rsidRPr="00196178">
        <w:t xml:space="preserve"> 2012</w:t>
      </w:r>
      <w:r>
        <w:t xml:space="preserve"> through 2017</w:t>
      </w:r>
      <w:r w:rsidRPr="00196178">
        <w:t xml:space="preserve">, </w:t>
      </w:r>
      <w:r>
        <w:t>we</w:t>
      </w:r>
      <w:r w:rsidRPr="00196178">
        <w:t xml:space="preserve"> found that the range of returns on equity derived from the</w:t>
      </w:r>
      <w:r>
        <w:t xml:space="preserve"> annual</w:t>
      </w:r>
      <w:r w:rsidRPr="00196178">
        <w:t xml:space="preserve"> leverage formulas were not optimal for determining the appropriate authorized ROE for WAW utilities due to Federal Reserve monetary policies that resulted in historically low interest rates. Consequently, </w:t>
      </w:r>
      <w:r>
        <w:t>we</w:t>
      </w:r>
      <w:r w:rsidRPr="00196178">
        <w:t xml:space="preserve"> decided </w:t>
      </w:r>
      <w:r>
        <w:t>it was reasonable to continue using</w:t>
      </w:r>
      <w:r w:rsidRPr="00196178">
        <w:t xml:space="preserve"> the range of returns on equity of 8.74 percent to 11.16 percent from the 2011 leverage formula </w:t>
      </w:r>
      <w:r>
        <w:t>docket</w:t>
      </w:r>
      <w:r w:rsidRPr="00196178">
        <w:t>.</w:t>
      </w:r>
      <w:r>
        <w:rPr>
          <w:highlight w:val="yellow"/>
        </w:rPr>
        <w:t xml:space="preserve"> </w:t>
      </w:r>
    </w:p>
    <w:p w:rsidR="008E3BF7" w:rsidRDefault="008E3BF7" w:rsidP="008E3BF7">
      <w:pPr>
        <w:spacing w:after="240"/>
        <w:ind w:firstLine="720"/>
        <w:jc w:val="both"/>
        <w:rPr>
          <w:rFonts w:ascii="Arial" w:hAnsi="Arial" w:cs="Arial"/>
          <w:b/>
        </w:rPr>
      </w:pPr>
      <w:r>
        <w:t xml:space="preserve">On November 8, 2017, </w:t>
      </w:r>
      <w:r w:rsidR="004B78AF">
        <w:t xml:space="preserve">our </w:t>
      </w:r>
      <w:r>
        <w:t xml:space="preserve">staff held a workshop to solicit input from interested persons regarding potential changes to the current leverage formula methodology. As part of the workshop, interested parties were requested to file comments by October 30, 2017. The only stakeholders that filed comments in the docket were the Office of Public Counsel (OPC) and Utilities, Inc. of Florida (UIF). OPC also filed post-workshop comments on January 31, 2018. OPC’s </w:t>
      </w:r>
      <w:r w:rsidRPr="00C204B6">
        <w:t>post</w:t>
      </w:r>
      <w:r>
        <w:t>-workshop comments all resulted</w:t>
      </w:r>
      <w:r w:rsidR="004B78AF">
        <w:t xml:space="preserve"> in lowering the ROE. </w:t>
      </w:r>
      <w:r>
        <w:t>UIF’s suggestions mostly resulted in increasing the ROE.</w:t>
      </w:r>
    </w:p>
    <w:p w:rsidR="008E3BF7" w:rsidRPr="003825F0" w:rsidRDefault="000B394E" w:rsidP="00097C60">
      <w:pPr>
        <w:pStyle w:val="BodyText"/>
        <w:numPr>
          <w:ilvl w:val="0"/>
          <w:numId w:val="3"/>
        </w:numPr>
        <w:spacing w:after="0"/>
        <w:rPr>
          <w:u w:val="single"/>
        </w:rPr>
      </w:pPr>
      <w:r>
        <w:rPr>
          <w:u w:val="single"/>
        </w:rPr>
        <w:t>OPC Post-W</w:t>
      </w:r>
      <w:r w:rsidR="008E3BF7" w:rsidRPr="003825F0">
        <w:rPr>
          <w:u w:val="single"/>
        </w:rPr>
        <w:t>orkshop Comments</w:t>
      </w:r>
    </w:p>
    <w:p w:rsidR="008E3BF7" w:rsidRPr="003825F0" w:rsidRDefault="008E3BF7" w:rsidP="008E3BF7">
      <w:pPr>
        <w:pStyle w:val="BodyText"/>
        <w:spacing w:after="0"/>
        <w:ind w:left="1080"/>
      </w:pPr>
    </w:p>
    <w:p w:rsidR="008E3BF7" w:rsidRDefault="008E3BF7" w:rsidP="008E3BF7">
      <w:pPr>
        <w:pStyle w:val="BodyText"/>
        <w:spacing w:after="0"/>
        <w:ind w:firstLine="720"/>
        <w:jc w:val="both"/>
      </w:pPr>
      <w:r>
        <w:t>OPC submitted that we adopt a rule setting forth the leverage formula. OPC contended that continued application of the leverage formula constitutes an unadopted rule. In addition, OPC questioned the applicability of a Bond Yield Differential if an all WAW utility proxy group is used. OPC specifically questioned whether the assumed bond rating of Baa3 for the average WAW utility in Florida is still a valid assumption.</w:t>
      </w:r>
    </w:p>
    <w:p w:rsidR="008E3BF7" w:rsidRDefault="008E3BF7" w:rsidP="008E3BF7">
      <w:pPr>
        <w:pStyle w:val="BodyText"/>
        <w:spacing w:after="0"/>
        <w:ind w:firstLine="720"/>
        <w:jc w:val="both"/>
      </w:pPr>
    </w:p>
    <w:p w:rsidR="008E3BF7" w:rsidRDefault="008E3BF7" w:rsidP="008E3BF7">
      <w:pPr>
        <w:pStyle w:val="BodyText"/>
        <w:spacing w:after="0"/>
        <w:ind w:firstLine="720"/>
        <w:jc w:val="both"/>
      </w:pPr>
      <w:r>
        <w:t>OPC’s post-workshop comments also stated that the leverage formula should differentiate between Class A WAW utilities and Class B and C WAW utilities. OPC opined that Class A WAW utilities would not need a small-utility risk premium.</w:t>
      </w:r>
    </w:p>
    <w:p w:rsidR="008E3BF7" w:rsidRDefault="008E3BF7" w:rsidP="008E3BF7">
      <w:pPr>
        <w:pStyle w:val="BodyText"/>
        <w:spacing w:after="0"/>
        <w:ind w:firstLine="720"/>
        <w:jc w:val="both"/>
      </w:pPr>
    </w:p>
    <w:p w:rsidR="008E3BF7" w:rsidRDefault="008E3BF7" w:rsidP="008E3BF7">
      <w:pPr>
        <w:pStyle w:val="BodyText"/>
        <w:spacing w:after="0"/>
        <w:ind w:firstLine="720"/>
        <w:jc w:val="both"/>
      </w:pPr>
      <w:r>
        <w:lastRenderedPageBreak/>
        <w:t>OPC further commented that the small-utility risk premium adjustment is duplicative of the bond yield risk premium and ignores the fact that several Florida WAW utilities could be comparable to water utilities included in the new index and therefore the small-utility risk premium should be removed from the formula.</w:t>
      </w:r>
    </w:p>
    <w:p w:rsidR="00EC7ECD" w:rsidRDefault="00EC7ECD" w:rsidP="008E3BF7">
      <w:pPr>
        <w:pStyle w:val="BodyText"/>
        <w:spacing w:after="0"/>
        <w:ind w:firstLine="720"/>
        <w:jc w:val="both"/>
      </w:pPr>
    </w:p>
    <w:p w:rsidR="008E3BF7" w:rsidRDefault="008E3BF7" w:rsidP="008E3BF7">
      <w:pPr>
        <w:pStyle w:val="BodyText"/>
        <w:spacing w:after="0"/>
        <w:ind w:firstLine="720"/>
        <w:jc w:val="both"/>
      </w:pPr>
      <w:r>
        <w:t>OPC also submitted that the private placement premium of 50 basis points should be removed from the leverage formula for Class A WAW utilities. OPC stated it does not believe that investors require a premium for the lack of liquidity of privately placed debt for large Florida WAW utilities that are owned by substantially larger corporations. OPC further questioned why the private placement premium of 50 basis points is fixed and if it is reasonable.</w:t>
      </w:r>
    </w:p>
    <w:p w:rsidR="000B394E" w:rsidRDefault="000B394E" w:rsidP="008E3BF7">
      <w:pPr>
        <w:pStyle w:val="BodyText"/>
        <w:spacing w:after="0"/>
        <w:ind w:firstLine="720"/>
        <w:jc w:val="both"/>
      </w:pPr>
    </w:p>
    <w:p w:rsidR="008E3BF7" w:rsidRDefault="008E3BF7" w:rsidP="008E3BF7">
      <w:pPr>
        <w:pStyle w:val="BodyText"/>
        <w:spacing w:after="0"/>
        <w:ind w:firstLine="720"/>
        <w:jc w:val="both"/>
      </w:pPr>
      <w:r>
        <w:t xml:space="preserve">Finally, OPC submitted that flotation costs should not be included in the DCF and CAPM models since none of Florida’s WAW utilities are publicly traded and do not incur costs related to issuing new shares of stock. </w:t>
      </w:r>
    </w:p>
    <w:p w:rsidR="008E3BF7" w:rsidRDefault="008E3BF7" w:rsidP="008E3BF7">
      <w:pPr>
        <w:pStyle w:val="BodyText"/>
        <w:spacing w:after="0"/>
        <w:ind w:firstLine="720"/>
        <w:jc w:val="both"/>
      </w:pPr>
    </w:p>
    <w:p w:rsidR="008E3BF7" w:rsidRDefault="008E3BF7" w:rsidP="00097C60">
      <w:pPr>
        <w:pStyle w:val="BodyText"/>
        <w:numPr>
          <w:ilvl w:val="0"/>
          <w:numId w:val="3"/>
        </w:numPr>
        <w:spacing w:after="0"/>
        <w:rPr>
          <w:u w:val="single"/>
        </w:rPr>
      </w:pPr>
      <w:r w:rsidRPr="003825F0">
        <w:rPr>
          <w:u w:val="single"/>
        </w:rPr>
        <w:t>UIF’s Post-workshop Comments</w:t>
      </w:r>
    </w:p>
    <w:p w:rsidR="008E3BF7" w:rsidRPr="003825F0" w:rsidRDefault="008E3BF7" w:rsidP="008E3BF7">
      <w:pPr>
        <w:pStyle w:val="BodyText"/>
        <w:spacing w:after="0"/>
        <w:ind w:left="1080"/>
        <w:rPr>
          <w:u w:val="single"/>
        </w:rPr>
      </w:pPr>
    </w:p>
    <w:p w:rsidR="008E3BF7" w:rsidRDefault="008E3BF7" w:rsidP="000B394E">
      <w:pPr>
        <w:pStyle w:val="BodyText"/>
        <w:ind w:firstLine="720"/>
        <w:jc w:val="both"/>
      </w:pPr>
      <w:r>
        <w:t xml:space="preserve">UIF retained Ms. Pauline M. Ahern, who provided 47 pages of technically detailed suggestions and comments to change the DCF and CAPM methodologies used to derive the ROE of the proxy group. </w:t>
      </w:r>
      <w:r w:rsidR="000B394E">
        <w:t>UIF suggested that we include</w:t>
      </w:r>
      <w:r>
        <w:t xml:space="preserve"> a WAW utility index along with or replacing the natural gas utility index in the leverage formula.</w:t>
      </w:r>
      <w:r w:rsidR="000B394E">
        <w:t xml:space="preserve"> UIF further suggested we</w:t>
      </w:r>
      <w:r>
        <w:t xml:space="preserve"> consider changing the DCF mo</w:t>
      </w:r>
      <w:r w:rsidR="000B394E">
        <w:t>del to utilize the single-</w:t>
      </w:r>
      <w:r w:rsidR="006A199A">
        <w:t>stage DCF</w:t>
      </w:r>
      <w:r>
        <w:t xml:space="preserve"> model and use expected growth rate projections of EPS (earnings per share) as published in Value Line in place of using projected dividends.</w:t>
      </w:r>
    </w:p>
    <w:p w:rsidR="008E3BF7" w:rsidRDefault="000B394E" w:rsidP="000B394E">
      <w:pPr>
        <w:pStyle w:val="BodyText"/>
        <w:ind w:firstLine="720"/>
        <w:jc w:val="both"/>
      </w:pPr>
      <w:r>
        <w:t>In addition, UIF stated w</w:t>
      </w:r>
      <w:r w:rsidR="008E3BF7">
        <w:t>e should eliminate foreign companies in the CAPM Market Equity Risk Premium (MERP) because the W</w:t>
      </w:r>
      <w:r w:rsidR="004B78AF">
        <w:t>AW utilities are based in the U</w:t>
      </w:r>
      <w:r w:rsidR="008E3BF7">
        <w:t xml:space="preserve">S. </w:t>
      </w:r>
      <w:r>
        <w:t>UIF suggested that t</w:t>
      </w:r>
      <w:r w:rsidR="008E3BF7">
        <w:t xml:space="preserve">he CAPM MERP should be based on a market-value weighted average instead of a simple average. </w:t>
      </w:r>
      <w:r>
        <w:t>According to UIF, w</w:t>
      </w:r>
      <w:r w:rsidR="008E3BF7">
        <w:t>e should add two additional MERP estimates to the CAPM and average the results. The first one using a linear Ordinary Least Squares regression, and the second using an Empirical CAPM.</w:t>
      </w:r>
      <w:r>
        <w:t xml:space="preserve"> </w:t>
      </w:r>
    </w:p>
    <w:p w:rsidR="008E3BF7" w:rsidRDefault="000B394E" w:rsidP="000B394E">
      <w:pPr>
        <w:pStyle w:val="BodyText"/>
        <w:ind w:firstLine="720"/>
        <w:jc w:val="both"/>
      </w:pPr>
      <w:r>
        <w:t>Also, UIF suggested that t</w:t>
      </w:r>
      <w:r w:rsidR="008E3BF7">
        <w:t>he private placement premium should remain at 50 basis points.</w:t>
      </w:r>
      <w:r>
        <w:t xml:space="preserve"> UIF added that t</w:t>
      </w:r>
      <w:r w:rsidR="008E3BF7">
        <w:t xml:space="preserve">he small-utility risk premium should be increased from 50 basis points to 100 basis points. </w:t>
      </w:r>
      <w:r w:rsidR="006A199A">
        <w:t>Additionally</w:t>
      </w:r>
      <w:r>
        <w:t>, UIF suggested that f</w:t>
      </w:r>
      <w:r w:rsidR="008E3BF7">
        <w:t>lotation costs of 20 basis po</w:t>
      </w:r>
      <w:r>
        <w:t>ints, or 4%, should be included, and that we</w:t>
      </w:r>
      <w:r w:rsidR="008E3BF7">
        <w:t xml:space="preserve"> should use a projected yield on Baa3/BBB- rated public utilities in the derivation to adjust the cost of equity at a 40% equity ratio.</w:t>
      </w:r>
    </w:p>
    <w:p w:rsidR="008E3BF7" w:rsidRDefault="008E3BF7" w:rsidP="008E3BF7">
      <w:pPr>
        <w:pStyle w:val="BodyText"/>
        <w:jc w:val="both"/>
      </w:pPr>
      <w:r>
        <w:t>`</w:t>
      </w:r>
      <w:r>
        <w:tab/>
        <w:t>This order addresses the appropriate leverage formula for 2018. We have</w:t>
      </w:r>
      <w:r w:rsidRPr="007A5AFC">
        <w:t xml:space="preserve"> jurisdiction pursuant to Section 367.081, F.S</w:t>
      </w:r>
      <w:r>
        <w:t>.</w:t>
      </w:r>
    </w:p>
    <w:p w:rsidR="008E3BF7" w:rsidRDefault="008E3BF7" w:rsidP="008E3BF7">
      <w:pPr>
        <w:ind w:firstLine="720"/>
        <w:jc w:val="both"/>
      </w:pPr>
    </w:p>
    <w:bookmarkEnd w:id="7"/>
    <w:p w:rsidR="008E3BF7" w:rsidRDefault="008E3BF7" w:rsidP="008E3BF7">
      <w:pPr>
        <w:pStyle w:val="RecommendationMajorSectionHeading"/>
        <w:sectPr w:rsidR="008E3BF7" w:rsidSect="00CA671C">
          <w:headerReference w:type="default" r:id="rId9"/>
          <w:footerReference w:type="default" r:id="rId10"/>
          <w:pgSz w:w="12240" w:h="15840" w:code="1"/>
          <w:pgMar w:top="1584" w:right="1440" w:bottom="1440" w:left="1440" w:header="720" w:footer="720" w:gutter="0"/>
          <w:cols w:space="720"/>
          <w:formProt w:val="0"/>
          <w:titlePg/>
          <w:docGrid w:linePitch="360"/>
        </w:sectPr>
      </w:pPr>
    </w:p>
    <w:p w:rsidR="008E3BF7" w:rsidRPr="00A77EFB" w:rsidRDefault="008E3BF7" w:rsidP="008E3BF7">
      <w:pPr>
        <w:pStyle w:val="RecommendationMajorSectionHeading"/>
        <w:numPr>
          <w:ilvl w:val="0"/>
          <w:numId w:val="2"/>
        </w:numPr>
        <w:ind w:left="720"/>
        <w:jc w:val="left"/>
        <w:rPr>
          <w:rFonts w:ascii="Times New Roman" w:hAnsi="Times New Roman" w:cs="Times New Roman"/>
          <w:b w:val="0"/>
          <w:u w:val="single"/>
        </w:rPr>
      </w:pPr>
      <w:r>
        <w:rPr>
          <w:rFonts w:ascii="Times New Roman" w:hAnsi="Times New Roman" w:cs="Times New Roman"/>
          <w:b w:val="0"/>
          <w:u w:val="single"/>
        </w:rPr>
        <w:lastRenderedPageBreak/>
        <w:t>Modification of the Leverage Formula</w:t>
      </w:r>
    </w:p>
    <w:p w:rsidR="008E3BF7" w:rsidRPr="00A77EFB" w:rsidRDefault="008E3BF7" w:rsidP="008E3BF7">
      <w:pPr>
        <w:pStyle w:val="BodyText"/>
        <w:numPr>
          <w:ilvl w:val="0"/>
          <w:numId w:val="4"/>
        </w:numPr>
        <w:ind w:left="1080"/>
        <w:rPr>
          <w:u w:val="single"/>
        </w:rPr>
      </w:pPr>
      <w:r w:rsidRPr="00A77EFB">
        <w:rPr>
          <w:u w:val="single"/>
        </w:rPr>
        <w:t>Analysis of OPC’s Post-Workshop Comments</w:t>
      </w:r>
    </w:p>
    <w:p w:rsidR="008E3BF7" w:rsidRDefault="008E3BF7" w:rsidP="008E3BF7">
      <w:pPr>
        <w:pStyle w:val="BodyText"/>
        <w:spacing w:after="0"/>
        <w:ind w:firstLine="720"/>
        <w:jc w:val="both"/>
      </w:pPr>
      <w:r>
        <w:t>OPC asks us to adopt a leverage formula rule</w:t>
      </w:r>
      <w:r w:rsidR="004B78AF">
        <w:t>.</w:t>
      </w:r>
      <w:r>
        <w:t xml:space="preserve"> Section 367.081(4)(f), F.S., states:</w:t>
      </w:r>
    </w:p>
    <w:p w:rsidR="008E3BF7" w:rsidRDefault="008E3BF7" w:rsidP="008E3BF7">
      <w:pPr>
        <w:pStyle w:val="BodyText"/>
        <w:spacing w:after="0"/>
        <w:ind w:left="720" w:right="720"/>
        <w:jc w:val="both"/>
      </w:pPr>
    </w:p>
    <w:p w:rsidR="008E3BF7" w:rsidRDefault="008E3BF7" w:rsidP="008E3BF7">
      <w:pPr>
        <w:pStyle w:val="BodyText"/>
        <w:spacing w:after="0"/>
        <w:ind w:left="720" w:right="720"/>
        <w:jc w:val="both"/>
      </w:pPr>
      <w:r>
        <w:t xml:space="preserve">The Commission may regularly, not less often than once each year, </w:t>
      </w:r>
      <w:r w:rsidRPr="00B25F5C">
        <w:rPr>
          <w:b/>
          <w:i/>
        </w:rPr>
        <w:t>establish by order</w:t>
      </w:r>
      <w:r>
        <w:t xml:space="preserve"> a leverage formula or formulae that reasonably reflect the range of returns on common equity for an average water or wastewater utility and which, for purposes of this section, shall be used to calculate the last authorized rate of return on equity for any utility which otherwise would have no established rate of return on equity. In any other proceeding in which an authorized rate of return on equity is to be established, a utility, in lieu of presenting evidence on its rate of return on common equity, may move the commission to adopt the range of rates of return on common equity that has been established under this paragraph. (Emphasis added)</w:t>
      </w:r>
    </w:p>
    <w:p w:rsidR="008E3BF7" w:rsidRDefault="008E3BF7" w:rsidP="008E3BF7">
      <w:pPr>
        <w:pStyle w:val="BodyText"/>
        <w:spacing w:before="10" w:after="10"/>
        <w:ind w:left="720" w:right="720"/>
        <w:jc w:val="both"/>
      </w:pPr>
    </w:p>
    <w:p w:rsidR="008E3BF7" w:rsidRDefault="008E3BF7" w:rsidP="008E3BF7">
      <w:pPr>
        <w:pStyle w:val="BodyText"/>
        <w:spacing w:after="0"/>
        <w:ind w:firstLine="720"/>
        <w:jc w:val="both"/>
      </w:pPr>
      <w:r>
        <w:t xml:space="preserve">We believe that the statute, on its face, makes it clear that we may establish a leverage formula by order. We review the leverage formula yearly. Thus, if it was codified in a rule, we would have to initiate rulemaking every year to review the leverage formula. Based on the statutory language allowing the leverage formula to be established by order, it appears that the legislature did not intend for us to be in a constant rulemaking posture for this matter. Establishing a rule for the leverage formula may limit our discretion in an area where maximum discretion is advised. Maximum discretion is advised because determination of the required return on equity is subjective and a matter of opinion arrived at by informed judgement. Consequently, we decline OPC’s suggestion to establish a rule for the leverage formula. </w:t>
      </w:r>
    </w:p>
    <w:p w:rsidR="008E3BF7" w:rsidRDefault="008E3BF7" w:rsidP="008E3BF7">
      <w:pPr>
        <w:pStyle w:val="BodyText"/>
        <w:spacing w:after="0"/>
        <w:ind w:firstLine="720"/>
        <w:jc w:val="both"/>
      </w:pPr>
    </w:p>
    <w:p w:rsidR="008E3BF7" w:rsidRDefault="004B78AF" w:rsidP="008E3BF7">
      <w:pPr>
        <w:pStyle w:val="BodyText"/>
        <w:spacing w:after="0"/>
        <w:ind w:firstLine="720"/>
        <w:jc w:val="both"/>
      </w:pPr>
      <w:r>
        <w:t xml:space="preserve">Regarding </w:t>
      </w:r>
      <w:r w:rsidR="008E3BF7">
        <w:t>OPC’s comments on the bond yield differential, we believe it is a necessary adjustment that recognizes the spread between the median bond rating of the utility proxy group (usually an A rating) to the assumed average Florida WAW utility’s bond rating which is the lowest investment grade bond rating (Baa3). If the Florida WAW utilities under our jurisdiction were to be rated, we believe that, on average, they would be well below investment grade.</w:t>
      </w:r>
    </w:p>
    <w:p w:rsidR="008E3BF7" w:rsidRDefault="008E3BF7" w:rsidP="008E3BF7">
      <w:pPr>
        <w:pStyle w:val="BodyText"/>
        <w:spacing w:after="0"/>
        <w:ind w:firstLine="720"/>
        <w:jc w:val="both"/>
      </w:pPr>
    </w:p>
    <w:p w:rsidR="008E3BF7" w:rsidRDefault="008E3BF7" w:rsidP="008E3BF7">
      <w:pPr>
        <w:pStyle w:val="BodyText"/>
        <w:spacing w:after="0"/>
        <w:ind w:firstLine="720"/>
        <w:jc w:val="both"/>
      </w:pPr>
      <w:r>
        <w:t xml:space="preserve">Regarding OPC’s contention that the leverage formula should differentiate between large Class A WAW utilities and smaller Class B and C WAW utilities, we disagree. The leverage formula is derived to appropriately compensate the average WAW utility in Florida. The largest WAW utility in Florida is substantially smaller and more risky from a financial perspective than the utilities in the proxy group. UIF is by far the largest WAW utility in Florida and has total common equity of $47 million. The average market capitalization of the utilities in the proxy group is </w:t>
      </w:r>
      <w:r w:rsidRPr="003E6060">
        <w:t>$3.9</w:t>
      </w:r>
      <w:r>
        <w:t xml:space="preserve"> billion and the smallest company has a market capitalization of $400 million. Small-company risk premiums are a widely accepted adjustment that have been used by financial analysts for decades to account for the differences in the expected returns between small-cap and large-cap companies. If any adjustment should be made to account for the difference between the Class A and Class B and C WAW utilities, an upward adjustment should be made for Class B and C WAW utilities.</w:t>
      </w:r>
    </w:p>
    <w:p w:rsidR="008E3BF7" w:rsidRDefault="008E3BF7" w:rsidP="008E3BF7">
      <w:pPr>
        <w:pStyle w:val="BodyText"/>
        <w:spacing w:after="0"/>
        <w:ind w:firstLine="720"/>
        <w:jc w:val="both"/>
      </w:pPr>
      <w:r>
        <w:lastRenderedPageBreak/>
        <w:t xml:space="preserve">Reasons why smaller WAW utilities are more risky than other utilities include: (1) WAW utilities are more capital intensive than electric or natural gas utilities; (2) WAW utilities experience lower relative depreciation rates than other utilities, thereby providing less cash flow; (3) WAW utilities experience consistently negative free cash flow, thereby increasing their financing requirements; (4) WAW utilities’ credit metrics are inferior to those of electric and natural gas utilities; (5) Florida WAW utilities are substantially smaller than electric and natural gas utilities by virtually any measure including total revenues, total assets, and market capitalization; (6)  WAW utilities’ earnings are much more volatile (uncertain) than electric and natural gas utilities’ earnings; and (7) WAW utilities experience many more business failures than electric and natural gas utilities. </w:t>
      </w:r>
    </w:p>
    <w:p w:rsidR="008E3BF7" w:rsidRDefault="008E3BF7" w:rsidP="008E3BF7">
      <w:pPr>
        <w:pStyle w:val="BodyText"/>
        <w:spacing w:after="0"/>
        <w:ind w:firstLine="720"/>
        <w:jc w:val="both"/>
      </w:pPr>
    </w:p>
    <w:p w:rsidR="008E3BF7" w:rsidRDefault="008E3BF7" w:rsidP="008E3BF7">
      <w:pPr>
        <w:pStyle w:val="BodyText"/>
        <w:spacing w:after="0"/>
        <w:ind w:firstLine="720"/>
        <w:jc w:val="both"/>
      </w:pPr>
      <w:r>
        <w:t xml:space="preserve">Regarding OPC’s claim that the risk premium adjustment is duplicative, we disagree. The small-utility risk premium adjustment and the bond yield risk premium adjustment are not the same and compensate an investor for different risks. The small-utility risk premium is an adjustment for the smaller sized companies based on market capitalization and the bond yield risk premium is an adjustment based on the assumed credit rating of the average Florida WAW utility (Baa3) as compared to the median credit rating of the proxy group (A). </w:t>
      </w:r>
    </w:p>
    <w:p w:rsidR="008E3BF7" w:rsidRDefault="008E3BF7" w:rsidP="008E3BF7">
      <w:pPr>
        <w:pStyle w:val="BodyText"/>
        <w:spacing w:after="0"/>
        <w:ind w:firstLine="720"/>
        <w:jc w:val="both"/>
      </w:pPr>
    </w:p>
    <w:p w:rsidR="008E3BF7" w:rsidRDefault="008E3BF7" w:rsidP="008E3BF7">
      <w:pPr>
        <w:pStyle w:val="BodyText"/>
        <w:spacing w:after="0"/>
        <w:ind w:firstLine="720"/>
        <w:jc w:val="both"/>
      </w:pPr>
      <w:r>
        <w:t>Regarding OPC’s comment about the private placement premium, we have</w:t>
      </w:r>
      <w:r w:rsidRPr="00850ACC">
        <w:t xml:space="preserve"> previously included this adjustment to reflect the difference in yields on publicly traded debt and privately placed debt, which is illiquid.</w:t>
      </w:r>
      <w:r>
        <w:t xml:space="preserve"> We understand that a private placement premium may change over time based on financial market conditions. However, information regarding actual private placement premiums is not readily available to derive an actual amount. Nevertheless, we believe recognition of the private placement risk should be included in the leverage formula. The private placement premium of 50 basis points was approved in Order No. PSC-2008-0846-FOF-WS.</w:t>
      </w:r>
      <w:r>
        <w:rPr>
          <w:rStyle w:val="FootnoteReference"/>
        </w:rPr>
        <w:footnoteReference w:id="6"/>
      </w:r>
      <w:r>
        <w:t xml:space="preserve"> In this order, we stated:</w:t>
      </w:r>
    </w:p>
    <w:p w:rsidR="008E3BF7" w:rsidRDefault="008E3BF7" w:rsidP="008E3BF7">
      <w:pPr>
        <w:pStyle w:val="BodyText"/>
        <w:spacing w:after="0"/>
        <w:ind w:firstLine="720"/>
        <w:jc w:val="both"/>
      </w:pPr>
    </w:p>
    <w:p w:rsidR="008E3BF7" w:rsidRDefault="008E3BF7" w:rsidP="00521F8E">
      <w:pPr>
        <w:pStyle w:val="BodyText"/>
        <w:spacing w:after="240"/>
        <w:ind w:left="720" w:right="720"/>
        <w:jc w:val="both"/>
      </w:pPr>
      <w:r>
        <w:t xml:space="preserve">In addition, we find that the average WAW utility in Florida does not have access to public financing. The fact that an average WAW utility in Florida cannot access public financing justifies the inclusion of a private placement premium adjustment to compensate for the lack of liquidity and the higher cost of financing of privately placed debt. For these reasons, we find that that it is appropriate to continue to make a private placement premium adjustment of 50 basis points as reflected in Attachment 1 to this Order. </w:t>
      </w:r>
    </w:p>
    <w:p w:rsidR="008E3BF7" w:rsidRDefault="008E3BF7" w:rsidP="00521F8E">
      <w:pPr>
        <w:pStyle w:val="BodyText"/>
        <w:spacing w:after="240"/>
        <w:jc w:val="both"/>
      </w:pPr>
      <w:r>
        <w:t>We believe that the average WAW utility in Florida continues to not have access to public financing and will have to pay a higher interest rate for privately placed debt and a private placement premium is still appropriate.</w:t>
      </w:r>
    </w:p>
    <w:p w:rsidR="008E3BF7" w:rsidRDefault="008E3BF7" w:rsidP="008E7D58">
      <w:pPr>
        <w:pStyle w:val="BodyText"/>
        <w:spacing w:after="0"/>
        <w:ind w:firstLine="720"/>
        <w:jc w:val="both"/>
      </w:pPr>
      <w:r>
        <w:t xml:space="preserve">Regarding flotation costs, we disagree with OPC and believe that accounting for flotation costs in the application of the models is appropriate and in accordance with financial theory and application of the financial models. Although none of Florida’s WAW utilities are publically </w:t>
      </w:r>
      <w:r>
        <w:lastRenderedPageBreak/>
        <w:t xml:space="preserve">traded, application of the DCF and CAPM models to a proxy group is used to approximate the required return on equity and appropriate estimation of the required ROE includes an adjustment for flotation costs.  </w:t>
      </w:r>
    </w:p>
    <w:p w:rsidR="008E7D58" w:rsidRDefault="008E7D58" w:rsidP="008E7D58">
      <w:pPr>
        <w:pStyle w:val="BodyText"/>
        <w:spacing w:after="0"/>
        <w:ind w:firstLine="720"/>
        <w:jc w:val="both"/>
      </w:pPr>
    </w:p>
    <w:p w:rsidR="008E3BF7" w:rsidRPr="00A77EFB" w:rsidRDefault="008E3BF7" w:rsidP="008E3BF7">
      <w:pPr>
        <w:pStyle w:val="BodyText"/>
        <w:numPr>
          <w:ilvl w:val="0"/>
          <w:numId w:val="4"/>
        </w:numPr>
        <w:ind w:left="1080"/>
        <w:rPr>
          <w:u w:val="single"/>
        </w:rPr>
      </w:pPr>
      <w:r w:rsidRPr="00A77EFB">
        <w:rPr>
          <w:u w:val="single"/>
        </w:rPr>
        <w:t xml:space="preserve">Analysis of </w:t>
      </w:r>
      <w:r>
        <w:rPr>
          <w:u w:val="single"/>
        </w:rPr>
        <w:t>UIF</w:t>
      </w:r>
      <w:r w:rsidRPr="00A77EFB">
        <w:rPr>
          <w:u w:val="single"/>
        </w:rPr>
        <w:t>’s Post-Workshop Comments</w:t>
      </w:r>
    </w:p>
    <w:p w:rsidR="008E3BF7" w:rsidRDefault="008E3BF7" w:rsidP="008E3BF7">
      <w:pPr>
        <w:pStyle w:val="BodyText"/>
        <w:spacing w:after="0"/>
        <w:ind w:firstLine="720"/>
        <w:jc w:val="both"/>
      </w:pPr>
      <w:r>
        <w:t xml:space="preserve">Several of UIF’s suggestions are already included in the current leverage formula methodology as a result of the outcome of the 2008 hearing and subsequent order. In this docket, we included WAW utilities along with the natural gas utilities in its proxy group as suggested by UIF to increase the sample group of companies available. The private placement premium and small-utility risk premium are also included in the current methodology. We do not believe that the small-utility risk premium should be increased without further study to determine if that would be appropriate. We agree that flotation costs should be recognized in the application of the ROE models and they have been since 2001. </w:t>
      </w:r>
    </w:p>
    <w:p w:rsidR="008E3BF7" w:rsidRDefault="008E3BF7" w:rsidP="008E3BF7">
      <w:pPr>
        <w:pStyle w:val="BodyText"/>
        <w:spacing w:after="0"/>
        <w:ind w:firstLine="720"/>
        <w:jc w:val="both"/>
      </w:pPr>
    </w:p>
    <w:p w:rsidR="008E3BF7" w:rsidRDefault="008E3BF7" w:rsidP="008E3BF7">
      <w:pPr>
        <w:pStyle w:val="BodyText"/>
        <w:spacing w:after="0"/>
        <w:ind w:firstLine="720"/>
        <w:jc w:val="both"/>
      </w:pPr>
      <w:r>
        <w:t xml:space="preserve">UIF suggests that an estimated projected yield on Baa3 rated public utility bonds be used to calculate the assumed bond yield for the average Florida WAW utility. </w:t>
      </w:r>
      <w:r w:rsidRPr="004E3785">
        <w:t>The required return on equity is a forward-looking concept and is based on projections. Also, the costs included in the test year should reflect the costs expected during the period rates are going to be in effect.</w:t>
      </w:r>
      <w:r>
        <w:t xml:space="preserve"> Consequently, we believe it is reasonable to use a projected Baa3 rated utility bond yield and that it is consistent with our practice of relying on the projected risk-free rate used in the CAPM.</w:t>
      </w:r>
    </w:p>
    <w:p w:rsidR="008E3BF7" w:rsidRDefault="008E3BF7" w:rsidP="008E3BF7">
      <w:pPr>
        <w:pStyle w:val="BodyText"/>
        <w:spacing w:after="0"/>
        <w:ind w:firstLine="720"/>
        <w:jc w:val="both"/>
      </w:pPr>
    </w:p>
    <w:p w:rsidR="008E3BF7" w:rsidRDefault="008E3BF7" w:rsidP="008E3BF7">
      <w:pPr>
        <w:pStyle w:val="BodyText"/>
        <w:spacing w:after="0"/>
        <w:ind w:firstLine="720"/>
        <w:jc w:val="both"/>
      </w:pPr>
      <w:r>
        <w:t xml:space="preserve">Regarding UIF’s suggestion to use a single-stage DCF model using expected earnings growth in the model, we disagree. All DCF models are derived from the equation that represents all expected cash flows into perpetuity. The multi-stage model allows us to avail ourselves of the explicit expected dividends provided by Value Line. Using a less robust form of the DCF model provides no benefit. We also disagree with the use of expected earnings growth in lieu of expected dividend growth. DCF theory is unambiguous when explaining that the expected cash flows associated with a share of stock are dividends. This is important because the time value of money underscores DCF theory and all earnings are not paid out to investors when they are earned. Expected earnings are crucial to determining expected dividends, but expected dividends are the expected cash flows that determine the value of a stock. </w:t>
      </w:r>
    </w:p>
    <w:p w:rsidR="008E3BF7" w:rsidRDefault="008E3BF7" w:rsidP="008E3BF7">
      <w:pPr>
        <w:pStyle w:val="BodyText"/>
        <w:spacing w:after="0"/>
        <w:ind w:firstLine="720"/>
        <w:jc w:val="both"/>
      </w:pPr>
    </w:p>
    <w:p w:rsidR="008E3BF7" w:rsidRDefault="008E3BF7" w:rsidP="008E3BF7">
      <w:pPr>
        <w:pStyle w:val="BodyText"/>
        <w:spacing w:after="0"/>
        <w:ind w:firstLine="720"/>
        <w:jc w:val="both"/>
      </w:pPr>
      <w:r>
        <w:t xml:space="preserve">Regarding UIF’s recommendation that foreign stocks be removed from the determination of the expected market return in the CAPM model, we disagree. Under CAPM theory, the expected market return is the return on all asset classes worldwide. Most analysts use the expected return on the US stock market as a proxy for the return on all asset classes out of convenience. Consequently, there is no reason to exclude foreign companies trading on the US market.   </w:t>
      </w:r>
    </w:p>
    <w:p w:rsidR="008E3BF7" w:rsidRDefault="008E3BF7" w:rsidP="008E3BF7">
      <w:pPr>
        <w:pStyle w:val="BodyText"/>
        <w:spacing w:after="0"/>
        <w:ind w:firstLine="720"/>
        <w:jc w:val="both"/>
      </w:pPr>
    </w:p>
    <w:p w:rsidR="008E3BF7" w:rsidRDefault="008E3BF7" w:rsidP="008E3BF7">
      <w:pPr>
        <w:pStyle w:val="BodyText"/>
        <w:spacing w:after="0"/>
        <w:ind w:firstLine="720"/>
        <w:jc w:val="both"/>
      </w:pPr>
      <w:r>
        <w:t>Regarding UIF’s recommendations to consider adding more versions of the CAPM to the leverage formula analysis, we believe the additional methodologies require a much greater level of subjectivity than the traditional CAPM but will continue to consider their inclusion in the leverage formula analysis.</w:t>
      </w:r>
    </w:p>
    <w:p w:rsidR="008E3BF7" w:rsidRDefault="008E3BF7" w:rsidP="008E3BF7">
      <w:pPr>
        <w:pStyle w:val="BodyText"/>
        <w:spacing w:after="0"/>
        <w:ind w:firstLine="720"/>
        <w:jc w:val="both"/>
      </w:pPr>
    </w:p>
    <w:p w:rsidR="008E3BF7" w:rsidRDefault="008E3BF7" w:rsidP="008E3BF7">
      <w:pPr>
        <w:pStyle w:val="BodyText"/>
        <w:spacing w:after="0"/>
        <w:ind w:firstLine="720"/>
        <w:jc w:val="both"/>
      </w:pPr>
    </w:p>
    <w:p w:rsidR="008E3BF7" w:rsidRPr="005670B0" w:rsidRDefault="008E3BF7" w:rsidP="00097C60">
      <w:pPr>
        <w:pStyle w:val="BodyText"/>
        <w:numPr>
          <w:ilvl w:val="0"/>
          <w:numId w:val="4"/>
        </w:numPr>
        <w:spacing w:after="0"/>
        <w:ind w:left="1080"/>
        <w:rPr>
          <w:u w:val="single"/>
        </w:rPr>
      </w:pPr>
      <w:r w:rsidRPr="005670B0">
        <w:rPr>
          <w:bCs/>
          <w:kern w:val="32"/>
          <w:szCs w:val="32"/>
          <w:u w:val="single"/>
        </w:rPr>
        <w:lastRenderedPageBreak/>
        <w:t>Modification of the Leverage Formula is Necessary</w:t>
      </w:r>
    </w:p>
    <w:p w:rsidR="008E3BF7" w:rsidRPr="005670B0" w:rsidRDefault="008E3BF7" w:rsidP="008E3BF7">
      <w:pPr>
        <w:pStyle w:val="BodyText"/>
        <w:spacing w:after="0"/>
        <w:ind w:left="1440"/>
        <w:rPr>
          <w:u w:val="single"/>
        </w:rPr>
      </w:pPr>
    </w:p>
    <w:p w:rsidR="008E3BF7" w:rsidRDefault="008E3BF7" w:rsidP="008E3BF7">
      <w:pPr>
        <w:pStyle w:val="BodyText"/>
        <w:spacing w:after="0"/>
        <w:ind w:firstLine="720"/>
        <w:jc w:val="both"/>
      </w:pPr>
      <w:r>
        <w:t xml:space="preserve">Section 367.081(4)(f), F.S., authorizes us to establish a leverage formula to calculate a reasonable range of returns on common equity for WAW utilities. We must establish this leverage formula not less than once a year. For administrative efficiency, the leverage formula is used to determine the appropriate return for an average Florida WAW utility. </w:t>
      </w:r>
      <w:r w:rsidRPr="00412E9B">
        <w:t>However, use of the leverage formula by utilities is discretionary</w:t>
      </w:r>
      <w:r w:rsidR="004B78AF">
        <w:t>,</w:t>
      </w:r>
      <w:r w:rsidRPr="00412E9B">
        <w:t xml:space="preserve"> and a utility can file cost of equity testimony in lieu of using the leverage formula.</w:t>
      </w:r>
      <w:r>
        <w:t xml:space="preserve"> As is the case with other regulated companies under our jurisdiction, we have discretion in the determination of the appropriate ROE based on the evidentiary record in any proceeding. If one or more parties in a rate case or limited proceeding file testimony in lieu of th</w:t>
      </w:r>
      <w:r w:rsidR="004B78AF">
        <w:t>e use of the leverage formula, we</w:t>
      </w:r>
      <w:r>
        <w:t xml:space="preserve"> will determine the appropriate ROE based on the evidentiary record in that proceeding.</w:t>
      </w:r>
    </w:p>
    <w:p w:rsidR="008E3BF7" w:rsidRDefault="008E3BF7" w:rsidP="008E3BF7">
      <w:pPr>
        <w:pStyle w:val="BodyText"/>
        <w:spacing w:after="0"/>
        <w:ind w:firstLine="720"/>
        <w:jc w:val="both"/>
      </w:pPr>
    </w:p>
    <w:p w:rsidR="008E3BF7" w:rsidRDefault="008E3BF7" w:rsidP="008E3BF7">
      <w:pPr>
        <w:pStyle w:val="BodyText"/>
        <w:ind w:firstLine="720"/>
      </w:pPr>
      <w:r>
        <w:t>The leverage formula depends on four basic assumptions:</w:t>
      </w:r>
    </w:p>
    <w:p w:rsidR="008E3BF7" w:rsidRDefault="008E3BF7" w:rsidP="008E3BF7">
      <w:pPr>
        <w:pStyle w:val="BodyText"/>
        <w:ind w:left="720" w:right="720"/>
        <w:jc w:val="both"/>
      </w:pPr>
      <w:r>
        <w:t>1)</w:t>
      </w:r>
      <w:r>
        <w:tab/>
        <w:t>Business risk is similar for all WAW utilities;</w:t>
      </w:r>
    </w:p>
    <w:p w:rsidR="008E3BF7" w:rsidRDefault="008E3BF7" w:rsidP="008E3BF7">
      <w:pPr>
        <w:pStyle w:val="BodyText"/>
        <w:ind w:left="1440" w:right="720" w:hanging="720"/>
        <w:jc w:val="both"/>
      </w:pPr>
      <w:r>
        <w:t>2)</w:t>
      </w:r>
      <w:r>
        <w:tab/>
        <w:t>The cost of equity is an exponential function of the equity ratio but a linear function of the debt to equity ratio over the relevant range;</w:t>
      </w:r>
    </w:p>
    <w:p w:rsidR="008E3BF7" w:rsidRDefault="008E3BF7" w:rsidP="008E3BF7">
      <w:pPr>
        <w:pStyle w:val="BodyText"/>
        <w:ind w:left="1440" w:right="720" w:hanging="720"/>
        <w:jc w:val="both"/>
      </w:pPr>
      <w:r>
        <w:t>3)</w:t>
      </w:r>
      <w:r>
        <w:tab/>
        <w:t>The marginal weighted average cost of investor capital is constant over the equity ratio range of 40 percent to 100 percent; and</w:t>
      </w:r>
    </w:p>
    <w:p w:rsidR="008E3BF7" w:rsidRDefault="008E3BF7" w:rsidP="00521F8E">
      <w:pPr>
        <w:pStyle w:val="BodyText"/>
        <w:spacing w:after="240"/>
        <w:ind w:left="1440" w:right="720" w:hanging="720"/>
        <w:jc w:val="both"/>
      </w:pPr>
      <w:r>
        <w:t>4)</w:t>
      </w:r>
      <w:r>
        <w:tab/>
        <w:t>The debt cost rate at an assumed Moody’s Baa3 bond rating, plus a 50 basis point private placement premium and a 50 basis point small-utility risk premium, represents the average marginal cost of debt to an average Florida WAW utility over an equity ratio range of 40 percent to 100 percent.</w:t>
      </w:r>
    </w:p>
    <w:p w:rsidR="008E3BF7" w:rsidRDefault="008E3BF7" w:rsidP="00521F8E">
      <w:pPr>
        <w:pStyle w:val="BodyText"/>
        <w:spacing w:after="240"/>
        <w:ind w:firstLine="720"/>
        <w:jc w:val="both"/>
      </w:pPr>
      <w:r>
        <w:t>Since 2001, we  have used the leverage formula methodology established in Order No. PSC-2001-2514-FOF-WS and reaffirmed in Order No. PSC-2008-0846-FOF-WS. This methodology used ROEs derived from financial models applied to an index of natural gas utilities. We determined in 2001 and 2008 that there were an insufficient number of publicly traded WAW utilities that met the requisite criteria to assemble an appropriate proxy group, and</w:t>
      </w:r>
      <w:r w:rsidR="004B78AF">
        <w:t>,</w:t>
      </w:r>
      <w:r>
        <w:t xml:space="preserve"> therefore, natural gas utilities were used instead. However, due to mergers and acquisitions of natural gas utilities over the past two years, the number of acceptable natural gas utilities has been reduced from eight to </w:t>
      </w:r>
      <w:r w:rsidRPr="003E6060">
        <w:t>five.</w:t>
      </w:r>
      <w:r>
        <w:t xml:space="preserve"> Concurrently, the number of publicly-traded water companies followed by Value Line has risen from four to nine. </w:t>
      </w:r>
    </w:p>
    <w:p w:rsidR="008E3BF7" w:rsidRDefault="008E3BF7" w:rsidP="008E3BF7">
      <w:pPr>
        <w:pStyle w:val="BodyText"/>
        <w:spacing w:after="0"/>
        <w:ind w:firstLine="720"/>
        <w:jc w:val="both"/>
      </w:pPr>
    </w:p>
    <w:p w:rsidR="008E3BF7" w:rsidRDefault="008E3BF7" w:rsidP="008E3BF7">
      <w:pPr>
        <w:pStyle w:val="BodyText"/>
        <w:spacing w:after="0"/>
        <w:ind w:firstLine="720"/>
        <w:jc w:val="both"/>
      </w:pPr>
      <w:r>
        <w:t xml:space="preserve">Based on comments made at the workshop and the analysis conducted by our staff, which is presented in more detail in Attachment 1, we believe modification of the leverage formula methodology is warranted.  We find that it is necessary to refine the leverage formula methodology to reflect newly available information and to reflect best practices. The leverage formula methodology shall be modified to include a combined proxy group of natural gas and WAW utilities with updated financial data based on market-capitalization based weighted averages. Also, the cost of debt used in determining the leverage formula shall be based on the projected cost of debt. </w:t>
      </w:r>
    </w:p>
    <w:p w:rsidR="00B80537" w:rsidRDefault="00B80537" w:rsidP="008E3BF7">
      <w:pPr>
        <w:pStyle w:val="BodyText"/>
        <w:spacing w:after="0"/>
        <w:ind w:firstLine="720"/>
        <w:jc w:val="both"/>
      </w:pPr>
    </w:p>
    <w:p w:rsidR="008E3BF7" w:rsidRDefault="004B78AF" w:rsidP="004B78AF">
      <w:pPr>
        <w:pStyle w:val="BodyText"/>
        <w:numPr>
          <w:ilvl w:val="0"/>
          <w:numId w:val="4"/>
        </w:numPr>
        <w:spacing w:after="0"/>
        <w:ind w:left="1080"/>
        <w:rPr>
          <w:u w:val="single"/>
        </w:rPr>
      </w:pPr>
      <w:r w:rsidRPr="004B78AF">
        <w:t xml:space="preserve"> </w:t>
      </w:r>
      <w:r w:rsidR="008E3BF7" w:rsidRPr="00C204B6">
        <w:rPr>
          <w:u w:val="single"/>
        </w:rPr>
        <w:t>The Modification</w:t>
      </w:r>
      <w:r w:rsidR="008E3BF7">
        <w:rPr>
          <w:u w:val="single"/>
        </w:rPr>
        <w:t>s</w:t>
      </w:r>
      <w:r w:rsidR="008E3BF7" w:rsidRPr="00C204B6">
        <w:rPr>
          <w:u w:val="single"/>
        </w:rPr>
        <w:t xml:space="preserve"> </w:t>
      </w:r>
      <w:r w:rsidR="008E3BF7">
        <w:rPr>
          <w:u w:val="single"/>
        </w:rPr>
        <w:t>to the</w:t>
      </w:r>
      <w:r w:rsidR="008E3BF7" w:rsidRPr="00C204B6">
        <w:rPr>
          <w:u w:val="single"/>
        </w:rPr>
        <w:t xml:space="preserve"> </w:t>
      </w:r>
      <w:r w:rsidR="008E3BF7">
        <w:rPr>
          <w:u w:val="single"/>
        </w:rPr>
        <w:t xml:space="preserve">Leverage Formula </w:t>
      </w:r>
    </w:p>
    <w:p w:rsidR="008E3BF7" w:rsidRDefault="008E3BF7" w:rsidP="008E3BF7">
      <w:pPr>
        <w:pStyle w:val="BodyText"/>
        <w:spacing w:after="0"/>
        <w:ind w:firstLine="720"/>
        <w:jc w:val="both"/>
      </w:pPr>
    </w:p>
    <w:p w:rsidR="008E3BF7" w:rsidRDefault="008E3BF7" w:rsidP="008E3BF7">
      <w:pPr>
        <w:pStyle w:val="BodyText"/>
        <w:spacing w:after="0"/>
        <w:ind w:firstLine="720"/>
        <w:jc w:val="both"/>
      </w:pPr>
      <w:r w:rsidRPr="00CF0ED2">
        <w:rPr>
          <w:u w:val="single"/>
        </w:rPr>
        <w:t>Proxy Group</w:t>
      </w:r>
      <w:r w:rsidR="00AE6C6E">
        <w:t xml:space="preserve">: </w:t>
      </w:r>
      <w:r>
        <w:t>T</w:t>
      </w:r>
      <w:r w:rsidRPr="00BC512C">
        <w:t xml:space="preserve">he leverage formula methodology </w:t>
      </w:r>
      <w:r>
        <w:t>shall be modified</w:t>
      </w:r>
      <w:r w:rsidRPr="00BC512C">
        <w:t xml:space="preserve"> to include a combined proxy group of natural gas and WAW utilities </w:t>
      </w:r>
      <w:r>
        <w:t xml:space="preserve">as proxy companies in calculating the leverage formula. We find that the selected natural gas utilities and WAW utilities that derive at least 50 percent of their revenue from regulated rates. These utilities have market power and are influenced significantly by economic regulation. In Attachment 1, the returns calculated using the proxy group are adjusted to reflect the risks faced by Florida WAW utilities. The updated index consists of </w:t>
      </w:r>
      <w:r w:rsidRPr="003E6060">
        <w:t>five</w:t>
      </w:r>
      <w:r>
        <w:t xml:space="preserve"> natural gas companies and seven WAW companies that derive at least 50 percent of their total revenue from regulated operations. These companies have a median Standard and Poor’s bond rating of “A”.</w:t>
      </w:r>
    </w:p>
    <w:p w:rsidR="008E3BF7" w:rsidRDefault="008E3BF7" w:rsidP="008E3BF7">
      <w:pPr>
        <w:pStyle w:val="BodyText"/>
        <w:spacing w:after="0"/>
        <w:jc w:val="both"/>
      </w:pPr>
    </w:p>
    <w:p w:rsidR="008E3BF7" w:rsidRDefault="008E3BF7" w:rsidP="008E3BF7">
      <w:pPr>
        <w:pStyle w:val="BodyText"/>
        <w:spacing w:after="0"/>
        <w:ind w:firstLine="720"/>
        <w:jc w:val="both"/>
      </w:pPr>
      <w:r w:rsidRPr="00CF0ED2">
        <w:rPr>
          <w:u w:val="single"/>
        </w:rPr>
        <w:t>Weighted Average</w:t>
      </w:r>
      <w:r w:rsidRPr="00CF0ED2">
        <w:t>:</w:t>
      </w:r>
      <w:r>
        <w:t xml:space="preserve"> In addition, the leverage formula shall be modified to use a weighted average, where appropriate, as opposed to using a simple average as was done in the previous leverage formula calculations. The weighted average was calculated using the market capitalization of the proxy companies. We find that it is reasonable to use the market- capitalization based weighted average because of the size disparity among the companies comprising the new proxy group. There is a much greater size difference between companies in both assets and revenues when using both WAW and natural gas companies as opposed to using only natural gas companies. As pointed out in UIF’s comments, “a market value weighted average is consistent with the manner in which returns for the Standard &amp; Poor’s 500 composite Index (S&amp;P) are estimated.”</w:t>
      </w:r>
      <w:r>
        <w:rPr>
          <w:rStyle w:val="FootnoteReference"/>
        </w:rPr>
        <w:footnoteReference w:id="7"/>
      </w:r>
      <w:r>
        <w:t xml:space="preserve"> We used a market capitalization weighted average of: (1) Discounted Cash Flow (DCF) model results, (2) the Beta values in the Capital Asset Pricing Model (CAPM), and (3) the equity ratio of the proxy group. </w:t>
      </w:r>
    </w:p>
    <w:p w:rsidR="008E3BF7" w:rsidRDefault="008E3BF7" w:rsidP="008E3BF7">
      <w:pPr>
        <w:pStyle w:val="BodyText"/>
        <w:spacing w:after="0"/>
        <w:ind w:firstLine="720"/>
        <w:jc w:val="both"/>
      </w:pPr>
    </w:p>
    <w:p w:rsidR="008E3BF7" w:rsidRDefault="008E3BF7" w:rsidP="008E3BF7">
      <w:pPr>
        <w:pStyle w:val="BodyText"/>
        <w:spacing w:after="0"/>
        <w:ind w:firstLine="720"/>
        <w:jc w:val="both"/>
      </w:pPr>
      <w:r w:rsidRPr="00CF0ED2">
        <w:rPr>
          <w:u w:val="single"/>
        </w:rPr>
        <w:t>Projected Yield</w:t>
      </w:r>
      <w:r w:rsidRPr="00CF0ED2">
        <w:t>:</w:t>
      </w:r>
      <w:r>
        <w:t xml:space="preserve"> The leverage formula shall be modified to use a projected yield on Baa3 rated public utility bonds </w:t>
      </w:r>
      <w:r w:rsidRPr="00B412F7">
        <w:t xml:space="preserve">to estimate the bond yield of an average Florida WAW utility </w:t>
      </w:r>
      <w:r>
        <w:t xml:space="preserve">in the calculation of the weighted average cost of capital of the proxy group is reasonable and appropriate. We find that using a projected yield is appropriate because required returns are forward looking and based on projections. The previously approved methodology used the most current monthly average bond yield for a Baa2 rated utility and added the 120-month average spread between a Baa3 rated utility bond yield and the Baa2 rated bond yield as published by Value Line Investment Survey (Value Line). We believe the methodology should be updated to use the projected Baa2 rated utility bond yield for the upcoming four quarters as published by the most recent Blue Chip Financial Forecasts (Blue Chip). We find that modifying the formula to add the 120-month average spread to the projected Baa2 rated utility bond yield to estimate a projected Baa3 rated utility bond yield is also necessary. </w:t>
      </w:r>
    </w:p>
    <w:p w:rsidR="008E3BF7" w:rsidRDefault="008E3BF7" w:rsidP="008E3BF7">
      <w:pPr>
        <w:pStyle w:val="BodyText"/>
        <w:spacing w:after="0"/>
        <w:ind w:firstLine="720"/>
        <w:jc w:val="both"/>
      </w:pPr>
    </w:p>
    <w:p w:rsidR="008E3BF7" w:rsidRDefault="008E3BF7" w:rsidP="008E3BF7">
      <w:pPr>
        <w:pStyle w:val="BodyText"/>
        <w:spacing w:after="0"/>
        <w:ind w:firstLine="720"/>
        <w:jc w:val="both"/>
      </w:pPr>
      <w:r w:rsidRPr="00CF0ED2">
        <w:rPr>
          <w:u w:val="single"/>
        </w:rPr>
        <w:t>ROE Models</w:t>
      </w:r>
      <w:r>
        <w:t xml:space="preserve">: </w:t>
      </w:r>
      <w:r w:rsidR="00E7365A">
        <w:t xml:space="preserve">The result of the ROE models </w:t>
      </w:r>
      <w:r>
        <w:t>shall be adjusted so that</w:t>
      </w:r>
      <w:r w:rsidR="00E7365A">
        <w:t xml:space="preserve"> the leverage formula</w:t>
      </w:r>
      <w:r>
        <w:t xml:space="preserve"> reflects </w:t>
      </w:r>
      <w:r w:rsidR="00E7365A">
        <w:t xml:space="preserve">the </w:t>
      </w:r>
      <w:r>
        <w:t xml:space="preserve">differences in risk and debt cost between the proxy group and the average </w:t>
      </w:r>
      <w:r>
        <w:lastRenderedPageBreak/>
        <w:t>Florida WAW utility. The ROE models</w:t>
      </w:r>
      <w:r w:rsidR="00E7365A">
        <w:t xml:space="preserve"> shall also</w:t>
      </w:r>
      <w:r>
        <w:t xml:space="preserve"> include a four percent adjustment for flotation costs. The ROE models are as follows:</w:t>
      </w:r>
    </w:p>
    <w:p w:rsidR="008E3BF7" w:rsidRDefault="008E3BF7" w:rsidP="008E3BF7">
      <w:pPr>
        <w:pStyle w:val="BodyText"/>
        <w:spacing w:after="0"/>
        <w:ind w:firstLine="720"/>
        <w:jc w:val="both"/>
      </w:pPr>
    </w:p>
    <w:p w:rsidR="008E3BF7" w:rsidRDefault="008E3BF7" w:rsidP="008E3BF7">
      <w:pPr>
        <w:pStyle w:val="BodyText"/>
        <w:numPr>
          <w:ilvl w:val="0"/>
          <w:numId w:val="1"/>
        </w:numPr>
        <w:spacing w:after="0"/>
        <w:ind w:left="1440" w:right="720"/>
        <w:jc w:val="both"/>
      </w:pPr>
      <w:r>
        <w:t>A multistage Discounted Cash Flow (DCF) model applied to an index of natural gas and WAW utilities that have publicly traded stock and are followed by the Value Line. This DCF model is an annually compounded model and uses prospective dividend growth rates.</w:t>
      </w:r>
    </w:p>
    <w:p w:rsidR="00F24257" w:rsidRDefault="00F24257" w:rsidP="00F24257">
      <w:pPr>
        <w:pStyle w:val="BodyText"/>
        <w:spacing w:after="0"/>
        <w:ind w:left="1440" w:right="720"/>
        <w:jc w:val="both"/>
      </w:pPr>
    </w:p>
    <w:p w:rsidR="008E3BF7" w:rsidRDefault="008E3BF7" w:rsidP="008E3BF7">
      <w:pPr>
        <w:pStyle w:val="BodyText"/>
        <w:numPr>
          <w:ilvl w:val="0"/>
          <w:numId w:val="1"/>
        </w:numPr>
        <w:spacing w:after="0"/>
        <w:ind w:left="1440" w:right="720"/>
        <w:jc w:val="both"/>
      </w:pPr>
      <w:r>
        <w:t>A Capital Asset Pricing Model (CAPM) that relies on a market return for companies followed by Value Line, the average projected yield on the U.S. Treasury’s 30-year bonds published by Blue Chip Financial Forecasts, and the weighted average beta for the index of natural gas and WAW utilities. The market return for the 2018 leverage formula was calculated using a quarterly DCF model with stock prices as of April 16, 2018.</w:t>
      </w:r>
    </w:p>
    <w:p w:rsidR="008E3BF7" w:rsidRDefault="008E3BF7" w:rsidP="008E3BF7">
      <w:pPr>
        <w:pStyle w:val="BodyText"/>
        <w:spacing w:after="0"/>
        <w:ind w:left="1440" w:right="720"/>
        <w:jc w:val="both"/>
      </w:pPr>
    </w:p>
    <w:p w:rsidR="008E3BF7" w:rsidRDefault="008E3BF7" w:rsidP="008E3BF7">
      <w:pPr>
        <w:pStyle w:val="BodyText"/>
        <w:spacing w:after="0"/>
        <w:ind w:firstLine="720"/>
        <w:jc w:val="both"/>
      </w:pPr>
      <w:r>
        <w:t xml:space="preserve">The updated leverage formula will average the results of the DCF and CAPM models and the result </w:t>
      </w:r>
      <w:r w:rsidR="00E7365A">
        <w:t xml:space="preserve">will be </w:t>
      </w:r>
      <w:r>
        <w:t>as follows:</w:t>
      </w:r>
    </w:p>
    <w:p w:rsidR="008E3BF7" w:rsidRDefault="008E3BF7" w:rsidP="008E3BF7">
      <w:pPr>
        <w:pStyle w:val="BodyText"/>
        <w:spacing w:after="0"/>
        <w:ind w:right="720" w:firstLine="720"/>
        <w:jc w:val="both"/>
      </w:pPr>
    </w:p>
    <w:p w:rsidR="00F24257" w:rsidRDefault="008E3BF7" w:rsidP="008E3BF7">
      <w:pPr>
        <w:pStyle w:val="BodyText"/>
        <w:numPr>
          <w:ilvl w:val="0"/>
          <w:numId w:val="1"/>
        </w:numPr>
        <w:spacing w:after="0"/>
        <w:ind w:left="1440" w:right="720"/>
        <w:jc w:val="both"/>
      </w:pPr>
      <w:r>
        <w:t xml:space="preserve">A bond yield differential of 64 basis points was added to reflect the difference in yields between an A/A2 rated bond, which is the median bond rating for the combined utility index, and a BBB-/Baa3 rated bond. Florida WAW utilities are assumed to be comparable to companies with the lowest investment grade bond rating, which is Baa3. This adjustment compensates for the difference between the credit quality of ‘A’ rated debt and the credit quality of the minimum investment grade rating. </w:t>
      </w:r>
    </w:p>
    <w:p w:rsidR="008E3BF7" w:rsidRDefault="008E3BF7" w:rsidP="00F24257">
      <w:pPr>
        <w:pStyle w:val="BodyText"/>
        <w:spacing w:after="0"/>
        <w:ind w:left="1440" w:right="720"/>
        <w:jc w:val="both"/>
      </w:pPr>
      <w:r>
        <w:t xml:space="preserve"> </w:t>
      </w:r>
    </w:p>
    <w:p w:rsidR="008E3BF7" w:rsidRDefault="008E3BF7" w:rsidP="008E3BF7">
      <w:pPr>
        <w:pStyle w:val="BodyText"/>
        <w:numPr>
          <w:ilvl w:val="0"/>
          <w:numId w:val="1"/>
        </w:numPr>
        <w:spacing w:after="0"/>
        <w:ind w:left="1440" w:right="720"/>
        <w:jc w:val="both"/>
      </w:pPr>
      <w:r>
        <w:t>A private placement premium of 50 basis points is added to reflect the difference in yields on publicly traded debt and privately placed debt, which is illiquid. Investors require a premium for the lack of liquidity of privately placed debt.</w:t>
      </w:r>
    </w:p>
    <w:p w:rsidR="00F24257" w:rsidRDefault="00F24257" w:rsidP="00F24257">
      <w:pPr>
        <w:pStyle w:val="ListParagraph"/>
      </w:pPr>
    </w:p>
    <w:p w:rsidR="008E3BF7" w:rsidRDefault="008E3BF7" w:rsidP="008E3BF7">
      <w:pPr>
        <w:pStyle w:val="BodyText"/>
        <w:numPr>
          <w:ilvl w:val="0"/>
          <w:numId w:val="1"/>
        </w:numPr>
        <w:spacing w:after="0"/>
        <w:ind w:left="1440" w:right="720"/>
        <w:jc w:val="both"/>
      </w:pPr>
      <w:r>
        <w:t>A small-utility risk premium of 50 basis points is added because the average Florida WAW utility is too small to qualify for privately placed debt and smaller companies are considered by investors to be more risky than larger companies.</w:t>
      </w:r>
    </w:p>
    <w:p w:rsidR="008E3BF7" w:rsidRDefault="008E3BF7" w:rsidP="008E3BF7">
      <w:pPr>
        <w:pStyle w:val="BodyText"/>
        <w:spacing w:after="0"/>
        <w:ind w:left="1440" w:right="720"/>
        <w:jc w:val="both"/>
      </w:pPr>
    </w:p>
    <w:p w:rsidR="008E3BF7" w:rsidRPr="003E6060" w:rsidRDefault="008E3BF7" w:rsidP="00767C21">
      <w:pPr>
        <w:pStyle w:val="BodyText"/>
        <w:spacing w:after="0"/>
        <w:ind w:firstLine="720"/>
        <w:jc w:val="both"/>
      </w:pPr>
      <w:r>
        <w:t>After the above adjustments, the resulting cost of equity estimate will be included in the weighted average capital structure of the proxy group of utilities to derive the leverage formula.</w:t>
      </w:r>
      <w:r w:rsidRPr="00A11830">
        <w:t xml:space="preserve"> </w:t>
      </w:r>
    </w:p>
    <w:p w:rsidR="00767C21" w:rsidRDefault="00767C21" w:rsidP="00767C21">
      <w:pPr>
        <w:pStyle w:val="BodyText"/>
        <w:spacing w:after="0"/>
        <w:ind w:firstLine="720"/>
        <w:jc w:val="both"/>
      </w:pPr>
    </w:p>
    <w:p w:rsidR="008E3BF7" w:rsidRDefault="008E3BF7" w:rsidP="00767C21">
      <w:pPr>
        <w:pStyle w:val="BodyText"/>
        <w:spacing w:after="0"/>
        <w:ind w:firstLine="720"/>
        <w:jc w:val="both"/>
      </w:pPr>
      <w:r w:rsidRPr="003E6060">
        <w:t>Using the updated financial data in the revised leverage formula decreases the lower end of the current allowed ROE range by 63 basis points and decreases the upper end of the range by 23 basis points. Overall, the spread between the range of returns on equity based on the updated leverage formula is 282 basis points (8.11 percent to 10.93 perc</w:t>
      </w:r>
      <w:r>
        <w:t xml:space="preserve">ent). In comparison, the range of </w:t>
      </w:r>
      <w:r>
        <w:lastRenderedPageBreak/>
        <w:t xml:space="preserve">returns on equity for the existing leverage formula from 2011 is 242 basis points (8.74 percent to 11.16 percent). </w:t>
      </w:r>
    </w:p>
    <w:p w:rsidR="00741FCB" w:rsidRDefault="00741FCB" w:rsidP="00A20252">
      <w:pPr>
        <w:pStyle w:val="BodyText"/>
        <w:ind w:firstLine="720"/>
        <w:jc w:val="both"/>
      </w:pPr>
    </w:p>
    <w:p w:rsidR="008E3BF7" w:rsidRDefault="008E3BF7" w:rsidP="00A20252">
      <w:pPr>
        <w:pStyle w:val="BodyText"/>
        <w:ind w:firstLine="720"/>
        <w:jc w:val="both"/>
      </w:pPr>
      <w:r>
        <w:t xml:space="preserve">The projected assumed Baa3 bond rate of 6.24 percent used in the updated leverage formula calculation includes a </w:t>
      </w:r>
      <w:r w:rsidRPr="005356CF">
        <w:t>50 basis point adjustment for small</w:t>
      </w:r>
      <w:r>
        <w:t>-</w:t>
      </w:r>
      <w:r w:rsidRPr="005356CF">
        <w:t>company risk and a 50</w:t>
      </w:r>
      <w:r>
        <w:t xml:space="preserve"> basis point adjustment for a private placement premium and remains low relative to historic levels. In comparison, the assumed Baa3 bond rate used in the existing leverage formula is 7.13 percent. The lower Baa3 bond rate of 6.24 percent is the cause of the decrease at the lower end of the range and the increased spread.</w:t>
      </w:r>
    </w:p>
    <w:p w:rsidR="008E3BF7" w:rsidRDefault="008E3BF7" w:rsidP="00AE6C6E">
      <w:pPr>
        <w:pStyle w:val="BodyText"/>
        <w:spacing w:after="0"/>
        <w:ind w:firstLine="720"/>
        <w:jc w:val="both"/>
      </w:pPr>
      <w:r>
        <w:t xml:space="preserve">Based on the aforementioned, we find that the revised leverage formula methodology applied to a proxy group of natural gas and WAW utilities with updated financial data based on market-capitalization weighted averages produces a reasonable range of ROEs for WAW utilities and reflects current financial markets. </w:t>
      </w:r>
      <w:r w:rsidR="00A20252">
        <w:t>W</w:t>
      </w:r>
      <w:r>
        <w:t>e find that the following leverage formula</w:t>
      </w:r>
      <w:r w:rsidR="00E7365A">
        <w:t xml:space="preserve"> shall</w:t>
      </w:r>
      <w:r>
        <w:t xml:space="preserve"> be used until a new leverage formula is determined in 2019:</w:t>
      </w:r>
    </w:p>
    <w:p w:rsidR="00AE6C6E" w:rsidRDefault="00AE6C6E" w:rsidP="00A20252">
      <w:pPr>
        <w:pStyle w:val="BodyText"/>
        <w:spacing w:after="0"/>
        <w:ind w:firstLine="720"/>
      </w:pPr>
    </w:p>
    <w:p w:rsidR="008E3BF7" w:rsidRPr="00AE6C6E" w:rsidRDefault="008E3BF7" w:rsidP="008E3BF7">
      <w:pPr>
        <w:pStyle w:val="BodyText"/>
        <w:jc w:val="center"/>
      </w:pPr>
      <w:r w:rsidRPr="00AE6C6E">
        <w:t>ROE = 6.24% + (1.88 ÷ Equity Ratio)</w:t>
      </w:r>
    </w:p>
    <w:p w:rsidR="008E3BF7" w:rsidRPr="00AE6C6E" w:rsidRDefault="008E3BF7" w:rsidP="008E3BF7">
      <w:pPr>
        <w:pStyle w:val="BodyText"/>
      </w:pPr>
      <w:r w:rsidRPr="00AE6C6E">
        <w:t>Where the Equity Ratio = Common Equity ÷ (Common Equity + Preferred Equity + Long-Term and Short-Term Debt).</w:t>
      </w:r>
    </w:p>
    <w:p w:rsidR="008E3BF7" w:rsidRPr="00AE6C6E" w:rsidRDefault="00A20252" w:rsidP="00A20252">
      <w:pPr>
        <w:pStyle w:val="BodyText"/>
        <w:ind w:left="1440" w:firstLine="720"/>
      </w:pPr>
      <w:r w:rsidRPr="00AE6C6E">
        <w:t>Range:</w:t>
      </w:r>
      <w:r w:rsidRPr="00AE6C6E">
        <w:tab/>
      </w:r>
      <w:r w:rsidR="008E3BF7" w:rsidRPr="00AE6C6E">
        <w:t>8.11% at 100% equity to 10.93% at 40</w:t>
      </w:r>
      <w:r w:rsidRPr="00AE6C6E">
        <w:t>% equity</w:t>
      </w:r>
    </w:p>
    <w:p w:rsidR="00E7365A" w:rsidRDefault="00E01A38" w:rsidP="00E01A38">
      <w:pPr>
        <w:pStyle w:val="OrderBody"/>
      </w:pPr>
      <w:r>
        <w:tab/>
      </w:r>
    </w:p>
    <w:p w:rsidR="00E7365A" w:rsidRDefault="00E7365A" w:rsidP="00E7365A">
      <w:pPr>
        <w:pStyle w:val="BodyText"/>
        <w:spacing w:after="0"/>
        <w:ind w:firstLine="720"/>
        <w:jc w:val="both"/>
      </w:pPr>
      <w:r w:rsidRPr="003E6060">
        <w:t xml:space="preserve">Additionally, we will cap returns on common equity at 10.93 percent for all WAW utilities with equity ratios less than 40 percent. This is in an effort to discourage imprudent financial risk. This cap is consistent with the methodology in Order No. PSC-2008-0846-FOF-WS. </w:t>
      </w:r>
    </w:p>
    <w:p w:rsidR="00E7365A" w:rsidRDefault="00E7365A" w:rsidP="00E01A38">
      <w:pPr>
        <w:pStyle w:val="OrderBody"/>
      </w:pPr>
    </w:p>
    <w:p w:rsidR="00E01A38" w:rsidRDefault="00E01A38" w:rsidP="004656C9">
      <w:pPr>
        <w:pStyle w:val="OrderBody"/>
        <w:ind w:firstLine="720"/>
      </w:pPr>
      <w:r>
        <w:t>Based on the foregoing, it is</w:t>
      </w:r>
    </w:p>
    <w:p w:rsidR="00E01A38" w:rsidRDefault="00E01A38" w:rsidP="00E01A38">
      <w:pPr>
        <w:pStyle w:val="OrderBody"/>
      </w:pPr>
    </w:p>
    <w:p w:rsidR="008E3BF7" w:rsidRDefault="00E01A38" w:rsidP="00E01A38">
      <w:pPr>
        <w:pStyle w:val="OrderBody"/>
      </w:pPr>
      <w:r>
        <w:tab/>
        <w:t>ORDERED by the Florida</w:t>
      </w:r>
      <w:r w:rsidR="00A20252">
        <w:t xml:space="preserve"> Public Service Commission that</w:t>
      </w:r>
      <w:r w:rsidR="008E3BF7">
        <w:t xml:space="preserve"> the leverage formula </w:t>
      </w:r>
      <w:r w:rsidR="004656C9">
        <w:t>is</w:t>
      </w:r>
      <w:r w:rsidR="008E3BF7">
        <w:t xml:space="preserve"> set forth</w:t>
      </w:r>
      <w:r w:rsidR="001A1AEE">
        <w:t xml:space="preserve"> in the body of this Order and</w:t>
      </w:r>
      <w:r w:rsidR="004656C9">
        <w:t xml:space="preserve"> in Attachment 1 of this O</w:t>
      </w:r>
      <w:r w:rsidR="008E3BF7">
        <w:t>rder</w:t>
      </w:r>
      <w:r w:rsidR="00A20252">
        <w:t>.</w:t>
      </w:r>
      <w:r w:rsidR="004656C9">
        <w:t xml:space="preserve"> It is further</w:t>
      </w:r>
    </w:p>
    <w:p w:rsidR="008E3BF7" w:rsidRDefault="008E3BF7" w:rsidP="00E01A38">
      <w:pPr>
        <w:pStyle w:val="OrderBody"/>
      </w:pPr>
    </w:p>
    <w:p w:rsidR="00E01A38" w:rsidRDefault="008E3BF7" w:rsidP="008E3BF7">
      <w:pPr>
        <w:pStyle w:val="OrderBody"/>
        <w:ind w:firstLine="720"/>
      </w:pPr>
      <w:r>
        <w:t xml:space="preserve">ORDERED </w:t>
      </w:r>
      <w:r w:rsidR="00E01A38">
        <w:t>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E01A38" w:rsidRDefault="00E01A38" w:rsidP="00E01A38">
      <w:pPr>
        <w:pStyle w:val="OrderBody"/>
      </w:pPr>
    </w:p>
    <w:p w:rsidR="00E01A38" w:rsidRDefault="00E01A38" w:rsidP="00E01A38">
      <w:pPr>
        <w:pStyle w:val="OrderBody"/>
      </w:pPr>
      <w:r>
        <w:tab/>
        <w:t xml:space="preserve">ORDERED that </w:t>
      </w:r>
      <w:r w:rsidR="00DA6BD3">
        <w:t>this docket should remain open to allow staff to monitor changes in capital market conditions and to readdress the reasonableness of the leverage formula as conditions warrant.</w:t>
      </w:r>
    </w:p>
    <w:p w:rsidR="00E01A38" w:rsidRDefault="00E01A38" w:rsidP="00E01A38">
      <w:pPr>
        <w:pStyle w:val="OrderBody"/>
        <w:keepNext/>
        <w:keepLines/>
      </w:pPr>
      <w:r>
        <w:lastRenderedPageBreak/>
        <w:tab/>
        <w:t xml:space="preserve">By ORDER of the Florida Public Service Commission this </w:t>
      </w:r>
      <w:bookmarkStart w:id="9" w:name="replaceDate"/>
      <w:bookmarkEnd w:id="9"/>
      <w:r w:rsidR="00D23438">
        <w:rPr>
          <w:u w:val="single"/>
        </w:rPr>
        <w:t>26th</w:t>
      </w:r>
      <w:r w:rsidR="00D23438">
        <w:t xml:space="preserve"> day of </w:t>
      </w:r>
      <w:r w:rsidR="00D23438">
        <w:rPr>
          <w:u w:val="single"/>
        </w:rPr>
        <w:t>June</w:t>
      </w:r>
      <w:r w:rsidR="00D23438">
        <w:t xml:space="preserve">, </w:t>
      </w:r>
      <w:r w:rsidR="00D23438">
        <w:rPr>
          <w:u w:val="single"/>
        </w:rPr>
        <w:t>2018</w:t>
      </w:r>
      <w:r w:rsidR="00D23438">
        <w:t>.</w:t>
      </w:r>
    </w:p>
    <w:p w:rsidR="00D23438" w:rsidRPr="00D23438" w:rsidRDefault="00D23438" w:rsidP="00E01A38">
      <w:pPr>
        <w:pStyle w:val="OrderBody"/>
        <w:keepNext/>
        <w:keepLines/>
      </w:pPr>
    </w:p>
    <w:p w:rsidR="00E01A38" w:rsidRDefault="00E01A38" w:rsidP="00E01A38">
      <w:pPr>
        <w:pStyle w:val="OrderBody"/>
        <w:keepNext/>
        <w:keepLines/>
      </w:pPr>
    </w:p>
    <w:p w:rsidR="00E01A38" w:rsidRDefault="00E01A38" w:rsidP="00E01A3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01A38" w:rsidTr="00E01A38">
        <w:tc>
          <w:tcPr>
            <w:tcW w:w="720" w:type="dxa"/>
            <w:shd w:val="clear" w:color="auto" w:fill="auto"/>
          </w:tcPr>
          <w:p w:rsidR="00E01A38" w:rsidRDefault="00E01A38" w:rsidP="00E01A38">
            <w:pPr>
              <w:pStyle w:val="OrderBody"/>
              <w:keepNext/>
              <w:keepLines/>
            </w:pPr>
            <w:bookmarkStart w:id="10" w:name="bkmrkSignature" w:colFirst="0" w:colLast="0"/>
          </w:p>
        </w:tc>
        <w:tc>
          <w:tcPr>
            <w:tcW w:w="4320" w:type="dxa"/>
            <w:tcBorders>
              <w:bottom w:val="single" w:sz="4" w:space="0" w:color="auto"/>
            </w:tcBorders>
            <w:shd w:val="clear" w:color="auto" w:fill="auto"/>
          </w:tcPr>
          <w:p w:rsidR="00E01A38" w:rsidRDefault="003739A3" w:rsidP="00E01A38">
            <w:pPr>
              <w:pStyle w:val="OrderBody"/>
              <w:keepNext/>
              <w:keepLines/>
            </w:pPr>
            <w:r>
              <w:t>/s/ Carlotta S. Stauffer</w:t>
            </w:r>
          </w:p>
        </w:tc>
      </w:tr>
      <w:bookmarkEnd w:id="10"/>
      <w:tr w:rsidR="00E01A38" w:rsidTr="00E01A38">
        <w:tc>
          <w:tcPr>
            <w:tcW w:w="720" w:type="dxa"/>
            <w:shd w:val="clear" w:color="auto" w:fill="auto"/>
          </w:tcPr>
          <w:p w:rsidR="00E01A38" w:rsidRDefault="00E01A38" w:rsidP="00E01A38">
            <w:pPr>
              <w:pStyle w:val="OrderBody"/>
              <w:keepNext/>
              <w:keepLines/>
            </w:pPr>
          </w:p>
        </w:tc>
        <w:tc>
          <w:tcPr>
            <w:tcW w:w="4320" w:type="dxa"/>
            <w:tcBorders>
              <w:top w:val="single" w:sz="4" w:space="0" w:color="auto"/>
            </w:tcBorders>
            <w:shd w:val="clear" w:color="auto" w:fill="auto"/>
          </w:tcPr>
          <w:p w:rsidR="00E01A38" w:rsidRDefault="00E01A38" w:rsidP="00E01A38">
            <w:pPr>
              <w:pStyle w:val="OrderBody"/>
              <w:keepNext/>
              <w:keepLines/>
            </w:pPr>
            <w:r>
              <w:t>CARLOTTA S. STAUFFER</w:t>
            </w:r>
          </w:p>
          <w:p w:rsidR="00E01A38" w:rsidRDefault="00E01A38" w:rsidP="00E01A38">
            <w:pPr>
              <w:pStyle w:val="OrderBody"/>
              <w:keepNext/>
              <w:keepLines/>
            </w:pPr>
            <w:r>
              <w:t>Commission Clerk</w:t>
            </w:r>
          </w:p>
        </w:tc>
      </w:tr>
    </w:tbl>
    <w:p w:rsidR="00E01A38" w:rsidRDefault="00E01A38" w:rsidP="00E01A38">
      <w:pPr>
        <w:pStyle w:val="OrderSigInfo"/>
        <w:keepNext/>
        <w:keepLines/>
      </w:pPr>
      <w:r>
        <w:t>Florida Public Service Commission</w:t>
      </w:r>
    </w:p>
    <w:p w:rsidR="00E01A38" w:rsidRDefault="00E01A38" w:rsidP="00E01A38">
      <w:pPr>
        <w:pStyle w:val="OrderSigInfo"/>
        <w:keepNext/>
        <w:keepLines/>
      </w:pPr>
      <w:r>
        <w:t>2540 Shumard Oak Boulevard</w:t>
      </w:r>
    </w:p>
    <w:p w:rsidR="00E01A38" w:rsidRDefault="00E01A38" w:rsidP="00E01A38">
      <w:pPr>
        <w:pStyle w:val="OrderSigInfo"/>
        <w:keepNext/>
        <w:keepLines/>
      </w:pPr>
      <w:r>
        <w:t>Tallahassee, Florida 32399</w:t>
      </w:r>
    </w:p>
    <w:p w:rsidR="00E01A38" w:rsidRDefault="00E01A38" w:rsidP="00E01A38">
      <w:pPr>
        <w:pStyle w:val="OrderSigInfo"/>
        <w:keepNext/>
        <w:keepLines/>
      </w:pPr>
      <w:r>
        <w:t>(850) 413</w:t>
      </w:r>
      <w:r>
        <w:noBreakHyphen/>
        <w:t>6770</w:t>
      </w:r>
    </w:p>
    <w:p w:rsidR="00E01A38" w:rsidRDefault="00E01A38" w:rsidP="00E01A38">
      <w:pPr>
        <w:pStyle w:val="OrderSigInfo"/>
        <w:keepNext/>
        <w:keepLines/>
      </w:pPr>
      <w:r>
        <w:t>www.floridapsc.com</w:t>
      </w:r>
    </w:p>
    <w:p w:rsidR="00E01A38" w:rsidRDefault="00E01A38" w:rsidP="00E01A38">
      <w:pPr>
        <w:pStyle w:val="OrderSigInfo"/>
        <w:keepNext/>
        <w:keepLines/>
      </w:pPr>
    </w:p>
    <w:p w:rsidR="00E01A38" w:rsidRDefault="00E01A38" w:rsidP="00E01A38">
      <w:pPr>
        <w:pStyle w:val="OrderSigInfo"/>
        <w:keepNext/>
        <w:keepLines/>
      </w:pPr>
      <w:r>
        <w:t>Copies furnished:  A copy of this document is provided to the parties of record at the time of issuance and, if applicable, interested persons.</w:t>
      </w:r>
    </w:p>
    <w:p w:rsidR="00E01A38" w:rsidRDefault="00E01A38" w:rsidP="00E01A38">
      <w:pPr>
        <w:pStyle w:val="OrderBody"/>
        <w:keepNext/>
        <w:keepLines/>
      </w:pPr>
    </w:p>
    <w:p w:rsidR="00E01A38" w:rsidRDefault="00E01A38" w:rsidP="00E01A38">
      <w:pPr>
        <w:pStyle w:val="OrderBody"/>
        <w:keepNext/>
        <w:keepLines/>
      </w:pPr>
    </w:p>
    <w:p w:rsidR="00E01A38" w:rsidRDefault="00E01A38" w:rsidP="00E01A38">
      <w:pPr>
        <w:pStyle w:val="OrderBody"/>
        <w:keepNext/>
        <w:keepLines/>
      </w:pPr>
      <w:r>
        <w:t>AEH</w:t>
      </w:r>
    </w:p>
    <w:p w:rsidR="00E01A38" w:rsidRDefault="00E01A38" w:rsidP="00E01A38">
      <w:pPr>
        <w:pStyle w:val="OrderBody"/>
      </w:pPr>
    </w:p>
    <w:p w:rsidR="00E01A38" w:rsidRDefault="00E01A38" w:rsidP="00E01A38">
      <w:pPr>
        <w:pStyle w:val="CenterUnderline"/>
      </w:pPr>
      <w:r>
        <w:t>NOTICE OF FURTHER PROCEEDINGS OR JUDICIAL REVIEW</w:t>
      </w:r>
    </w:p>
    <w:p w:rsidR="00E01A38" w:rsidRDefault="00E01A38" w:rsidP="00E01A38">
      <w:pPr>
        <w:pStyle w:val="CenterUnderline"/>
        <w:rPr>
          <w:u w:val="none"/>
        </w:rPr>
      </w:pPr>
    </w:p>
    <w:p w:rsidR="00E01A38" w:rsidRDefault="00E01A38" w:rsidP="00E01A38">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E01A38" w:rsidRDefault="00E01A38" w:rsidP="00E01A38">
      <w:pPr>
        <w:pStyle w:val="OrderBody"/>
      </w:pPr>
    </w:p>
    <w:p w:rsidR="00E01A38" w:rsidRDefault="00E01A38" w:rsidP="00E01A38">
      <w:pPr>
        <w:pStyle w:val="OrderBody"/>
      </w:pPr>
      <w:r>
        <w:tab/>
        <w:t>Mediation may be available on a case-by-case basis.  If mediation is conducted, it does not affect a substantially interested person's right to a hearing.</w:t>
      </w:r>
    </w:p>
    <w:p w:rsidR="00E01A38" w:rsidRDefault="00E01A38" w:rsidP="00E01A38">
      <w:pPr>
        <w:pStyle w:val="OrderBody"/>
      </w:pPr>
    </w:p>
    <w:p w:rsidR="00E01A38" w:rsidRDefault="00E01A38" w:rsidP="00E01A38">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D23438">
        <w:rPr>
          <w:u w:val="single"/>
        </w:rPr>
        <w:t>July 17, 2018</w:t>
      </w:r>
      <w:r>
        <w:t>.</w:t>
      </w:r>
    </w:p>
    <w:p w:rsidR="00E01A38" w:rsidRDefault="00E01A38" w:rsidP="00E01A38">
      <w:pPr>
        <w:pStyle w:val="OrderBody"/>
      </w:pPr>
    </w:p>
    <w:p w:rsidR="00E01A38" w:rsidRDefault="00E01A38" w:rsidP="00E01A38">
      <w:pPr>
        <w:pStyle w:val="OrderBody"/>
      </w:pPr>
      <w:r>
        <w:tab/>
        <w:t>In the absence of such a petition, this order shall become final and effective upon the issuance of a Consummating Order.</w:t>
      </w:r>
    </w:p>
    <w:p w:rsidR="00E01A38" w:rsidRDefault="00E01A38" w:rsidP="00E01A38">
      <w:pPr>
        <w:pStyle w:val="OrderBody"/>
      </w:pPr>
    </w:p>
    <w:p w:rsidR="00CA671C" w:rsidRDefault="00E01A38" w:rsidP="00E01A38">
      <w:pPr>
        <w:pStyle w:val="OrderBody"/>
      </w:pPr>
      <w:r>
        <w:tab/>
        <w:t>Any objection or protest filed in this/these docket(s) before the issuance date of this order is considered abandoned unless it satisfies the foregoing conditions and is renewed within the specified protest period.</w:t>
      </w:r>
    </w:p>
    <w:p w:rsidR="00CA671C" w:rsidRDefault="00CA671C" w:rsidP="00E01A38">
      <w:pPr>
        <w:pStyle w:val="OrderBody"/>
        <w:sectPr w:rsidR="00CA671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pPr>
    </w:p>
    <w:p w:rsidR="00E01A38" w:rsidRDefault="00E01A38" w:rsidP="00E01A38">
      <w:pPr>
        <w:pStyle w:val="OrderBody"/>
      </w:pPr>
    </w:p>
    <w:p w:rsidR="00CA671C" w:rsidRPr="00CA671C" w:rsidRDefault="00CA671C" w:rsidP="00CA671C">
      <w:pPr>
        <w:jc w:val="right"/>
      </w:pPr>
      <w:r w:rsidRPr="00CA671C">
        <w:t>Attachment 1</w:t>
      </w:r>
    </w:p>
    <w:p w:rsidR="00CA671C" w:rsidRPr="00CA671C" w:rsidRDefault="00CA671C" w:rsidP="00CA671C">
      <w:pPr>
        <w:jc w:val="right"/>
      </w:pPr>
      <w:r w:rsidRPr="00CA671C">
        <w:t>Page 1 of 6</w:t>
      </w:r>
    </w:p>
    <w:p w:rsidR="00CA671C" w:rsidRPr="00CA671C" w:rsidRDefault="00CA671C" w:rsidP="00CA671C">
      <w:pPr>
        <w:jc w:val="right"/>
      </w:pPr>
    </w:p>
    <w:tbl>
      <w:tblPr>
        <w:tblW w:w="5000" w:type="pct"/>
        <w:tblLook w:val="04A0" w:firstRow="1" w:lastRow="0" w:firstColumn="1" w:lastColumn="0" w:noHBand="0" w:noVBand="1"/>
      </w:tblPr>
      <w:tblGrid>
        <w:gridCol w:w="6584"/>
        <w:gridCol w:w="1423"/>
        <w:gridCol w:w="1569"/>
      </w:tblGrid>
      <w:tr w:rsidR="00CA671C" w:rsidRPr="00CA671C" w:rsidTr="00CA671C">
        <w:trPr>
          <w:trHeight w:val="552"/>
        </w:trPr>
        <w:tc>
          <w:tcPr>
            <w:tcW w:w="5000" w:type="pct"/>
            <w:gridSpan w:val="3"/>
          </w:tcPr>
          <w:p w:rsidR="00CA671C" w:rsidRPr="00CA671C" w:rsidRDefault="00CA671C" w:rsidP="00CA671C">
            <w:r w:rsidRPr="00CA671C">
              <w:t>SUMMARY OF RESULTS</w:t>
            </w:r>
          </w:p>
          <w:p w:rsidR="00CA671C" w:rsidRPr="00CA671C" w:rsidRDefault="00CA671C" w:rsidP="00CA671C">
            <w:r w:rsidRPr="00CA671C">
              <w:t>2018 Water and Wastewater Leverage Formula</w:t>
            </w:r>
          </w:p>
        </w:tc>
      </w:tr>
      <w:tr w:rsidR="00CA671C" w:rsidRPr="00CA671C" w:rsidTr="00CA671C">
        <w:tc>
          <w:tcPr>
            <w:tcW w:w="3438" w:type="pct"/>
          </w:tcPr>
          <w:p w:rsidR="00CA671C" w:rsidRPr="00CA671C" w:rsidRDefault="00CA671C" w:rsidP="00CA671C"/>
        </w:tc>
        <w:tc>
          <w:tcPr>
            <w:tcW w:w="743" w:type="pct"/>
          </w:tcPr>
          <w:p w:rsidR="00CA671C" w:rsidRPr="00CA671C" w:rsidRDefault="00CA671C" w:rsidP="00CA671C"/>
        </w:tc>
        <w:tc>
          <w:tcPr>
            <w:tcW w:w="819" w:type="pct"/>
          </w:tcPr>
          <w:p w:rsidR="00CA671C" w:rsidRPr="00CA671C" w:rsidRDefault="00CA671C" w:rsidP="00CA671C"/>
        </w:tc>
      </w:tr>
      <w:tr w:rsidR="00CA671C" w:rsidRPr="00CA671C" w:rsidTr="00CA671C">
        <w:tc>
          <w:tcPr>
            <w:tcW w:w="3438" w:type="pct"/>
          </w:tcPr>
          <w:p w:rsidR="00CA671C" w:rsidRPr="00CA671C" w:rsidRDefault="00CA671C" w:rsidP="00CA671C"/>
        </w:tc>
        <w:tc>
          <w:tcPr>
            <w:tcW w:w="743" w:type="pct"/>
          </w:tcPr>
          <w:p w:rsidR="00CA671C" w:rsidRPr="00CA671C" w:rsidRDefault="00CA671C" w:rsidP="00CA671C">
            <w:pPr>
              <w:jc w:val="right"/>
            </w:pPr>
            <w:r w:rsidRPr="00CA671C">
              <w:t>Updated</w:t>
            </w:r>
          </w:p>
        </w:tc>
        <w:tc>
          <w:tcPr>
            <w:tcW w:w="819" w:type="pct"/>
          </w:tcPr>
          <w:p w:rsidR="00CA671C" w:rsidRPr="00CA671C" w:rsidRDefault="00CA671C" w:rsidP="00CA671C">
            <w:pPr>
              <w:jc w:val="right"/>
            </w:pPr>
            <w:r w:rsidRPr="00CA671C">
              <w:t>Currently</w:t>
            </w:r>
          </w:p>
        </w:tc>
      </w:tr>
      <w:tr w:rsidR="00CA671C" w:rsidRPr="00CA671C" w:rsidTr="00CA671C">
        <w:tc>
          <w:tcPr>
            <w:tcW w:w="3438" w:type="pct"/>
          </w:tcPr>
          <w:p w:rsidR="00CA671C" w:rsidRPr="00CA671C" w:rsidRDefault="00CA671C" w:rsidP="00CA671C"/>
        </w:tc>
        <w:tc>
          <w:tcPr>
            <w:tcW w:w="743" w:type="pct"/>
          </w:tcPr>
          <w:p w:rsidR="00CA671C" w:rsidRPr="00CA671C" w:rsidRDefault="00CA671C" w:rsidP="00CA671C">
            <w:pPr>
              <w:jc w:val="right"/>
              <w:rPr>
                <w:u w:val="single"/>
              </w:rPr>
            </w:pPr>
            <w:r w:rsidRPr="00CA671C">
              <w:rPr>
                <w:u w:val="single"/>
              </w:rPr>
              <w:t>Results</w:t>
            </w:r>
          </w:p>
        </w:tc>
        <w:tc>
          <w:tcPr>
            <w:tcW w:w="819" w:type="pct"/>
          </w:tcPr>
          <w:p w:rsidR="00CA671C" w:rsidRPr="00CA671C" w:rsidRDefault="00CA671C" w:rsidP="00CA671C">
            <w:pPr>
              <w:jc w:val="right"/>
              <w:rPr>
                <w:u w:val="single"/>
              </w:rPr>
            </w:pPr>
            <w:r w:rsidRPr="00CA671C">
              <w:rPr>
                <w:u w:val="single"/>
              </w:rPr>
              <w:t>In Effect</w:t>
            </w:r>
          </w:p>
        </w:tc>
      </w:tr>
      <w:tr w:rsidR="00CA671C" w:rsidRPr="00CA671C" w:rsidTr="00CA671C">
        <w:tc>
          <w:tcPr>
            <w:tcW w:w="3438" w:type="pct"/>
          </w:tcPr>
          <w:p w:rsidR="00CA671C" w:rsidRPr="00CA671C" w:rsidRDefault="00CA671C" w:rsidP="00CA671C">
            <w:r w:rsidRPr="00CA671C">
              <w:t>(A) DCF ROE</w:t>
            </w:r>
          </w:p>
        </w:tc>
        <w:tc>
          <w:tcPr>
            <w:tcW w:w="743" w:type="pct"/>
          </w:tcPr>
          <w:p w:rsidR="00CA671C" w:rsidRPr="00CA671C" w:rsidRDefault="00CA671C" w:rsidP="00CA671C">
            <w:pPr>
              <w:jc w:val="right"/>
            </w:pPr>
            <w:r w:rsidRPr="00CA671C">
              <w:t>7.63%</w:t>
            </w:r>
          </w:p>
        </w:tc>
        <w:tc>
          <w:tcPr>
            <w:tcW w:w="819" w:type="pct"/>
          </w:tcPr>
          <w:p w:rsidR="00CA671C" w:rsidRPr="00CA671C" w:rsidRDefault="00CA671C" w:rsidP="00CA671C">
            <w:pPr>
              <w:jc w:val="right"/>
            </w:pPr>
            <w:r w:rsidRPr="00CA671C">
              <w:t>8.25%</w:t>
            </w:r>
          </w:p>
        </w:tc>
      </w:tr>
      <w:tr w:rsidR="00CA671C" w:rsidRPr="00CA671C" w:rsidTr="00CA671C">
        <w:tc>
          <w:tcPr>
            <w:tcW w:w="3438" w:type="pct"/>
          </w:tcPr>
          <w:p w:rsidR="00CA671C" w:rsidRPr="00CA671C" w:rsidRDefault="00CA671C" w:rsidP="00CA671C">
            <w:r w:rsidRPr="00CA671C">
              <w:t>(B) CAPM ROE</w:t>
            </w:r>
          </w:p>
        </w:tc>
        <w:tc>
          <w:tcPr>
            <w:tcW w:w="743" w:type="pct"/>
          </w:tcPr>
          <w:p w:rsidR="00CA671C" w:rsidRPr="00CA671C" w:rsidRDefault="00CA671C" w:rsidP="00CA671C">
            <w:pPr>
              <w:jc w:val="right"/>
              <w:rPr>
                <w:u w:val="single"/>
              </w:rPr>
            </w:pPr>
            <w:r w:rsidRPr="00CA671C">
              <w:rPr>
                <w:u w:val="single"/>
              </w:rPr>
              <w:t>9.46%</w:t>
            </w:r>
          </w:p>
        </w:tc>
        <w:tc>
          <w:tcPr>
            <w:tcW w:w="819" w:type="pct"/>
          </w:tcPr>
          <w:p w:rsidR="00CA671C" w:rsidRPr="00CA671C" w:rsidRDefault="00CA671C" w:rsidP="00CA671C">
            <w:pPr>
              <w:jc w:val="right"/>
              <w:rPr>
                <w:u w:val="single"/>
              </w:rPr>
            </w:pPr>
            <w:r w:rsidRPr="00CA671C">
              <w:rPr>
                <w:u w:val="single"/>
              </w:rPr>
              <w:t>9.40%</w:t>
            </w:r>
          </w:p>
        </w:tc>
      </w:tr>
      <w:tr w:rsidR="00CA671C" w:rsidRPr="00CA671C" w:rsidTr="00CA671C">
        <w:tc>
          <w:tcPr>
            <w:tcW w:w="3438" w:type="pct"/>
          </w:tcPr>
          <w:p w:rsidR="00CA671C" w:rsidRPr="00CA671C" w:rsidRDefault="00CA671C" w:rsidP="00CA671C">
            <w:r w:rsidRPr="00CA671C">
              <w:t>AVERAGE</w:t>
            </w:r>
          </w:p>
        </w:tc>
        <w:tc>
          <w:tcPr>
            <w:tcW w:w="743" w:type="pct"/>
          </w:tcPr>
          <w:p w:rsidR="00CA671C" w:rsidRPr="00CA671C" w:rsidRDefault="00CA671C" w:rsidP="00CA671C">
            <w:pPr>
              <w:jc w:val="right"/>
            </w:pPr>
            <w:r w:rsidRPr="00CA671C">
              <w:t>8.55%</w:t>
            </w:r>
          </w:p>
        </w:tc>
        <w:tc>
          <w:tcPr>
            <w:tcW w:w="819" w:type="pct"/>
          </w:tcPr>
          <w:p w:rsidR="00CA671C" w:rsidRPr="00CA671C" w:rsidRDefault="00CA671C" w:rsidP="00CA671C">
            <w:pPr>
              <w:jc w:val="right"/>
            </w:pPr>
            <w:r w:rsidRPr="00CA671C">
              <w:t>8.83%</w:t>
            </w:r>
          </w:p>
        </w:tc>
      </w:tr>
      <w:tr w:rsidR="00CA671C" w:rsidRPr="00CA671C" w:rsidTr="00CA671C">
        <w:tc>
          <w:tcPr>
            <w:tcW w:w="3438" w:type="pct"/>
          </w:tcPr>
          <w:p w:rsidR="00CA671C" w:rsidRPr="00CA671C" w:rsidRDefault="00CA671C" w:rsidP="00CA671C">
            <w:r w:rsidRPr="00CA671C">
              <w:t>Bond Yield Differential</w:t>
            </w:r>
          </w:p>
        </w:tc>
        <w:tc>
          <w:tcPr>
            <w:tcW w:w="743" w:type="pct"/>
          </w:tcPr>
          <w:p w:rsidR="00CA671C" w:rsidRPr="00CA671C" w:rsidRDefault="00CA671C" w:rsidP="00CA671C">
            <w:pPr>
              <w:jc w:val="right"/>
            </w:pPr>
            <w:r w:rsidRPr="00CA671C">
              <w:t>0.64%</w:t>
            </w:r>
          </w:p>
        </w:tc>
        <w:tc>
          <w:tcPr>
            <w:tcW w:w="819" w:type="pct"/>
          </w:tcPr>
          <w:p w:rsidR="00CA671C" w:rsidRPr="00CA671C" w:rsidRDefault="00CA671C" w:rsidP="00CA671C">
            <w:pPr>
              <w:jc w:val="right"/>
            </w:pPr>
            <w:r w:rsidRPr="00CA671C">
              <w:t>0.57%</w:t>
            </w:r>
          </w:p>
        </w:tc>
      </w:tr>
      <w:tr w:rsidR="00CA671C" w:rsidRPr="00CA671C" w:rsidTr="00CA671C">
        <w:tc>
          <w:tcPr>
            <w:tcW w:w="3438" w:type="pct"/>
          </w:tcPr>
          <w:p w:rsidR="00CA671C" w:rsidRPr="00CA671C" w:rsidRDefault="00CA671C" w:rsidP="00CA671C">
            <w:r w:rsidRPr="00CA671C">
              <w:t>Private Placement Premium</w:t>
            </w:r>
          </w:p>
        </w:tc>
        <w:tc>
          <w:tcPr>
            <w:tcW w:w="743" w:type="pct"/>
          </w:tcPr>
          <w:p w:rsidR="00CA671C" w:rsidRPr="00CA671C" w:rsidRDefault="00CA671C" w:rsidP="00CA671C">
            <w:pPr>
              <w:jc w:val="right"/>
            </w:pPr>
            <w:r w:rsidRPr="00CA671C">
              <w:t>0.50%</w:t>
            </w:r>
          </w:p>
        </w:tc>
        <w:tc>
          <w:tcPr>
            <w:tcW w:w="819" w:type="pct"/>
          </w:tcPr>
          <w:p w:rsidR="00CA671C" w:rsidRPr="00CA671C" w:rsidRDefault="00CA671C" w:rsidP="00CA671C">
            <w:pPr>
              <w:jc w:val="right"/>
            </w:pPr>
            <w:r w:rsidRPr="00CA671C">
              <w:t>0.50%</w:t>
            </w:r>
          </w:p>
        </w:tc>
      </w:tr>
      <w:tr w:rsidR="00CA671C" w:rsidRPr="00CA671C" w:rsidTr="00CA671C">
        <w:tc>
          <w:tcPr>
            <w:tcW w:w="3438" w:type="pct"/>
          </w:tcPr>
          <w:p w:rsidR="00CA671C" w:rsidRPr="00CA671C" w:rsidRDefault="00CA671C" w:rsidP="00CA671C">
            <w:r w:rsidRPr="00CA671C">
              <w:t>Small-Utility Risk Premium</w:t>
            </w:r>
          </w:p>
        </w:tc>
        <w:tc>
          <w:tcPr>
            <w:tcW w:w="743" w:type="pct"/>
          </w:tcPr>
          <w:p w:rsidR="00CA671C" w:rsidRPr="00CA671C" w:rsidRDefault="00CA671C" w:rsidP="00CA671C">
            <w:pPr>
              <w:jc w:val="right"/>
            </w:pPr>
            <w:r w:rsidRPr="00CA671C">
              <w:t>0.50%</w:t>
            </w:r>
          </w:p>
        </w:tc>
        <w:tc>
          <w:tcPr>
            <w:tcW w:w="819" w:type="pct"/>
          </w:tcPr>
          <w:p w:rsidR="00CA671C" w:rsidRPr="00CA671C" w:rsidRDefault="00CA671C" w:rsidP="00CA671C">
            <w:pPr>
              <w:jc w:val="right"/>
            </w:pPr>
            <w:r w:rsidRPr="00CA671C">
              <w:t>0.50%</w:t>
            </w:r>
          </w:p>
        </w:tc>
      </w:tr>
      <w:tr w:rsidR="00CA671C" w:rsidRPr="00CA671C" w:rsidTr="00CA671C">
        <w:tc>
          <w:tcPr>
            <w:tcW w:w="3438" w:type="pct"/>
          </w:tcPr>
          <w:p w:rsidR="00CA671C" w:rsidRPr="00CA671C" w:rsidRDefault="00CA671C" w:rsidP="00CA671C">
            <w:r w:rsidRPr="00CA671C">
              <w:t>Adjustment to Reflect Required Equity</w:t>
            </w:r>
          </w:p>
        </w:tc>
        <w:tc>
          <w:tcPr>
            <w:tcW w:w="743" w:type="pct"/>
          </w:tcPr>
          <w:p w:rsidR="00CA671C" w:rsidRPr="00CA671C" w:rsidRDefault="00CA671C" w:rsidP="00CA671C">
            <w:pPr>
              <w:jc w:val="right"/>
            </w:pPr>
          </w:p>
        </w:tc>
        <w:tc>
          <w:tcPr>
            <w:tcW w:w="819" w:type="pct"/>
          </w:tcPr>
          <w:p w:rsidR="00CA671C" w:rsidRPr="00CA671C" w:rsidRDefault="00CA671C" w:rsidP="00CA671C">
            <w:pPr>
              <w:jc w:val="right"/>
            </w:pPr>
          </w:p>
        </w:tc>
      </w:tr>
      <w:tr w:rsidR="00CA671C" w:rsidRPr="00CA671C" w:rsidTr="00CA671C">
        <w:tc>
          <w:tcPr>
            <w:tcW w:w="3438" w:type="pct"/>
          </w:tcPr>
          <w:p w:rsidR="00CA671C" w:rsidRPr="00CA671C" w:rsidRDefault="00CA671C" w:rsidP="00CA671C">
            <w:r w:rsidRPr="00CA671C">
              <w:t xml:space="preserve">   Return at a 40% Equity Ratio</w:t>
            </w:r>
          </w:p>
        </w:tc>
        <w:tc>
          <w:tcPr>
            <w:tcW w:w="743" w:type="pct"/>
          </w:tcPr>
          <w:p w:rsidR="00CA671C" w:rsidRPr="00CA671C" w:rsidRDefault="00CA671C" w:rsidP="00CA671C">
            <w:pPr>
              <w:jc w:val="right"/>
              <w:rPr>
                <w:u w:val="single"/>
              </w:rPr>
            </w:pPr>
            <w:r w:rsidRPr="00CA671C">
              <w:rPr>
                <w:u w:val="single"/>
              </w:rPr>
              <w:t>0.74%</w:t>
            </w:r>
          </w:p>
        </w:tc>
        <w:tc>
          <w:tcPr>
            <w:tcW w:w="819" w:type="pct"/>
          </w:tcPr>
          <w:p w:rsidR="00CA671C" w:rsidRPr="00CA671C" w:rsidRDefault="00CA671C" w:rsidP="00CA671C">
            <w:pPr>
              <w:jc w:val="right"/>
              <w:rPr>
                <w:u w:val="single"/>
              </w:rPr>
            </w:pPr>
            <w:r w:rsidRPr="00CA671C">
              <w:rPr>
                <w:u w:val="single"/>
              </w:rPr>
              <w:t>0.76%</w:t>
            </w:r>
          </w:p>
        </w:tc>
      </w:tr>
      <w:tr w:rsidR="00CA671C" w:rsidRPr="00CA671C" w:rsidTr="00CA671C">
        <w:tc>
          <w:tcPr>
            <w:tcW w:w="3438" w:type="pct"/>
          </w:tcPr>
          <w:p w:rsidR="00CA671C" w:rsidRPr="00CA671C" w:rsidRDefault="00CA671C" w:rsidP="00CA671C"/>
        </w:tc>
        <w:tc>
          <w:tcPr>
            <w:tcW w:w="743" w:type="pct"/>
          </w:tcPr>
          <w:p w:rsidR="00CA671C" w:rsidRPr="00CA671C" w:rsidRDefault="00CA671C" w:rsidP="00CA671C">
            <w:pPr>
              <w:jc w:val="right"/>
            </w:pPr>
          </w:p>
        </w:tc>
        <w:tc>
          <w:tcPr>
            <w:tcW w:w="819" w:type="pct"/>
          </w:tcPr>
          <w:p w:rsidR="00CA671C" w:rsidRPr="00CA671C" w:rsidRDefault="00CA671C" w:rsidP="00CA671C">
            <w:pPr>
              <w:jc w:val="right"/>
            </w:pPr>
          </w:p>
        </w:tc>
      </w:tr>
      <w:tr w:rsidR="00CA671C" w:rsidRPr="00CA671C" w:rsidTr="00CA671C">
        <w:tc>
          <w:tcPr>
            <w:tcW w:w="3438" w:type="pct"/>
          </w:tcPr>
          <w:p w:rsidR="00CA671C" w:rsidRPr="00CA671C" w:rsidRDefault="00CA671C" w:rsidP="00CA671C">
            <w:r w:rsidRPr="00CA671C">
              <w:t>Cost of Equity for Average Florida</w:t>
            </w:r>
          </w:p>
        </w:tc>
        <w:tc>
          <w:tcPr>
            <w:tcW w:w="743" w:type="pct"/>
          </w:tcPr>
          <w:p w:rsidR="00CA671C" w:rsidRPr="00CA671C" w:rsidRDefault="00CA671C" w:rsidP="00CA671C">
            <w:pPr>
              <w:jc w:val="right"/>
            </w:pPr>
          </w:p>
        </w:tc>
        <w:tc>
          <w:tcPr>
            <w:tcW w:w="819" w:type="pct"/>
          </w:tcPr>
          <w:p w:rsidR="00CA671C" w:rsidRPr="00CA671C" w:rsidRDefault="00CA671C" w:rsidP="00CA671C">
            <w:pPr>
              <w:jc w:val="right"/>
            </w:pPr>
          </w:p>
        </w:tc>
      </w:tr>
      <w:tr w:rsidR="00CA671C" w:rsidRPr="00CA671C" w:rsidTr="00CA671C">
        <w:tc>
          <w:tcPr>
            <w:tcW w:w="3438" w:type="pct"/>
          </w:tcPr>
          <w:p w:rsidR="00CA671C" w:rsidRPr="00CA671C" w:rsidRDefault="00CA671C" w:rsidP="00CA671C">
            <w:r w:rsidRPr="00CA671C">
              <w:t xml:space="preserve">   WAW Utility at 40% Equity Ratio</w:t>
            </w:r>
          </w:p>
        </w:tc>
        <w:tc>
          <w:tcPr>
            <w:tcW w:w="743" w:type="pct"/>
          </w:tcPr>
          <w:p w:rsidR="00CA671C" w:rsidRPr="00CA671C" w:rsidRDefault="00CA671C" w:rsidP="00CA671C">
            <w:pPr>
              <w:jc w:val="right"/>
              <w:rPr>
                <w:u w:val="double"/>
              </w:rPr>
            </w:pPr>
            <w:r w:rsidRPr="00CA671C">
              <w:rPr>
                <w:u w:val="double"/>
              </w:rPr>
              <w:t>10.93%</w:t>
            </w:r>
          </w:p>
        </w:tc>
        <w:tc>
          <w:tcPr>
            <w:tcW w:w="819" w:type="pct"/>
          </w:tcPr>
          <w:p w:rsidR="00CA671C" w:rsidRPr="00CA671C" w:rsidRDefault="00CA671C" w:rsidP="00CA671C">
            <w:pPr>
              <w:jc w:val="right"/>
              <w:rPr>
                <w:u w:val="double"/>
              </w:rPr>
            </w:pPr>
            <w:r w:rsidRPr="00CA671C">
              <w:rPr>
                <w:u w:val="double"/>
              </w:rPr>
              <w:t>11.16%</w:t>
            </w:r>
          </w:p>
        </w:tc>
      </w:tr>
      <w:tr w:rsidR="00CA671C" w:rsidRPr="00CA671C" w:rsidTr="00CA671C">
        <w:tc>
          <w:tcPr>
            <w:tcW w:w="3438" w:type="pct"/>
          </w:tcPr>
          <w:p w:rsidR="00CA671C" w:rsidRPr="00CA671C" w:rsidRDefault="00CA671C" w:rsidP="00CA671C"/>
        </w:tc>
        <w:tc>
          <w:tcPr>
            <w:tcW w:w="743" w:type="pct"/>
          </w:tcPr>
          <w:p w:rsidR="00CA671C" w:rsidRPr="00CA671C" w:rsidRDefault="00CA671C" w:rsidP="00CA671C"/>
        </w:tc>
        <w:tc>
          <w:tcPr>
            <w:tcW w:w="819" w:type="pct"/>
          </w:tcPr>
          <w:p w:rsidR="00CA671C" w:rsidRPr="00CA671C" w:rsidRDefault="00CA671C" w:rsidP="00CA671C"/>
        </w:tc>
      </w:tr>
      <w:tr w:rsidR="00CA671C" w:rsidRPr="00CA671C" w:rsidTr="00CA671C">
        <w:tc>
          <w:tcPr>
            <w:tcW w:w="5000" w:type="pct"/>
            <w:gridSpan w:val="3"/>
          </w:tcPr>
          <w:p w:rsidR="00CA671C" w:rsidRPr="00CA671C" w:rsidRDefault="00CA671C" w:rsidP="00CA671C">
            <w:r w:rsidRPr="00CA671C">
              <w:t>2017 Leverage Formula (Currently in Effect)</w:t>
            </w:r>
          </w:p>
        </w:tc>
      </w:tr>
      <w:tr w:rsidR="00CA671C" w:rsidRPr="00CA671C" w:rsidTr="00CA671C">
        <w:tc>
          <w:tcPr>
            <w:tcW w:w="5000" w:type="pct"/>
            <w:gridSpan w:val="3"/>
          </w:tcPr>
          <w:p w:rsidR="00CA671C" w:rsidRPr="00CA671C" w:rsidRDefault="00CA671C" w:rsidP="00CA671C">
            <w:r w:rsidRPr="00CA671C">
              <w:t xml:space="preserve">     Return on Common Equity = 7.13% + (1.61 ÷ Equity Ratio)</w:t>
            </w:r>
          </w:p>
        </w:tc>
      </w:tr>
      <w:tr w:rsidR="00CA671C" w:rsidRPr="00CA671C" w:rsidTr="00CA671C">
        <w:tc>
          <w:tcPr>
            <w:tcW w:w="5000" w:type="pct"/>
            <w:gridSpan w:val="3"/>
          </w:tcPr>
          <w:p w:rsidR="00CA671C" w:rsidRPr="00CA671C" w:rsidRDefault="00CA671C" w:rsidP="00CA671C">
            <w:r w:rsidRPr="00CA671C">
              <w:t xml:space="preserve">     Range of Returns on Equity = 8.74% to 11.16%</w:t>
            </w:r>
          </w:p>
        </w:tc>
      </w:tr>
      <w:tr w:rsidR="00CA671C" w:rsidRPr="00CA671C" w:rsidTr="00CA671C">
        <w:tc>
          <w:tcPr>
            <w:tcW w:w="5000" w:type="pct"/>
            <w:gridSpan w:val="3"/>
          </w:tcPr>
          <w:p w:rsidR="00CA671C" w:rsidRPr="00CA671C" w:rsidRDefault="00CA671C" w:rsidP="00CA671C"/>
        </w:tc>
      </w:tr>
      <w:tr w:rsidR="00CA671C" w:rsidRPr="00CA671C" w:rsidTr="00CA671C">
        <w:tc>
          <w:tcPr>
            <w:tcW w:w="5000" w:type="pct"/>
            <w:gridSpan w:val="3"/>
          </w:tcPr>
          <w:p w:rsidR="00CA671C" w:rsidRPr="00CA671C" w:rsidRDefault="00CA671C" w:rsidP="00CA671C">
            <w:r w:rsidRPr="00CA671C">
              <w:t>2018 Leverage Formula</w:t>
            </w:r>
          </w:p>
        </w:tc>
      </w:tr>
      <w:tr w:rsidR="00CA671C" w:rsidRPr="00CA671C" w:rsidTr="00CA671C">
        <w:tc>
          <w:tcPr>
            <w:tcW w:w="5000" w:type="pct"/>
            <w:gridSpan w:val="3"/>
          </w:tcPr>
          <w:p w:rsidR="00CA671C" w:rsidRPr="00CA671C" w:rsidRDefault="00CA671C" w:rsidP="00CA671C">
            <w:r w:rsidRPr="00CA671C">
              <w:t xml:space="preserve">     Return on Common Equity = 6.24% + (1.88 ÷ Equity Ratio)</w:t>
            </w:r>
          </w:p>
        </w:tc>
      </w:tr>
      <w:tr w:rsidR="00CA671C" w:rsidRPr="00CA671C" w:rsidTr="00CA671C">
        <w:tc>
          <w:tcPr>
            <w:tcW w:w="5000" w:type="pct"/>
            <w:gridSpan w:val="3"/>
          </w:tcPr>
          <w:p w:rsidR="00CA671C" w:rsidRPr="00CA671C" w:rsidRDefault="00CA671C" w:rsidP="00CA671C">
            <w:r w:rsidRPr="00CA671C">
              <w:t xml:space="preserve">     Range of Returns on Equity = 8.11% to 10.93%</w:t>
            </w:r>
          </w:p>
        </w:tc>
      </w:tr>
    </w:tbl>
    <w:p w:rsidR="00CA671C" w:rsidRPr="00CA671C" w:rsidRDefault="00CA671C" w:rsidP="00CA671C">
      <w:pPr>
        <w:spacing w:after="120"/>
        <w:sectPr w:rsidR="00CA671C" w:rsidRPr="00CA671C" w:rsidSect="00CA671C">
          <w:headerReference w:type="default" r:id="rId17"/>
          <w:pgSz w:w="12240" w:h="15840" w:code="1"/>
          <w:pgMar w:top="1584" w:right="1440" w:bottom="1440" w:left="1440" w:header="720" w:footer="720" w:gutter="0"/>
          <w:cols w:space="720"/>
          <w:formProt w:val="0"/>
          <w:docGrid w:linePitch="360"/>
        </w:sectPr>
      </w:pPr>
    </w:p>
    <w:p w:rsidR="00CA671C" w:rsidRPr="00CA671C" w:rsidRDefault="00CA671C" w:rsidP="00CA671C">
      <w:pPr>
        <w:jc w:val="right"/>
      </w:pPr>
      <w:r w:rsidRPr="00CA671C">
        <w:lastRenderedPageBreak/>
        <w:t>Attachment 1</w:t>
      </w:r>
    </w:p>
    <w:p w:rsidR="00CA671C" w:rsidRPr="00CA671C" w:rsidRDefault="00CA671C" w:rsidP="00CA671C">
      <w:pPr>
        <w:jc w:val="right"/>
      </w:pPr>
      <w:r w:rsidRPr="00CA671C">
        <w:t>Page 2 of 6</w:t>
      </w:r>
    </w:p>
    <w:p w:rsidR="00CA671C" w:rsidRPr="00CA671C" w:rsidRDefault="00CA671C" w:rsidP="00CA671C">
      <w:pPr>
        <w:jc w:val="right"/>
      </w:pPr>
    </w:p>
    <w:tbl>
      <w:tblPr>
        <w:tblW w:w="5000" w:type="pct"/>
        <w:tblLook w:val="04A0" w:firstRow="1" w:lastRow="0" w:firstColumn="1" w:lastColumn="0" w:noHBand="0" w:noVBand="1"/>
      </w:tblPr>
      <w:tblGrid>
        <w:gridCol w:w="3652"/>
        <w:gridCol w:w="1881"/>
        <w:gridCol w:w="2021"/>
        <w:gridCol w:w="2022"/>
      </w:tblGrid>
      <w:tr w:rsidR="00CA671C" w:rsidRPr="00CA671C" w:rsidTr="00CA671C">
        <w:tc>
          <w:tcPr>
            <w:tcW w:w="5000" w:type="pct"/>
            <w:gridSpan w:val="4"/>
          </w:tcPr>
          <w:p w:rsidR="00CA671C" w:rsidRPr="00CA671C" w:rsidRDefault="00CA671C" w:rsidP="00CA671C">
            <w:r w:rsidRPr="00CA671C">
              <w:t>Marginal Cost of Investor Capital</w:t>
            </w:r>
          </w:p>
        </w:tc>
      </w:tr>
      <w:tr w:rsidR="00CA671C" w:rsidRPr="00CA671C" w:rsidTr="00CA671C">
        <w:tc>
          <w:tcPr>
            <w:tcW w:w="5000" w:type="pct"/>
            <w:gridSpan w:val="4"/>
          </w:tcPr>
          <w:p w:rsidR="00CA671C" w:rsidRPr="00CA671C" w:rsidRDefault="00CA671C" w:rsidP="00CA671C">
            <w:r w:rsidRPr="00CA671C">
              <w:t>Average Water and Wastewater Utility</w:t>
            </w:r>
          </w:p>
        </w:tc>
      </w:tr>
      <w:tr w:rsidR="00CA671C" w:rsidRPr="00CA671C" w:rsidTr="00CA671C">
        <w:tc>
          <w:tcPr>
            <w:tcW w:w="1907" w:type="pct"/>
          </w:tcPr>
          <w:p w:rsidR="00CA671C" w:rsidRPr="00CA671C" w:rsidRDefault="00CA671C" w:rsidP="00CA671C"/>
        </w:tc>
        <w:tc>
          <w:tcPr>
            <w:tcW w:w="982" w:type="pct"/>
          </w:tcPr>
          <w:p w:rsidR="00CA671C" w:rsidRPr="00CA671C" w:rsidRDefault="00CA671C" w:rsidP="00CA671C"/>
        </w:tc>
        <w:tc>
          <w:tcPr>
            <w:tcW w:w="1055" w:type="pct"/>
          </w:tcPr>
          <w:p w:rsidR="00CA671C" w:rsidRPr="00CA671C" w:rsidRDefault="00CA671C" w:rsidP="00CA671C"/>
        </w:tc>
        <w:tc>
          <w:tcPr>
            <w:tcW w:w="1055" w:type="pct"/>
          </w:tcPr>
          <w:p w:rsidR="00CA671C" w:rsidRPr="00CA671C" w:rsidRDefault="00CA671C" w:rsidP="00CA671C"/>
        </w:tc>
      </w:tr>
      <w:tr w:rsidR="00CA671C" w:rsidRPr="00CA671C" w:rsidTr="00CA671C">
        <w:tc>
          <w:tcPr>
            <w:tcW w:w="1907" w:type="pct"/>
          </w:tcPr>
          <w:p w:rsidR="00CA671C" w:rsidRPr="00CA671C" w:rsidRDefault="00CA671C" w:rsidP="00CA671C"/>
        </w:tc>
        <w:tc>
          <w:tcPr>
            <w:tcW w:w="982" w:type="pct"/>
          </w:tcPr>
          <w:p w:rsidR="00CA671C" w:rsidRPr="00CA671C" w:rsidRDefault="00CA671C" w:rsidP="00CA671C">
            <w:pPr>
              <w:jc w:val="right"/>
            </w:pPr>
          </w:p>
        </w:tc>
        <w:tc>
          <w:tcPr>
            <w:tcW w:w="1055" w:type="pct"/>
          </w:tcPr>
          <w:p w:rsidR="00CA671C" w:rsidRPr="00CA671C" w:rsidRDefault="00CA671C" w:rsidP="00CA671C">
            <w:pPr>
              <w:jc w:val="right"/>
            </w:pPr>
          </w:p>
        </w:tc>
        <w:tc>
          <w:tcPr>
            <w:tcW w:w="1055" w:type="pct"/>
          </w:tcPr>
          <w:p w:rsidR="00CA671C" w:rsidRPr="00CA671C" w:rsidRDefault="00CA671C" w:rsidP="00CA671C">
            <w:pPr>
              <w:jc w:val="right"/>
            </w:pPr>
            <w:r w:rsidRPr="00CA671C">
              <w:t>Weighted</w:t>
            </w:r>
          </w:p>
        </w:tc>
      </w:tr>
      <w:tr w:rsidR="00CA671C" w:rsidRPr="00CA671C" w:rsidTr="00CA671C">
        <w:tc>
          <w:tcPr>
            <w:tcW w:w="1907" w:type="pct"/>
          </w:tcPr>
          <w:p w:rsidR="00CA671C" w:rsidRPr="00CA671C" w:rsidRDefault="00CA671C" w:rsidP="00CA671C"/>
        </w:tc>
        <w:tc>
          <w:tcPr>
            <w:tcW w:w="982" w:type="pct"/>
          </w:tcPr>
          <w:p w:rsidR="00CA671C" w:rsidRPr="00CA671C" w:rsidRDefault="00CA671C" w:rsidP="00CA671C">
            <w:pPr>
              <w:jc w:val="right"/>
            </w:pPr>
          </w:p>
        </w:tc>
        <w:tc>
          <w:tcPr>
            <w:tcW w:w="1055" w:type="pct"/>
          </w:tcPr>
          <w:p w:rsidR="00CA671C" w:rsidRPr="00CA671C" w:rsidRDefault="00CA671C" w:rsidP="00CA671C">
            <w:pPr>
              <w:jc w:val="right"/>
            </w:pPr>
            <w:r w:rsidRPr="00CA671C">
              <w:t>Marginal</w:t>
            </w:r>
          </w:p>
        </w:tc>
        <w:tc>
          <w:tcPr>
            <w:tcW w:w="1055" w:type="pct"/>
          </w:tcPr>
          <w:p w:rsidR="00CA671C" w:rsidRPr="00CA671C" w:rsidRDefault="00CA671C" w:rsidP="00CA671C">
            <w:pPr>
              <w:jc w:val="right"/>
            </w:pPr>
            <w:r w:rsidRPr="00CA671C">
              <w:t>Marginal</w:t>
            </w:r>
          </w:p>
        </w:tc>
      </w:tr>
      <w:tr w:rsidR="00CA671C" w:rsidRPr="00CA671C" w:rsidTr="00CA671C">
        <w:tc>
          <w:tcPr>
            <w:tcW w:w="1907" w:type="pct"/>
          </w:tcPr>
          <w:p w:rsidR="00CA671C" w:rsidRPr="00CA671C" w:rsidRDefault="00CA671C" w:rsidP="00CA671C">
            <w:r w:rsidRPr="00CA671C">
              <w:t>Capital Component</w:t>
            </w:r>
          </w:p>
        </w:tc>
        <w:tc>
          <w:tcPr>
            <w:tcW w:w="982" w:type="pct"/>
          </w:tcPr>
          <w:p w:rsidR="00CA671C" w:rsidRPr="00CA671C" w:rsidRDefault="00CA671C" w:rsidP="00CA671C">
            <w:pPr>
              <w:jc w:val="right"/>
              <w:rPr>
                <w:u w:val="single"/>
              </w:rPr>
            </w:pPr>
            <w:r w:rsidRPr="00CA671C">
              <w:rPr>
                <w:u w:val="single"/>
              </w:rPr>
              <w:t>Ratio</w:t>
            </w:r>
          </w:p>
        </w:tc>
        <w:tc>
          <w:tcPr>
            <w:tcW w:w="1055" w:type="pct"/>
          </w:tcPr>
          <w:p w:rsidR="00CA671C" w:rsidRPr="00CA671C" w:rsidRDefault="00CA671C" w:rsidP="00CA671C">
            <w:pPr>
              <w:jc w:val="right"/>
              <w:rPr>
                <w:u w:val="single"/>
              </w:rPr>
            </w:pPr>
            <w:r w:rsidRPr="00CA671C">
              <w:rPr>
                <w:u w:val="single"/>
              </w:rPr>
              <w:t>Cost Rate</w:t>
            </w:r>
          </w:p>
        </w:tc>
        <w:tc>
          <w:tcPr>
            <w:tcW w:w="1055" w:type="pct"/>
          </w:tcPr>
          <w:p w:rsidR="00CA671C" w:rsidRPr="00CA671C" w:rsidRDefault="00CA671C" w:rsidP="00CA671C">
            <w:pPr>
              <w:jc w:val="right"/>
              <w:rPr>
                <w:u w:val="single"/>
              </w:rPr>
            </w:pPr>
            <w:r w:rsidRPr="00CA671C">
              <w:rPr>
                <w:u w:val="single"/>
              </w:rPr>
              <w:t>Cost Rate</w:t>
            </w:r>
          </w:p>
        </w:tc>
      </w:tr>
      <w:tr w:rsidR="00CA671C" w:rsidRPr="00CA671C" w:rsidTr="00CA671C">
        <w:tc>
          <w:tcPr>
            <w:tcW w:w="1907" w:type="pct"/>
          </w:tcPr>
          <w:p w:rsidR="00CA671C" w:rsidRPr="00CA671C" w:rsidRDefault="00CA671C" w:rsidP="00CA671C">
            <w:r w:rsidRPr="00CA671C">
              <w:t>Common Equity</w:t>
            </w:r>
          </w:p>
        </w:tc>
        <w:tc>
          <w:tcPr>
            <w:tcW w:w="982" w:type="pct"/>
          </w:tcPr>
          <w:p w:rsidR="00CA671C" w:rsidRPr="00CA671C" w:rsidRDefault="00CA671C" w:rsidP="00CA671C">
            <w:pPr>
              <w:jc w:val="right"/>
            </w:pPr>
            <w:r w:rsidRPr="00CA671C">
              <w:t>47.48%</w:t>
            </w:r>
          </w:p>
        </w:tc>
        <w:tc>
          <w:tcPr>
            <w:tcW w:w="1055" w:type="pct"/>
          </w:tcPr>
          <w:p w:rsidR="00CA671C" w:rsidRPr="00CA671C" w:rsidRDefault="00CA671C" w:rsidP="00CA671C">
            <w:pPr>
              <w:jc w:val="right"/>
            </w:pPr>
            <w:r w:rsidRPr="00CA671C">
              <w:t>10.19%</w:t>
            </w:r>
          </w:p>
        </w:tc>
        <w:tc>
          <w:tcPr>
            <w:tcW w:w="1055" w:type="pct"/>
          </w:tcPr>
          <w:p w:rsidR="00CA671C" w:rsidRPr="00CA671C" w:rsidRDefault="00CA671C" w:rsidP="00CA671C">
            <w:pPr>
              <w:jc w:val="right"/>
            </w:pPr>
            <w:r w:rsidRPr="00CA671C">
              <w:t>4.84%</w:t>
            </w:r>
          </w:p>
        </w:tc>
      </w:tr>
      <w:tr w:rsidR="00CA671C" w:rsidRPr="00CA671C" w:rsidTr="00CA671C">
        <w:tc>
          <w:tcPr>
            <w:tcW w:w="1907" w:type="pct"/>
          </w:tcPr>
          <w:p w:rsidR="00CA671C" w:rsidRPr="00CA671C" w:rsidRDefault="00CA671C" w:rsidP="00CA671C">
            <w:r w:rsidRPr="00CA671C">
              <w:t>Total Debt</w:t>
            </w:r>
          </w:p>
        </w:tc>
        <w:tc>
          <w:tcPr>
            <w:tcW w:w="982" w:type="pct"/>
          </w:tcPr>
          <w:p w:rsidR="00CA671C" w:rsidRPr="00CA671C" w:rsidRDefault="00CA671C" w:rsidP="00CA671C">
            <w:pPr>
              <w:jc w:val="right"/>
              <w:rPr>
                <w:u w:val="single"/>
              </w:rPr>
            </w:pPr>
            <w:r w:rsidRPr="00CA671C">
              <w:rPr>
                <w:u w:val="single"/>
              </w:rPr>
              <w:t>52.52%</w:t>
            </w:r>
          </w:p>
        </w:tc>
        <w:tc>
          <w:tcPr>
            <w:tcW w:w="1055" w:type="pct"/>
          </w:tcPr>
          <w:p w:rsidR="00CA671C" w:rsidRPr="00CA671C" w:rsidRDefault="00CA671C" w:rsidP="00CA671C">
            <w:pPr>
              <w:jc w:val="right"/>
            </w:pPr>
            <w:r w:rsidRPr="00CA671C">
              <w:t>6.24%*</w:t>
            </w:r>
          </w:p>
        </w:tc>
        <w:tc>
          <w:tcPr>
            <w:tcW w:w="1055" w:type="pct"/>
          </w:tcPr>
          <w:p w:rsidR="00CA671C" w:rsidRPr="00CA671C" w:rsidRDefault="00CA671C" w:rsidP="00CA671C">
            <w:pPr>
              <w:jc w:val="right"/>
              <w:rPr>
                <w:u w:val="single"/>
              </w:rPr>
            </w:pPr>
            <w:r w:rsidRPr="00CA671C">
              <w:rPr>
                <w:u w:val="single"/>
              </w:rPr>
              <w:t>3.27%</w:t>
            </w:r>
          </w:p>
        </w:tc>
      </w:tr>
      <w:tr w:rsidR="00CA671C" w:rsidRPr="00CA671C" w:rsidTr="00CA671C">
        <w:tc>
          <w:tcPr>
            <w:tcW w:w="1907" w:type="pct"/>
          </w:tcPr>
          <w:p w:rsidR="00CA671C" w:rsidRPr="00CA671C" w:rsidRDefault="00CA671C" w:rsidP="00CA671C"/>
        </w:tc>
        <w:tc>
          <w:tcPr>
            <w:tcW w:w="982" w:type="pct"/>
          </w:tcPr>
          <w:p w:rsidR="00CA671C" w:rsidRPr="00CA671C" w:rsidRDefault="00CA671C" w:rsidP="00CA671C">
            <w:pPr>
              <w:jc w:val="right"/>
              <w:rPr>
                <w:u w:val="double"/>
              </w:rPr>
            </w:pPr>
            <w:r w:rsidRPr="00CA671C">
              <w:rPr>
                <w:u w:val="double"/>
              </w:rPr>
              <w:t>100.00%</w:t>
            </w:r>
          </w:p>
        </w:tc>
        <w:tc>
          <w:tcPr>
            <w:tcW w:w="1055" w:type="pct"/>
          </w:tcPr>
          <w:p w:rsidR="00CA671C" w:rsidRPr="00CA671C" w:rsidRDefault="00CA671C" w:rsidP="00CA671C">
            <w:pPr>
              <w:jc w:val="right"/>
              <w:rPr>
                <w:u w:val="double"/>
              </w:rPr>
            </w:pPr>
          </w:p>
        </w:tc>
        <w:tc>
          <w:tcPr>
            <w:tcW w:w="1055" w:type="pct"/>
          </w:tcPr>
          <w:p w:rsidR="00CA671C" w:rsidRPr="00CA671C" w:rsidRDefault="00CA671C" w:rsidP="00CA671C">
            <w:pPr>
              <w:jc w:val="right"/>
              <w:rPr>
                <w:u w:val="double"/>
              </w:rPr>
            </w:pPr>
            <w:r w:rsidRPr="00CA671C">
              <w:rPr>
                <w:u w:val="double"/>
              </w:rPr>
              <w:t>8.11%</w:t>
            </w:r>
          </w:p>
        </w:tc>
      </w:tr>
      <w:tr w:rsidR="00CA671C" w:rsidRPr="00CA671C" w:rsidTr="00CA671C">
        <w:tc>
          <w:tcPr>
            <w:tcW w:w="1907" w:type="pct"/>
          </w:tcPr>
          <w:p w:rsidR="00CA671C" w:rsidRPr="00CA671C" w:rsidRDefault="00CA671C" w:rsidP="00CA671C"/>
        </w:tc>
        <w:tc>
          <w:tcPr>
            <w:tcW w:w="982" w:type="pct"/>
          </w:tcPr>
          <w:p w:rsidR="00CA671C" w:rsidRPr="00CA671C" w:rsidRDefault="00CA671C" w:rsidP="00CA671C"/>
        </w:tc>
        <w:tc>
          <w:tcPr>
            <w:tcW w:w="1055" w:type="pct"/>
          </w:tcPr>
          <w:p w:rsidR="00CA671C" w:rsidRPr="00CA671C" w:rsidRDefault="00CA671C" w:rsidP="00CA671C"/>
        </w:tc>
        <w:tc>
          <w:tcPr>
            <w:tcW w:w="1055" w:type="pct"/>
          </w:tcPr>
          <w:p w:rsidR="00CA671C" w:rsidRPr="00CA671C" w:rsidRDefault="00CA671C" w:rsidP="00CA671C"/>
        </w:tc>
      </w:tr>
      <w:tr w:rsidR="00CA671C" w:rsidRPr="00CA671C" w:rsidTr="00CA671C">
        <w:tc>
          <w:tcPr>
            <w:tcW w:w="5000" w:type="pct"/>
            <w:gridSpan w:val="4"/>
          </w:tcPr>
          <w:p w:rsidR="00CA671C" w:rsidRPr="00CA671C" w:rsidRDefault="00CA671C" w:rsidP="00CA671C">
            <w:r w:rsidRPr="00CA671C">
              <w:t>A 40% equity ratio is the floor for calculating the required return on common equity.</w:t>
            </w:r>
          </w:p>
        </w:tc>
      </w:tr>
      <w:tr w:rsidR="00CA671C" w:rsidRPr="00CA671C" w:rsidTr="00CA671C">
        <w:tc>
          <w:tcPr>
            <w:tcW w:w="5000" w:type="pct"/>
            <w:gridSpan w:val="4"/>
          </w:tcPr>
          <w:p w:rsidR="00CA671C" w:rsidRPr="00CA671C" w:rsidRDefault="00CA671C" w:rsidP="00CA671C">
            <w:r w:rsidRPr="00CA671C">
              <w:t>The return on equity at a 40% equity ratio: 6.24% + (1.88 ÷ 0.40) = 10.93%</w:t>
            </w:r>
          </w:p>
        </w:tc>
      </w:tr>
      <w:tr w:rsidR="00CA671C" w:rsidRPr="00CA671C" w:rsidTr="00CA671C">
        <w:tc>
          <w:tcPr>
            <w:tcW w:w="1907" w:type="pct"/>
          </w:tcPr>
          <w:p w:rsidR="00CA671C" w:rsidRPr="00CA671C" w:rsidRDefault="00CA671C" w:rsidP="00CA671C"/>
        </w:tc>
        <w:tc>
          <w:tcPr>
            <w:tcW w:w="982" w:type="pct"/>
          </w:tcPr>
          <w:p w:rsidR="00CA671C" w:rsidRPr="00CA671C" w:rsidRDefault="00CA671C" w:rsidP="00CA671C"/>
        </w:tc>
        <w:tc>
          <w:tcPr>
            <w:tcW w:w="1055" w:type="pct"/>
          </w:tcPr>
          <w:p w:rsidR="00CA671C" w:rsidRPr="00CA671C" w:rsidRDefault="00CA671C" w:rsidP="00CA671C"/>
        </w:tc>
        <w:tc>
          <w:tcPr>
            <w:tcW w:w="1055" w:type="pct"/>
          </w:tcPr>
          <w:p w:rsidR="00CA671C" w:rsidRPr="00CA671C" w:rsidRDefault="00CA671C" w:rsidP="00CA671C"/>
        </w:tc>
      </w:tr>
      <w:tr w:rsidR="00CA671C" w:rsidRPr="00CA671C" w:rsidTr="00CA671C">
        <w:tc>
          <w:tcPr>
            <w:tcW w:w="1907" w:type="pct"/>
          </w:tcPr>
          <w:p w:rsidR="00CA671C" w:rsidRPr="00CA671C" w:rsidRDefault="00CA671C" w:rsidP="00CA671C"/>
        </w:tc>
        <w:tc>
          <w:tcPr>
            <w:tcW w:w="982" w:type="pct"/>
          </w:tcPr>
          <w:p w:rsidR="00CA671C" w:rsidRPr="00CA671C" w:rsidRDefault="00CA671C" w:rsidP="00CA671C"/>
        </w:tc>
        <w:tc>
          <w:tcPr>
            <w:tcW w:w="1055" w:type="pct"/>
          </w:tcPr>
          <w:p w:rsidR="00CA671C" w:rsidRPr="00CA671C" w:rsidRDefault="00CA671C" w:rsidP="00CA671C"/>
        </w:tc>
        <w:tc>
          <w:tcPr>
            <w:tcW w:w="1055" w:type="pct"/>
          </w:tcPr>
          <w:p w:rsidR="00CA671C" w:rsidRPr="00CA671C" w:rsidRDefault="00CA671C" w:rsidP="00CA671C"/>
        </w:tc>
      </w:tr>
      <w:tr w:rsidR="00CA671C" w:rsidRPr="00CA671C" w:rsidTr="00CA671C">
        <w:tc>
          <w:tcPr>
            <w:tcW w:w="5000" w:type="pct"/>
            <w:gridSpan w:val="4"/>
          </w:tcPr>
          <w:p w:rsidR="00CA671C" w:rsidRPr="00CA671C" w:rsidRDefault="00CA671C" w:rsidP="00CA671C">
            <w:r w:rsidRPr="00CA671C">
              <w:t>Marginal Cost of Investor Capital</w:t>
            </w:r>
          </w:p>
        </w:tc>
      </w:tr>
      <w:tr w:rsidR="00CA671C" w:rsidRPr="00CA671C" w:rsidTr="00CA671C">
        <w:tc>
          <w:tcPr>
            <w:tcW w:w="5000" w:type="pct"/>
            <w:gridSpan w:val="4"/>
          </w:tcPr>
          <w:p w:rsidR="00CA671C" w:rsidRPr="00CA671C" w:rsidRDefault="00CA671C" w:rsidP="00CA671C">
            <w:r w:rsidRPr="00CA671C">
              <w:t>Average Water and Wastewater Utility at 40% Equity Ratio</w:t>
            </w:r>
          </w:p>
        </w:tc>
      </w:tr>
      <w:tr w:rsidR="00CA671C" w:rsidRPr="00CA671C" w:rsidTr="00CA671C">
        <w:tc>
          <w:tcPr>
            <w:tcW w:w="1907" w:type="pct"/>
          </w:tcPr>
          <w:p w:rsidR="00CA671C" w:rsidRPr="00CA671C" w:rsidRDefault="00CA671C" w:rsidP="00CA671C"/>
        </w:tc>
        <w:tc>
          <w:tcPr>
            <w:tcW w:w="982" w:type="pct"/>
          </w:tcPr>
          <w:p w:rsidR="00CA671C" w:rsidRPr="00CA671C" w:rsidRDefault="00CA671C" w:rsidP="00CA671C"/>
        </w:tc>
        <w:tc>
          <w:tcPr>
            <w:tcW w:w="1055" w:type="pct"/>
          </w:tcPr>
          <w:p w:rsidR="00CA671C" w:rsidRPr="00CA671C" w:rsidRDefault="00CA671C" w:rsidP="00CA671C"/>
        </w:tc>
        <w:tc>
          <w:tcPr>
            <w:tcW w:w="1055" w:type="pct"/>
          </w:tcPr>
          <w:p w:rsidR="00CA671C" w:rsidRPr="00CA671C" w:rsidRDefault="00CA671C" w:rsidP="00CA671C"/>
        </w:tc>
      </w:tr>
      <w:tr w:rsidR="00CA671C" w:rsidRPr="00CA671C" w:rsidTr="00CA671C">
        <w:tc>
          <w:tcPr>
            <w:tcW w:w="1907" w:type="pct"/>
          </w:tcPr>
          <w:p w:rsidR="00CA671C" w:rsidRPr="00CA671C" w:rsidRDefault="00CA671C" w:rsidP="00CA671C"/>
        </w:tc>
        <w:tc>
          <w:tcPr>
            <w:tcW w:w="982" w:type="pct"/>
          </w:tcPr>
          <w:p w:rsidR="00CA671C" w:rsidRPr="00CA671C" w:rsidRDefault="00CA671C" w:rsidP="00CA671C">
            <w:pPr>
              <w:jc w:val="right"/>
            </w:pPr>
          </w:p>
        </w:tc>
        <w:tc>
          <w:tcPr>
            <w:tcW w:w="1055" w:type="pct"/>
          </w:tcPr>
          <w:p w:rsidR="00CA671C" w:rsidRPr="00CA671C" w:rsidRDefault="00CA671C" w:rsidP="00CA671C">
            <w:pPr>
              <w:jc w:val="right"/>
            </w:pPr>
          </w:p>
        </w:tc>
        <w:tc>
          <w:tcPr>
            <w:tcW w:w="1055" w:type="pct"/>
          </w:tcPr>
          <w:p w:rsidR="00CA671C" w:rsidRPr="00CA671C" w:rsidRDefault="00CA671C" w:rsidP="00CA671C">
            <w:pPr>
              <w:jc w:val="right"/>
            </w:pPr>
            <w:r w:rsidRPr="00CA671C">
              <w:t>Weighted</w:t>
            </w:r>
          </w:p>
        </w:tc>
      </w:tr>
      <w:tr w:rsidR="00CA671C" w:rsidRPr="00CA671C" w:rsidTr="00CA671C">
        <w:tc>
          <w:tcPr>
            <w:tcW w:w="1907" w:type="pct"/>
          </w:tcPr>
          <w:p w:rsidR="00CA671C" w:rsidRPr="00CA671C" w:rsidRDefault="00CA671C" w:rsidP="00CA671C"/>
        </w:tc>
        <w:tc>
          <w:tcPr>
            <w:tcW w:w="982" w:type="pct"/>
          </w:tcPr>
          <w:p w:rsidR="00CA671C" w:rsidRPr="00CA671C" w:rsidRDefault="00CA671C" w:rsidP="00CA671C">
            <w:pPr>
              <w:jc w:val="right"/>
            </w:pPr>
          </w:p>
        </w:tc>
        <w:tc>
          <w:tcPr>
            <w:tcW w:w="1055" w:type="pct"/>
          </w:tcPr>
          <w:p w:rsidR="00CA671C" w:rsidRPr="00CA671C" w:rsidRDefault="00CA671C" w:rsidP="00CA671C">
            <w:pPr>
              <w:jc w:val="right"/>
            </w:pPr>
            <w:r w:rsidRPr="00CA671C">
              <w:t>Marginal</w:t>
            </w:r>
          </w:p>
        </w:tc>
        <w:tc>
          <w:tcPr>
            <w:tcW w:w="1055" w:type="pct"/>
          </w:tcPr>
          <w:p w:rsidR="00CA671C" w:rsidRPr="00CA671C" w:rsidRDefault="00CA671C" w:rsidP="00CA671C">
            <w:pPr>
              <w:jc w:val="right"/>
            </w:pPr>
            <w:r w:rsidRPr="00CA671C">
              <w:t>Marginal</w:t>
            </w:r>
          </w:p>
        </w:tc>
      </w:tr>
      <w:tr w:rsidR="00CA671C" w:rsidRPr="00CA671C" w:rsidTr="00CA671C">
        <w:tc>
          <w:tcPr>
            <w:tcW w:w="1907" w:type="pct"/>
          </w:tcPr>
          <w:p w:rsidR="00CA671C" w:rsidRPr="00CA671C" w:rsidRDefault="00CA671C" w:rsidP="00CA671C">
            <w:r w:rsidRPr="00CA671C">
              <w:t>Capital Component</w:t>
            </w:r>
          </w:p>
        </w:tc>
        <w:tc>
          <w:tcPr>
            <w:tcW w:w="982" w:type="pct"/>
          </w:tcPr>
          <w:p w:rsidR="00CA671C" w:rsidRPr="00CA671C" w:rsidRDefault="00CA671C" w:rsidP="00CA671C">
            <w:pPr>
              <w:jc w:val="right"/>
              <w:rPr>
                <w:u w:val="single"/>
              </w:rPr>
            </w:pPr>
            <w:r w:rsidRPr="00CA671C">
              <w:rPr>
                <w:u w:val="single"/>
              </w:rPr>
              <w:t>Ratio</w:t>
            </w:r>
          </w:p>
        </w:tc>
        <w:tc>
          <w:tcPr>
            <w:tcW w:w="1055" w:type="pct"/>
          </w:tcPr>
          <w:p w:rsidR="00CA671C" w:rsidRPr="00CA671C" w:rsidRDefault="00CA671C" w:rsidP="00CA671C">
            <w:pPr>
              <w:jc w:val="right"/>
              <w:rPr>
                <w:u w:val="single"/>
              </w:rPr>
            </w:pPr>
            <w:r w:rsidRPr="00CA671C">
              <w:rPr>
                <w:u w:val="single"/>
              </w:rPr>
              <w:t>Cost Rate</w:t>
            </w:r>
          </w:p>
        </w:tc>
        <w:tc>
          <w:tcPr>
            <w:tcW w:w="1055" w:type="pct"/>
          </w:tcPr>
          <w:p w:rsidR="00CA671C" w:rsidRPr="00CA671C" w:rsidRDefault="00CA671C" w:rsidP="00CA671C">
            <w:pPr>
              <w:jc w:val="right"/>
              <w:rPr>
                <w:u w:val="single"/>
              </w:rPr>
            </w:pPr>
            <w:r w:rsidRPr="00CA671C">
              <w:rPr>
                <w:u w:val="single"/>
              </w:rPr>
              <w:t>Cost Rate</w:t>
            </w:r>
          </w:p>
        </w:tc>
      </w:tr>
      <w:tr w:rsidR="00CA671C" w:rsidRPr="00CA671C" w:rsidTr="00CA671C">
        <w:tc>
          <w:tcPr>
            <w:tcW w:w="1907" w:type="pct"/>
          </w:tcPr>
          <w:p w:rsidR="00CA671C" w:rsidRPr="00CA671C" w:rsidRDefault="00CA671C" w:rsidP="00CA671C">
            <w:r w:rsidRPr="00CA671C">
              <w:t>Common Equity</w:t>
            </w:r>
          </w:p>
        </w:tc>
        <w:tc>
          <w:tcPr>
            <w:tcW w:w="982" w:type="pct"/>
          </w:tcPr>
          <w:p w:rsidR="00CA671C" w:rsidRPr="00CA671C" w:rsidRDefault="00CA671C" w:rsidP="00CA671C">
            <w:pPr>
              <w:jc w:val="right"/>
            </w:pPr>
            <w:r w:rsidRPr="00CA671C">
              <w:t>40.00%</w:t>
            </w:r>
          </w:p>
        </w:tc>
        <w:tc>
          <w:tcPr>
            <w:tcW w:w="1055" w:type="pct"/>
          </w:tcPr>
          <w:p w:rsidR="00CA671C" w:rsidRPr="00CA671C" w:rsidRDefault="00CA671C" w:rsidP="00CA671C">
            <w:pPr>
              <w:jc w:val="right"/>
            </w:pPr>
            <w:r w:rsidRPr="00CA671C">
              <w:t>10.93%</w:t>
            </w:r>
          </w:p>
        </w:tc>
        <w:tc>
          <w:tcPr>
            <w:tcW w:w="1055" w:type="pct"/>
          </w:tcPr>
          <w:p w:rsidR="00CA671C" w:rsidRPr="00CA671C" w:rsidRDefault="00CA671C" w:rsidP="00CA671C">
            <w:pPr>
              <w:jc w:val="right"/>
            </w:pPr>
            <w:r w:rsidRPr="00CA671C">
              <w:t>4.37%</w:t>
            </w:r>
          </w:p>
        </w:tc>
      </w:tr>
      <w:tr w:rsidR="00CA671C" w:rsidRPr="00CA671C" w:rsidTr="00CA671C">
        <w:tc>
          <w:tcPr>
            <w:tcW w:w="1907" w:type="pct"/>
          </w:tcPr>
          <w:p w:rsidR="00CA671C" w:rsidRPr="00CA671C" w:rsidRDefault="00CA671C" w:rsidP="00CA671C">
            <w:r w:rsidRPr="00CA671C">
              <w:t>Total Debt</w:t>
            </w:r>
          </w:p>
        </w:tc>
        <w:tc>
          <w:tcPr>
            <w:tcW w:w="982" w:type="pct"/>
          </w:tcPr>
          <w:p w:rsidR="00CA671C" w:rsidRPr="00CA671C" w:rsidRDefault="00CA671C" w:rsidP="00CA671C">
            <w:pPr>
              <w:jc w:val="right"/>
              <w:rPr>
                <w:u w:val="single"/>
              </w:rPr>
            </w:pPr>
            <w:r w:rsidRPr="00CA671C">
              <w:rPr>
                <w:u w:val="single"/>
              </w:rPr>
              <w:t>60.00%</w:t>
            </w:r>
          </w:p>
        </w:tc>
        <w:tc>
          <w:tcPr>
            <w:tcW w:w="1055" w:type="pct"/>
          </w:tcPr>
          <w:p w:rsidR="00CA671C" w:rsidRPr="00CA671C" w:rsidRDefault="00CA671C" w:rsidP="00CA671C">
            <w:pPr>
              <w:jc w:val="right"/>
            </w:pPr>
            <w:r w:rsidRPr="00CA671C">
              <w:t>6.24%*</w:t>
            </w:r>
          </w:p>
        </w:tc>
        <w:tc>
          <w:tcPr>
            <w:tcW w:w="1055" w:type="pct"/>
          </w:tcPr>
          <w:p w:rsidR="00CA671C" w:rsidRPr="00CA671C" w:rsidRDefault="00CA671C" w:rsidP="00CA671C">
            <w:pPr>
              <w:jc w:val="right"/>
              <w:rPr>
                <w:u w:val="single"/>
              </w:rPr>
            </w:pPr>
            <w:r w:rsidRPr="00CA671C">
              <w:rPr>
                <w:u w:val="single"/>
              </w:rPr>
              <w:t>3.74%</w:t>
            </w:r>
          </w:p>
        </w:tc>
      </w:tr>
      <w:tr w:rsidR="00CA671C" w:rsidRPr="00CA671C" w:rsidTr="00CA671C">
        <w:tc>
          <w:tcPr>
            <w:tcW w:w="1907" w:type="pct"/>
          </w:tcPr>
          <w:p w:rsidR="00CA671C" w:rsidRPr="00CA671C" w:rsidRDefault="00CA671C" w:rsidP="00CA671C"/>
        </w:tc>
        <w:tc>
          <w:tcPr>
            <w:tcW w:w="982" w:type="pct"/>
          </w:tcPr>
          <w:p w:rsidR="00CA671C" w:rsidRPr="00CA671C" w:rsidRDefault="00CA671C" w:rsidP="00CA671C">
            <w:pPr>
              <w:jc w:val="right"/>
              <w:rPr>
                <w:u w:val="double"/>
              </w:rPr>
            </w:pPr>
            <w:r w:rsidRPr="00CA671C">
              <w:rPr>
                <w:u w:val="double"/>
              </w:rPr>
              <w:t>100.00%</w:t>
            </w:r>
          </w:p>
        </w:tc>
        <w:tc>
          <w:tcPr>
            <w:tcW w:w="1055" w:type="pct"/>
          </w:tcPr>
          <w:p w:rsidR="00CA671C" w:rsidRPr="00CA671C" w:rsidRDefault="00CA671C" w:rsidP="00CA671C">
            <w:pPr>
              <w:jc w:val="right"/>
              <w:rPr>
                <w:u w:val="double"/>
              </w:rPr>
            </w:pPr>
          </w:p>
        </w:tc>
        <w:tc>
          <w:tcPr>
            <w:tcW w:w="1055" w:type="pct"/>
          </w:tcPr>
          <w:p w:rsidR="00CA671C" w:rsidRPr="00CA671C" w:rsidRDefault="00CA671C" w:rsidP="00CA671C">
            <w:pPr>
              <w:jc w:val="right"/>
              <w:rPr>
                <w:u w:val="double"/>
              </w:rPr>
            </w:pPr>
            <w:r w:rsidRPr="00CA671C">
              <w:rPr>
                <w:u w:val="double"/>
              </w:rPr>
              <w:t>8.11%</w:t>
            </w:r>
          </w:p>
        </w:tc>
      </w:tr>
      <w:tr w:rsidR="00CA671C" w:rsidRPr="00CA671C" w:rsidTr="00CA671C">
        <w:tc>
          <w:tcPr>
            <w:tcW w:w="1907" w:type="pct"/>
          </w:tcPr>
          <w:p w:rsidR="00CA671C" w:rsidRPr="00CA671C" w:rsidRDefault="00CA671C" w:rsidP="00CA671C"/>
        </w:tc>
        <w:tc>
          <w:tcPr>
            <w:tcW w:w="982" w:type="pct"/>
          </w:tcPr>
          <w:p w:rsidR="00CA671C" w:rsidRPr="00CA671C" w:rsidRDefault="00CA671C" w:rsidP="00CA671C"/>
        </w:tc>
        <w:tc>
          <w:tcPr>
            <w:tcW w:w="1055" w:type="pct"/>
          </w:tcPr>
          <w:p w:rsidR="00CA671C" w:rsidRPr="00CA671C" w:rsidRDefault="00CA671C" w:rsidP="00CA671C"/>
        </w:tc>
        <w:tc>
          <w:tcPr>
            <w:tcW w:w="1055" w:type="pct"/>
          </w:tcPr>
          <w:p w:rsidR="00CA671C" w:rsidRPr="00CA671C" w:rsidRDefault="00CA671C" w:rsidP="00CA671C"/>
        </w:tc>
      </w:tr>
      <w:tr w:rsidR="00CA671C" w:rsidRPr="00CA671C" w:rsidTr="00CA671C">
        <w:tc>
          <w:tcPr>
            <w:tcW w:w="5000" w:type="pct"/>
            <w:gridSpan w:val="4"/>
          </w:tcPr>
          <w:p w:rsidR="00CA671C" w:rsidRPr="00CA671C" w:rsidRDefault="00CA671C" w:rsidP="00CA671C">
            <w:r w:rsidRPr="00CA671C">
              <w:t>Where: Equity Ratio = CE / ( CE + Pref. Equity + LTD + STD)</w:t>
            </w:r>
          </w:p>
        </w:tc>
      </w:tr>
      <w:tr w:rsidR="00CA671C" w:rsidRPr="00CA671C" w:rsidTr="00CA671C">
        <w:tc>
          <w:tcPr>
            <w:tcW w:w="5000" w:type="pct"/>
            <w:gridSpan w:val="4"/>
          </w:tcPr>
          <w:p w:rsidR="00CA671C" w:rsidRPr="00CA671C" w:rsidRDefault="00CA671C" w:rsidP="00CA671C">
            <w:r w:rsidRPr="00CA671C">
              <w:t>*Assumed Baa3 rate for April 2018 plus a 50 basis point private placement premium and</w:t>
            </w:r>
          </w:p>
        </w:tc>
      </w:tr>
      <w:tr w:rsidR="00CA671C" w:rsidRPr="00CA671C" w:rsidTr="00CA671C">
        <w:tc>
          <w:tcPr>
            <w:tcW w:w="5000" w:type="pct"/>
            <w:gridSpan w:val="4"/>
          </w:tcPr>
          <w:p w:rsidR="00CA671C" w:rsidRPr="00CA671C" w:rsidRDefault="00CA671C" w:rsidP="00CA671C">
            <w:r w:rsidRPr="00CA671C">
              <w:t xml:space="preserve">   A 50 basis point small utility risk premium.</w:t>
            </w:r>
          </w:p>
        </w:tc>
      </w:tr>
    </w:tbl>
    <w:p w:rsidR="00CA671C" w:rsidRPr="00CA671C" w:rsidRDefault="00CA671C" w:rsidP="00CA671C"/>
    <w:p w:rsidR="00CA671C" w:rsidRPr="00CA671C" w:rsidRDefault="00CA671C" w:rsidP="00CA671C">
      <w:r w:rsidRPr="00CA671C">
        <w:t>Sources:</w:t>
      </w:r>
    </w:p>
    <w:p w:rsidR="00CA671C" w:rsidRPr="00CA671C" w:rsidRDefault="00CA671C" w:rsidP="00CA671C">
      <w:r w:rsidRPr="00CA671C">
        <w:t>Value Line Selection and Opinion</w:t>
      </w:r>
    </w:p>
    <w:p w:rsidR="00CA671C" w:rsidRPr="00CA671C" w:rsidRDefault="00CA671C" w:rsidP="00CA671C">
      <w:r w:rsidRPr="00CA671C">
        <w:t>Companies’ 10-K Filings</w:t>
      </w:r>
    </w:p>
    <w:p w:rsidR="00CA671C" w:rsidRPr="00CA671C" w:rsidRDefault="00CA671C" w:rsidP="00CA671C"/>
    <w:p w:rsidR="00CA671C" w:rsidRPr="00CA671C" w:rsidRDefault="00CA671C" w:rsidP="00CA671C">
      <w:pPr>
        <w:sectPr w:rsidR="00CA671C" w:rsidRPr="00CA671C" w:rsidSect="00CA671C">
          <w:headerReference w:type="default" r:id="rId18"/>
          <w:pgSz w:w="12240" w:h="15840" w:code="1"/>
          <w:pgMar w:top="1584" w:right="1440" w:bottom="1440" w:left="1440" w:header="720" w:footer="720" w:gutter="0"/>
          <w:cols w:space="720"/>
          <w:formProt w:val="0"/>
          <w:docGrid w:linePitch="360"/>
        </w:sectPr>
      </w:pPr>
    </w:p>
    <w:p w:rsidR="00CA671C" w:rsidRPr="00CA671C" w:rsidRDefault="00CA671C" w:rsidP="00CA671C">
      <w:pPr>
        <w:jc w:val="right"/>
      </w:pPr>
      <w:r w:rsidRPr="00CA671C">
        <w:lastRenderedPageBreak/>
        <w:t>Attachment 1</w:t>
      </w:r>
    </w:p>
    <w:p w:rsidR="00CA671C" w:rsidRPr="00CA671C" w:rsidRDefault="00CA671C" w:rsidP="00CA671C">
      <w:pPr>
        <w:jc w:val="right"/>
      </w:pPr>
      <w:r w:rsidRPr="00CA671C">
        <w:t>Page 3 of 6</w:t>
      </w:r>
    </w:p>
    <w:p w:rsidR="00CA671C" w:rsidRPr="00CA671C" w:rsidRDefault="00CA671C" w:rsidP="00CA671C">
      <w:pPr>
        <w:jc w:val="right"/>
      </w:pPr>
    </w:p>
    <w:tbl>
      <w:tblPr>
        <w:tblW w:w="5000" w:type="pct"/>
        <w:tblLook w:val="04A0" w:firstRow="1" w:lastRow="0" w:firstColumn="1" w:lastColumn="0" w:noHBand="0" w:noVBand="1"/>
      </w:tblPr>
      <w:tblGrid>
        <w:gridCol w:w="3338"/>
        <w:gridCol w:w="1086"/>
        <w:gridCol w:w="651"/>
        <w:gridCol w:w="652"/>
        <w:gridCol w:w="652"/>
        <w:gridCol w:w="652"/>
        <w:gridCol w:w="652"/>
        <w:gridCol w:w="706"/>
        <w:gridCol w:w="769"/>
        <w:gridCol w:w="751"/>
        <w:gridCol w:w="712"/>
        <w:gridCol w:w="1275"/>
        <w:gridCol w:w="1136"/>
      </w:tblGrid>
      <w:tr w:rsidR="00CA671C" w:rsidRPr="00CA671C" w:rsidTr="00CA671C">
        <w:tc>
          <w:tcPr>
            <w:tcW w:w="5000" w:type="pct"/>
            <w:gridSpan w:val="13"/>
          </w:tcPr>
          <w:p w:rsidR="00CA671C" w:rsidRPr="00CA671C" w:rsidRDefault="00CA671C" w:rsidP="00CA671C">
            <w:pPr>
              <w:rPr>
                <w:sz w:val="22"/>
              </w:rPr>
            </w:pPr>
            <w:r w:rsidRPr="00CA671C">
              <w:rPr>
                <w:sz w:val="22"/>
              </w:rPr>
              <w:t>Discounted Cash Flows Results</w:t>
            </w:r>
          </w:p>
        </w:tc>
      </w:tr>
      <w:tr w:rsidR="00CA671C" w:rsidRPr="00CA671C" w:rsidTr="00CA671C">
        <w:tc>
          <w:tcPr>
            <w:tcW w:w="1281" w:type="pct"/>
          </w:tcPr>
          <w:p w:rsidR="00CA671C" w:rsidRPr="00CA671C" w:rsidRDefault="00CA671C" w:rsidP="00CA671C"/>
        </w:tc>
        <w:tc>
          <w:tcPr>
            <w:tcW w:w="417" w:type="pct"/>
          </w:tcPr>
          <w:p w:rsidR="00CA671C" w:rsidRPr="00CA671C" w:rsidRDefault="00CA671C" w:rsidP="00CA671C"/>
        </w:tc>
        <w:tc>
          <w:tcPr>
            <w:tcW w:w="250" w:type="pct"/>
          </w:tcPr>
          <w:p w:rsidR="00CA671C" w:rsidRPr="00CA671C" w:rsidRDefault="00CA671C" w:rsidP="00CA671C"/>
        </w:tc>
        <w:tc>
          <w:tcPr>
            <w:tcW w:w="250" w:type="pct"/>
          </w:tcPr>
          <w:p w:rsidR="00CA671C" w:rsidRPr="00CA671C" w:rsidRDefault="00CA671C" w:rsidP="00CA671C"/>
        </w:tc>
        <w:tc>
          <w:tcPr>
            <w:tcW w:w="250" w:type="pct"/>
          </w:tcPr>
          <w:p w:rsidR="00CA671C" w:rsidRPr="00CA671C" w:rsidRDefault="00CA671C" w:rsidP="00CA671C"/>
        </w:tc>
        <w:tc>
          <w:tcPr>
            <w:tcW w:w="250" w:type="pct"/>
          </w:tcPr>
          <w:p w:rsidR="00CA671C" w:rsidRPr="00CA671C" w:rsidRDefault="00CA671C" w:rsidP="00CA671C"/>
        </w:tc>
        <w:tc>
          <w:tcPr>
            <w:tcW w:w="250" w:type="pct"/>
          </w:tcPr>
          <w:p w:rsidR="00CA671C" w:rsidRPr="00CA671C" w:rsidRDefault="00CA671C" w:rsidP="00CA671C"/>
        </w:tc>
        <w:tc>
          <w:tcPr>
            <w:tcW w:w="271" w:type="pct"/>
          </w:tcPr>
          <w:p w:rsidR="00CA671C" w:rsidRPr="00CA671C" w:rsidRDefault="00CA671C" w:rsidP="00CA671C"/>
        </w:tc>
        <w:tc>
          <w:tcPr>
            <w:tcW w:w="295" w:type="pct"/>
          </w:tcPr>
          <w:p w:rsidR="00CA671C" w:rsidRPr="00CA671C" w:rsidRDefault="00CA671C" w:rsidP="00CA671C"/>
        </w:tc>
        <w:tc>
          <w:tcPr>
            <w:tcW w:w="288" w:type="pct"/>
          </w:tcPr>
          <w:p w:rsidR="00CA671C" w:rsidRPr="00CA671C" w:rsidRDefault="00CA671C" w:rsidP="00CA671C"/>
        </w:tc>
        <w:tc>
          <w:tcPr>
            <w:tcW w:w="273" w:type="pct"/>
          </w:tcPr>
          <w:p w:rsidR="00CA671C" w:rsidRPr="00CA671C" w:rsidRDefault="00CA671C" w:rsidP="00CA671C"/>
        </w:tc>
        <w:tc>
          <w:tcPr>
            <w:tcW w:w="489" w:type="pct"/>
          </w:tcPr>
          <w:p w:rsidR="00CA671C" w:rsidRPr="00CA671C" w:rsidRDefault="00CA671C" w:rsidP="00CA671C"/>
        </w:tc>
        <w:tc>
          <w:tcPr>
            <w:tcW w:w="436" w:type="pct"/>
          </w:tcPr>
          <w:p w:rsidR="00CA671C" w:rsidRPr="00CA671C" w:rsidRDefault="00CA671C" w:rsidP="00CA671C"/>
        </w:tc>
      </w:tr>
      <w:tr w:rsidR="00CA671C" w:rsidRPr="00CA671C" w:rsidTr="00CA671C">
        <w:tc>
          <w:tcPr>
            <w:tcW w:w="1281" w:type="pct"/>
          </w:tcPr>
          <w:p w:rsidR="00CA671C" w:rsidRPr="00CA671C" w:rsidRDefault="00CA671C" w:rsidP="00CA671C">
            <w:pPr>
              <w:rPr>
                <w:sz w:val="22"/>
              </w:rPr>
            </w:pPr>
          </w:p>
        </w:tc>
        <w:tc>
          <w:tcPr>
            <w:tcW w:w="417" w:type="pct"/>
          </w:tcPr>
          <w:p w:rsidR="00CA671C" w:rsidRPr="00CA671C" w:rsidRDefault="00CA671C" w:rsidP="00CA671C">
            <w:pPr>
              <w:rPr>
                <w:sz w:val="22"/>
              </w:rPr>
            </w:pPr>
          </w:p>
        </w:tc>
        <w:tc>
          <w:tcPr>
            <w:tcW w:w="250" w:type="pct"/>
          </w:tcPr>
          <w:p w:rsidR="00CA671C" w:rsidRPr="00CA671C" w:rsidRDefault="00CA671C" w:rsidP="00CA671C">
            <w:pPr>
              <w:rPr>
                <w:sz w:val="22"/>
              </w:rPr>
            </w:pPr>
          </w:p>
        </w:tc>
        <w:tc>
          <w:tcPr>
            <w:tcW w:w="250" w:type="pct"/>
          </w:tcPr>
          <w:p w:rsidR="00CA671C" w:rsidRPr="00CA671C" w:rsidRDefault="00CA671C" w:rsidP="00CA671C">
            <w:pPr>
              <w:rPr>
                <w:sz w:val="22"/>
              </w:rPr>
            </w:pPr>
          </w:p>
        </w:tc>
        <w:tc>
          <w:tcPr>
            <w:tcW w:w="250" w:type="pct"/>
          </w:tcPr>
          <w:p w:rsidR="00CA671C" w:rsidRPr="00CA671C" w:rsidRDefault="00CA671C" w:rsidP="00CA671C">
            <w:pPr>
              <w:rPr>
                <w:sz w:val="22"/>
              </w:rPr>
            </w:pPr>
          </w:p>
        </w:tc>
        <w:tc>
          <w:tcPr>
            <w:tcW w:w="250" w:type="pct"/>
          </w:tcPr>
          <w:p w:rsidR="00CA671C" w:rsidRPr="00CA671C" w:rsidRDefault="00CA671C" w:rsidP="00CA671C">
            <w:pPr>
              <w:rPr>
                <w:sz w:val="22"/>
              </w:rPr>
            </w:pPr>
          </w:p>
        </w:tc>
        <w:tc>
          <w:tcPr>
            <w:tcW w:w="250" w:type="pct"/>
          </w:tcPr>
          <w:p w:rsidR="00CA671C" w:rsidRPr="00CA671C" w:rsidRDefault="00CA671C" w:rsidP="00CA671C">
            <w:pPr>
              <w:rPr>
                <w:sz w:val="22"/>
              </w:rPr>
            </w:pPr>
          </w:p>
        </w:tc>
        <w:tc>
          <w:tcPr>
            <w:tcW w:w="271" w:type="pct"/>
          </w:tcPr>
          <w:p w:rsidR="00CA671C" w:rsidRPr="00CA671C" w:rsidRDefault="00CA671C" w:rsidP="00CA671C">
            <w:pPr>
              <w:rPr>
                <w:sz w:val="22"/>
              </w:rPr>
            </w:pPr>
          </w:p>
        </w:tc>
        <w:tc>
          <w:tcPr>
            <w:tcW w:w="295" w:type="pct"/>
          </w:tcPr>
          <w:p w:rsidR="00CA671C" w:rsidRPr="00CA671C" w:rsidRDefault="00CA671C" w:rsidP="00CA671C">
            <w:pPr>
              <w:rPr>
                <w:sz w:val="22"/>
              </w:rPr>
            </w:pPr>
          </w:p>
        </w:tc>
        <w:tc>
          <w:tcPr>
            <w:tcW w:w="288" w:type="pct"/>
          </w:tcPr>
          <w:p w:rsidR="00CA671C" w:rsidRPr="00CA671C" w:rsidRDefault="00CA671C" w:rsidP="00CA671C">
            <w:pPr>
              <w:rPr>
                <w:sz w:val="22"/>
              </w:rPr>
            </w:pPr>
          </w:p>
        </w:tc>
        <w:tc>
          <w:tcPr>
            <w:tcW w:w="273" w:type="pct"/>
          </w:tcPr>
          <w:p w:rsidR="00CA671C" w:rsidRPr="00CA671C" w:rsidRDefault="00CA671C" w:rsidP="00CA671C">
            <w:pPr>
              <w:rPr>
                <w:sz w:val="22"/>
              </w:rPr>
            </w:pPr>
          </w:p>
        </w:tc>
        <w:tc>
          <w:tcPr>
            <w:tcW w:w="489" w:type="pct"/>
          </w:tcPr>
          <w:p w:rsidR="00CA671C" w:rsidRPr="00CA671C" w:rsidRDefault="00CA671C" w:rsidP="00CA671C">
            <w:pPr>
              <w:rPr>
                <w:sz w:val="22"/>
              </w:rPr>
            </w:pPr>
          </w:p>
        </w:tc>
        <w:tc>
          <w:tcPr>
            <w:tcW w:w="436" w:type="pct"/>
          </w:tcPr>
          <w:p w:rsidR="00CA671C" w:rsidRPr="00CA671C" w:rsidRDefault="00CA671C" w:rsidP="00CA671C">
            <w:pPr>
              <w:rPr>
                <w:sz w:val="22"/>
              </w:rPr>
            </w:pPr>
            <w:r w:rsidRPr="00CA671C">
              <w:rPr>
                <w:sz w:val="22"/>
              </w:rPr>
              <w:t>Weighted</w:t>
            </w:r>
          </w:p>
        </w:tc>
      </w:tr>
      <w:tr w:rsidR="00CA671C" w:rsidRPr="00CA671C" w:rsidTr="00CA671C">
        <w:tc>
          <w:tcPr>
            <w:tcW w:w="1281" w:type="pct"/>
          </w:tcPr>
          <w:p w:rsidR="00CA671C" w:rsidRPr="00CA671C" w:rsidRDefault="00CA671C" w:rsidP="00CA671C">
            <w:pPr>
              <w:rPr>
                <w:sz w:val="22"/>
              </w:rPr>
            </w:pPr>
          </w:p>
        </w:tc>
        <w:tc>
          <w:tcPr>
            <w:tcW w:w="417" w:type="pct"/>
          </w:tcPr>
          <w:p w:rsidR="00CA671C" w:rsidRPr="00CA671C" w:rsidRDefault="00CA671C" w:rsidP="00CA671C">
            <w:pPr>
              <w:rPr>
                <w:sz w:val="22"/>
              </w:rPr>
            </w:pPr>
          </w:p>
        </w:tc>
        <w:tc>
          <w:tcPr>
            <w:tcW w:w="250" w:type="pct"/>
          </w:tcPr>
          <w:p w:rsidR="00CA671C" w:rsidRPr="00CA671C" w:rsidRDefault="00CA671C" w:rsidP="00CA671C">
            <w:pPr>
              <w:rPr>
                <w:sz w:val="22"/>
              </w:rPr>
            </w:pPr>
          </w:p>
        </w:tc>
        <w:tc>
          <w:tcPr>
            <w:tcW w:w="250" w:type="pct"/>
          </w:tcPr>
          <w:p w:rsidR="00CA671C" w:rsidRPr="00CA671C" w:rsidRDefault="00CA671C" w:rsidP="00CA671C">
            <w:pPr>
              <w:rPr>
                <w:sz w:val="22"/>
              </w:rPr>
            </w:pPr>
          </w:p>
        </w:tc>
        <w:tc>
          <w:tcPr>
            <w:tcW w:w="250" w:type="pct"/>
          </w:tcPr>
          <w:p w:rsidR="00CA671C" w:rsidRPr="00CA671C" w:rsidRDefault="00CA671C" w:rsidP="00CA671C">
            <w:pPr>
              <w:rPr>
                <w:sz w:val="22"/>
              </w:rPr>
            </w:pPr>
          </w:p>
        </w:tc>
        <w:tc>
          <w:tcPr>
            <w:tcW w:w="250" w:type="pct"/>
          </w:tcPr>
          <w:p w:rsidR="00CA671C" w:rsidRPr="00CA671C" w:rsidRDefault="00CA671C" w:rsidP="00CA671C">
            <w:pPr>
              <w:rPr>
                <w:sz w:val="22"/>
              </w:rPr>
            </w:pPr>
          </w:p>
        </w:tc>
        <w:tc>
          <w:tcPr>
            <w:tcW w:w="250" w:type="pct"/>
          </w:tcPr>
          <w:p w:rsidR="00CA671C" w:rsidRPr="00CA671C" w:rsidRDefault="00CA671C" w:rsidP="00CA671C">
            <w:pPr>
              <w:rPr>
                <w:sz w:val="22"/>
              </w:rPr>
            </w:pPr>
          </w:p>
        </w:tc>
        <w:tc>
          <w:tcPr>
            <w:tcW w:w="271" w:type="pct"/>
          </w:tcPr>
          <w:p w:rsidR="00CA671C" w:rsidRPr="00CA671C" w:rsidRDefault="00CA671C" w:rsidP="00CA671C">
            <w:pPr>
              <w:rPr>
                <w:sz w:val="22"/>
              </w:rPr>
            </w:pPr>
          </w:p>
        </w:tc>
        <w:tc>
          <w:tcPr>
            <w:tcW w:w="295" w:type="pct"/>
          </w:tcPr>
          <w:p w:rsidR="00CA671C" w:rsidRPr="00CA671C" w:rsidRDefault="00CA671C" w:rsidP="00CA671C">
            <w:pPr>
              <w:rPr>
                <w:sz w:val="22"/>
              </w:rPr>
            </w:pPr>
          </w:p>
        </w:tc>
        <w:tc>
          <w:tcPr>
            <w:tcW w:w="288" w:type="pct"/>
          </w:tcPr>
          <w:p w:rsidR="00CA671C" w:rsidRPr="00CA671C" w:rsidRDefault="00CA671C" w:rsidP="00CA671C">
            <w:pPr>
              <w:rPr>
                <w:sz w:val="22"/>
              </w:rPr>
            </w:pPr>
          </w:p>
        </w:tc>
        <w:tc>
          <w:tcPr>
            <w:tcW w:w="273" w:type="pct"/>
          </w:tcPr>
          <w:p w:rsidR="00CA671C" w:rsidRPr="00CA671C" w:rsidRDefault="00CA671C" w:rsidP="00CA671C">
            <w:pPr>
              <w:rPr>
                <w:sz w:val="22"/>
              </w:rPr>
            </w:pPr>
          </w:p>
        </w:tc>
        <w:tc>
          <w:tcPr>
            <w:tcW w:w="489" w:type="pct"/>
          </w:tcPr>
          <w:p w:rsidR="00CA671C" w:rsidRPr="00CA671C" w:rsidRDefault="00CA671C" w:rsidP="00CA671C">
            <w:pPr>
              <w:rPr>
                <w:sz w:val="22"/>
              </w:rPr>
            </w:pPr>
          </w:p>
        </w:tc>
        <w:tc>
          <w:tcPr>
            <w:tcW w:w="436" w:type="pct"/>
          </w:tcPr>
          <w:p w:rsidR="00CA671C" w:rsidRPr="00CA671C" w:rsidRDefault="00CA671C" w:rsidP="00CA671C">
            <w:pPr>
              <w:rPr>
                <w:sz w:val="22"/>
              </w:rPr>
            </w:pPr>
            <w:r w:rsidRPr="00CA671C">
              <w:rPr>
                <w:sz w:val="22"/>
              </w:rPr>
              <w:t>DCF</w:t>
            </w:r>
          </w:p>
        </w:tc>
      </w:tr>
      <w:tr w:rsidR="00CA671C" w:rsidRPr="00CA671C" w:rsidTr="00CA671C">
        <w:tc>
          <w:tcPr>
            <w:tcW w:w="1281" w:type="pct"/>
          </w:tcPr>
          <w:p w:rsidR="00CA671C" w:rsidRPr="00CA671C" w:rsidRDefault="00CA671C" w:rsidP="00CA671C">
            <w:pPr>
              <w:rPr>
                <w:sz w:val="22"/>
              </w:rPr>
            </w:pPr>
            <w:r w:rsidRPr="00CA671C">
              <w:rPr>
                <w:sz w:val="22"/>
              </w:rPr>
              <w:t>Company</w:t>
            </w:r>
          </w:p>
        </w:tc>
        <w:tc>
          <w:tcPr>
            <w:tcW w:w="417" w:type="pct"/>
          </w:tcPr>
          <w:p w:rsidR="00CA671C" w:rsidRPr="00CA671C" w:rsidRDefault="00CA671C" w:rsidP="00CA671C">
            <w:pPr>
              <w:rPr>
                <w:sz w:val="22"/>
                <w:u w:val="single"/>
                <w:vertAlign w:val="superscript"/>
              </w:rPr>
            </w:pPr>
            <w:r w:rsidRPr="00CA671C">
              <w:rPr>
                <w:sz w:val="22"/>
                <w:u w:val="single"/>
              </w:rPr>
              <w:t>Weight</w:t>
            </w:r>
            <w:r w:rsidRPr="00CA671C">
              <w:rPr>
                <w:sz w:val="22"/>
                <w:u w:val="single"/>
                <w:vertAlign w:val="superscript"/>
              </w:rPr>
              <w:t>[1]</w:t>
            </w:r>
          </w:p>
        </w:tc>
        <w:tc>
          <w:tcPr>
            <w:tcW w:w="250" w:type="pct"/>
          </w:tcPr>
          <w:p w:rsidR="00CA671C" w:rsidRPr="00CA671C" w:rsidRDefault="00CA671C" w:rsidP="00CA671C">
            <w:pPr>
              <w:rPr>
                <w:sz w:val="22"/>
                <w:u w:val="single"/>
                <w:vertAlign w:val="subscript"/>
              </w:rPr>
            </w:pPr>
            <w:r w:rsidRPr="00CA671C">
              <w:rPr>
                <w:sz w:val="22"/>
                <w:u w:val="single"/>
              </w:rPr>
              <w:t>Div</w:t>
            </w:r>
            <w:r w:rsidRPr="00CA671C">
              <w:rPr>
                <w:sz w:val="22"/>
                <w:u w:val="single"/>
                <w:vertAlign w:val="subscript"/>
              </w:rPr>
              <w:t>0</w:t>
            </w:r>
          </w:p>
        </w:tc>
        <w:tc>
          <w:tcPr>
            <w:tcW w:w="250" w:type="pct"/>
          </w:tcPr>
          <w:p w:rsidR="00CA671C" w:rsidRPr="00CA671C" w:rsidRDefault="00CA671C" w:rsidP="00CA671C">
            <w:pPr>
              <w:rPr>
                <w:sz w:val="22"/>
                <w:u w:val="single"/>
                <w:vertAlign w:val="subscript"/>
              </w:rPr>
            </w:pPr>
            <w:r w:rsidRPr="00CA671C">
              <w:rPr>
                <w:sz w:val="22"/>
                <w:u w:val="single"/>
              </w:rPr>
              <w:t>Div</w:t>
            </w:r>
            <w:r w:rsidRPr="00CA671C">
              <w:rPr>
                <w:sz w:val="22"/>
                <w:u w:val="single"/>
                <w:vertAlign w:val="subscript"/>
              </w:rPr>
              <w:t>1</w:t>
            </w:r>
          </w:p>
        </w:tc>
        <w:tc>
          <w:tcPr>
            <w:tcW w:w="250" w:type="pct"/>
          </w:tcPr>
          <w:p w:rsidR="00CA671C" w:rsidRPr="00CA671C" w:rsidRDefault="00CA671C" w:rsidP="00CA671C">
            <w:pPr>
              <w:rPr>
                <w:sz w:val="22"/>
                <w:u w:val="single"/>
                <w:vertAlign w:val="subscript"/>
              </w:rPr>
            </w:pPr>
            <w:r w:rsidRPr="00CA671C">
              <w:rPr>
                <w:sz w:val="22"/>
                <w:u w:val="single"/>
              </w:rPr>
              <w:t>Div</w:t>
            </w:r>
            <w:r w:rsidRPr="00CA671C">
              <w:rPr>
                <w:sz w:val="22"/>
                <w:u w:val="single"/>
                <w:vertAlign w:val="subscript"/>
              </w:rPr>
              <w:t>2</w:t>
            </w:r>
          </w:p>
        </w:tc>
        <w:tc>
          <w:tcPr>
            <w:tcW w:w="250" w:type="pct"/>
          </w:tcPr>
          <w:p w:rsidR="00CA671C" w:rsidRPr="00CA671C" w:rsidRDefault="00CA671C" w:rsidP="00CA671C">
            <w:pPr>
              <w:rPr>
                <w:sz w:val="22"/>
                <w:u w:val="single"/>
                <w:vertAlign w:val="subscript"/>
              </w:rPr>
            </w:pPr>
            <w:r w:rsidRPr="00CA671C">
              <w:rPr>
                <w:sz w:val="22"/>
                <w:u w:val="single"/>
              </w:rPr>
              <w:t>Div</w:t>
            </w:r>
            <w:r w:rsidRPr="00CA671C">
              <w:rPr>
                <w:sz w:val="22"/>
                <w:u w:val="single"/>
                <w:vertAlign w:val="subscript"/>
              </w:rPr>
              <w:t>3</w:t>
            </w:r>
          </w:p>
        </w:tc>
        <w:tc>
          <w:tcPr>
            <w:tcW w:w="250" w:type="pct"/>
          </w:tcPr>
          <w:p w:rsidR="00CA671C" w:rsidRPr="00CA671C" w:rsidRDefault="00CA671C" w:rsidP="00CA671C">
            <w:pPr>
              <w:rPr>
                <w:sz w:val="22"/>
                <w:u w:val="single"/>
                <w:vertAlign w:val="subscript"/>
              </w:rPr>
            </w:pPr>
            <w:r w:rsidRPr="00CA671C">
              <w:rPr>
                <w:sz w:val="22"/>
                <w:u w:val="single"/>
              </w:rPr>
              <w:t>Div</w:t>
            </w:r>
            <w:r w:rsidRPr="00CA671C">
              <w:rPr>
                <w:sz w:val="22"/>
                <w:u w:val="single"/>
                <w:vertAlign w:val="subscript"/>
              </w:rPr>
              <w:t>4</w:t>
            </w:r>
          </w:p>
        </w:tc>
        <w:tc>
          <w:tcPr>
            <w:tcW w:w="271" w:type="pct"/>
          </w:tcPr>
          <w:p w:rsidR="00CA671C" w:rsidRPr="00CA671C" w:rsidRDefault="00CA671C" w:rsidP="00CA671C">
            <w:pPr>
              <w:rPr>
                <w:sz w:val="22"/>
                <w:u w:val="single"/>
                <w:vertAlign w:val="subscript"/>
              </w:rPr>
            </w:pPr>
            <w:r w:rsidRPr="00CA671C">
              <w:rPr>
                <w:sz w:val="22"/>
                <w:u w:val="single"/>
              </w:rPr>
              <w:t>EPS</w:t>
            </w:r>
            <w:r w:rsidRPr="00CA671C">
              <w:rPr>
                <w:sz w:val="22"/>
                <w:u w:val="single"/>
                <w:vertAlign w:val="subscript"/>
              </w:rPr>
              <w:t>4</w:t>
            </w:r>
          </w:p>
        </w:tc>
        <w:tc>
          <w:tcPr>
            <w:tcW w:w="295" w:type="pct"/>
          </w:tcPr>
          <w:p w:rsidR="00CA671C" w:rsidRPr="00CA671C" w:rsidRDefault="00CA671C" w:rsidP="00CA671C">
            <w:pPr>
              <w:rPr>
                <w:sz w:val="22"/>
                <w:u w:val="single"/>
                <w:vertAlign w:val="subscript"/>
              </w:rPr>
            </w:pPr>
            <w:r w:rsidRPr="00CA671C">
              <w:rPr>
                <w:sz w:val="22"/>
                <w:u w:val="single"/>
              </w:rPr>
              <w:t>ROE</w:t>
            </w:r>
            <w:r w:rsidRPr="00CA671C">
              <w:rPr>
                <w:sz w:val="22"/>
                <w:u w:val="single"/>
                <w:vertAlign w:val="subscript"/>
              </w:rPr>
              <w:t>4</w:t>
            </w:r>
          </w:p>
        </w:tc>
        <w:tc>
          <w:tcPr>
            <w:tcW w:w="288" w:type="pct"/>
          </w:tcPr>
          <w:p w:rsidR="00CA671C" w:rsidRPr="00CA671C" w:rsidRDefault="00CA671C" w:rsidP="00CA671C">
            <w:pPr>
              <w:rPr>
                <w:sz w:val="22"/>
                <w:u w:val="single"/>
                <w:vertAlign w:val="subscript"/>
              </w:rPr>
            </w:pPr>
            <w:r w:rsidRPr="00CA671C">
              <w:rPr>
                <w:sz w:val="22"/>
                <w:u w:val="single"/>
              </w:rPr>
              <w:t>GR</w:t>
            </w:r>
            <w:r w:rsidRPr="00CA671C">
              <w:rPr>
                <w:sz w:val="22"/>
                <w:u w:val="single"/>
                <w:vertAlign w:val="subscript"/>
              </w:rPr>
              <w:t>1-4</w:t>
            </w:r>
          </w:p>
        </w:tc>
        <w:tc>
          <w:tcPr>
            <w:tcW w:w="273" w:type="pct"/>
          </w:tcPr>
          <w:p w:rsidR="00CA671C" w:rsidRPr="00CA671C" w:rsidRDefault="00CA671C" w:rsidP="00CA671C">
            <w:pPr>
              <w:rPr>
                <w:sz w:val="22"/>
                <w:u w:val="single"/>
                <w:vertAlign w:val="subscript"/>
              </w:rPr>
            </w:pPr>
            <w:r w:rsidRPr="00CA671C">
              <w:rPr>
                <w:sz w:val="22"/>
                <w:u w:val="single"/>
              </w:rPr>
              <w:t>GR</w:t>
            </w:r>
            <w:r w:rsidRPr="00CA671C">
              <w:rPr>
                <w:sz w:val="22"/>
                <w:u w:val="single"/>
                <w:vertAlign w:val="subscript"/>
              </w:rPr>
              <w:t>4+</w:t>
            </w:r>
          </w:p>
        </w:tc>
        <w:tc>
          <w:tcPr>
            <w:tcW w:w="489" w:type="pct"/>
          </w:tcPr>
          <w:p w:rsidR="00CA671C" w:rsidRPr="00CA671C" w:rsidRDefault="00CA671C" w:rsidP="00CA671C">
            <w:pPr>
              <w:rPr>
                <w:sz w:val="22"/>
                <w:vertAlign w:val="superscript"/>
              </w:rPr>
            </w:pPr>
            <w:r w:rsidRPr="00CA671C">
              <w:rPr>
                <w:sz w:val="22"/>
                <w:u w:val="single"/>
              </w:rPr>
              <w:t>AVG-PR</w:t>
            </w:r>
            <w:r w:rsidRPr="00CA671C">
              <w:rPr>
                <w:sz w:val="22"/>
                <w:u w:val="single"/>
                <w:vertAlign w:val="superscript"/>
              </w:rPr>
              <w:t>[2</w:t>
            </w:r>
            <w:r w:rsidRPr="00CA671C">
              <w:rPr>
                <w:sz w:val="22"/>
                <w:vertAlign w:val="superscript"/>
              </w:rPr>
              <w:t>]</w:t>
            </w:r>
          </w:p>
        </w:tc>
        <w:tc>
          <w:tcPr>
            <w:tcW w:w="436" w:type="pct"/>
          </w:tcPr>
          <w:p w:rsidR="00CA671C" w:rsidRPr="00CA671C" w:rsidRDefault="00CA671C" w:rsidP="00CA671C">
            <w:pPr>
              <w:rPr>
                <w:sz w:val="22"/>
                <w:vertAlign w:val="superscript"/>
              </w:rPr>
            </w:pPr>
            <w:r w:rsidRPr="00CA671C">
              <w:rPr>
                <w:sz w:val="22"/>
              </w:rPr>
              <w:t>Results</w:t>
            </w:r>
            <w:r w:rsidRPr="00CA671C">
              <w:rPr>
                <w:sz w:val="22"/>
                <w:vertAlign w:val="superscript"/>
              </w:rPr>
              <w:t>[3]</w:t>
            </w:r>
          </w:p>
        </w:tc>
      </w:tr>
      <w:tr w:rsidR="00CA671C" w:rsidRPr="00CA671C" w:rsidTr="00CA671C">
        <w:tc>
          <w:tcPr>
            <w:tcW w:w="1281" w:type="pct"/>
          </w:tcPr>
          <w:p w:rsidR="00CA671C" w:rsidRPr="00CA671C" w:rsidRDefault="00CA671C" w:rsidP="00CA671C">
            <w:pPr>
              <w:rPr>
                <w:sz w:val="22"/>
              </w:rPr>
            </w:pPr>
            <w:r w:rsidRPr="00CA671C">
              <w:rPr>
                <w:sz w:val="22"/>
              </w:rPr>
              <w:t>Atmos Energy</w:t>
            </w:r>
          </w:p>
        </w:tc>
        <w:tc>
          <w:tcPr>
            <w:tcW w:w="417" w:type="pct"/>
          </w:tcPr>
          <w:p w:rsidR="00CA671C" w:rsidRPr="00CA671C" w:rsidRDefault="00CA671C" w:rsidP="00CA671C">
            <w:pPr>
              <w:jc w:val="right"/>
              <w:rPr>
                <w:sz w:val="22"/>
              </w:rPr>
            </w:pPr>
            <w:r w:rsidRPr="00CA671C">
              <w:rPr>
                <w:sz w:val="22"/>
              </w:rPr>
              <w:t>19.40%</w:t>
            </w:r>
          </w:p>
        </w:tc>
        <w:tc>
          <w:tcPr>
            <w:tcW w:w="250" w:type="pct"/>
          </w:tcPr>
          <w:p w:rsidR="00CA671C" w:rsidRPr="00CA671C" w:rsidRDefault="00CA671C" w:rsidP="00CA671C">
            <w:pPr>
              <w:jc w:val="right"/>
              <w:rPr>
                <w:sz w:val="22"/>
              </w:rPr>
            </w:pPr>
            <w:r w:rsidRPr="00CA671C">
              <w:rPr>
                <w:sz w:val="22"/>
              </w:rPr>
              <w:t>1.94</w:t>
            </w:r>
          </w:p>
        </w:tc>
        <w:tc>
          <w:tcPr>
            <w:tcW w:w="250" w:type="pct"/>
          </w:tcPr>
          <w:p w:rsidR="00CA671C" w:rsidRPr="00CA671C" w:rsidRDefault="00CA671C" w:rsidP="00CA671C">
            <w:pPr>
              <w:jc w:val="right"/>
              <w:rPr>
                <w:sz w:val="22"/>
              </w:rPr>
            </w:pPr>
            <w:r w:rsidRPr="00CA671C">
              <w:rPr>
                <w:sz w:val="22"/>
              </w:rPr>
              <w:t>2.08</w:t>
            </w:r>
          </w:p>
        </w:tc>
        <w:tc>
          <w:tcPr>
            <w:tcW w:w="250" w:type="pct"/>
          </w:tcPr>
          <w:p w:rsidR="00CA671C" w:rsidRPr="00CA671C" w:rsidRDefault="00CA671C" w:rsidP="00CA671C">
            <w:pPr>
              <w:jc w:val="right"/>
              <w:rPr>
                <w:sz w:val="22"/>
              </w:rPr>
            </w:pPr>
            <w:r w:rsidRPr="00CA671C">
              <w:rPr>
                <w:sz w:val="22"/>
              </w:rPr>
              <w:t>2.21</w:t>
            </w:r>
          </w:p>
        </w:tc>
        <w:tc>
          <w:tcPr>
            <w:tcW w:w="250" w:type="pct"/>
          </w:tcPr>
          <w:p w:rsidR="00CA671C" w:rsidRPr="00CA671C" w:rsidRDefault="00CA671C" w:rsidP="00CA671C">
            <w:pPr>
              <w:jc w:val="right"/>
              <w:rPr>
                <w:sz w:val="22"/>
              </w:rPr>
            </w:pPr>
            <w:r w:rsidRPr="00CA671C">
              <w:rPr>
                <w:sz w:val="22"/>
              </w:rPr>
              <w:t>2.35</w:t>
            </w:r>
          </w:p>
        </w:tc>
        <w:tc>
          <w:tcPr>
            <w:tcW w:w="250" w:type="pct"/>
          </w:tcPr>
          <w:p w:rsidR="00CA671C" w:rsidRPr="00CA671C" w:rsidRDefault="00CA671C" w:rsidP="00CA671C">
            <w:pPr>
              <w:jc w:val="right"/>
              <w:rPr>
                <w:sz w:val="22"/>
              </w:rPr>
            </w:pPr>
            <w:r w:rsidRPr="00CA671C">
              <w:rPr>
                <w:sz w:val="22"/>
              </w:rPr>
              <w:t>2.50</w:t>
            </w:r>
          </w:p>
        </w:tc>
        <w:tc>
          <w:tcPr>
            <w:tcW w:w="271" w:type="pct"/>
          </w:tcPr>
          <w:p w:rsidR="00CA671C" w:rsidRPr="00CA671C" w:rsidRDefault="00CA671C" w:rsidP="00CA671C">
            <w:pPr>
              <w:jc w:val="right"/>
              <w:rPr>
                <w:sz w:val="22"/>
              </w:rPr>
            </w:pPr>
            <w:r w:rsidRPr="00CA671C">
              <w:rPr>
                <w:sz w:val="22"/>
              </w:rPr>
              <w:t>5.15</w:t>
            </w:r>
          </w:p>
        </w:tc>
        <w:tc>
          <w:tcPr>
            <w:tcW w:w="295" w:type="pct"/>
          </w:tcPr>
          <w:p w:rsidR="00CA671C" w:rsidRPr="00CA671C" w:rsidRDefault="00CA671C" w:rsidP="00CA671C">
            <w:pPr>
              <w:jc w:val="right"/>
              <w:rPr>
                <w:sz w:val="22"/>
              </w:rPr>
            </w:pPr>
            <w:r w:rsidRPr="00CA671C">
              <w:rPr>
                <w:sz w:val="22"/>
              </w:rPr>
              <w:t>0.11</w:t>
            </w:r>
          </w:p>
        </w:tc>
        <w:tc>
          <w:tcPr>
            <w:tcW w:w="288" w:type="pct"/>
          </w:tcPr>
          <w:p w:rsidR="00CA671C" w:rsidRPr="00CA671C" w:rsidRDefault="00CA671C" w:rsidP="00CA671C">
            <w:pPr>
              <w:jc w:val="right"/>
              <w:rPr>
                <w:sz w:val="22"/>
              </w:rPr>
            </w:pPr>
            <w:r w:rsidRPr="00CA671C">
              <w:rPr>
                <w:sz w:val="22"/>
              </w:rPr>
              <w:t>1.06</w:t>
            </w:r>
          </w:p>
        </w:tc>
        <w:tc>
          <w:tcPr>
            <w:tcW w:w="273" w:type="pct"/>
          </w:tcPr>
          <w:p w:rsidR="00CA671C" w:rsidRPr="00CA671C" w:rsidRDefault="00CA671C" w:rsidP="00CA671C">
            <w:pPr>
              <w:jc w:val="right"/>
              <w:rPr>
                <w:sz w:val="22"/>
              </w:rPr>
            </w:pPr>
            <w:r w:rsidRPr="00CA671C">
              <w:rPr>
                <w:sz w:val="22"/>
              </w:rPr>
              <w:t>1.06</w:t>
            </w:r>
          </w:p>
        </w:tc>
        <w:tc>
          <w:tcPr>
            <w:tcW w:w="489" w:type="pct"/>
          </w:tcPr>
          <w:p w:rsidR="00CA671C" w:rsidRPr="00CA671C" w:rsidRDefault="00CA671C" w:rsidP="00CA671C">
            <w:pPr>
              <w:jc w:val="right"/>
              <w:rPr>
                <w:sz w:val="22"/>
              </w:rPr>
            </w:pPr>
            <w:r w:rsidRPr="00CA671C">
              <w:rPr>
                <w:sz w:val="22"/>
              </w:rPr>
              <w:t>81.78</w:t>
            </w:r>
          </w:p>
        </w:tc>
        <w:tc>
          <w:tcPr>
            <w:tcW w:w="436" w:type="pct"/>
          </w:tcPr>
          <w:p w:rsidR="00CA671C" w:rsidRPr="00CA671C" w:rsidRDefault="00CA671C" w:rsidP="00CA671C">
            <w:pPr>
              <w:jc w:val="right"/>
              <w:rPr>
                <w:sz w:val="22"/>
              </w:rPr>
            </w:pPr>
            <w:r w:rsidRPr="00CA671C">
              <w:rPr>
                <w:sz w:val="22"/>
              </w:rPr>
              <w:t>1.58%</w:t>
            </w:r>
          </w:p>
        </w:tc>
      </w:tr>
      <w:tr w:rsidR="00CA671C" w:rsidRPr="00CA671C" w:rsidTr="00CA671C">
        <w:tc>
          <w:tcPr>
            <w:tcW w:w="1281" w:type="pct"/>
          </w:tcPr>
          <w:p w:rsidR="00CA671C" w:rsidRPr="00CA671C" w:rsidRDefault="00CA671C" w:rsidP="00CA671C">
            <w:pPr>
              <w:rPr>
                <w:sz w:val="22"/>
              </w:rPr>
            </w:pPr>
            <w:r w:rsidRPr="00CA671C">
              <w:rPr>
                <w:sz w:val="22"/>
              </w:rPr>
              <w:t>Northwest Natural Gas Company</w:t>
            </w:r>
          </w:p>
        </w:tc>
        <w:tc>
          <w:tcPr>
            <w:tcW w:w="417" w:type="pct"/>
          </w:tcPr>
          <w:p w:rsidR="00CA671C" w:rsidRPr="00CA671C" w:rsidRDefault="00CA671C" w:rsidP="00CA671C">
            <w:pPr>
              <w:jc w:val="right"/>
              <w:rPr>
                <w:sz w:val="22"/>
              </w:rPr>
            </w:pPr>
            <w:r w:rsidRPr="00CA671C">
              <w:rPr>
                <w:sz w:val="22"/>
              </w:rPr>
              <w:t>3.41%</w:t>
            </w:r>
          </w:p>
        </w:tc>
        <w:tc>
          <w:tcPr>
            <w:tcW w:w="250" w:type="pct"/>
          </w:tcPr>
          <w:p w:rsidR="00CA671C" w:rsidRPr="00CA671C" w:rsidRDefault="00CA671C" w:rsidP="00CA671C">
            <w:pPr>
              <w:jc w:val="right"/>
              <w:rPr>
                <w:sz w:val="22"/>
              </w:rPr>
            </w:pPr>
            <w:r w:rsidRPr="00CA671C">
              <w:rPr>
                <w:sz w:val="22"/>
              </w:rPr>
              <w:t>1.89</w:t>
            </w:r>
          </w:p>
        </w:tc>
        <w:tc>
          <w:tcPr>
            <w:tcW w:w="250" w:type="pct"/>
          </w:tcPr>
          <w:p w:rsidR="00CA671C" w:rsidRPr="00CA671C" w:rsidRDefault="00CA671C" w:rsidP="00CA671C">
            <w:pPr>
              <w:jc w:val="right"/>
              <w:rPr>
                <w:sz w:val="22"/>
              </w:rPr>
            </w:pPr>
            <w:r w:rsidRPr="00CA671C">
              <w:rPr>
                <w:sz w:val="22"/>
              </w:rPr>
              <w:t>2.00</w:t>
            </w:r>
          </w:p>
        </w:tc>
        <w:tc>
          <w:tcPr>
            <w:tcW w:w="250" w:type="pct"/>
          </w:tcPr>
          <w:p w:rsidR="00CA671C" w:rsidRPr="00CA671C" w:rsidRDefault="00CA671C" w:rsidP="00CA671C">
            <w:pPr>
              <w:jc w:val="right"/>
              <w:rPr>
                <w:sz w:val="22"/>
              </w:rPr>
            </w:pPr>
            <w:r w:rsidRPr="00CA671C">
              <w:rPr>
                <w:sz w:val="22"/>
              </w:rPr>
              <w:t>2.06</w:t>
            </w:r>
          </w:p>
        </w:tc>
        <w:tc>
          <w:tcPr>
            <w:tcW w:w="250" w:type="pct"/>
          </w:tcPr>
          <w:p w:rsidR="00CA671C" w:rsidRPr="00CA671C" w:rsidRDefault="00CA671C" w:rsidP="00CA671C">
            <w:pPr>
              <w:jc w:val="right"/>
              <w:rPr>
                <w:sz w:val="22"/>
              </w:rPr>
            </w:pPr>
            <w:r w:rsidRPr="00CA671C">
              <w:rPr>
                <w:sz w:val="22"/>
              </w:rPr>
              <w:t>2.13</w:t>
            </w:r>
          </w:p>
        </w:tc>
        <w:tc>
          <w:tcPr>
            <w:tcW w:w="250" w:type="pct"/>
          </w:tcPr>
          <w:p w:rsidR="00CA671C" w:rsidRPr="00CA671C" w:rsidRDefault="00CA671C" w:rsidP="00CA671C">
            <w:pPr>
              <w:jc w:val="right"/>
              <w:rPr>
                <w:sz w:val="22"/>
              </w:rPr>
            </w:pPr>
            <w:r w:rsidRPr="00CA671C">
              <w:rPr>
                <w:sz w:val="22"/>
              </w:rPr>
              <w:t>2.20</w:t>
            </w:r>
          </w:p>
        </w:tc>
        <w:tc>
          <w:tcPr>
            <w:tcW w:w="271" w:type="pct"/>
          </w:tcPr>
          <w:p w:rsidR="00CA671C" w:rsidRPr="00CA671C" w:rsidRDefault="00CA671C" w:rsidP="00CA671C">
            <w:pPr>
              <w:jc w:val="right"/>
              <w:rPr>
                <w:sz w:val="22"/>
              </w:rPr>
            </w:pPr>
            <w:r w:rsidRPr="00CA671C">
              <w:rPr>
                <w:sz w:val="22"/>
              </w:rPr>
              <w:t>3.50</w:t>
            </w:r>
          </w:p>
        </w:tc>
        <w:tc>
          <w:tcPr>
            <w:tcW w:w="295" w:type="pct"/>
          </w:tcPr>
          <w:p w:rsidR="00CA671C" w:rsidRPr="00CA671C" w:rsidRDefault="00CA671C" w:rsidP="00CA671C">
            <w:pPr>
              <w:jc w:val="right"/>
              <w:rPr>
                <w:sz w:val="22"/>
              </w:rPr>
            </w:pPr>
            <w:r w:rsidRPr="00CA671C">
              <w:rPr>
                <w:sz w:val="22"/>
              </w:rPr>
              <w:t>0.11</w:t>
            </w:r>
          </w:p>
        </w:tc>
        <w:tc>
          <w:tcPr>
            <w:tcW w:w="288" w:type="pct"/>
          </w:tcPr>
          <w:p w:rsidR="00CA671C" w:rsidRPr="00CA671C" w:rsidRDefault="00CA671C" w:rsidP="00CA671C">
            <w:pPr>
              <w:jc w:val="right"/>
              <w:rPr>
                <w:sz w:val="22"/>
              </w:rPr>
            </w:pPr>
            <w:r w:rsidRPr="00CA671C">
              <w:rPr>
                <w:sz w:val="22"/>
              </w:rPr>
              <w:t>1.03</w:t>
            </w:r>
          </w:p>
        </w:tc>
        <w:tc>
          <w:tcPr>
            <w:tcW w:w="273" w:type="pct"/>
          </w:tcPr>
          <w:p w:rsidR="00CA671C" w:rsidRPr="00CA671C" w:rsidRDefault="00CA671C" w:rsidP="00CA671C">
            <w:pPr>
              <w:jc w:val="right"/>
              <w:rPr>
                <w:sz w:val="22"/>
              </w:rPr>
            </w:pPr>
            <w:r w:rsidRPr="00CA671C">
              <w:rPr>
                <w:sz w:val="22"/>
              </w:rPr>
              <w:t>1.04</w:t>
            </w:r>
          </w:p>
        </w:tc>
        <w:tc>
          <w:tcPr>
            <w:tcW w:w="489" w:type="pct"/>
          </w:tcPr>
          <w:p w:rsidR="00CA671C" w:rsidRPr="00CA671C" w:rsidRDefault="00CA671C" w:rsidP="00CA671C">
            <w:pPr>
              <w:jc w:val="right"/>
              <w:rPr>
                <w:sz w:val="22"/>
              </w:rPr>
            </w:pPr>
            <w:r w:rsidRPr="00CA671C">
              <w:rPr>
                <w:sz w:val="22"/>
              </w:rPr>
              <w:t>57.17</w:t>
            </w:r>
          </w:p>
        </w:tc>
        <w:tc>
          <w:tcPr>
            <w:tcW w:w="436" w:type="pct"/>
          </w:tcPr>
          <w:p w:rsidR="00CA671C" w:rsidRPr="00CA671C" w:rsidRDefault="00CA671C" w:rsidP="00CA671C">
            <w:pPr>
              <w:jc w:val="right"/>
              <w:rPr>
                <w:sz w:val="22"/>
              </w:rPr>
            </w:pPr>
            <w:r w:rsidRPr="00CA671C">
              <w:rPr>
                <w:sz w:val="22"/>
              </w:rPr>
              <w:t>0.25%</w:t>
            </w:r>
          </w:p>
        </w:tc>
      </w:tr>
      <w:tr w:rsidR="00CA671C" w:rsidRPr="00CA671C" w:rsidTr="00CA671C">
        <w:tc>
          <w:tcPr>
            <w:tcW w:w="1281" w:type="pct"/>
          </w:tcPr>
          <w:p w:rsidR="00CA671C" w:rsidRPr="00CA671C" w:rsidRDefault="00CA671C" w:rsidP="00CA671C">
            <w:pPr>
              <w:rPr>
                <w:sz w:val="22"/>
              </w:rPr>
            </w:pPr>
            <w:r w:rsidRPr="00CA671C">
              <w:rPr>
                <w:sz w:val="22"/>
              </w:rPr>
              <w:t>ONE Gas, Inc.</w:t>
            </w:r>
          </w:p>
        </w:tc>
        <w:tc>
          <w:tcPr>
            <w:tcW w:w="417" w:type="pct"/>
          </w:tcPr>
          <w:p w:rsidR="00CA671C" w:rsidRPr="00CA671C" w:rsidRDefault="00CA671C" w:rsidP="00CA671C">
            <w:pPr>
              <w:jc w:val="right"/>
              <w:rPr>
                <w:sz w:val="22"/>
              </w:rPr>
            </w:pPr>
            <w:r w:rsidRPr="00CA671C">
              <w:rPr>
                <w:sz w:val="22"/>
              </w:rPr>
              <w:t>7.46%</w:t>
            </w:r>
          </w:p>
        </w:tc>
        <w:tc>
          <w:tcPr>
            <w:tcW w:w="250" w:type="pct"/>
          </w:tcPr>
          <w:p w:rsidR="00CA671C" w:rsidRPr="00CA671C" w:rsidRDefault="00CA671C" w:rsidP="00CA671C">
            <w:pPr>
              <w:jc w:val="right"/>
              <w:rPr>
                <w:sz w:val="22"/>
              </w:rPr>
            </w:pPr>
            <w:r w:rsidRPr="00CA671C">
              <w:rPr>
                <w:sz w:val="22"/>
              </w:rPr>
              <w:t>1.84</w:t>
            </w:r>
          </w:p>
        </w:tc>
        <w:tc>
          <w:tcPr>
            <w:tcW w:w="250" w:type="pct"/>
          </w:tcPr>
          <w:p w:rsidR="00CA671C" w:rsidRPr="00CA671C" w:rsidRDefault="00CA671C" w:rsidP="00CA671C">
            <w:pPr>
              <w:jc w:val="right"/>
              <w:rPr>
                <w:sz w:val="22"/>
              </w:rPr>
            </w:pPr>
            <w:r w:rsidRPr="00CA671C">
              <w:rPr>
                <w:sz w:val="22"/>
              </w:rPr>
              <w:t>2.00</w:t>
            </w:r>
          </w:p>
        </w:tc>
        <w:tc>
          <w:tcPr>
            <w:tcW w:w="250" w:type="pct"/>
          </w:tcPr>
          <w:p w:rsidR="00CA671C" w:rsidRPr="00CA671C" w:rsidRDefault="00CA671C" w:rsidP="00CA671C">
            <w:pPr>
              <w:jc w:val="right"/>
              <w:rPr>
                <w:sz w:val="22"/>
              </w:rPr>
            </w:pPr>
            <w:r w:rsidRPr="00CA671C">
              <w:rPr>
                <w:sz w:val="22"/>
              </w:rPr>
              <w:t>2.15</w:t>
            </w:r>
          </w:p>
        </w:tc>
        <w:tc>
          <w:tcPr>
            <w:tcW w:w="250" w:type="pct"/>
          </w:tcPr>
          <w:p w:rsidR="00CA671C" w:rsidRPr="00CA671C" w:rsidRDefault="00CA671C" w:rsidP="00CA671C">
            <w:pPr>
              <w:jc w:val="right"/>
              <w:rPr>
                <w:sz w:val="22"/>
              </w:rPr>
            </w:pPr>
            <w:r w:rsidRPr="00CA671C">
              <w:rPr>
                <w:sz w:val="22"/>
              </w:rPr>
              <w:t>2.32</w:t>
            </w:r>
          </w:p>
        </w:tc>
        <w:tc>
          <w:tcPr>
            <w:tcW w:w="250" w:type="pct"/>
          </w:tcPr>
          <w:p w:rsidR="00CA671C" w:rsidRPr="00CA671C" w:rsidRDefault="00CA671C" w:rsidP="00CA671C">
            <w:pPr>
              <w:jc w:val="right"/>
              <w:rPr>
                <w:sz w:val="22"/>
              </w:rPr>
            </w:pPr>
            <w:r w:rsidRPr="00CA671C">
              <w:rPr>
                <w:sz w:val="22"/>
              </w:rPr>
              <w:t>2.50</w:t>
            </w:r>
          </w:p>
        </w:tc>
        <w:tc>
          <w:tcPr>
            <w:tcW w:w="271" w:type="pct"/>
          </w:tcPr>
          <w:p w:rsidR="00CA671C" w:rsidRPr="00CA671C" w:rsidRDefault="00CA671C" w:rsidP="00CA671C">
            <w:pPr>
              <w:jc w:val="right"/>
              <w:rPr>
                <w:sz w:val="22"/>
              </w:rPr>
            </w:pPr>
            <w:r w:rsidRPr="00CA671C">
              <w:rPr>
                <w:sz w:val="22"/>
              </w:rPr>
              <w:t>4.00</w:t>
            </w:r>
          </w:p>
        </w:tc>
        <w:tc>
          <w:tcPr>
            <w:tcW w:w="295" w:type="pct"/>
          </w:tcPr>
          <w:p w:rsidR="00CA671C" w:rsidRPr="00CA671C" w:rsidRDefault="00CA671C" w:rsidP="00CA671C">
            <w:pPr>
              <w:jc w:val="right"/>
              <w:rPr>
                <w:sz w:val="22"/>
              </w:rPr>
            </w:pPr>
            <w:r w:rsidRPr="00CA671C">
              <w:rPr>
                <w:sz w:val="22"/>
              </w:rPr>
              <w:t>0.09</w:t>
            </w:r>
          </w:p>
        </w:tc>
        <w:tc>
          <w:tcPr>
            <w:tcW w:w="288" w:type="pct"/>
          </w:tcPr>
          <w:p w:rsidR="00CA671C" w:rsidRPr="00CA671C" w:rsidRDefault="00CA671C" w:rsidP="00CA671C">
            <w:pPr>
              <w:jc w:val="right"/>
              <w:rPr>
                <w:sz w:val="22"/>
              </w:rPr>
            </w:pPr>
            <w:r w:rsidRPr="00CA671C">
              <w:rPr>
                <w:sz w:val="22"/>
              </w:rPr>
              <w:t>1.08</w:t>
            </w:r>
          </w:p>
        </w:tc>
        <w:tc>
          <w:tcPr>
            <w:tcW w:w="273" w:type="pct"/>
          </w:tcPr>
          <w:p w:rsidR="00CA671C" w:rsidRPr="00CA671C" w:rsidRDefault="00CA671C" w:rsidP="00CA671C">
            <w:pPr>
              <w:jc w:val="right"/>
              <w:rPr>
                <w:sz w:val="22"/>
              </w:rPr>
            </w:pPr>
            <w:r w:rsidRPr="00CA671C">
              <w:rPr>
                <w:sz w:val="22"/>
              </w:rPr>
              <w:t>1.03</w:t>
            </w:r>
          </w:p>
        </w:tc>
        <w:tc>
          <w:tcPr>
            <w:tcW w:w="489" w:type="pct"/>
          </w:tcPr>
          <w:p w:rsidR="00CA671C" w:rsidRPr="00CA671C" w:rsidRDefault="00CA671C" w:rsidP="00CA671C">
            <w:pPr>
              <w:jc w:val="right"/>
              <w:rPr>
                <w:sz w:val="22"/>
              </w:rPr>
            </w:pPr>
            <w:r w:rsidRPr="00CA671C">
              <w:rPr>
                <w:sz w:val="22"/>
              </w:rPr>
              <w:t>65.22</w:t>
            </w:r>
          </w:p>
        </w:tc>
        <w:tc>
          <w:tcPr>
            <w:tcW w:w="436" w:type="pct"/>
          </w:tcPr>
          <w:p w:rsidR="00CA671C" w:rsidRPr="00CA671C" w:rsidRDefault="00CA671C" w:rsidP="00CA671C">
            <w:pPr>
              <w:jc w:val="right"/>
              <w:rPr>
                <w:sz w:val="22"/>
              </w:rPr>
            </w:pPr>
            <w:r w:rsidRPr="00CA671C">
              <w:rPr>
                <w:sz w:val="22"/>
              </w:rPr>
              <w:t>0.50%</w:t>
            </w:r>
          </w:p>
        </w:tc>
      </w:tr>
      <w:tr w:rsidR="00CA671C" w:rsidRPr="00CA671C" w:rsidTr="00CA671C">
        <w:tc>
          <w:tcPr>
            <w:tcW w:w="1281" w:type="pct"/>
          </w:tcPr>
          <w:p w:rsidR="00CA671C" w:rsidRPr="00CA671C" w:rsidRDefault="00CA671C" w:rsidP="00CA671C">
            <w:pPr>
              <w:rPr>
                <w:sz w:val="22"/>
              </w:rPr>
            </w:pPr>
            <w:r w:rsidRPr="00CA671C">
              <w:rPr>
                <w:sz w:val="22"/>
              </w:rPr>
              <w:t>Southwest Gas Holdings</w:t>
            </w:r>
          </w:p>
        </w:tc>
        <w:tc>
          <w:tcPr>
            <w:tcW w:w="417" w:type="pct"/>
          </w:tcPr>
          <w:p w:rsidR="00CA671C" w:rsidRPr="00CA671C" w:rsidRDefault="00CA671C" w:rsidP="00CA671C">
            <w:pPr>
              <w:jc w:val="right"/>
              <w:rPr>
                <w:sz w:val="22"/>
              </w:rPr>
            </w:pPr>
            <w:r w:rsidRPr="00CA671C">
              <w:rPr>
                <w:sz w:val="22"/>
              </w:rPr>
              <w:t>6.82%</w:t>
            </w:r>
          </w:p>
        </w:tc>
        <w:tc>
          <w:tcPr>
            <w:tcW w:w="250" w:type="pct"/>
          </w:tcPr>
          <w:p w:rsidR="00CA671C" w:rsidRPr="00CA671C" w:rsidRDefault="00CA671C" w:rsidP="00CA671C">
            <w:pPr>
              <w:jc w:val="right"/>
              <w:rPr>
                <w:sz w:val="22"/>
              </w:rPr>
            </w:pPr>
            <w:r w:rsidRPr="00CA671C">
              <w:rPr>
                <w:sz w:val="22"/>
              </w:rPr>
              <w:t>2.08</w:t>
            </w:r>
          </w:p>
        </w:tc>
        <w:tc>
          <w:tcPr>
            <w:tcW w:w="250" w:type="pct"/>
          </w:tcPr>
          <w:p w:rsidR="00CA671C" w:rsidRPr="00CA671C" w:rsidRDefault="00CA671C" w:rsidP="00CA671C">
            <w:pPr>
              <w:jc w:val="right"/>
              <w:rPr>
                <w:sz w:val="22"/>
              </w:rPr>
            </w:pPr>
            <w:r w:rsidRPr="00CA671C">
              <w:rPr>
                <w:sz w:val="22"/>
              </w:rPr>
              <w:t>2.18</w:t>
            </w:r>
          </w:p>
        </w:tc>
        <w:tc>
          <w:tcPr>
            <w:tcW w:w="250" w:type="pct"/>
          </w:tcPr>
          <w:p w:rsidR="00CA671C" w:rsidRPr="00CA671C" w:rsidRDefault="00CA671C" w:rsidP="00CA671C">
            <w:pPr>
              <w:jc w:val="right"/>
              <w:rPr>
                <w:sz w:val="22"/>
              </w:rPr>
            </w:pPr>
            <w:r w:rsidRPr="00CA671C">
              <w:rPr>
                <w:sz w:val="22"/>
              </w:rPr>
              <w:t>2.31</w:t>
            </w:r>
          </w:p>
        </w:tc>
        <w:tc>
          <w:tcPr>
            <w:tcW w:w="250" w:type="pct"/>
          </w:tcPr>
          <w:p w:rsidR="00CA671C" w:rsidRPr="00CA671C" w:rsidRDefault="00CA671C" w:rsidP="00CA671C">
            <w:pPr>
              <w:jc w:val="right"/>
              <w:rPr>
                <w:sz w:val="22"/>
              </w:rPr>
            </w:pPr>
            <w:r w:rsidRPr="00CA671C">
              <w:rPr>
                <w:sz w:val="22"/>
              </w:rPr>
              <w:t>2.45</w:t>
            </w:r>
          </w:p>
        </w:tc>
        <w:tc>
          <w:tcPr>
            <w:tcW w:w="250" w:type="pct"/>
          </w:tcPr>
          <w:p w:rsidR="00CA671C" w:rsidRPr="00CA671C" w:rsidRDefault="00CA671C" w:rsidP="00CA671C">
            <w:pPr>
              <w:jc w:val="right"/>
              <w:rPr>
                <w:sz w:val="22"/>
              </w:rPr>
            </w:pPr>
            <w:r w:rsidRPr="00CA671C">
              <w:rPr>
                <w:sz w:val="22"/>
              </w:rPr>
              <w:t>2.60</w:t>
            </w:r>
          </w:p>
        </w:tc>
        <w:tc>
          <w:tcPr>
            <w:tcW w:w="271" w:type="pct"/>
          </w:tcPr>
          <w:p w:rsidR="00CA671C" w:rsidRPr="00CA671C" w:rsidRDefault="00CA671C" w:rsidP="00CA671C">
            <w:pPr>
              <w:jc w:val="right"/>
              <w:rPr>
                <w:sz w:val="22"/>
              </w:rPr>
            </w:pPr>
            <w:r w:rsidRPr="00CA671C">
              <w:rPr>
                <w:sz w:val="22"/>
              </w:rPr>
              <w:t>5.10</w:t>
            </w:r>
          </w:p>
        </w:tc>
        <w:tc>
          <w:tcPr>
            <w:tcW w:w="295" w:type="pct"/>
          </w:tcPr>
          <w:p w:rsidR="00CA671C" w:rsidRPr="00CA671C" w:rsidRDefault="00CA671C" w:rsidP="00CA671C">
            <w:pPr>
              <w:jc w:val="right"/>
              <w:rPr>
                <w:sz w:val="22"/>
              </w:rPr>
            </w:pPr>
            <w:r w:rsidRPr="00CA671C">
              <w:rPr>
                <w:sz w:val="22"/>
              </w:rPr>
              <w:t>0.09</w:t>
            </w:r>
          </w:p>
        </w:tc>
        <w:tc>
          <w:tcPr>
            <w:tcW w:w="288" w:type="pct"/>
          </w:tcPr>
          <w:p w:rsidR="00CA671C" w:rsidRPr="00CA671C" w:rsidRDefault="00CA671C" w:rsidP="00CA671C">
            <w:pPr>
              <w:jc w:val="right"/>
              <w:rPr>
                <w:sz w:val="22"/>
              </w:rPr>
            </w:pPr>
            <w:r w:rsidRPr="00CA671C">
              <w:rPr>
                <w:sz w:val="22"/>
              </w:rPr>
              <w:t>1.06</w:t>
            </w:r>
          </w:p>
        </w:tc>
        <w:tc>
          <w:tcPr>
            <w:tcW w:w="273" w:type="pct"/>
          </w:tcPr>
          <w:p w:rsidR="00CA671C" w:rsidRPr="00CA671C" w:rsidRDefault="00CA671C" w:rsidP="00CA671C">
            <w:pPr>
              <w:jc w:val="right"/>
              <w:rPr>
                <w:sz w:val="22"/>
              </w:rPr>
            </w:pPr>
            <w:r w:rsidRPr="00CA671C">
              <w:rPr>
                <w:sz w:val="22"/>
              </w:rPr>
              <w:t>1.04</w:t>
            </w:r>
          </w:p>
        </w:tc>
        <w:tc>
          <w:tcPr>
            <w:tcW w:w="489" w:type="pct"/>
          </w:tcPr>
          <w:p w:rsidR="00CA671C" w:rsidRPr="00CA671C" w:rsidRDefault="00CA671C" w:rsidP="00CA671C">
            <w:pPr>
              <w:jc w:val="right"/>
              <w:rPr>
                <w:sz w:val="22"/>
              </w:rPr>
            </w:pPr>
            <w:r w:rsidRPr="00CA671C">
              <w:rPr>
                <w:sz w:val="22"/>
              </w:rPr>
              <w:t>68.10</w:t>
            </w:r>
          </w:p>
        </w:tc>
        <w:tc>
          <w:tcPr>
            <w:tcW w:w="436" w:type="pct"/>
          </w:tcPr>
          <w:p w:rsidR="00CA671C" w:rsidRPr="00CA671C" w:rsidRDefault="00CA671C" w:rsidP="00CA671C">
            <w:pPr>
              <w:jc w:val="right"/>
              <w:rPr>
                <w:sz w:val="22"/>
              </w:rPr>
            </w:pPr>
            <w:r w:rsidRPr="00CA671C">
              <w:rPr>
                <w:sz w:val="22"/>
              </w:rPr>
              <w:t>0.51%</w:t>
            </w:r>
          </w:p>
        </w:tc>
      </w:tr>
      <w:tr w:rsidR="00CA671C" w:rsidRPr="00CA671C" w:rsidTr="00CA671C">
        <w:tc>
          <w:tcPr>
            <w:tcW w:w="1281" w:type="pct"/>
          </w:tcPr>
          <w:p w:rsidR="00CA671C" w:rsidRPr="00CA671C" w:rsidRDefault="00CA671C" w:rsidP="00CA671C">
            <w:pPr>
              <w:rPr>
                <w:sz w:val="22"/>
              </w:rPr>
            </w:pPr>
            <w:r w:rsidRPr="00CA671C">
              <w:rPr>
                <w:sz w:val="22"/>
              </w:rPr>
              <w:t>Spire Inc.</w:t>
            </w:r>
          </w:p>
        </w:tc>
        <w:tc>
          <w:tcPr>
            <w:tcW w:w="417" w:type="pct"/>
          </w:tcPr>
          <w:p w:rsidR="00CA671C" w:rsidRPr="00CA671C" w:rsidRDefault="00CA671C" w:rsidP="00CA671C">
            <w:pPr>
              <w:jc w:val="right"/>
              <w:rPr>
                <w:sz w:val="22"/>
              </w:rPr>
            </w:pPr>
            <w:r w:rsidRPr="00CA671C">
              <w:rPr>
                <w:sz w:val="22"/>
              </w:rPr>
              <w:t>6.82%</w:t>
            </w:r>
          </w:p>
        </w:tc>
        <w:tc>
          <w:tcPr>
            <w:tcW w:w="250" w:type="pct"/>
          </w:tcPr>
          <w:p w:rsidR="00CA671C" w:rsidRPr="00CA671C" w:rsidRDefault="00CA671C" w:rsidP="00CA671C">
            <w:pPr>
              <w:jc w:val="right"/>
              <w:rPr>
                <w:sz w:val="22"/>
              </w:rPr>
            </w:pPr>
            <w:r w:rsidRPr="00CA671C">
              <w:rPr>
                <w:sz w:val="22"/>
              </w:rPr>
              <w:t>2.25</w:t>
            </w:r>
          </w:p>
        </w:tc>
        <w:tc>
          <w:tcPr>
            <w:tcW w:w="250" w:type="pct"/>
          </w:tcPr>
          <w:p w:rsidR="00CA671C" w:rsidRPr="00CA671C" w:rsidRDefault="00CA671C" w:rsidP="00CA671C">
            <w:pPr>
              <w:jc w:val="right"/>
              <w:rPr>
                <w:sz w:val="22"/>
              </w:rPr>
            </w:pPr>
            <w:r w:rsidRPr="00CA671C">
              <w:rPr>
                <w:sz w:val="22"/>
              </w:rPr>
              <w:t>2.40</w:t>
            </w:r>
          </w:p>
        </w:tc>
        <w:tc>
          <w:tcPr>
            <w:tcW w:w="250" w:type="pct"/>
          </w:tcPr>
          <w:p w:rsidR="00CA671C" w:rsidRPr="00CA671C" w:rsidRDefault="00CA671C" w:rsidP="00CA671C">
            <w:pPr>
              <w:jc w:val="right"/>
              <w:rPr>
                <w:sz w:val="22"/>
              </w:rPr>
            </w:pPr>
            <w:r w:rsidRPr="00CA671C">
              <w:rPr>
                <w:sz w:val="22"/>
              </w:rPr>
              <w:t>2.43</w:t>
            </w:r>
          </w:p>
        </w:tc>
        <w:tc>
          <w:tcPr>
            <w:tcW w:w="250" w:type="pct"/>
          </w:tcPr>
          <w:p w:rsidR="00CA671C" w:rsidRPr="00CA671C" w:rsidRDefault="00CA671C" w:rsidP="00CA671C">
            <w:pPr>
              <w:jc w:val="right"/>
              <w:rPr>
                <w:sz w:val="22"/>
              </w:rPr>
            </w:pPr>
            <w:r w:rsidRPr="00CA671C">
              <w:rPr>
                <w:sz w:val="22"/>
              </w:rPr>
              <w:t>2.47</w:t>
            </w:r>
          </w:p>
        </w:tc>
        <w:tc>
          <w:tcPr>
            <w:tcW w:w="250" w:type="pct"/>
          </w:tcPr>
          <w:p w:rsidR="00CA671C" w:rsidRPr="00CA671C" w:rsidRDefault="00CA671C" w:rsidP="00CA671C">
            <w:pPr>
              <w:jc w:val="right"/>
              <w:rPr>
                <w:sz w:val="22"/>
              </w:rPr>
            </w:pPr>
            <w:r w:rsidRPr="00CA671C">
              <w:rPr>
                <w:sz w:val="22"/>
              </w:rPr>
              <w:t>2.50</w:t>
            </w:r>
          </w:p>
        </w:tc>
        <w:tc>
          <w:tcPr>
            <w:tcW w:w="271" w:type="pct"/>
          </w:tcPr>
          <w:p w:rsidR="00CA671C" w:rsidRPr="00CA671C" w:rsidRDefault="00CA671C" w:rsidP="00CA671C">
            <w:pPr>
              <w:jc w:val="right"/>
              <w:rPr>
                <w:sz w:val="22"/>
              </w:rPr>
            </w:pPr>
            <w:r w:rsidRPr="00CA671C">
              <w:rPr>
                <w:sz w:val="22"/>
              </w:rPr>
              <w:t>5.50</w:t>
            </w:r>
          </w:p>
        </w:tc>
        <w:tc>
          <w:tcPr>
            <w:tcW w:w="295" w:type="pct"/>
          </w:tcPr>
          <w:p w:rsidR="00CA671C" w:rsidRPr="00CA671C" w:rsidRDefault="00CA671C" w:rsidP="00CA671C">
            <w:pPr>
              <w:jc w:val="right"/>
              <w:rPr>
                <w:sz w:val="22"/>
              </w:rPr>
            </w:pPr>
            <w:r w:rsidRPr="00CA671C">
              <w:rPr>
                <w:sz w:val="22"/>
              </w:rPr>
              <w:t>0.10</w:t>
            </w:r>
          </w:p>
        </w:tc>
        <w:tc>
          <w:tcPr>
            <w:tcW w:w="288" w:type="pct"/>
          </w:tcPr>
          <w:p w:rsidR="00CA671C" w:rsidRPr="00CA671C" w:rsidRDefault="00CA671C" w:rsidP="00CA671C">
            <w:pPr>
              <w:jc w:val="right"/>
              <w:rPr>
                <w:sz w:val="22"/>
              </w:rPr>
            </w:pPr>
            <w:r w:rsidRPr="00CA671C">
              <w:rPr>
                <w:sz w:val="22"/>
              </w:rPr>
              <w:t>1.01</w:t>
            </w:r>
          </w:p>
        </w:tc>
        <w:tc>
          <w:tcPr>
            <w:tcW w:w="273" w:type="pct"/>
          </w:tcPr>
          <w:p w:rsidR="00CA671C" w:rsidRPr="00CA671C" w:rsidRDefault="00CA671C" w:rsidP="00CA671C">
            <w:pPr>
              <w:jc w:val="right"/>
              <w:rPr>
                <w:sz w:val="22"/>
              </w:rPr>
            </w:pPr>
            <w:r w:rsidRPr="00CA671C">
              <w:rPr>
                <w:sz w:val="22"/>
              </w:rPr>
              <w:t>1.05</w:t>
            </w:r>
          </w:p>
        </w:tc>
        <w:tc>
          <w:tcPr>
            <w:tcW w:w="489" w:type="pct"/>
          </w:tcPr>
          <w:p w:rsidR="00CA671C" w:rsidRPr="00CA671C" w:rsidRDefault="00CA671C" w:rsidP="00CA671C">
            <w:pPr>
              <w:jc w:val="right"/>
              <w:rPr>
                <w:sz w:val="22"/>
              </w:rPr>
            </w:pPr>
            <w:r w:rsidRPr="00CA671C">
              <w:rPr>
                <w:sz w:val="22"/>
              </w:rPr>
              <w:t>69.14</w:t>
            </w:r>
          </w:p>
        </w:tc>
        <w:tc>
          <w:tcPr>
            <w:tcW w:w="436" w:type="pct"/>
          </w:tcPr>
          <w:p w:rsidR="00CA671C" w:rsidRPr="00CA671C" w:rsidRDefault="00CA671C" w:rsidP="00CA671C">
            <w:pPr>
              <w:jc w:val="right"/>
              <w:rPr>
                <w:sz w:val="22"/>
              </w:rPr>
            </w:pPr>
            <w:r w:rsidRPr="00CA671C">
              <w:rPr>
                <w:sz w:val="22"/>
              </w:rPr>
              <w:t>0.56%</w:t>
            </w:r>
          </w:p>
        </w:tc>
      </w:tr>
      <w:tr w:rsidR="00CA671C" w:rsidRPr="00CA671C" w:rsidTr="00CA671C">
        <w:tc>
          <w:tcPr>
            <w:tcW w:w="1281" w:type="pct"/>
          </w:tcPr>
          <w:p w:rsidR="00CA671C" w:rsidRPr="00CA671C" w:rsidRDefault="00CA671C" w:rsidP="00CA671C">
            <w:pPr>
              <w:rPr>
                <w:sz w:val="22"/>
              </w:rPr>
            </w:pPr>
            <w:r w:rsidRPr="00CA671C">
              <w:rPr>
                <w:sz w:val="22"/>
              </w:rPr>
              <w:t>American States Water</w:t>
            </w:r>
          </w:p>
        </w:tc>
        <w:tc>
          <w:tcPr>
            <w:tcW w:w="417" w:type="pct"/>
          </w:tcPr>
          <w:p w:rsidR="00CA671C" w:rsidRPr="00CA671C" w:rsidRDefault="00CA671C" w:rsidP="00CA671C">
            <w:pPr>
              <w:jc w:val="right"/>
              <w:rPr>
                <w:sz w:val="22"/>
              </w:rPr>
            </w:pPr>
            <w:r w:rsidRPr="00CA671C">
              <w:rPr>
                <w:sz w:val="22"/>
              </w:rPr>
              <w:t>4.05%</w:t>
            </w:r>
          </w:p>
        </w:tc>
        <w:tc>
          <w:tcPr>
            <w:tcW w:w="250" w:type="pct"/>
          </w:tcPr>
          <w:p w:rsidR="00CA671C" w:rsidRPr="00CA671C" w:rsidRDefault="00CA671C" w:rsidP="00CA671C">
            <w:pPr>
              <w:jc w:val="right"/>
              <w:rPr>
                <w:sz w:val="22"/>
              </w:rPr>
            </w:pPr>
            <w:r w:rsidRPr="00CA671C">
              <w:rPr>
                <w:sz w:val="22"/>
              </w:rPr>
              <w:t>1.07</w:t>
            </w:r>
          </w:p>
        </w:tc>
        <w:tc>
          <w:tcPr>
            <w:tcW w:w="250" w:type="pct"/>
          </w:tcPr>
          <w:p w:rsidR="00CA671C" w:rsidRPr="00CA671C" w:rsidRDefault="00CA671C" w:rsidP="00CA671C">
            <w:pPr>
              <w:jc w:val="right"/>
              <w:rPr>
                <w:sz w:val="22"/>
              </w:rPr>
            </w:pPr>
            <w:r w:rsidRPr="00CA671C">
              <w:rPr>
                <w:sz w:val="22"/>
              </w:rPr>
              <w:t>1.15</w:t>
            </w:r>
          </w:p>
        </w:tc>
        <w:tc>
          <w:tcPr>
            <w:tcW w:w="250" w:type="pct"/>
          </w:tcPr>
          <w:p w:rsidR="00CA671C" w:rsidRPr="00CA671C" w:rsidRDefault="00CA671C" w:rsidP="00CA671C">
            <w:pPr>
              <w:jc w:val="right"/>
              <w:rPr>
                <w:sz w:val="22"/>
              </w:rPr>
            </w:pPr>
            <w:r w:rsidRPr="00CA671C">
              <w:rPr>
                <w:sz w:val="22"/>
              </w:rPr>
              <w:t>1.24</w:t>
            </w:r>
          </w:p>
        </w:tc>
        <w:tc>
          <w:tcPr>
            <w:tcW w:w="250" w:type="pct"/>
          </w:tcPr>
          <w:p w:rsidR="00CA671C" w:rsidRPr="00CA671C" w:rsidRDefault="00CA671C" w:rsidP="00CA671C">
            <w:pPr>
              <w:jc w:val="right"/>
              <w:rPr>
                <w:sz w:val="22"/>
              </w:rPr>
            </w:pPr>
            <w:r w:rsidRPr="00CA671C">
              <w:rPr>
                <w:sz w:val="22"/>
              </w:rPr>
              <w:t>1.34</w:t>
            </w:r>
          </w:p>
        </w:tc>
        <w:tc>
          <w:tcPr>
            <w:tcW w:w="250" w:type="pct"/>
          </w:tcPr>
          <w:p w:rsidR="00CA671C" w:rsidRPr="00CA671C" w:rsidRDefault="00CA671C" w:rsidP="00CA671C">
            <w:pPr>
              <w:jc w:val="right"/>
              <w:rPr>
                <w:sz w:val="22"/>
              </w:rPr>
            </w:pPr>
            <w:r w:rsidRPr="00CA671C">
              <w:rPr>
                <w:sz w:val="22"/>
              </w:rPr>
              <w:t>1.45</w:t>
            </w:r>
          </w:p>
        </w:tc>
        <w:tc>
          <w:tcPr>
            <w:tcW w:w="271" w:type="pct"/>
          </w:tcPr>
          <w:p w:rsidR="00CA671C" w:rsidRPr="00CA671C" w:rsidRDefault="00CA671C" w:rsidP="00CA671C">
            <w:pPr>
              <w:jc w:val="right"/>
              <w:rPr>
                <w:sz w:val="22"/>
              </w:rPr>
            </w:pPr>
            <w:r w:rsidRPr="00CA671C">
              <w:rPr>
                <w:sz w:val="22"/>
              </w:rPr>
              <w:t>2.45</w:t>
            </w:r>
          </w:p>
        </w:tc>
        <w:tc>
          <w:tcPr>
            <w:tcW w:w="295" w:type="pct"/>
          </w:tcPr>
          <w:p w:rsidR="00CA671C" w:rsidRPr="00CA671C" w:rsidRDefault="00CA671C" w:rsidP="00CA671C">
            <w:pPr>
              <w:jc w:val="right"/>
              <w:rPr>
                <w:sz w:val="22"/>
              </w:rPr>
            </w:pPr>
            <w:r w:rsidRPr="00CA671C">
              <w:rPr>
                <w:sz w:val="22"/>
              </w:rPr>
              <w:t>0.14</w:t>
            </w:r>
          </w:p>
        </w:tc>
        <w:tc>
          <w:tcPr>
            <w:tcW w:w="288" w:type="pct"/>
          </w:tcPr>
          <w:p w:rsidR="00CA671C" w:rsidRPr="00CA671C" w:rsidRDefault="00CA671C" w:rsidP="00CA671C">
            <w:pPr>
              <w:jc w:val="right"/>
              <w:rPr>
                <w:sz w:val="22"/>
              </w:rPr>
            </w:pPr>
            <w:r w:rsidRPr="00CA671C">
              <w:rPr>
                <w:sz w:val="22"/>
              </w:rPr>
              <w:t>1.08</w:t>
            </w:r>
          </w:p>
        </w:tc>
        <w:tc>
          <w:tcPr>
            <w:tcW w:w="273" w:type="pct"/>
          </w:tcPr>
          <w:p w:rsidR="00CA671C" w:rsidRPr="00CA671C" w:rsidRDefault="00CA671C" w:rsidP="00CA671C">
            <w:pPr>
              <w:jc w:val="right"/>
              <w:rPr>
                <w:sz w:val="22"/>
              </w:rPr>
            </w:pPr>
            <w:r w:rsidRPr="00CA671C">
              <w:rPr>
                <w:sz w:val="22"/>
              </w:rPr>
              <w:t>1.06</w:t>
            </w:r>
          </w:p>
        </w:tc>
        <w:tc>
          <w:tcPr>
            <w:tcW w:w="489" w:type="pct"/>
          </w:tcPr>
          <w:p w:rsidR="00CA671C" w:rsidRPr="00CA671C" w:rsidRDefault="00CA671C" w:rsidP="00CA671C">
            <w:pPr>
              <w:jc w:val="right"/>
              <w:rPr>
                <w:sz w:val="22"/>
              </w:rPr>
            </w:pPr>
            <w:r w:rsidRPr="00CA671C">
              <w:rPr>
                <w:sz w:val="22"/>
              </w:rPr>
              <w:t>52.42</w:t>
            </w:r>
          </w:p>
        </w:tc>
        <w:tc>
          <w:tcPr>
            <w:tcW w:w="436" w:type="pct"/>
          </w:tcPr>
          <w:p w:rsidR="00CA671C" w:rsidRPr="00CA671C" w:rsidRDefault="00CA671C" w:rsidP="00CA671C">
            <w:pPr>
              <w:jc w:val="right"/>
              <w:rPr>
                <w:sz w:val="22"/>
              </w:rPr>
            </w:pPr>
            <w:r w:rsidRPr="00CA671C">
              <w:rPr>
                <w:sz w:val="22"/>
              </w:rPr>
              <w:t>0.32%</w:t>
            </w:r>
          </w:p>
        </w:tc>
      </w:tr>
      <w:tr w:rsidR="00CA671C" w:rsidRPr="00CA671C" w:rsidTr="00CA671C">
        <w:tc>
          <w:tcPr>
            <w:tcW w:w="1281" w:type="pct"/>
          </w:tcPr>
          <w:p w:rsidR="00CA671C" w:rsidRPr="00CA671C" w:rsidRDefault="00CA671C" w:rsidP="00CA671C">
            <w:pPr>
              <w:rPr>
                <w:sz w:val="22"/>
              </w:rPr>
            </w:pPr>
            <w:r w:rsidRPr="00CA671C">
              <w:rPr>
                <w:sz w:val="22"/>
              </w:rPr>
              <w:t>American Water Works</w:t>
            </w:r>
          </w:p>
        </w:tc>
        <w:tc>
          <w:tcPr>
            <w:tcW w:w="417" w:type="pct"/>
          </w:tcPr>
          <w:p w:rsidR="00CA671C" w:rsidRPr="00CA671C" w:rsidRDefault="00CA671C" w:rsidP="00CA671C">
            <w:pPr>
              <w:jc w:val="right"/>
              <w:rPr>
                <w:sz w:val="22"/>
              </w:rPr>
            </w:pPr>
            <w:r w:rsidRPr="00CA671C">
              <w:rPr>
                <w:sz w:val="22"/>
              </w:rPr>
              <w:t>30.92%</w:t>
            </w:r>
          </w:p>
        </w:tc>
        <w:tc>
          <w:tcPr>
            <w:tcW w:w="250" w:type="pct"/>
          </w:tcPr>
          <w:p w:rsidR="00CA671C" w:rsidRPr="00CA671C" w:rsidRDefault="00CA671C" w:rsidP="00CA671C">
            <w:pPr>
              <w:jc w:val="right"/>
              <w:rPr>
                <w:sz w:val="22"/>
              </w:rPr>
            </w:pPr>
            <w:r w:rsidRPr="00CA671C">
              <w:rPr>
                <w:sz w:val="22"/>
              </w:rPr>
              <w:t>1.78</w:t>
            </w:r>
          </w:p>
        </w:tc>
        <w:tc>
          <w:tcPr>
            <w:tcW w:w="250" w:type="pct"/>
          </w:tcPr>
          <w:p w:rsidR="00CA671C" w:rsidRPr="00CA671C" w:rsidRDefault="00CA671C" w:rsidP="00CA671C">
            <w:pPr>
              <w:jc w:val="right"/>
              <w:rPr>
                <w:sz w:val="22"/>
              </w:rPr>
            </w:pPr>
            <w:r w:rsidRPr="00CA671C">
              <w:rPr>
                <w:sz w:val="22"/>
              </w:rPr>
              <w:t>1.95</w:t>
            </w:r>
          </w:p>
        </w:tc>
        <w:tc>
          <w:tcPr>
            <w:tcW w:w="250" w:type="pct"/>
          </w:tcPr>
          <w:p w:rsidR="00CA671C" w:rsidRPr="00CA671C" w:rsidRDefault="00CA671C" w:rsidP="00CA671C">
            <w:pPr>
              <w:jc w:val="right"/>
              <w:rPr>
                <w:sz w:val="22"/>
              </w:rPr>
            </w:pPr>
            <w:r w:rsidRPr="00CA671C">
              <w:rPr>
                <w:sz w:val="22"/>
              </w:rPr>
              <w:t>2.15</w:t>
            </w:r>
          </w:p>
        </w:tc>
        <w:tc>
          <w:tcPr>
            <w:tcW w:w="250" w:type="pct"/>
          </w:tcPr>
          <w:p w:rsidR="00CA671C" w:rsidRPr="00CA671C" w:rsidRDefault="00CA671C" w:rsidP="00CA671C">
            <w:pPr>
              <w:jc w:val="right"/>
              <w:rPr>
                <w:sz w:val="22"/>
              </w:rPr>
            </w:pPr>
            <w:r w:rsidRPr="00CA671C">
              <w:rPr>
                <w:sz w:val="22"/>
              </w:rPr>
              <w:t>2.36</w:t>
            </w:r>
          </w:p>
        </w:tc>
        <w:tc>
          <w:tcPr>
            <w:tcW w:w="250" w:type="pct"/>
          </w:tcPr>
          <w:p w:rsidR="00CA671C" w:rsidRPr="00CA671C" w:rsidRDefault="00CA671C" w:rsidP="00CA671C">
            <w:pPr>
              <w:jc w:val="right"/>
              <w:rPr>
                <w:sz w:val="22"/>
              </w:rPr>
            </w:pPr>
            <w:r w:rsidRPr="00CA671C">
              <w:rPr>
                <w:sz w:val="22"/>
              </w:rPr>
              <w:t>2.60</w:t>
            </w:r>
          </w:p>
        </w:tc>
        <w:tc>
          <w:tcPr>
            <w:tcW w:w="271" w:type="pct"/>
          </w:tcPr>
          <w:p w:rsidR="00CA671C" w:rsidRPr="00CA671C" w:rsidRDefault="00CA671C" w:rsidP="00CA671C">
            <w:pPr>
              <w:jc w:val="right"/>
              <w:rPr>
                <w:sz w:val="22"/>
              </w:rPr>
            </w:pPr>
            <w:r w:rsidRPr="00CA671C">
              <w:rPr>
                <w:sz w:val="22"/>
              </w:rPr>
              <w:t>4.50</w:t>
            </w:r>
          </w:p>
        </w:tc>
        <w:tc>
          <w:tcPr>
            <w:tcW w:w="295" w:type="pct"/>
          </w:tcPr>
          <w:p w:rsidR="00CA671C" w:rsidRPr="00CA671C" w:rsidRDefault="00CA671C" w:rsidP="00CA671C">
            <w:pPr>
              <w:jc w:val="right"/>
              <w:rPr>
                <w:sz w:val="22"/>
              </w:rPr>
            </w:pPr>
            <w:r w:rsidRPr="00CA671C">
              <w:rPr>
                <w:sz w:val="22"/>
              </w:rPr>
              <w:t>0.11</w:t>
            </w:r>
          </w:p>
        </w:tc>
        <w:tc>
          <w:tcPr>
            <w:tcW w:w="288" w:type="pct"/>
          </w:tcPr>
          <w:p w:rsidR="00CA671C" w:rsidRPr="00CA671C" w:rsidRDefault="00CA671C" w:rsidP="00CA671C">
            <w:pPr>
              <w:jc w:val="right"/>
              <w:rPr>
                <w:sz w:val="22"/>
              </w:rPr>
            </w:pPr>
            <w:r w:rsidRPr="00CA671C">
              <w:rPr>
                <w:sz w:val="22"/>
              </w:rPr>
              <w:t>1.10</w:t>
            </w:r>
          </w:p>
        </w:tc>
        <w:tc>
          <w:tcPr>
            <w:tcW w:w="273" w:type="pct"/>
          </w:tcPr>
          <w:p w:rsidR="00CA671C" w:rsidRPr="00CA671C" w:rsidRDefault="00CA671C" w:rsidP="00CA671C">
            <w:pPr>
              <w:jc w:val="right"/>
              <w:rPr>
                <w:sz w:val="22"/>
              </w:rPr>
            </w:pPr>
            <w:r w:rsidRPr="00CA671C">
              <w:rPr>
                <w:sz w:val="22"/>
              </w:rPr>
              <w:t>1.04</w:t>
            </w:r>
          </w:p>
        </w:tc>
        <w:tc>
          <w:tcPr>
            <w:tcW w:w="489" w:type="pct"/>
          </w:tcPr>
          <w:p w:rsidR="00CA671C" w:rsidRPr="00CA671C" w:rsidRDefault="00CA671C" w:rsidP="00CA671C">
            <w:pPr>
              <w:jc w:val="right"/>
              <w:rPr>
                <w:sz w:val="22"/>
              </w:rPr>
            </w:pPr>
            <w:r w:rsidRPr="00CA671C">
              <w:rPr>
                <w:sz w:val="22"/>
              </w:rPr>
              <w:t>80.35</w:t>
            </w:r>
          </w:p>
        </w:tc>
        <w:tc>
          <w:tcPr>
            <w:tcW w:w="436" w:type="pct"/>
          </w:tcPr>
          <w:p w:rsidR="00CA671C" w:rsidRPr="00CA671C" w:rsidRDefault="00CA671C" w:rsidP="00CA671C">
            <w:pPr>
              <w:jc w:val="right"/>
              <w:rPr>
                <w:sz w:val="22"/>
              </w:rPr>
            </w:pPr>
            <w:r w:rsidRPr="00CA671C">
              <w:rPr>
                <w:sz w:val="22"/>
              </w:rPr>
              <w:t>2.22%</w:t>
            </w:r>
          </w:p>
        </w:tc>
      </w:tr>
      <w:tr w:rsidR="00CA671C" w:rsidRPr="00CA671C" w:rsidTr="00CA671C">
        <w:tc>
          <w:tcPr>
            <w:tcW w:w="1281" w:type="pct"/>
          </w:tcPr>
          <w:p w:rsidR="00CA671C" w:rsidRPr="00CA671C" w:rsidRDefault="00CA671C" w:rsidP="00CA671C">
            <w:pPr>
              <w:rPr>
                <w:sz w:val="22"/>
              </w:rPr>
            </w:pPr>
            <w:r w:rsidRPr="00CA671C">
              <w:rPr>
                <w:sz w:val="22"/>
              </w:rPr>
              <w:t>Aqua America</w:t>
            </w:r>
          </w:p>
        </w:tc>
        <w:tc>
          <w:tcPr>
            <w:tcW w:w="417" w:type="pct"/>
          </w:tcPr>
          <w:p w:rsidR="00CA671C" w:rsidRPr="00CA671C" w:rsidRDefault="00CA671C" w:rsidP="00CA671C">
            <w:pPr>
              <w:jc w:val="right"/>
              <w:rPr>
                <w:sz w:val="22"/>
              </w:rPr>
            </w:pPr>
            <w:r w:rsidRPr="00CA671C">
              <w:rPr>
                <w:sz w:val="22"/>
              </w:rPr>
              <w:t>12.79%</w:t>
            </w:r>
          </w:p>
        </w:tc>
        <w:tc>
          <w:tcPr>
            <w:tcW w:w="250" w:type="pct"/>
          </w:tcPr>
          <w:p w:rsidR="00CA671C" w:rsidRPr="00CA671C" w:rsidRDefault="00CA671C" w:rsidP="00CA671C">
            <w:pPr>
              <w:jc w:val="right"/>
              <w:rPr>
                <w:sz w:val="22"/>
              </w:rPr>
            </w:pPr>
            <w:r w:rsidRPr="00CA671C">
              <w:rPr>
                <w:sz w:val="22"/>
              </w:rPr>
              <w:t>0.85</w:t>
            </w:r>
          </w:p>
        </w:tc>
        <w:tc>
          <w:tcPr>
            <w:tcW w:w="250" w:type="pct"/>
          </w:tcPr>
          <w:p w:rsidR="00CA671C" w:rsidRPr="00CA671C" w:rsidRDefault="00CA671C" w:rsidP="00CA671C">
            <w:pPr>
              <w:jc w:val="right"/>
              <w:rPr>
                <w:sz w:val="22"/>
              </w:rPr>
            </w:pPr>
            <w:r w:rsidRPr="00CA671C">
              <w:rPr>
                <w:sz w:val="22"/>
              </w:rPr>
              <w:t>0.91</w:t>
            </w:r>
          </w:p>
        </w:tc>
        <w:tc>
          <w:tcPr>
            <w:tcW w:w="250" w:type="pct"/>
          </w:tcPr>
          <w:p w:rsidR="00CA671C" w:rsidRPr="00CA671C" w:rsidRDefault="00CA671C" w:rsidP="00CA671C">
            <w:pPr>
              <w:jc w:val="right"/>
              <w:rPr>
                <w:sz w:val="22"/>
              </w:rPr>
            </w:pPr>
            <w:r w:rsidRPr="00CA671C">
              <w:rPr>
                <w:sz w:val="22"/>
              </w:rPr>
              <w:t>1.01</w:t>
            </w:r>
          </w:p>
        </w:tc>
        <w:tc>
          <w:tcPr>
            <w:tcW w:w="250" w:type="pct"/>
          </w:tcPr>
          <w:p w:rsidR="00CA671C" w:rsidRPr="00CA671C" w:rsidRDefault="00CA671C" w:rsidP="00CA671C">
            <w:pPr>
              <w:jc w:val="right"/>
              <w:rPr>
                <w:sz w:val="22"/>
              </w:rPr>
            </w:pPr>
            <w:r w:rsidRPr="00CA671C">
              <w:rPr>
                <w:sz w:val="22"/>
              </w:rPr>
              <w:t>1.12</w:t>
            </w:r>
          </w:p>
        </w:tc>
        <w:tc>
          <w:tcPr>
            <w:tcW w:w="250" w:type="pct"/>
          </w:tcPr>
          <w:p w:rsidR="00CA671C" w:rsidRPr="00CA671C" w:rsidRDefault="00CA671C" w:rsidP="00CA671C">
            <w:pPr>
              <w:jc w:val="right"/>
              <w:rPr>
                <w:sz w:val="22"/>
              </w:rPr>
            </w:pPr>
            <w:r w:rsidRPr="00CA671C">
              <w:rPr>
                <w:sz w:val="22"/>
              </w:rPr>
              <w:t>1.25</w:t>
            </w:r>
          </w:p>
        </w:tc>
        <w:tc>
          <w:tcPr>
            <w:tcW w:w="271" w:type="pct"/>
          </w:tcPr>
          <w:p w:rsidR="00CA671C" w:rsidRPr="00CA671C" w:rsidRDefault="00CA671C" w:rsidP="00CA671C">
            <w:pPr>
              <w:jc w:val="right"/>
              <w:rPr>
                <w:sz w:val="22"/>
              </w:rPr>
            </w:pPr>
            <w:r w:rsidRPr="00CA671C">
              <w:rPr>
                <w:sz w:val="22"/>
              </w:rPr>
              <w:t>1.95</w:t>
            </w:r>
          </w:p>
        </w:tc>
        <w:tc>
          <w:tcPr>
            <w:tcW w:w="295" w:type="pct"/>
          </w:tcPr>
          <w:p w:rsidR="00CA671C" w:rsidRPr="00CA671C" w:rsidRDefault="00CA671C" w:rsidP="00CA671C">
            <w:pPr>
              <w:jc w:val="right"/>
              <w:rPr>
                <w:sz w:val="22"/>
              </w:rPr>
            </w:pPr>
            <w:r w:rsidRPr="00CA671C">
              <w:rPr>
                <w:sz w:val="22"/>
              </w:rPr>
              <w:t>0.13</w:t>
            </w:r>
          </w:p>
        </w:tc>
        <w:tc>
          <w:tcPr>
            <w:tcW w:w="288" w:type="pct"/>
          </w:tcPr>
          <w:p w:rsidR="00CA671C" w:rsidRPr="00CA671C" w:rsidRDefault="00CA671C" w:rsidP="00CA671C">
            <w:pPr>
              <w:jc w:val="right"/>
              <w:rPr>
                <w:sz w:val="22"/>
              </w:rPr>
            </w:pPr>
            <w:r w:rsidRPr="00CA671C">
              <w:rPr>
                <w:sz w:val="22"/>
              </w:rPr>
              <w:t>1.11</w:t>
            </w:r>
          </w:p>
        </w:tc>
        <w:tc>
          <w:tcPr>
            <w:tcW w:w="273" w:type="pct"/>
          </w:tcPr>
          <w:p w:rsidR="00CA671C" w:rsidRPr="00CA671C" w:rsidRDefault="00CA671C" w:rsidP="00CA671C">
            <w:pPr>
              <w:jc w:val="right"/>
              <w:rPr>
                <w:sz w:val="22"/>
              </w:rPr>
            </w:pPr>
            <w:r w:rsidRPr="00CA671C">
              <w:rPr>
                <w:sz w:val="22"/>
              </w:rPr>
              <w:t>1.04</w:t>
            </w:r>
          </w:p>
        </w:tc>
        <w:tc>
          <w:tcPr>
            <w:tcW w:w="489" w:type="pct"/>
          </w:tcPr>
          <w:p w:rsidR="00CA671C" w:rsidRPr="00CA671C" w:rsidRDefault="00CA671C" w:rsidP="00CA671C">
            <w:pPr>
              <w:jc w:val="right"/>
              <w:rPr>
                <w:sz w:val="22"/>
              </w:rPr>
            </w:pPr>
            <w:r w:rsidRPr="00CA671C">
              <w:rPr>
                <w:sz w:val="22"/>
              </w:rPr>
              <w:t>32.91</w:t>
            </w:r>
          </w:p>
        </w:tc>
        <w:tc>
          <w:tcPr>
            <w:tcW w:w="436" w:type="pct"/>
          </w:tcPr>
          <w:p w:rsidR="00CA671C" w:rsidRPr="00CA671C" w:rsidRDefault="00CA671C" w:rsidP="00CA671C">
            <w:pPr>
              <w:jc w:val="right"/>
              <w:rPr>
                <w:sz w:val="22"/>
              </w:rPr>
            </w:pPr>
            <w:r w:rsidRPr="00CA671C">
              <w:rPr>
                <w:sz w:val="22"/>
              </w:rPr>
              <w:t>0.98%</w:t>
            </w:r>
          </w:p>
        </w:tc>
      </w:tr>
      <w:tr w:rsidR="00CA671C" w:rsidRPr="00CA671C" w:rsidTr="00CA671C">
        <w:tc>
          <w:tcPr>
            <w:tcW w:w="1281" w:type="pct"/>
          </w:tcPr>
          <w:p w:rsidR="00CA671C" w:rsidRPr="00CA671C" w:rsidRDefault="00CA671C" w:rsidP="00CA671C">
            <w:pPr>
              <w:rPr>
                <w:sz w:val="22"/>
              </w:rPr>
            </w:pPr>
            <w:r w:rsidRPr="00CA671C">
              <w:rPr>
                <w:sz w:val="22"/>
              </w:rPr>
              <w:t>California Water Service Group</w:t>
            </w:r>
          </w:p>
        </w:tc>
        <w:tc>
          <w:tcPr>
            <w:tcW w:w="417" w:type="pct"/>
          </w:tcPr>
          <w:p w:rsidR="00CA671C" w:rsidRPr="00CA671C" w:rsidRDefault="00CA671C" w:rsidP="00CA671C">
            <w:pPr>
              <w:jc w:val="right"/>
              <w:rPr>
                <w:sz w:val="22"/>
              </w:rPr>
            </w:pPr>
            <w:r w:rsidRPr="00CA671C">
              <w:rPr>
                <w:sz w:val="22"/>
              </w:rPr>
              <w:t>3.84%</w:t>
            </w:r>
          </w:p>
        </w:tc>
        <w:tc>
          <w:tcPr>
            <w:tcW w:w="250" w:type="pct"/>
          </w:tcPr>
          <w:p w:rsidR="00CA671C" w:rsidRPr="00CA671C" w:rsidRDefault="00CA671C" w:rsidP="00CA671C">
            <w:pPr>
              <w:jc w:val="right"/>
              <w:rPr>
                <w:sz w:val="22"/>
              </w:rPr>
            </w:pPr>
            <w:r w:rsidRPr="00CA671C">
              <w:rPr>
                <w:sz w:val="22"/>
              </w:rPr>
              <w:t>0.75</w:t>
            </w:r>
          </w:p>
        </w:tc>
        <w:tc>
          <w:tcPr>
            <w:tcW w:w="250" w:type="pct"/>
          </w:tcPr>
          <w:p w:rsidR="00CA671C" w:rsidRPr="00CA671C" w:rsidRDefault="00CA671C" w:rsidP="00CA671C">
            <w:pPr>
              <w:jc w:val="right"/>
              <w:rPr>
                <w:sz w:val="22"/>
              </w:rPr>
            </w:pPr>
            <w:r w:rsidRPr="00CA671C">
              <w:rPr>
                <w:sz w:val="22"/>
              </w:rPr>
              <w:t>0.78</w:t>
            </w:r>
          </w:p>
        </w:tc>
        <w:tc>
          <w:tcPr>
            <w:tcW w:w="250" w:type="pct"/>
          </w:tcPr>
          <w:p w:rsidR="00CA671C" w:rsidRPr="00CA671C" w:rsidRDefault="00CA671C" w:rsidP="00CA671C">
            <w:pPr>
              <w:jc w:val="right"/>
              <w:rPr>
                <w:sz w:val="22"/>
              </w:rPr>
            </w:pPr>
            <w:r w:rsidRPr="00CA671C">
              <w:rPr>
                <w:sz w:val="22"/>
              </w:rPr>
              <w:t>0.85</w:t>
            </w:r>
          </w:p>
        </w:tc>
        <w:tc>
          <w:tcPr>
            <w:tcW w:w="250" w:type="pct"/>
          </w:tcPr>
          <w:p w:rsidR="00CA671C" w:rsidRPr="00CA671C" w:rsidRDefault="00CA671C" w:rsidP="00CA671C">
            <w:pPr>
              <w:jc w:val="right"/>
              <w:rPr>
                <w:sz w:val="22"/>
              </w:rPr>
            </w:pPr>
            <w:r w:rsidRPr="00CA671C">
              <w:rPr>
                <w:sz w:val="22"/>
              </w:rPr>
              <w:t>0.93</w:t>
            </w:r>
          </w:p>
        </w:tc>
        <w:tc>
          <w:tcPr>
            <w:tcW w:w="250" w:type="pct"/>
          </w:tcPr>
          <w:p w:rsidR="00CA671C" w:rsidRPr="00CA671C" w:rsidRDefault="00CA671C" w:rsidP="00CA671C">
            <w:pPr>
              <w:jc w:val="right"/>
              <w:rPr>
                <w:sz w:val="22"/>
              </w:rPr>
            </w:pPr>
            <w:r w:rsidRPr="00CA671C">
              <w:rPr>
                <w:sz w:val="22"/>
              </w:rPr>
              <w:t>1.02</w:t>
            </w:r>
          </w:p>
        </w:tc>
        <w:tc>
          <w:tcPr>
            <w:tcW w:w="271" w:type="pct"/>
          </w:tcPr>
          <w:p w:rsidR="00CA671C" w:rsidRPr="00CA671C" w:rsidRDefault="00CA671C" w:rsidP="00CA671C">
            <w:pPr>
              <w:jc w:val="right"/>
              <w:rPr>
                <w:sz w:val="22"/>
              </w:rPr>
            </w:pPr>
            <w:r w:rsidRPr="00CA671C">
              <w:rPr>
                <w:sz w:val="22"/>
              </w:rPr>
              <w:t>1.90</w:t>
            </w:r>
          </w:p>
        </w:tc>
        <w:tc>
          <w:tcPr>
            <w:tcW w:w="295" w:type="pct"/>
          </w:tcPr>
          <w:p w:rsidR="00CA671C" w:rsidRPr="00CA671C" w:rsidRDefault="00CA671C" w:rsidP="00CA671C">
            <w:pPr>
              <w:jc w:val="right"/>
              <w:rPr>
                <w:sz w:val="22"/>
              </w:rPr>
            </w:pPr>
            <w:r w:rsidRPr="00CA671C">
              <w:rPr>
                <w:sz w:val="22"/>
              </w:rPr>
              <w:t>0.12</w:t>
            </w:r>
          </w:p>
        </w:tc>
        <w:tc>
          <w:tcPr>
            <w:tcW w:w="288" w:type="pct"/>
          </w:tcPr>
          <w:p w:rsidR="00CA671C" w:rsidRPr="00CA671C" w:rsidRDefault="00CA671C" w:rsidP="00CA671C">
            <w:pPr>
              <w:jc w:val="right"/>
              <w:rPr>
                <w:sz w:val="22"/>
              </w:rPr>
            </w:pPr>
            <w:r w:rsidRPr="00CA671C">
              <w:rPr>
                <w:sz w:val="22"/>
              </w:rPr>
              <w:t>1.09</w:t>
            </w:r>
          </w:p>
        </w:tc>
        <w:tc>
          <w:tcPr>
            <w:tcW w:w="273" w:type="pct"/>
          </w:tcPr>
          <w:p w:rsidR="00CA671C" w:rsidRPr="00CA671C" w:rsidRDefault="00CA671C" w:rsidP="00CA671C">
            <w:pPr>
              <w:jc w:val="right"/>
              <w:rPr>
                <w:sz w:val="22"/>
              </w:rPr>
            </w:pPr>
            <w:r w:rsidRPr="00CA671C">
              <w:rPr>
                <w:sz w:val="22"/>
              </w:rPr>
              <w:t>1.05</w:t>
            </w:r>
          </w:p>
        </w:tc>
        <w:tc>
          <w:tcPr>
            <w:tcW w:w="489" w:type="pct"/>
          </w:tcPr>
          <w:p w:rsidR="00CA671C" w:rsidRPr="00CA671C" w:rsidRDefault="00CA671C" w:rsidP="00CA671C">
            <w:pPr>
              <w:jc w:val="right"/>
              <w:rPr>
                <w:sz w:val="22"/>
              </w:rPr>
            </w:pPr>
            <w:r w:rsidRPr="00CA671C">
              <w:rPr>
                <w:sz w:val="22"/>
              </w:rPr>
              <w:t>36.43</w:t>
            </w:r>
          </w:p>
        </w:tc>
        <w:tc>
          <w:tcPr>
            <w:tcW w:w="436" w:type="pct"/>
          </w:tcPr>
          <w:p w:rsidR="00CA671C" w:rsidRPr="00CA671C" w:rsidRDefault="00CA671C" w:rsidP="00CA671C">
            <w:pPr>
              <w:jc w:val="right"/>
              <w:rPr>
                <w:sz w:val="22"/>
              </w:rPr>
            </w:pPr>
            <w:r w:rsidRPr="00CA671C">
              <w:rPr>
                <w:sz w:val="22"/>
              </w:rPr>
              <w:t>0.29%</w:t>
            </w:r>
          </w:p>
        </w:tc>
      </w:tr>
      <w:tr w:rsidR="00CA671C" w:rsidRPr="00CA671C" w:rsidTr="00CA671C">
        <w:tc>
          <w:tcPr>
            <w:tcW w:w="1281" w:type="pct"/>
          </w:tcPr>
          <w:p w:rsidR="00CA671C" w:rsidRPr="00CA671C" w:rsidRDefault="00CA671C" w:rsidP="00CA671C">
            <w:pPr>
              <w:rPr>
                <w:sz w:val="22"/>
              </w:rPr>
            </w:pPr>
            <w:r w:rsidRPr="00CA671C">
              <w:rPr>
                <w:sz w:val="22"/>
              </w:rPr>
              <w:t>Middlesex Water</w:t>
            </w:r>
          </w:p>
        </w:tc>
        <w:tc>
          <w:tcPr>
            <w:tcW w:w="417" w:type="pct"/>
          </w:tcPr>
          <w:p w:rsidR="00CA671C" w:rsidRPr="00CA671C" w:rsidRDefault="00CA671C" w:rsidP="00CA671C">
            <w:pPr>
              <w:jc w:val="right"/>
              <w:rPr>
                <w:sz w:val="22"/>
              </w:rPr>
            </w:pPr>
            <w:r w:rsidRPr="00CA671C">
              <w:rPr>
                <w:sz w:val="22"/>
              </w:rPr>
              <w:t>1.28%</w:t>
            </w:r>
          </w:p>
        </w:tc>
        <w:tc>
          <w:tcPr>
            <w:tcW w:w="250" w:type="pct"/>
          </w:tcPr>
          <w:p w:rsidR="00CA671C" w:rsidRPr="00CA671C" w:rsidRDefault="00CA671C" w:rsidP="00CA671C">
            <w:pPr>
              <w:jc w:val="right"/>
              <w:rPr>
                <w:sz w:val="22"/>
              </w:rPr>
            </w:pPr>
            <w:r w:rsidRPr="00CA671C">
              <w:rPr>
                <w:sz w:val="22"/>
              </w:rPr>
              <w:t>0.91</w:t>
            </w:r>
          </w:p>
        </w:tc>
        <w:tc>
          <w:tcPr>
            <w:tcW w:w="250" w:type="pct"/>
          </w:tcPr>
          <w:p w:rsidR="00CA671C" w:rsidRPr="00CA671C" w:rsidRDefault="00CA671C" w:rsidP="00CA671C">
            <w:pPr>
              <w:jc w:val="right"/>
              <w:rPr>
                <w:sz w:val="22"/>
              </w:rPr>
            </w:pPr>
            <w:r w:rsidRPr="00CA671C">
              <w:rPr>
                <w:sz w:val="22"/>
              </w:rPr>
              <w:t>0.96</w:t>
            </w:r>
          </w:p>
        </w:tc>
        <w:tc>
          <w:tcPr>
            <w:tcW w:w="250" w:type="pct"/>
          </w:tcPr>
          <w:p w:rsidR="00CA671C" w:rsidRPr="00CA671C" w:rsidRDefault="00CA671C" w:rsidP="00CA671C">
            <w:pPr>
              <w:jc w:val="right"/>
              <w:rPr>
                <w:sz w:val="22"/>
              </w:rPr>
            </w:pPr>
            <w:r w:rsidRPr="00CA671C">
              <w:rPr>
                <w:sz w:val="22"/>
              </w:rPr>
              <w:t>1.01</w:t>
            </w:r>
          </w:p>
        </w:tc>
        <w:tc>
          <w:tcPr>
            <w:tcW w:w="250" w:type="pct"/>
          </w:tcPr>
          <w:p w:rsidR="00CA671C" w:rsidRPr="00CA671C" w:rsidRDefault="00CA671C" w:rsidP="00CA671C">
            <w:pPr>
              <w:jc w:val="right"/>
              <w:rPr>
                <w:sz w:val="22"/>
              </w:rPr>
            </w:pPr>
            <w:r w:rsidRPr="00CA671C">
              <w:rPr>
                <w:sz w:val="22"/>
              </w:rPr>
              <w:t>1.06</w:t>
            </w:r>
          </w:p>
        </w:tc>
        <w:tc>
          <w:tcPr>
            <w:tcW w:w="250" w:type="pct"/>
          </w:tcPr>
          <w:p w:rsidR="00CA671C" w:rsidRPr="00CA671C" w:rsidRDefault="00CA671C" w:rsidP="00CA671C">
            <w:pPr>
              <w:jc w:val="right"/>
              <w:rPr>
                <w:sz w:val="22"/>
              </w:rPr>
            </w:pPr>
            <w:r w:rsidRPr="00CA671C">
              <w:rPr>
                <w:sz w:val="22"/>
              </w:rPr>
              <w:t>1.11</w:t>
            </w:r>
          </w:p>
        </w:tc>
        <w:tc>
          <w:tcPr>
            <w:tcW w:w="271" w:type="pct"/>
          </w:tcPr>
          <w:p w:rsidR="00CA671C" w:rsidRPr="00CA671C" w:rsidRDefault="00CA671C" w:rsidP="00CA671C">
            <w:pPr>
              <w:jc w:val="right"/>
              <w:rPr>
                <w:sz w:val="22"/>
              </w:rPr>
            </w:pPr>
            <w:r w:rsidRPr="00CA671C">
              <w:rPr>
                <w:sz w:val="22"/>
              </w:rPr>
              <w:t>2.10</w:t>
            </w:r>
          </w:p>
        </w:tc>
        <w:tc>
          <w:tcPr>
            <w:tcW w:w="295" w:type="pct"/>
          </w:tcPr>
          <w:p w:rsidR="00CA671C" w:rsidRPr="00CA671C" w:rsidRDefault="00CA671C" w:rsidP="00CA671C">
            <w:pPr>
              <w:jc w:val="right"/>
              <w:rPr>
                <w:sz w:val="22"/>
              </w:rPr>
            </w:pPr>
            <w:r w:rsidRPr="00CA671C">
              <w:rPr>
                <w:sz w:val="22"/>
              </w:rPr>
              <w:t>0.13</w:t>
            </w:r>
          </w:p>
        </w:tc>
        <w:tc>
          <w:tcPr>
            <w:tcW w:w="288" w:type="pct"/>
          </w:tcPr>
          <w:p w:rsidR="00CA671C" w:rsidRPr="00CA671C" w:rsidRDefault="00CA671C" w:rsidP="00CA671C">
            <w:pPr>
              <w:jc w:val="right"/>
              <w:rPr>
                <w:sz w:val="22"/>
              </w:rPr>
            </w:pPr>
            <w:r w:rsidRPr="00CA671C">
              <w:rPr>
                <w:sz w:val="22"/>
              </w:rPr>
              <w:t>1.05</w:t>
            </w:r>
          </w:p>
        </w:tc>
        <w:tc>
          <w:tcPr>
            <w:tcW w:w="273" w:type="pct"/>
          </w:tcPr>
          <w:p w:rsidR="00CA671C" w:rsidRPr="00CA671C" w:rsidRDefault="00CA671C" w:rsidP="00CA671C">
            <w:pPr>
              <w:jc w:val="right"/>
              <w:rPr>
                <w:sz w:val="22"/>
              </w:rPr>
            </w:pPr>
            <w:r w:rsidRPr="00CA671C">
              <w:rPr>
                <w:sz w:val="22"/>
              </w:rPr>
              <w:t>1.06</w:t>
            </w:r>
          </w:p>
        </w:tc>
        <w:tc>
          <w:tcPr>
            <w:tcW w:w="489" w:type="pct"/>
          </w:tcPr>
          <w:p w:rsidR="00CA671C" w:rsidRPr="00CA671C" w:rsidRDefault="00CA671C" w:rsidP="00CA671C">
            <w:pPr>
              <w:jc w:val="right"/>
              <w:rPr>
                <w:sz w:val="22"/>
              </w:rPr>
            </w:pPr>
            <w:r w:rsidRPr="00CA671C">
              <w:rPr>
                <w:sz w:val="22"/>
              </w:rPr>
              <w:t>38.37</w:t>
            </w:r>
          </w:p>
        </w:tc>
        <w:tc>
          <w:tcPr>
            <w:tcW w:w="436" w:type="pct"/>
          </w:tcPr>
          <w:p w:rsidR="00CA671C" w:rsidRPr="00CA671C" w:rsidRDefault="00CA671C" w:rsidP="00CA671C">
            <w:pPr>
              <w:jc w:val="right"/>
              <w:rPr>
                <w:sz w:val="22"/>
              </w:rPr>
            </w:pPr>
            <w:r w:rsidRPr="00CA671C">
              <w:rPr>
                <w:sz w:val="22"/>
              </w:rPr>
              <w:t>0.11%</w:t>
            </w:r>
          </w:p>
        </w:tc>
      </w:tr>
      <w:tr w:rsidR="00CA671C" w:rsidRPr="00CA671C" w:rsidTr="00CA671C">
        <w:tc>
          <w:tcPr>
            <w:tcW w:w="1281" w:type="pct"/>
          </w:tcPr>
          <w:p w:rsidR="00CA671C" w:rsidRPr="00CA671C" w:rsidRDefault="00CA671C" w:rsidP="00CA671C">
            <w:pPr>
              <w:rPr>
                <w:sz w:val="22"/>
              </w:rPr>
            </w:pPr>
            <w:r w:rsidRPr="00CA671C">
              <w:rPr>
                <w:sz w:val="22"/>
              </w:rPr>
              <w:t>SJW Group</w:t>
            </w:r>
          </w:p>
        </w:tc>
        <w:tc>
          <w:tcPr>
            <w:tcW w:w="417" w:type="pct"/>
          </w:tcPr>
          <w:p w:rsidR="00CA671C" w:rsidRPr="00CA671C" w:rsidRDefault="00CA671C" w:rsidP="00CA671C">
            <w:pPr>
              <w:jc w:val="right"/>
              <w:rPr>
                <w:sz w:val="22"/>
              </w:rPr>
            </w:pPr>
            <w:r w:rsidRPr="00CA671C">
              <w:rPr>
                <w:sz w:val="22"/>
              </w:rPr>
              <w:t>2.35%</w:t>
            </w:r>
          </w:p>
        </w:tc>
        <w:tc>
          <w:tcPr>
            <w:tcW w:w="250" w:type="pct"/>
          </w:tcPr>
          <w:p w:rsidR="00CA671C" w:rsidRPr="00CA671C" w:rsidRDefault="00CA671C" w:rsidP="00CA671C">
            <w:pPr>
              <w:jc w:val="right"/>
              <w:rPr>
                <w:sz w:val="22"/>
              </w:rPr>
            </w:pPr>
            <w:r w:rsidRPr="00CA671C">
              <w:rPr>
                <w:sz w:val="22"/>
              </w:rPr>
              <w:t>1.12</w:t>
            </w:r>
          </w:p>
        </w:tc>
        <w:tc>
          <w:tcPr>
            <w:tcW w:w="250" w:type="pct"/>
          </w:tcPr>
          <w:p w:rsidR="00CA671C" w:rsidRPr="00CA671C" w:rsidRDefault="00CA671C" w:rsidP="00CA671C">
            <w:pPr>
              <w:jc w:val="right"/>
              <w:rPr>
                <w:sz w:val="22"/>
              </w:rPr>
            </w:pPr>
            <w:r w:rsidRPr="00CA671C">
              <w:rPr>
                <w:sz w:val="22"/>
              </w:rPr>
              <w:t>1.20</w:t>
            </w:r>
          </w:p>
        </w:tc>
        <w:tc>
          <w:tcPr>
            <w:tcW w:w="250" w:type="pct"/>
          </w:tcPr>
          <w:p w:rsidR="00CA671C" w:rsidRPr="00CA671C" w:rsidRDefault="00CA671C" w:rsidP="00CA671C">
            <w:pPr>
              <w:jc w:val="right"/>
              <w:rPr>
                <w:sz w:val="22"/>
              </w:rPr>
            </w:pPr>
            <w:r w:rsidRPr="00CA671C">
              <w:rPr>
                <w:sz w:val="22"/>
              </w:rPr>
              <w:t>1.28</w:t>
            </w:r>
          </w:p>
        </w:tc>
        <w:tc>
          <w:tcPr>
            <w:tcW w:w="250" w:type="pct"/>
          </w:tcPr>
          <w:p w:rsidR="00CA671C" w:rsidRPr="00CA671C" w:rsidRDefault="00CA671C" w:rsidP="00CA671C">
            <w:pPr>
              <w:jc w:val="right"/>
              <w:rPr>
                <w:sz w:val="22"/>
              </w:rPr>
            </w:pPr>
            <w:r w:rsidRPr="00CA671C">
              <w:rPr>
                <w:sz w:val="22"/>
              </w:rPr>
              <w:t>1.36</w:t>
            </w:r>
          </w:p>
        </w:tc>
        <w:tc>
          <w:tcPr>
            <w:tcW w:w="250" w:type="pct"/>
          </w:tcPr>
          <w:p w:rsidR="00CA671C" w:rsidRPr="00CA671C" w:rsidRDefault="00CA671C" w:rsidP="00CA671C">
            <w:pPr>
              <w:jc w:val="right"/>
              <w:rPr>
                <w:sz w:val="22"/>
              </w:rPr>
            </w:pPr>
            <w:r w:rsidRPr="00CA671C">
              <w:rPr>
                <w:sz w:val="22"/>
              </w:rPr>
              <w:t>1.45</w:t>
            </w:r>
          </w:p>
        </w:tc>
        <w:tc>
          <w:tcPr>
            <w:tcW w:w="271" w:type="pct"/>
          </w:tcPr>
          <w:p w:rsidR="00CA671C" w:rsidRPr="00CA671C" w:rsidRDefault="00CA671C" w:rsidP="00CA671C">
            <w:pPr>
              <w:jc w:val="right"/>
              <w:rPr>
                <w:sz w:val="22"/>
              </w:rPr>
            </w:pPr>
            <w:r w:rsidRPr="00CA671C">
              <w:rPr>
                <w:sz w:val="22"/>
              </w:rPr>
              <w:t>3.45</w:t>
            </w:r>
          </w:p>
        </w:tc>
        <w:tc>
          <w:tcPr>
            <w:tcW w:w="295" w:type="pct"/>
          </w:tcPr>
          <w:p w:rsidR="00CA671C" w:rsidRPr="00CA671C" w:rsidRDefault="00CA671C" w:rsidP="00CA671C">
            <w:pPr>
              <w:jc w:val="right"/>
              <w:rPr>
                <w:sz w:val="22"/>
              </w:rPr>
            </w:pPr>
            <w:r w:rsidRPr="00CA671C">
              <w:rPr>
                <w:sz w:val="22"/>
              </w:rPr>
              <w:t>0.14</w:t>
            </w:r>
          </w:p>
        </w:tc>
        <w:tc>
          <w:tcPr>
            <w:tcW w:w="288" w:type="pct"/>
          </w:tcPr>
          <w:p w:rsidR="00CA671C" w:rsidRPr="00CA671C" w:rsidRDefault="00CA671C" w:rsidP="00CA671C">
            <w:pPr>
              <w:jc w:val="right"/>
              <w:rPr>
                <w:sz w:val="22"/>
              </w:rPr>
            </w:pPr>
            <w:r w:rsidRPr="00CA671C">
              <w:rPr>
                <w:sz w:val="22"/>
              </w:rPr>
              <w:t>1.07</w:t>
            </w:r>
          </w:p>
        </w:tc>
        <w:tc>
          <w:tcPr>
            <w:tcW w:w="273" w:type="pct"/>
          </w:tcPr>
          <w:p w:rsidR="00CA671C" w:rsidRPr="00CA671C" w:rsidRDefault="00CA671C" w:rsidP="00CA671C">
            <w:pPr>
              <w:jc w:val="right"/>
              <w:rPr>
                <w:sz w:val="22"/>
              </w:rPr>
            </w:pPr>
            <w:r w:rsidRPr="00CA671C">
              <w:rPr>
                <w:sz w:val="22"/>
              </w:rPr>
              <w:t>1.08</w:t>
            </w:r>
          </w:p>
        </w:tc>
        <w:tc>
          <w:tcPr>
            <w:tcW w:w="489" w:type="pct"/>
          </w:tcPr>
          <w:p w:rsidR="00CA671C" w:rsidRPr="00CA671C" w:rsidRDefault="00CA671C" w:rsidP="00CA671C">
            <w:pPr>
              <w:jc w:val="right"/>
              <w:rPr>
                <w:sz w:val="22"/>
              </w:rPr>
            </w:pPr>
            <w:r w:rsidRPr="00CA671C">
              <w:rPr>
                <w:sz w:val="22"/>
              </w:rPr>
              <w:t>56.04</w:t>
            </w:r>
          </w:p>
        </w:tc>
        <w:tc>
          <w:tcPr>
            <w:tcW w:w="436" w:type="pct"/>
          </w:tcPr>
          <w:p w:rsidR="00CA671C" w:rsidRPr="00CA671C" w:rsidRDefault="00CA671C" w:rsidP="00CA671C">
            <w:pPr>
              <w:jc w:val="right"/>
              <w:rPr>
                <w:sz w:val="22"/>
              </w:rPr>
            </w:pPr>
            <w:r w:rsidRPr="00CA671C">
              <w:rPr>
                <w:sz w:val="22"/>
              </w:rPr>
              <w:t>0.24%</w:t>
            </w:r>
          </w:p>
        </w:tc>
      </w:tr>
      <w:tr w:rsidR="00CA671C" w:rsidRPr="00CA671C" w:rsidTr="00CA671C">
        <w:tc>
          <w:tcPr>
            <w:tcW w:w="1281" w:type="pct"/>
          </w:tcPr>
          <w:p w:rsidR="00CA671C" w:rsidRPr="00CA671C" w:rsidRDefault="00CA671C" w:rsidP="00CA671C">
            <w:pPr>
              <w:rPr>
                <w:sz w:val="22"/>
              </w:rPr>
            </w:pPr>
            <w:r w:rsidRPr="00CA671C">
              <w:rPr>
                <w:sz w:val="22"/>
              </w:rPr>
              <w:t>York Water</w:t>
            </w:r>
          </w:p>
        </w:tc>
        <w:tc>
          <w:tcPr>
            <w:tcW w:w="417" w:type="pct"/>
          </w:tcPr>
          <w:p w:rsidR="00CA671C" w:rsidRPr="00CA671C" w:rsidRDefault="00CA671C" w:rsidP="00CA671C">
            <w:pPr>
              <w:jc w:val="right"/>
              <w:rPr>
                <w:sz w:val="22"/>
              </w:rPr>
            </w:pPr>
            <w:r w:rsidRPr="00CA671C">
              <w:rPr>
                <w:sz w:val="22"/>
              </w:rPr>
              <w:t>0.85%</w:t>
            </w:r>
          </w:p>
        </w:tc>
        <w:tc>
          <w:tcPr>
            <w:tcW w:w="250" w:type="pct"/>
          </w:tcPr>
          <w:p w:rsidR="00CA671C" w:rsidRPr="00CA671C" w:rsidRDefault="00CA671C" w:rsidP="00CA671C">
            <w:pPr>
              <w:jc w:val="right"/>
              <w:rPr>
                <w:sz w:val="22"/>
              </w:rPr>
            </w:pPr>
            <w:r w:rsidRPr="00CA671C">
              <w:rPr>
                <w:sz w:val="22"/>
              </w:rPr>
              <w:t>0.70</w:t>
            </w:r>
          </w:p>
        </w:tc>
        <w:tc>
          <w:tcPr>
            <w:tcW w:w="250" w:type="pct"/>
          </w:tcPr>
          <w:p w:rsidR="00CA671C" w:rsidRPr="00CA671C" w:rsidRDefault="00CA671C" w:rsidP="00CA671C">
            <w:pPr>
              <w:jc w:val="right"/>
              <w:rPr>
                <w:sz w:val="22"/>
              </w:rPr>
            </w:pPr>
            <w:r w:rsidRPr="00CA671C">
              <w:rPr>
                <w:sz w:val="22"/>
              </w:rPr>
              <w:t>0.75</w:t>
            </w:r>
          </w:p>
        </w:tc>
        <w:tc>
          <w:tcPr>
            <w:tcW w:w="250" w:type="pct"/>
          </w:tcPr>
          <w:p w:rsidR="00CA671C" w:rsidRPr="00CA671C" w:rsidRDefault="00CA671C" w:rsidP="00CA671C">
            <w:pPr>
              <w:jc w:val="right"/>
              <w:rPr>
                <w:sz w:val="22"/>
              </w:rPr>
            </w:pPr>
            <w:r w:rsidRPr="00CA671C">
              <w:rPr>
                <w:sz w:val="22"/>
              </w:rPr>
              <w:t>0.83</w:t>
            </w:r>
          </w:p>
        </w:tc>
        <w:tc>
          <w:tcPr>
            <w:tcW w:w="250" w:type="pct"/>
          </w:tcPr>
          <w:p w:rsidR="00CA671C" w:rsidRPr="00CA671C" w:rsidRDefault="00CA671C" w:rsidP="00CA671C">
            <w:pPr>
              <w:jc w:val="right"/>
              <w:rPr>
                <w:sz w:val="22"/>
              </w:rPr>
            </w:pPr>
            <w:r w:rsidRPr="00CA671C">
              <w:rPr>
                <w:sz w:val="22"/>
              </w:rPr>
              <w:t>0.91</w:t>
            </w:r>
          </w:p>
        </w:tc>
        <w:tc>
          <w:tcPr>
            <w:tcW w:w="250" w:type="pct"/>
          </w:tcPr>
          <w:p w:rsidR="00CA671C" w:rsidRPr="00CA671C" w:rsidRDefault="00CA671C" w:rsidP="00CA671C">
            <w:pPr>
              <w:jc w:val="right"/>
              <w:rPr>
                <w:sz w:val="22"/>
              </w:rPr>
            </w:pPr>
            <w:r w:rsidRPr="00CA671C">
              <w:rPr>
                <w:sz w:val="22"/>
              </w:rPr>
              <w:t>1.00</w:t>
            </w:r>
          </w:p>
        </w:tc>
        <w:tc>
          <w:tcPr>
            <w:tcW w:w="271" w:type="pct"/>
          </w:tcPr>
          <w:p w:rsidR="00CA671C" w:rsidRPr="00CA671C" w:rsidRDefault="00CA671C" w:rsidP="00CA671C">
            <w:pPr>
              <w:jc w:val="right"/>
              <w:rPr>
                <w:sz w:val="22"/>
              </w:rPr>
            </w:pPr>
            <w:r w:rsidRPr="00CA671C">
              <w:rPr>
                <w:sz w:val="22"/>
              </w:rPr>
              <w:t>1.60</w:t>
            </w:r>
          </w:p>
        </w:tc>
        <w:tc>
          <w:tcPr>
            <w:tcW w:w="295" w:type="pct"/>
          </w:tcPr>
          <w:p w:rsidR="00CA671C" w:rsidRPr="00CA671C" w:rsidRDefault="00CA671C" w:rsidP="00CA671C">
            <w:pPr>
              <w:jc w:val="right"/>
              <w:rPr>
                <w:sz w:val="22"/>
              </w:rPr>
            </w:pPr>
            <w:r w:rsidRPr="00CA671C">
              <w:rPr>
                <w:sz w:val="22"/>
              </w:rPr>
              <w:t>0.14</w:t>
            </w:r>
          </w:p>
        </w:tc>
        <w:tc>
          <w:tcPr>
            <w:tcW w:w="288" w:type="pct"/>
          </w:tcPr>
          <w:p w:rsidR="00CA671C" w:rsidRPr="00CA671C" w:rsidRDefault="00CA671C" w:rsidP="00CA671C">
            <w:pPr>
              <w:jc w:val="right"/>
              <w:rPr>
                <w:sz w:val="22"/>
              </w:rPr>
            </w:pPr>
            <w:r w:rsidRPr="00CA671C">
              <w:rPr>
                <w:sz w:val="22"/>
              </w:rPr>
              <w:t>1.10</w:t>
            </w:r>
          </w:p>
        </w:tc>
        <w:tc>
          <w:tcPr>
            <w:tcW w:w="273" w:type="pct"/>
          </w:tcPr>
          <w:p w:rsidR="00CA671C" w:rsidRPr="00CA671C" w:rsidRDefault="00CA671C" w:rsidP="00CA671C">
            <w:pPr>
              <w:jc w:val="right"/>
              <w:rPr>
                <w:sz w:val="22"/>
              </w:rPr>
            </w:pPr>
            <w:r w:rsidRPr="00CA671C">
              <w:rPr>
                <w:sz w:val="22"/>
              </w:rPr>
              <w:t>1.05</w:t>
            </w:r>
          </w:p>
        </w:tc>
        <w:tc>
          <w:tcPr>
            <w:tcW w:w="489" w:type="pct"/>
          </w:tcPr>
          <w:p w:rsidR="00CA671C" w:rsidRPr="00CA671C" w:rsidRDefault="00CA671C" w:rsidP="00CA671C">
            <w:pPr>
              <w:jc w:val="right"/>
              <w:rPr>
                <w:sz w:val="22"/>
              </w:rPr>
            </w:pPr>
            <w:r w:rsidRPr="00CA671C">
              <w:rPr>
                <w:sz w:val="22"/>
              </w:rPr>
              <w:t>30.24</w:t>
            </w:r>
          </w:p>
        </w:tc>
        <w:tc>
          <w:tcPr>
            <w:tcW w:w="436" w:type="pct"/>
          </w:tcPr>
          <w:p w:rsidR="00CA671C" w:rsidRPr="00CA671C" w:rsidRDefault="00CA671C" w:rsidP="00CA671C">
            <w:pPr>
              <w:jc w:val="right"/>
              <w:rPr>
                <w:sz w:val="22"/>
              </w:rPr>
            </w:pPr>
            <w:r w:rsidRPr="00CA671C">
              <w:rPr>
                <w:sz w:val="22"/>
              </w:rPr>
              <w:t>0.07%</w:t>
            </w:r>
          </w:p>
        </w:tc>
      </w:tr>
      <w:tr w:rsidR="00CA671C" w:rsidRPr="00CA671C" w:rsidTr="00CA671C">
        <w:tc>
          <w:tcPr>
            <w:tcW w:w="4564" w:type="pct"/>
            <w:gridSpan w:val="12"/>
          </w:tcPr>
          <w:p w:rsidR="00CA671C" w:rsidRPr="00CA671C" w:rsidRDefault="00CA671C" w:rsidP="00CA671C">
            <w:pPr>
              <w:jc w:val="right"/>
              <w:rPr>
                <w:sz w:val="22"/>
              </w:rPr>
            </w:pPr>
            <w:r w:rsidRPr="00CA671C">
              <w:rPr>
                <w:b/>
                <w:sz w:val="22"/>
              </w:rPr>
              <w:t>Annual Weighted DCF Results:</w:t>
            </w:r>
          </w:p>
        </w:tc>
        <w:tc>
          <w:tcPr>
            <w:tcW w:w="436" w:type="pct"/>
          </w:tcPr>
          <w:p w:rsidR="00CA671C" w:rsidRPr="00CA671C" w:rsidRDefault="00CA671C" w:rsidP="00CA671C">
            <w:pPr>
              <w:jc w:val="right"/>
              <w:rPr>
                <w:b/>
                <w:sz w:val="22"/>
                <w:u w:val="double"/>
              </w:rPr>
            </w:pPr>
            <w:r w:rsidRPr="00CA671C">
              <w:rPr>
                <w:b/>
                <w:sz w:val="22"/>
                <w:u w:val="double"/>
              </w:rPr>
              <w:t>7.63%</w:t>
            </w:r>
          </w:p>
        </w:tc>
      </w:tr>
      <w:tr w:rsidR="00CA671C" w:rsidRPr="00CA671C" w:rsidTr="00CA671C">
        <w:tc>
          <w:tcPr>
            <w:tcW w:w="4564" w:type="pct"/>
            <w:gridSpan w:val="12"/>
          </w:tcPr>
          <w:p w:rsidR="00CA671C" w:rsidRPr="00CA671C" w:rsidRDefault="00CA671C" w:rsidP="00CA671C">
            <w:pPr>
              <w:jc w:val="right"/>
              <w:rPr>
                <w:b/>
                <w:sz w:val="22"/>
              </w:rPr>
            </w:pPr>
          </w:p>
        </w:tc>
        <w:tc>
          <w:tcPr>
            <w:tcW w:w="436" w:type="pct"/>
          </w:tcPr>
          <w:p w:rsidR="00CA671C" w:rsidRPr="00CA671C" w:rsidRDefault="00CA671C" w:rsidP="00CA671C">
            <w:pPr>
              <w:jc w:val="right"/>
              <w:rPr>
                <w:b/>
                <w:sz w:val="22"/>
                <w:u w:val="double"/>
              </w:rPr>
            </w:pPr>
          </w:p>
        </w:tc>
      </w:tr>
      <w:tr w:rsidR="00CA671C" w:rsidRPr="00CA671C" w:rsidTr="00CA671C">
        <w:tc>
          <w:tcPr>
            <w:tcW w:w="4564" w:type="pct"/>
            <w:gridSpan w:val="12"/>
          </w:tcPr>
          <w:p w:rsidR="00CA671C" w:rsidRPr="00CA671C" w:rsidRDefault="00CA671C" w:rsidP="00CA671C">
            <w:pPr>
              <w:rPr>
                <w:sz w:val="22"/>
              </w:rPr>
            </w:pPr>
            <w:r w:rsidRPr="00CA671C">
              <w:rPr>
                <w:sz w:val="22"/>
              </w:rPr>
              <w:t>The ROE of 7.63 percent represents the expected cost of equity required to match the average stock price with</w:t>
            </w:r>
          </w:p>
        </w:tc>
        <w:tc>
          <w:tcPr>
            <w:tcW w:w="436" w:type="pct"/>
          </w:tcPr>
          <w:p w:rsidR="00CA671C" w:rsidRPr="00CA671C" w:rsidRDefault="00CA671C" w:rsidP="00CA671C">
            <w:pPr>
              <w:rPr>
                <w:sz w:val="22"/>
              </w:rPr>
            </w:pPr>
          </w:p>
        </w:tc>
      </w:tr>
      <w:tr w:rsidR="00CA671C" w:rsidRPr="00CA671C" w:rsidTr="00CA671C">
        <w:tc>
          <w:tcPr>
            <w:tcW w:w="4564" w:type="pct"/>
            <w:gridSpan w:val="12"/>
          </w:tcPr>
          <w:p w:rsidR="00CA671C" w:rsidRPr="00CA671C" w:rsidRDefault="00CA671C" w:rsidP="00CA671C">
            <w:pPr>
              <w:rPr>
                <w:sz w:val="22"/>
              </w:rPr>
            </w:pPr>
            <w:r w:rsidRPr="00CA671C">
              <w:rPr>
                <w:sz w:val="22"/>
              </w:rPr>
              <w:t xml:space="preserve">   present value of expected cash flows.</w:t>
            </w:r>
          </w:p>
        </w:tc>
        <w:tc>
          <w:tcPr>
            <w:tcW w:w="436" w:type="pct"/>
          </w:tcPr>
          <w:p w:rsidR="00CA671C" w:rsidRPr="00CA671C" w:rsidRDefault="00CA671C" w:rsidP="00CA671C">
            <w:pPr>
              <w:rPr>
                <w:sz w:val="22"/>
              </w:rPr>
            </w:pPr>
          </w:p>
        </w:tc>
      </w:tr>
      <w:tr w:rsidR="00CA671C" w:rsidRPr="00CA671C" w:rsidTr="00CA671C">
        <w:tc>
          <w:tcPr>
            <w:tcW w:w="4564" w:type="pct"/>
            <w:gridSpan w:val="12"/>
          </w:tcPr>
          <w:p w:rsidR="00CA671C" w:rsidRPr="00CA671C" w:rsidRDefault="00CA671C" w:rsidP="00CA671C">
            <w:pPr>
              <w:rPr>
                <w:sz w:val="22"/>
              </w:rPr>
            </w:pPr>
          </w:p>
        </w:tc>
        <w:tc>
          <w:tcPr>
            <w:tcW w:w="436" w:type="pct"/>
          </w:tcPr>
          <w:p w:rsidR="00CA671C" w:rsidRPr="00CA671C" w:rsidRDefault="00CA671C" w:rsidP="00CA671C">
            <w:pPr>
              <w:rPr>
                <w:sz w:val="22"/>
              </w:rPr>
            </w:pPr>
          </w:p>
        </w:tc>
      </w:tr>
    </w:tbl>
    <w:p w:rsidR="00CA671C" w:rsidRPr="00CA671C" w:rsidRDefault="00CA671C" w:rsidP="00CA671C"/>
    <w:p w:rsidR="00CA671C" w:rsidRPr="00CA671C" w:rsidRDefault="00CA671C" w:rsidP="00CA671C">
      <w:pPr>
        <w:rPr>
          <w:sz w:val="22"/>
        </w:rPr>
      </w:pPr>
      <w:r w:rsidRPr="00CA671C">
        <w:rPr>
          <w:sz w:val="22"/>
        </w:rPr>
        <w:t>Sources:</w:t>
      </w:r>
    </w:p>
    <w:p w:rsidR="00CA671C" w:rsidRPr="00CA671C" w:rsidRDefault="00CA671C" w:rsidP="00CA671C">
      <w:pPr>
        <w:rPr>
          <w:sz w:val="22"/>
        </w:rPr>
      </w:pPr>
      <w:r w:rsidRPr="00CA671C">
        <w:rPr>
          <w:sz w:val="22"/>
        </w:rPr>
        <w:t>Stock prices obtained from Yahoo Finance for the 30-day period April 1, 2018 through April 30, 2018</w:t>
      </w:r>
    </w:p>
    <w:p w:rsidR="00CA671C" w:rsidRPr="00CA671C" w:rsidRDefault="00CA671C" w:rsidP="00CA671C">
      <w:pPr>
        <w:rPr>
          <w:sz w:val="22"/>
        </w:rPr>
      </w:pPr>
      <w:r w:rsidRPr="00CA671C">
        <w:rPr>
          <w:sz w:val="22"/>
        </w:rPr>
        <w:t>Natural Gas company dividends, earnings, and ROE obtained from Value Line Reports issued March 2, 2018</w:t>
      </w:r>
    </w:p>
    <w:p w:rsidR="00CA671C" w:rsidRPr="00CA671C" w:rsidRDefault="00CA671C" w:rsidP="00CA671C">
      <w:pPr>
        <w:rPr>
          <w:sz w:val="22"/>
        </w:rPr>
      </w:pPr>
      <w:r w:rsidRPr="00CA671C">
        <w:rPr>
          <w:sz w:val="22"/>
        </w:rPr>
        <w:t>Water and Wastewater company dividends, earnings and ROE obtained from Value Line Reports issued April 13, 2018</w:t>
      </w:r>
    </w:p>
    <w:p w:rsidR="00CA671C" w:rsidRPr="00CA671C" w:rsidRDefault="00CA671C" w:rsidP="00CA671C">
      <w:pPr>
        <w:rPr>
          <w:sz w:val="22"/>
        </w:rPr>
      </w:pPr>
    </w:p>
    <w:p w:rsidR="00CA671C" w:rsidRPr="00CA671C" w:rsidRDefault="00CA671C" w:rsidP="00CA671C">
      <w:pPr>
        <w:rPr>
          <w:sz w:val="22"/>
        </w:rPr>
      </w:pPr>
      <w:r w:rsidRPr="00CA671C">
        <w:rPr>
          <w:sz w:val="22"/>
        </w:rPr>
        <w:t>Notes:</w:t>
      </w:r>
    </w:p>
    <w:p w:rsidR="00CA671C" w:rsidRPr="00CA671C" w:rsidRDefault="00CA671C" w:rsidP="00CA671C">
      <w:pPr>
        <w:rPr>
          <w:sz w:val="22"/>
        </w:rPr>
      </w:pPr>
      <w:r w:rsidRPr="00CA671C">
        <w:rPr>
          <w:sz w:val="22"/>
          <w:vertAlign w:val="superscript"/>
        </w:rPr>
        <w:t>[1]</w:t>
      </w:r>
      <w:r w:rsidRPr="00CA671C">
        <w:rPr>
          <w:sz w:val="22"/>
        </w:rPr>
        <w:t xml:space="preserve"> Company’s weight is based off of the Company’s Market-Capitalization</w:t>
      </w:r>
    </w:p>
    <w:p w:rsidR="00CA671C" w:rsidRPr="00CA671C" w:rsidRDefault="00CA671C" w:rsidP="00CA671C">
      <w:pPr>
        <w:rPr>
          <w:sz w:val="22"/>
        </w:rPr>
      </w:pPr>
      <w:r w:rsidRPr="00CA671C">
        <w:rPr>
          <w:sz w:val="22"/>
          <w:vertAlign w:val="superscript"/>
        </w:rPr>
        <w:t>[2]</w:t>
      </w:r>
      <w:r w:rsidRPr="00CA671C">
        <w:rPr>
          <w:sz w:val="22"/>
        </w:rPr>
        <w:t xml:space="preserve"> Average Stock Prices include four percent flotation cost</w:t>
      </w:r>
    </w:p>
    <w:p w:rsidR="00CA671C" w:rsidRPr="00CA671C" w:rsidRDefault="00CA671C" w:rsidP="00CA671C">
      <w:pPr>
        <w:rPr>
          <w:sz w:val="22"/>
        </w:rPr>
        <w:sectPr w:rsidR="00CA671C" w:rsidRPr="00CA671C" w:rsidSect="00CA671C">
          <w:pgSz w:w="15840" w:h="12240" w:orient="landscape" w:code="1"/>
          <w:pgMar w:top="1440" w:right="1584" w:bottom="1440" w:left="1440" w:header="720" w:footer="720" w:gutter="0"/>
          <w:cols w:space="720"/>
          <w:formProt w:val="0"/>
          <w:docGrid w:linePitch="360"/>
        </w:sectPr>
      </w:pPr>
      <w:r w:rsidRPr="00CA671C">
        <w:rPr>
          <w:sz w:val="22"/>
          <w:vertAlign w:val="superscript"/>
        </w:rPr>
        <w:t>[3]</w:t>
      </w:r>
      <w:r w:rsidRPr="00CA671C">
        <w:rPr>
          <w:sz w:val="22"/>
        </w:rPr>
        <w:t xml:space="preserve"> Company’s DCF results are weighed against their Market Capitalization Weight</w:t>
      </w:r>
    </w:p>
    <w:p w:rsidR="00CA671C" w:rsidRPr="00CA671C" w:rsidRDefault="00CA671C" w:rsidP="00CA671C">
      <w:pPr>
        <w:jc w:val="right"/>
      </w:pPr>
      <w:r w:rsidRPr="00CA671C">
        <w:lastRenderedPageBreak/>
        <w:t>Attachment 1</w:t>
      </w:r>
    </w:p>
    <w:p w:rsidR="00CA671C" w:rsidRPr="00CA671C" w:rsidRDefault="00CA671C" w:rsidP="00CA671C">
      <w:pPr>
        <w:jc w:val="right"/>
      </w:pPr>
      <w:r w:rsidRPr="00CA671C">
        <w:t>Page 4 of 6</w:t>
      </w:r>
    </w:p>
    <w:p w:rsidR="00CA671C" w:rsidRPr="00CA671C" w:rsidRDefault="00CA671C" w:rsidP="00CA671C">
      <w:pPr>
        <w:jc w:val="right"/>
      </w:pPr>
    </w:p>
    <w:tbl>
      <w:tblPr>
        <w:tblW w:w="0" w:type="auto"/>
        <w:tblLook w:val="04A0" w:firstRow="1" w:lastRow="0" w:firstColumn="1" w:lastColumn="0" w:noHBand="0" w:noVBand="1"/>
      </w:tblPr>
      <w:tblGrid>
        <w:gridCol w:w="836"/>
        <w:gridCol w:w="352"/>
        <w:gridCol w:w="8388"/>
      </w:tblGrid>
      <w:tr w:rsidR="00CA671C" w:rsidRPr="00CA671C" w:rsidTr="00CA671C">
        <w:tc>
          <w:tcPr>
            <w:tcW w:w="0" w:type="auto"/>
            <w:gridSpan w:val="3"/>
          </w:tcPr>
          <w:p w:rsidR="00CA671C" w:rsidRPr="00CA671C" w:rsidRDefault="00CA671C" w:rsidP="00CA671C">
            <w:r w:rsidRPr="00CA671C">
              <w:t>Capital Asset Pricing Model Cost of Equity for</w:t>
            </w:r>
          </w:p>
        </w:tc>
      </w:tr>
      <w:tr w:rsidR="00CA671C" w:rsidRPr="00CA671C" w:rsidTr="00CA671C">
        <w:tc>
          <w:tcPr>
            <w:tcW w:w="0" w:type="auto"/>
            <w:gridSpan w:val="3"/>
          </w:tcPr>
          <w:p w:rsidR="00CA671C" w:rsidRPr="00CA671C" w:rsidRDefault="00CA671C" w:rsidP="00CA671C">
            <w:r w:rsidRPr="00CA671C">
              <w:t>Water and Wastewater Industry</w:t>
            </w:r>
          </w:p>
        </w:tc>
      </w:tr>
      <w:tr w:rsidR="00CA671C" w:rsidRPr="00CA671C" w:rsidTr="00CA671C">
        <w:tc>
          <w:tcPr>
            <w:tcW w:w="0" w:type="auto"/>
          </w:tcPr>
          <w:p w:rsidR="00CA671C" w:rsidRPr="00CA671C" w:rsidRDefault="00CA671C" w:rsidP="00CA671C"/>
        </w:tc>
        <w:tc>
          <w:tcPr>
            <w:tcW w:w="0" w:type="auto"/>
          </w:tcPr>
          <w:p w:rsidR="00CA671C" w:rsidRPr="00CA671C" w:rsidRDefault="00CA671C" w:rsidP="00CA671C"/>
        </w:tc>
        <w:tc>
          <w:tcPr>
            <w:tcW w:w="0" w:type="auto"/>
          </w:tcPr>
          <w:p w:rsidR="00CA671C" w:rsidRPr="00CA671C" w:rsidRDefault="00CA671C" w:rsidP="00CA671C"/>
        </w:tc>
      </w:tr>
      <w:tr w:rsidR="00CA671C" w:rsidRPr="00CA671C" w:rsidTr="00CA671C">
        <w:tc>
          <w:tcPr>
            <w:tcW w:w="0" w:type="auto"/>
            <w:gridSpan w:val="3"/>
          </w:tcPr>
          <w:p w:rsidR="00CA671C" w:rsidRPr="00CA671C" w:rsidRDefault="00CA671C" w:rsidP="00CA671C">
            <w:r w:rsidRPr="00CA671C">
              <w:t>CAPM analysis formula</w:t>
            </w:r>
          </w:p>
        </w:tc>
      </w:tr>
      <w:tr w:rsidR="00CA671C" w:rsidRPr="00CA671C" w:rsidTr="00CA671C">
        <w:tc>
          <w:tcPr>
            <w:tcW w:w="0" w:type="auto"/>
          </w:tcPr>
          <w:p w:rsidR="00CA671C" w:rsidRPr="00CA671C" w:rsidRDefault="00CA671C" w:rsidP="00CA671C"/>
        </w:tc>
        <w:tc>
          <w:tcPr>
            <w:tcW w:w="0" w:type="auto"/>
          </w:tcPr>
          <w:p w:rsidR="00CA671C" w:rsidRPr="00CA671C" w:rsidRDefault="00CA671C" w:rsidP="00CA671C"/>
        </w:tc>
        <w:tc>
          <w:tcPr>
            <w:tcW w:w="0" w:type="auto"/>
          </w:tcPr>
          <w:p w:rsidR="00CA671C" w:rsidRPr="00CA671C" w:rsidRDefault="00CA671C" w:rsidP="00CA671C"/>
        </w:tc>
      </w:tr>
      <w:tr w:rsidR="00CA671C" w:rsidRPr="00CA671C" w:rsidTr="00CA671C">
        <w:tc>
          <w:tcPr>
            <w:tcW w:w="0" w:type="auto"/>
          </w:tcPr>
          <w:p w:rsidR="00CA671C" w:rsidRPr="00CA671C" w:rsidRDefault="00CA671C" w:rsidP="00CA671C">
            <w:r w:rsidRPr="00CA671C">
              <w:t>K</w:t>
            </w:r>
          </w:p>
        </w:tc>
        <w:tc>
          <w:tcPr>
            <w:tcW w:w="0" w:type="auto"/>
          </w:tcPr>
          <w:p w:rsidR="00CA671C" w:rsidRPr="00CA671C" w:rsidRDefault="00CA671C" w:rsidP="00CA671C">
            <w:r w:rsidRPr="00CA671C">
              <w:t>=</w:t>
            </w:r>
          </w:p>
        </w:tc>
        <w:tc>
          <w:tcPr>
            <w:tcW w:w="0" w:type="auto"/>
          </w:tcPr>
          <w:p w:rsidR="00CA671C" w:rsidRPr="00CA671C" w:rsidRDefault="00CA671C" w:rsidP="00CA671C">
            <w:r w:rsidRPr="00CA671C">
              <w:t>RF + Beta ( MR – RF) + Flotation Cost</w:t>
            </w:r>
          </w:p>
        </w:tc>
      </w:tr>
      <w:tr w:rsidR="00CA671C" w:rsidRPr="00CA671C" w:rsidTr="00CA671C">
        <w:tc>
          <w:tcPr>
            <w:tcW w:w="0" w:type="auto"/>
          </w:tcPr>
          <w:p w:rsidR="00CA671C" w:rsidRPr="00CA671C" w:rsidRDefault="00CA671C" w:rsidP="00CA671C">
            <w:r w:rsidRPr="00CA671C">
              <w:t>K</w:t>
            </w:r>
          </w:p>
        </w:tc>
        <w:tc>
          <w:tcPr>
            <w:tcW w:w="0" w:type="auto"/>
          </w:tcPr>
          <w:p w:rsidR="00CA671C" w:rsidRPr="00CA671C" w:rsidRDefault="00CA671C" w:rsidP="00CA671C">
            <w:r w:rsidRPr="00CA671C">
              <w:t>=</w:t>
            </w:r>
          </w:p>
        </w:tc>
        <w:tc>
          <w:tcPr>
            <w:tcW w:w="0" w:type="auto"/>
          </w:tcPr>
          <w:p w:rsidR="00CA671C" w:rsidRPr="00CA671C" w:rsidRDefault="00CA671C" w:rsidP="00CA671C">
            <w:r w:rsidRPr="00CA671C">
              <w:t>Investor’s required rate of return</w:t>
            </w:r>
          </w:p>
        </w:tc>
      </w:tr>
      <w:tr w:rsidR="00CA671C" w:rsidRPr="00CA671C" w:rsidTr="00CA671C">
        <w:tc>
          <w:tcPr>
            <w:tcW w:w="0" w:type="auto"/>
          </w:tcPr>
          <w:p w:rsidR="00CA671C" w:rsidRPr="00CA671C" w:rsidRDefault="00CA671C" w:rsidP="00CA671C">
            <w:r w:rsidRPr="00CA671C">
              <w:t>Beta</w:t>
            </w:r>
          </w:p>
        </w:tc>
        <w:tc>
          <w:tcPr>
            <w:tcW w:w="0" w:type="auto"/>
          </w:tcPr>
          <w:p w:rsidR="00CA671C" w:rsidRPr="00CA671C" w:rsidRDefault="00CA671C" w:rsidP="00CA671C">
            <w:r w:rsidRPr="00CA671C">
              <w:t>=</w:t>
            </w:r>
          </w:p>
        </w:tc>
        <w:tc>
          <w:tcPr>
            <w:tcW w:w="0" w:type="auto"/>
          </w:tcPr>
          <w:p w:rsidR="00CA671C" w:rsidRPr="00CA671C" w:rsidRDefault="00CA671C" w:rsidP="00CA671C">
            <w:r w:rsidRPr="00CA671C">
              <w:t>Measure of industry-specific risk (average for natural gas and water utilities followed by Value Line</w:t>
            </w:r>
          </w:p>
        </w:tc>
      </w:tr>
      <w:tr w:rsidR="00CA671C" w:rsidRPr="00CA671C" w:rsidTr="00CA671C">
        <w:tc>
          <w:tcPr>
            <w:tcW w:w="0" w:type="auto"/>
          </w:tcPr>
          <w:p w:rsidR="00CA671C" w:rsidRPr="00CA671C" w:rsidRDefault="00CA671C" w:rsidP="00CA671C">
            <w:r w:rsidRPr="00CA671C">
              <w:t>MR</w:t>
            </w:r>
          </w:p>
        </w:tc>
        <w:tc>
          <w:tcPr>
            <w:tcW w:w="0" w:type="auto"/>
          </w:tcPr>
          <w:p w:rsidR="00CA671C" w:rsidRPr="00CA671C" w:rsidRDefault="00CA671C" w:rsidP="00CA671C">
            <w:r w:rsidRPr="00CA671C">
              <w:t>=</w:t>
            </w:r>
          </w:p>
        </w:tc>
        <w:tc>
          <w:tcPr>
            <w:tcW w:w="0" w:type="auto"/>
          </w:tcPr>
          <w:p w:rsidR="00CA671C" w:rsidRPr="00CA671C" w:rsidRDefault="00CA671C" w:rsidP="00CA671C">
            <w:r w:rsidRPr="00CA671C">
              <w:t>Market Return (Value Line Investment Analyzer Web Browser)</w:t>
            </w:r>
          </w:p>
        </w:tc>
      </w:tr>
      <w:tr w:rsidR="00CA671C" w:rsidRPr="00CA671C" w:rsidTr="00CA671C">
        <w:tc>
          <w:tcPr>
            <w:tcW w:w="0" w:type="auto"/>
          </w:tcPr>
          <w:p w:rsidR="00CA671C" w:rsidRPr="00CA671C" w:rsidRDefault="00CA671C" w:rsidP="00CA671C">
            <w:r w:rsidRPr="00CA671C">
              <w:t>RF</w:t>
            </w:r>
          </w:p>
        </w:tc>
        <w:tc>
          <w:tcPr>
            <w:tcW w:w="0" w:type="auto"/>
          </w:tcPr>
          <w:p w:rsidR="00CA671C" w:rsidRPr="00CA671C" w:rsidRDefault="00CA671C" w:rsidP="00CA671C">
            <w:r w:rsidRPr="00CA671C">
              <w:t>=</w:t>
            </w:r>
          </w:p>
        </w:tc>
        <w:tc>
          <w:tcPr>
            <w:tcW w:w="0" w:type="auto"/>
          </w:tcPr>
          <w:p w:rsidR="00CA671C" w:rsidRPr="00CA671C" w:rsidRDefault="00CA671C" w:rsidP="00CA671C">
            <w:r w:rsidRPr="00CA671C">
              <w:t>Risk-free rate (Blue Chip forecast for Long-Term Treasury Bond</w:t>
            </w:r>
          </w:p>
        </w:tc>
      </w:tr>
      <w:tr w:rsidR="00CA671C" w:rsidRPr="00CA671C" w:rsidTr="00CA671C">
        <w:tc>
          <w:tcPr>
            <w:tcW w:w="0" w:type="auto"/>
          </w:tcPr>
          <w:p w:rsidR="00CA671C" w:rsidRPr="00CA671C" w:rsidRDefault="00CA671C" w:rsidP="00CA671C"/>
        </w:tc>
        <w:tc>
          <w:tcPr>
            <w:tcW w:w="0" w:type="auto"/>
          </w:tcPr>
          <w:p w:rsidR="00CA671C" w:rsidRPr="00CA671C" w:rsidRDefault="00CA671C" w:rsidP="00CA671C"/>
        </w:tc>
        <w:tc>
          <w:tcPr>
            <w:tcW w:w="0" w:type="auto"/>
          </w:tcPr>
          <w:p w:rsidR="00CA671C" w:rsidRPr="00CA671C" w:rsidRDefault="00CA671C" w:rsidP="00CA671C"/>
        </w:tc>
      </w:tr>
      <w:tr w:rsidR="00CA671C" w:rsidRPr="00CA671C" w:rsidTr="00CA671C">
        <w:tc>
          <w:tcPr>
            <w:tcW w:w="0" w:type="auto"/>
          </w:tcPr>
          <w:p w:rsidR="00CA671C" w:rsidRPr="00CA671C" w:rsidRDefault="00CA671C" w:rsidP="00CA671C">
            <w:r w:rsidRPr="00CA671C">
              <w:t>9.46%</w:t>
            </w:r>
          </w:p>
        </w:tc>
        <w:tc>
          <w:tcPr>
            <w:tcW w:w="0" w:type="auto"/>
          </w:tcPr>
          <w:p w:rsidR="00CA671C" w:rsidRPr="00CA671C" w:rsidRDefault="00CA671C" w:rsidP="00CA671C">
            <w:r w:rsidRPr="00CA671C">
              <w:t>=</w:t>
            </w:r>
          </w:p>
        </w:tc>
        <w:tc>
          <w:tcPr>
            <w:tcW w:w="0" w:type="auto"/>
          </w:tcPr>
          <w:p w:rsidR="00CA671C" w:rsidRPr="00CA671C" w:rsidRDefault="00CA671C" w:rsidP="00CA671C">
            <w:r w:rsidRPr="00CA671C">
              <w:t>3.58% + 0.69 (11.83% - 3.58%) + 0.20%</w:t>
            </w:r>
          </w:p>
        </w:tc>
      </w:tr>
    </w:tbl>
    <w:p w:rsidR="00CA671C" w:rsidRPr="00CA671C" w:rsidRDefault="00CA671C" w:rsidP="00CA671C"/>
    <w:p w:rsidR="00CA671C" w:rsidRPr="00CA671C" w:rsidRDefault="00CA671C" w:rsidP="00CA671C">
      <w:r w:rsidRPr="00CA671C">
        <w:t>Note:</w:t>
      </w:r>
    </w:p>
    <w:p w:rsidR="00CA671C" w:rsidRPr="00CA671C" w:rsidRDefault="00CA671C" w:rsidP="00CA671C">
      <w:r w:rsidRPr="00CA671C">
        <w:t>We calculated the market return using a quarterly DCF model for a large number of dividend paying stocks followed by Value Line. As of April 16, 2018, the result was 11.83 percent.</w:t>
      </w:r>
    </w:p>
    <w:p w:rsidR="00CA671C" w:rsidRPr="00CA671C" w:rsidRDefault="00CA671C" w:rsidP="00CA671C">
      <w:r w:rsidRPr="00CA671C">
        <w:t>We added 20 basis points to the CAPM result to account for a flotation cost of four percent.</w:t>
      </w:r>
    </w:p>
    <w:p w:rsidR="00CA671C" w:rsidRPr="00CA671C" w:rsidRDefault="00CA671C" w:rsidP="00CA671C">
      <w:pPr>
        <w:sectPr w:rsidR="00CA671C" w:rsidRPr="00CA671C" w:rsidSect="00CA671C">
          <w:pgSz w:w="12240" w:h="15840" w:code="1"/>
          <w:pgMar w:top="1584" w:right="1440" w:bottom="1440" w:left="1440" w:header="720" w:footer="720" w:gutter="0"/>
          <w:cols w:space="720"/>
          <w:formProt w:val="0"/>
          <w:docGrid w:linePitch="360"/>
        </w:sectPr>
      </w:pPr>
    </w:p>
    <w:p w:rsidR="00CA671C" w:rsidRPr="00CA671C" w:rsidRDefault="00CA671C" w:rsidP="00CA671C">
      <w:pPr>
        <w:jc w:val="right"/>
      </w:pPr>
      <w:r w:rsidRPr="00CA671C">
        <w:lastRenderedPageBreak/>
        <w:t>Attachment 1</w:t>
      </w:r>
    </w:p>
    <w:p w:rsidR="00CA671C" w:rsidRPr="00CA671C" w:rsidRDefault="00CA671C" w:rsidP="00CA671C">
      <w:pPr>
        <w:jc w:val="right"/>
      </w:pPr>
      <w:r w:rsidRPr="00CA671C">
        <w:t>Page 5 of 6</w:t>
      </w:r>
    </w:p>
    <w:p w:rsidR="00CA671C" w:rsidRPr="00CA671C" w:rsidRDefault="00CA671C" w:rsidP="00CA671C">
      <w:pPr>
        <w:jc w:val="right"/>
      </w:pPr>
    </w:p>
    <w:tbl>
      <w:tblPr>
        <w:tblW w:w="5000" w:type="pct"/>
        <w:tblLook w:val="04A0" w:firstRow="1" w:lastRow="0" w:firstColumn="1" w:lastColumn="0" w:noHBand="0" w:noVBand="1"/>
      </w:tblPr>
      <w:tblGrid>
        <w:gridCol w:w="1573"/>
        <w:gridCol w:w="694"/>
        <w:gridCol w:w="961"/>
        <w:gridCol w:w="693"/>
        <w:gridCol w:w="961"/>
        <w:gridCol w:w="774"/>
        <w:gridCol w:w="961"/>
        <w:gridCol w:w="824"/>
        <w:gridCol w:w="961"/>
        <w:gridCol w:w="1174"/>
      </w:tblGrid>
      <w:tr w:rsidR="00CA671C" w:rsidRPr="00CA671C" w:rsidTr="00CA671C">
        <w:tc>
          <w:tcPr>
            <w:tcW w:w="5000" w:type="pct"/>
            <w:gridSpan w:val="10"/>
          </w:tcPr>
          <w:p w:rsidR="00CA671C" w:rsidRPr="00CA671C" w:rsidRDefault="00CA671C" w:rsidP="00CA671C">
            <w:r w:rsidRPr="00CA671C">
              <w:t>Public Utility Long-Term Bond Yield Averages</w:t>
            </w:r>
          </w:p>
        </w:tc>
      </w:tr>
      <w:tr w:rsidR="00CA671C" w:rsidRPr="00CA671C" w:rsidTr="00CA671C">
        <w:tc>
          <w:tcPr>
            <w:tcW w:w="821" w:type="pct"/>
          </w:tcPr>
          <w:p w:rsidR="00CA671C" w:rsidRPr="00CA671C" w:rsidRDefault="00CA671C" w:rsidP="00CA671C"/>
        </w:tc>
        <w:tc>
          <w:tcPr>
            <w:tcW w:w="362" w:type="pct"/>
          </w:tcPr>
          <w:p w:rsidR="00CA671C" w:rsidRPr="00CA671C" w:rsidRDefault="00CA671C" w:rsidP="00CA671C"/>
        </w:tc>
        <w:tc>
          <w:tcPr>
            <w:tcW w:w="502" w:type="pct"/>
          </w:tcPr>
          <w:p w:rsidR="00CA671C" w:rsidRPr="00CA671C" w:rsidRDefault="00CA671C" w:rsidP="00CA671C"/>
        </w:tc>
        <w:tc>
          <w:tcPr>
            <w:tcW w:w="362" w:type="pct"/>
          </w:tcPr>
          <w:p w:rsidR="00CA671C" w:rsidRPr="00CA671C" w:rsidRDefault="00CA671C" w:rsidP="00CA671C"/>
        </w:tc>
        <w:tc>
          <w:tcPr>
            <w:tcW w:w="502" w:type="pct"/>
          </w:tcPr>
          <w:p w:rsidR="00CA671C" w:rsidRPr="00CA671C" w:rsidRDefault="00CA671C" w:rsidP="00CA671C"/>
        </w:tc>
        <w:tc>
          <w:tcPr>
            <w:tcW w:w="404" w:type="pct"/>
          </w:tcPr>
          <w:p w:rsidR="00CA671C" w:rsidRPr="00CA671C" w:rsidRDefault="00CA671C" w:rsidP="00CA671C"/>
        </w:tc>
        <w:tc>
          <w:tcPr>
            <w:tcW w:w="502" w:type="pct"/>
          </w:tcPr>
          <w:p w:rsidR="00CA671C" w:rsidRPr="00CA671C" w:rsidRDefault="00CA671C" w:rsidP="00CA671C"/>
        </w:tc>
        <w:tc>
          <w:tcPr>
            <w:tcW w:w="430" w:type="pct"/>
          </w:tcPr>
          <w:p w:rsidR="00CA671C" w:rsidRPr="00CA671C" w:rsidRDefault="00CA671C" w:rsidP="00CA671C"/>
        </w:tc>
        <w:tc>
          <w:tcPr>
            <w:tcW w:w="502" w:type="pct"/>
          </w:tcPr>
          <w:p w:rsidR="00CA671C" w:rsidRPr="00CA671C" w:rsidRDefault="00CA671C" w:rsidP="00CA671C"/>
        </w:tc>
        <w:tc>
          <w:tcPr>
            <w:tcW w:w="613" w:type="pct"/>
          </w:tcPr>
          <w:p w:rsidR="00CA671C" w:rsidRPr="00CA671C" w:rsidRDefault="00CA671C" w:rsidP="00CA671C"/>
        </w:tc>
      </w:tr>
      <w:tr w:rsidR="00CA671C" w:rsidRPr="00CA671C" w:rsidTr="00CA671C">
        <w:tc>
          <w:tcPr>
            <w:tcW w:w="821" w:type="pct"/>
          </w:tcPr>
          <w:p w:rsidR="00CA671C" w:rsidRPr="00CA671C" w:rsidRDefault="00CA671C" w:rsidP="00CA671C">
            <w:pPr>
              <w:jc w:val="right"/>
            </w:pPr>
            <w:r w:rsidRPr="00CA671C">
              <w:t>Month, Year</w:t>
            </w:r>
          </w:p>
        </w:tc>
        <w:tc>
          <w:tcPr>
            <w:tcW w:w="362" w:type="pct"/>
          </w:tcPr>
          <w:p w:rsidR="00CA671C" w:rsidRPr="00CA671C" w:rsidRDefault="00CA671C" w:rsidP="00CA671C">
            <w:pPr>
              <w:jc w:val="right"/>
            </w:pPr>
            <w:r w:rsidRPr="00CA671C">
              <w:t>A2</w:t>
            </w:r>
          </w:p>
        </w:tc>
        <w:tc>
          <w:tcPr>
            <w:tcW w:w="502" w:type="pct"/>
          </w:tcPr>
          <w:p w:rsidR="00CA671C" w:rsidRPr="00CA671C" w:rsidRDefault="00CA671C" w:rsidP="00CA671C">
            <w:pPr>
              <w:jc w:val="right"/>
            </w:pPr>
            <w:r w:rsidRPr="00CA671C">
              <w:t>Spread</w:t>
            </w:r>
          </w:p>
        </w:tc>
        <w:tc>
          <w:tcPr>
            <w:tcW w:w="362" w:type="pct"/>
          </w:tcPr>
          <w:p w:rsidR="00CA671C" w:rsidRPr="00CA671C" w:rsidRDefault="00CA671C" w:rsidP="00CA671C">
            <w:pPr>
              <w:jc w:val="right"/>
            </w:pPr>
            <w:r w:rsidRPr="00CA671C">
              <w:t>A3</w:t>
            </w:r>
          </w:p>
        </w:tc>
        <w:tc>
          <w:tcPr>
            <w:tcW w:w="502" w:type="pct"/>
          </w:tcPr>
          <w:p w:rsidR="00CA671C" w:rsidRPr="00CA671C" w:rsidRDefault="00CA671C" w:rsidP="00CA671C">
            <w:pPr>
              <w:jc w:val="right"/>
            </w:pPr>
            <w:r w:rsidRPr="00CA671C">
              <w:t>Spread</w:t>
            </w:r>
          </w:p>
        </w:tc>
        <w:tc>
          <w:tcPr>
            <w:tcW w:w="404" w:type="pct"/>
          </w:tcPr>
          <w:p w:rsidR="00CA671C" w:rsidRPr="00CA671C" w:rsidRDefault="00CA671C" w:rsidP="00CA671C">
            <w:pPr>
              <w:jc w:val="right"/>
            </w:pPr>
            <w:r w:rsidRPr="00CA671C">
              <w:t>Baa1</w:t>
            </w:r>
          </w:p>
        </w:tc>
        <w:tc>
          <w:tcPr>
            <w:tcW w:w="502" w:type="pct"/>
          </w:tcPr>
          <w:p w:rsidR="00CA671C" w:rsidRPr="00CA671C" w:rsidRDefault="00CA671C" w:rsidP="00CA671C">
            <w:pPr>
              <w:jc w:val="right"/>
            </w:pPr>
            <w:r w:rsidRPr="00CA671C">
              <w:t>Spread</w:t>
            </w:r>
          </w:p>
        </w:tc>
        <w:tc>
          <w:tcPr>
            <w:tcW w:w="430" w:type="pct"/>
          </w:tcPr>
          <w:p w:rsidR="00CA671C" w:rsidRPr="00CA671C" w:rsidRDefault="00CA671C" w:rsidP="00CA671C">
            <w:pPr>
              <w:jc w:val="right"/>
            </w:pPr>
            <w:r w:rsidRPr="00CA671C">
              <w:t>Baa2</w:t>
            </w:r>
          </w:p>
        </w:tc>
        <w:tc>
          <w:tcPr>
            <w:tcW w:w="502" w:type="pct"/>
          </w:tcPr>
          <w:p w:rsidR="00CA671C" w:rsidRPr="00CA671C" w:rsidRDefault="00CA671C" w:rsidP="00CA671C">
            <w:pPr>
              <w:jc w:val="right"/>
            </w:pPr>
            <w:r w:rsidRPr="00CA671C">
              <w:t>Spread</w:t>
            </w:r>
          </w:p>
        </w:tc>
        <w:tc>
          <w:tcPr>
            <w:tcW w:w="613" w:type="pct"/>
          </w:tcPr>
          <w:p w:rsidR="00CA671C" w:rsidRPr="00CA671C" w:rsidRDefault="00CA671C" w:rsidP="00CA671C">
            <w:pPr>
              <w:jc w:val="right"/>
            </w:pPr>
            <w:r w:rsidRPr="00CA671C">
              <w:t>Baa3</w:t>
            </w:r>
          </w:p>
        </w:tc>
      </w:tr>
      <w:tr w:rsidR="00CA671C" w:rsidRPr="00CA671C" w:rsidTr="00CA671C">
        <w:tc>
          <w:tcPr>
            <w:tcW w:w="821" w:type="pct"/>
          </w:tcPr>
          <w:p w:rsidR="00CA671C" w:rsidRPr="00CA671C" w:rsidRDefault="00CA671C" w:rsidP="00CA671C">
            <w:pPr>
              <w:jc w:val="right"/>
            </w:pPr>
            <w:r w:rsidRPr="00CA671C">
              <w:t>April, 2018</w:t>
            </w:r>
          </w:p>
        </w:tc>
        <w:tc>
          <w:tcPr>
            <w:tcW w:w="362" w:type="pct"/>
          </w:tcPr>
          <w:p w:rsidR="00CA671C" w:rsidRPr="00CA671C" w:rsidRDefault="00CA671C" w:rsidP="00CA671C">
            <w:pPr>
              <w:jc w:val="right"/>
            </w:pPr>
            <w:r w:rsidRPr="00CA671C">
              <w:t>4.15</w:t>
            </w:r>
          </w:p>
        </w:tc>
        <w:tc>
          <w:tcPr>
            <w:tcW w:w="502" w:type="pct"/>
          </w:tcPr>
          <w:p w:rsidR="00CA671C" w:rsidRPr="00CA671C" w:rsidRDefault="00CA671C" w:rsidP="00CA671C">
            <w:pPr>
              <w:jc w:val="right"/>
            </w:pPr>
            <w:r w:rsidRPr="00CA671C">
              <w:t>0.11</w:t>
            </w:r>
          </w:p>
        </w:tc>
        <w:tc>
          <w:tcPr>
            <w:tcW w:w="362" w:type="pct"/>
          </w:tcPr>
          <w:p w:rsidR="00CA671C" w:rsidRPr="00CA671C" w:rsidRDefault="00CA671C" w:rsidP="00CA671C">
            <w:pPr>
              <w:jc w:val="right"/>
            </w:pPr>
            <w:r w:rsidRPr="00CA671C">
              <w:t>4.26</w:t>
            </w:r>
          </w:p>
        </w:tc>
        <w:tc>
          <w:tcPr>
            <w:tcW w:w="502" w:type="pct"/>
          </w:tcPr>
          <w:p w:rsidR="00CA671C" w:rsidRPr="00CA671C" w:rsidRDefault="00CA671C" w:rsidP="00CA671C">
            <w:pPr>
              <w:jc w:val="right"/>
            </w:pPr>
            <w:r w:rsidRPr="00CA671C">
              <w:t>0.11</w:t>
            </w:r>
          </w:p>
        </w:tc>
        <w:tc>
          <w:tcPr>
            <w:tcW w:w="404" w:type="pct"/>
          </w:tcPr>
          <w:p w:rsidR="00CA671C" w:rsidRPr="00CA671C" w:rsidRDefault="00CA671C" w:rsidP="00CA671C">
            <w:pPr>
              <w:jc w:val="right"/>
            </w:pPr>
            <w:r w:rsidRPr="00CA671C">
              <w:t>4.37</w:t>
            </w:r>
          </w:p>
        </w:tc>
        <w:tc>
          <w:tcPr>
            <w:tcW w:w="502" w:type="pct"/>
          </w:tcPr>
          <w:p w:rsidR="00CA671C" w:rsidRPr="00CA671C" w:rsidRDefault="00CA671C" w:rsidP="00CA671C">
            <w:pPr>
              <w:jc w:val="right"/>
            </w:pPr>
            <w:r w:rsidRPr="00CA671C">
              <w:t>0.11</w:t>
            </w:r>
          </w:p>
        </w:tc>
        <w:tc>
          <w:tcPr>
            <w:tcW w:w="430" w:type="pct"/>
          </w:tcPr>
          <w:p w:rsidR="00CA671C" w:rsidRPr="00CA671C" w:rsidRDefault="00CA671C" w:rsidP="00CA671C">
            <w:pPr>
              <w:jc w:val="right"/>
            </w:pPr>
            <w:r w:rsidRPr="00CA671C">
              <w:t>4.48</w:t>
            </w:r>
          </w:p>
        </w:tc>
        <w:tc>
          <w:tcPr>
            <w:tcW w:w="502" w:type="pct"/>
          </w:tcPr>
          <w:p w:rsidR="00CA671C" w:rsidRPr="00CA671C" w:rsidRDefault="00CA671C" w:rsidP="00CA671C">
            <w:pPr>
              <w:jc w:val="right"/>
            </w:pPr>
            <w:r w:rsidRPr="00CA671C">
              <w:t>0.11</w:t>
            </w:r>
          </w:p>
        </w:tc>
        <w:tc>
          <w:tcPr>
            <w:tcW w:w="613" w:type="pct"/>
          </w:tcPr>
          <w:p w:rsidR="00CA671C" w:rsidRPr="00CA671C" w:rsidRDefault="00CA671C" w:rsidP="00CA671C">
            <w:pPr>
              <w:jc w:val="right"/>
            </w:pPr>
            <w:r w:rsidRPr="00CA671C">
              <w:t>4.59</w:t>
            </w:r>
          </w:p>
        </w:tc>
      </w:tr>
      <w:tr w:rsidR="00CA671C" w:rsidRPr="00CA671C" w:rsidTr="00CA671C">
        <w:tc>
          <w:tcPr>
            <w:tcW w:w="821" w:type="pct"/>
          </w:tcPr>
          <w:p w:rsidR="00CA671C" w:rsidRPr="00CA671C" w:rsidRDefault="00CA671C" w:rsidP="00CA671C"/>
        </w:tc>
        <w:tc>
          <w:tcPr>
            <w:tcW w:w="362" w:type="pct"/>
          </w:tcPr>
          <w:p w:rsidR="00CA671C" w:rsidRPr="00CA671C" w:rsidRDefault="00CA671C" w:rsidP="00CA671C"/>
        </w:tc>
        <w:tc>
          <w:tcPr>
            <w:tcW w:w="502" w:type="pct"/>
          </w:tcPr>
          <w:p w:rsidR="00CA671C" w:rsidRPr="00CA671C" w:rsidRDefault="00CA671C" w:rsidP="00CA671C"/>
        </w:tc>
        <w:tc>
          <w:tcPr>
            <w:tcW w:w="362" w:type="pct"/>
          </w:tcPr>
          <w:p w:rsidR="00CA671C" w:rsidRPr="00CA671C" w:rsidRDefault="00CA671C" w:rsidP="00CA671C"/>
        </w:tc>
        <w:tc>
          <w:tcPr>
            <w:tcW w:w="502" w:type="pct"/>
          </w:tcPr>
          <w:p w:rsidR="00CA671C" w:rsidRPr="00CA671C" w:rsidRDefault="00CA671C" w:rsidP="00CA671C"/>
        </w:tc>
        <w:tc>
          <w:tcPr>
            <w:tcW w:w="404" w:type="pct"/>
          </w:tcPr>
          <w:p w:rsidR="00CA671C" w:rsidRPr="00CA671C" w:rsidRDefault="00CA671C" w:rsidP="00CA671C"/>
        </w:tc>
        <w:tc>
          <w:tcPr>
            <w:tcW w:w="502" w:type="pct"/>
          </w:tcPr>
          <w:p w:rsidR="00CA671C" w:rsidRPr="00CA671C" w:rsidRDefault="00CA671C" w:rsidP="00CA671C"/>
        </w:tc>
        <w:tc>
          <w:tcPr>
            <w:tcW w:w="430" w:type="pct"/>
          </w:tcPr>
          <w:p w:rsidR="00CA671C" w:rsidRPr="00CA671C" w:rsidRDefault="00CA671C" w:rsidP="00CA671C"/>
        </w:tc>
        <w:tc>
          <w:tcPr>
            <w:tcW w:w="502" w:type="pct"/>
          </w:tcPr>
          <w:p w:rsidR="00CA671C" w:rsidRPr="00CA671C" w:rsidRDefault="00CA671C" w:rsidP="00CA671C"/>
        </w:tc>
        <w:tc>
          <w:tcPr>
            <w:tcW w:w="613" w:type="pct"/>
          </w:tcPr>
          <w:p w:rsidR="00CA671C" w:rsidRPr="00CA671C" w:rsidRDefault="00CA671C" w:rsidP="00CA671C"/>
        </w:tc>
      </w:tr>
      <w:tr w:rsidR="00CA671C" w:rsidRPr="00CA671C" w:rsidTr="00CA671C">
        <w:tc>
          <w:tcPr>
            <w:tcW w:w="2047" w:type="pct"/>
            <w:gridSpan w:val="4"/>
          </w:tcPr>
          <w:p w:rsidR="00CA671C" w:rsidRPr="00CA671C" w:rsidRDefault="00CA671C" w:rsidP="00CA671C">
            <w:pPr>
              <w:rPr>
                <w:b/>
              </w:rPr>
            </w:pPr>
            <w:r w:rsidRPr="00CA671C">
              <w:rPr>
                <w:b/>
              </w:rPr>
              <w:t>120 – Month Average Spread</w:t>
            </w:r>
          </w:p>
        </w:tc>
        <w:tc>
          <w:tcPr>
            <w:tcW w:w="502" w:type="pct"/>
          </w:tcPr>
          <w:p w:rsidR="00CA671C" w:rsidRPr="00CA671C" w:rsidRDefault="00CA671C" w:rsidP="00CA671C"/>
        </w:tc>
        <w:tc>
          <w:tcPr>
            <w:tcW w:w="404" w:type="pct"/>
          </w:tcPr>
          <w:p w:rsidR="00CA671C" w:rsidRPr="00CA671C" w:rsidRDefault="00CA671C" w:rsidP="00CA671C"/>
        </w:tc>
        <w:tc>
          <w:tcPr>
            <w:tcW w:w="502" w:type="pct"/>
          </w:tcPr>
          <w:p w:rsidR="00CA671C" w:rsidRPr="00CA671C" w:rsidRDefault="00CA671C" w:rsidP="00CA671C"/>
        </w:tc>
        <w:tc>
          <w:tcPr>
            <w:tcW w:w="430" w:type="pct"/>
          </w:tcPr>
          <w:p w:rsidR="00CA671C" w:rsidRPr="00CA671C" w:rsidRDefault="00CA671C" w:rsidP="00CA671C">
            <w:pPr>
              <w:jc w:val="right"/>
            </w:pPr>
            <w:r w:rsidRPr="00CA671C">
              <w:t>4.480</w:t>
            </w:r>
          </w:p>
        </w:tc>
        <w:tc>
          <w:tcPr>
            <w:tcW w:w="502" w:type="pct"/>
          </w:tcPr>
          <w:p w:rsidR="00CA671C" w:rsidRPr="00CA671C" w:rsidRDefault="00CA671C" w:rsidP="00CA671C">
            <w:pPr>
              <w:jc w:val="right"/>
              <w:rPr>
                <w:b/>
              </w:rPr>
            </w:pPr>
            <w:r w:rsidRPr="00CA671C">
              <w:rPr>
                <w:b/>
              </w:rPr>
              <w:t>0.161</w:t>
            </w:r>
          </w:p>
        </w:tc>
        <w:tc>
          <w:tcPr>
            <w:tcW w:w="613" w:type="pct"/>
          </w:tcPr>
          <w:p w:rsidR="00CA671C" w:rsidRPr="00CA671C" w:rsidRDefault="00CA671C" w:rsidP="00CA671C">
            <w:pPr>
              <w:jc w:val="right"/>
            </w:pPr>
            <w:r w:rsidRPr="00CA671C">
              <w:t>0.0464</w:t>
            </w:r>
          </w:p>
        </w:tc>
      </w:tr>
      <w:tr w:rsidR="00CA671C" w:rsidRPr="00CA671C" w:rsidTr="00CA671C">
        <w:tc>
          <w:tcPr>
            <w:tcW w:w="2047" w:type="pct"/>
            <w:gridSpan w:val="4"/>
          </w:tcPr>
          <w:p w:rsidR="00CA671C" w:rsidRPr="00CA671C" w:rsidRDefault="00CA671C" w:rsidP="00CA671C"/>
        </w:tc>
        <w:tc>
          <w:tcPr>
            <w:tcW w:w="502" w:type="pct"/>
          </w:tcPr>
          <w:p w:rsidR="00CA671C" w:rsidRPr="00CA671C" w:rsidRDefault="00CA671C" w:rsidP="00CA671C"/>
        </w:tc>
        <w:tc>
          <w:tcPr>
            <w:tcW w:w="404" w:type="pct"/>
          </w:tcPr>
          <w:p w:rsidR="00CA671C" w:rsidRPr="00CA671C" w:rsidRDefault="00CA671C" w:rsidP="00CA671C"/>
        </w:tc>
        <w:tc>
          <w:tcPr>
            <w:tcW w:w="502" w:type="pct"/>
          </w:tcPr>
          <w:p w:rsidR="00CA671C" w:rsidRPr="00CA671C" w:rsidRDefault="00CA671C" w:rsidP="00CA671C"/>
        </w:tc>
        <w:tc>
          <w:tcPr>
            <w:tcW w:w="430" w:type="pct"/>
          </w:tcPr>
          <w:p w:rsidR="00CA671C" w:rsidRPr="00CA671C" w:rsidRDefault="00CA671C" w:rsidP="00CA671C">
            <w:pPr>
              <w:jc w:val="right"/>
            </w:pPr>
          </w:p>
        </w:tc>
        <w:tc>
          <w:tcPr>
            <w:tcW w:w="502" w:type="pct"/>
          </w:tcPr>
          <w:p w:rsidR="00CA671C" w:rsidRPr="00CA671C" w:rsidRDefault="00CA671C" w:rsidP="00CA671C">
            <w:pPr>
              <w:jc w:val="right"/>
            </w:pPr>
          </w:p>
        </w:tc>
        <w:tc>
          <w:tcPr>
            <w:tcW w:w="613" w:type="pct"/>
          </w:tcPr>
          <w:p w:rsidR="00CA671C" w:rsidRPr="00CA671C" w:rsidRDefault="00CA671C" w:rsidP="00CA671C">
            <w:pPr>
              <w:jc w:val="right"/>
            </w:pPr>
          </w:p>
        </w:tc>
      </w:tr>
    </w:tbl>
    <w:p w:rsidR="00CA671C" w:rsidRPr="00CA671C" w:rsidRDefault="00CA671C" w:rsidP="00CA671C"/>
    <w:tbl>
      <w:tblPr>
        <w:tblW w:w="5000" w:type="pct"/>
        <w:tblLook w:val="04A0" w:firstRow="1" w:lastRow="0" w:firstColumn="1" w:lastColumn="0" w:noHBand="0" w:noVBand="1"/>
      </w:tblPr>
      <w:tblGrid>
        <w:gridCol w:w="2569"/>
        <w:gridCol w:w="2566"/>
        <w:gridCol w:w="2568"/>
        <w:gridCol w:w="1873"/>
      </w:tblGrid>
      <w:tr w:rsidR="00CA671C" w:rsidRPr="00CA671C" w:rsidTr="00CA671C">
        <w:tc>
          <w:tcPr>
            <w:tcW w:w="5000" w:type="pct"/>
            <w:gridSpan w:val="4"/>
          </w:tcPr>
          <w:p w:rsidR="00CA671C" w:rsidRPr="00CA671C" w:rsidRDefault="00CA671C" w:rsidP="00CA671C">
            <w:r w:rsidRPr="00CA671C">
              <w:t>Consensus Forecasts – Corporate Baa Bond Rate</w:t>
            </w:r>
          </w:p>
        </w:tc>
      </w:tr>
      <w:tr w:rsidR="00CA671C" w:rsidRPr="00CA671C" w:rsidTr="00CA671C">
        <w:tc>
          <w:tcPr>
            <w:tcW w:w="1341" w:type="pct"/>
          </w:tcPr>
          <w:p w:rsidR="00CA671C" w:rsidRPr="00CA671C" w:rsidRDefault="00CA671C" w:rsidP="00CA671C"/>
        </w:tc>
        <w:tc>
          <w:tcPr>
            <w:tcW w:w="1340" w:type="pct"/>
          </w:tcPr>
          <w:p w:rsidR="00CA671C" w:rsidRPr="00CA671C" w:rsidRDefault="00CA671C" w:rsidP="00CA671C"/>
        </w:tc>
        <w:tc>
          <w:tcPr>
            <w:tcW w:w="1340" w:type="pct"/>
          </w:tcPr>
          <w:p w:rsidR="00CA671C" w:rsidRPr="00CA671C" w:rsidRDefault="00CA671C" w:rsidP="00CA671C"/>
        </w:tc>
        <w:tc>
          <w:tcPr>
            <w:tcW w:w="978" w:type="pct"/>
          </w:tcPr>
          <w:p w:rsidR="00CA671C" w:rsidRPr="00CA671C" w:rsidRDefault="00CA671C" w:rsidP="00CA671C"/>
        </w:tc>
      </w:tr>
      <w:tr w:rsidR="00CA671C" w:rsidRPr="00CA671C" w:rsidTr="00CA671C">
        <w:tc>
          <w:tcPr>
            <w:tcW w:w="1341" w:type="pct"/>
          </w:tcPr>
          <w:p w:rsidR="00CA671C" w:rsidRPr="00CA671C" w:rsidRDefault="00CA671C" w:rsidP="00CA671C">
            <w:r w:rsidRPr="00CA671C">
              <w:t>2Q 2018</w:t>
            </w:r>
          </w:p>
        </w:tc>
        <w:tc>
          <w:tcPr>
            <w:tcW w:w="1340" w:type="pct"/>
          </w:tcPr>
          <w:p w:rsidR="00CA671C" w:rsidRPr="00CA671C" w:rsidRDefault="00CA671C" w:rsidP="00CA671C">
            <w:r w:rsidRPr="00CA671C">
              <w:t>3Q 2018</w:t>
            </w:r>
          </w:p>
        </w:tc>
        <w:tc>
          <w:tcPr>
            <w:tcW w:w="1340" w:type="pct"/>
          </w:tcPr>
          <w:p w:rsidR="00CA671C" w:rsidRPr="00CA671C" w:rsidRDefault="00CA671C" w:rsidP="00CA671C">
            <w:r w:rsidRPr="00CA671C">
              <w:t>4Q 2018</w:t>
            </w:r>
          </w:p>
        </w:tc>
        <w:tc>
          <w:tcPr>
            <w:tcW w:w="978" w:type="pct"/>
          </w:tcPr>
          <w:p w:rsidR="00CA671C" w:rsidRPr="00CA671C" w:rsidRDefault="00CA671C" w:rsidP="00CA671C">
            <w:r w:rsidRPr="00CA671C">
              <w:t>1Q 2019</w:t>
            </w:r>
          </w:p>
        </w:tc>
      </w:tr>
      <w:tr w:rsidR="00CA671C" w:rsidRPr="00CA671C" w:rsidTr="00CA671C">
        <w:tc>
          <w:tcPr>
            <w:tcW w:w="1341" w:type="pct"/>
          </w:tcPr>
          <w:p w:rsidR="00CA671C" w:rsidRPr="00CA671C" w:rsidRDefault="00CA671C" w:rsidP="00CA671C">
            <w:r w:rsidRPr="00CA671C">
              <w:t>4.8</w:t>
            </w:r>
          </w:p>
        </w:tc>
        <w:tc>
          <w:tcPr>
            <w:tcW w:w="1340" w:type="pct"/>
          </w:tcPr>
          <w:p w:rsidR="00CA671C" w:rsidRPr="00CA671C" w:rsidRDefault="00CA671C" w:rsidP="00CA671C">
            <w:r w:rsidRPr="00CA671C">
              <w:t>5.0</w:t>
            </w:r>
          </w:p>
        </w:tc>
        <w:tc>
          <w:tcPr>
            <w:tcW w:w="1340" w:type="pct"/>
          </w:tcPr>
          <w:p w:rsidR="00CA671C" w:rsidRPr="00CA671C" w:rsidRDefault="00CA671C" w:rsidP="00CA671C">
            <w:r w:rsidRPr="00CA671C">
              <w:t>5.2</w:t>
            </w:r>
          </w:p>
        </w:tc>
        <w:tc>
          <w:tcPr>
            <w:tcW w:w="978" w:type="pct"/>
          </w:tcPr>
          <w:p w:rsidR="00CA671C" w:rsidRPr="00CA671C" w:rsidRDefault="00CA671C" w:rsidP="00CA671C">
            <w:r w:rsidRPr="00CA671C">
              <w:t>5.3</w:t>
            </w:r>
          </w:p>
        </w:tc>
      </w:tr>
      <w:tr w:rsidR="00CA671C" w:rsidRPr="00CA671C" w:rsidTr="00CA671C">
        <w:tc>
          <w:tcPr>
            <w:tcW w:w="4022" w:type="pct"/>
            <w:gridSpan w:val="3"/>
          </w:tcPr>
          <w:p w:rsidR="00CA671C" w:rsidRPr="00CA671C" w:rsidRDefault="00CA671C" w:rsidP="00CA671C">
            <w:pPr>
              <w:rPr>
                <w:b/>
              </w:rPr>
            </w:pPr>
            <w:r w:rsidRPr="00CA671C">
              <w:rPr>
                <w:b/>
              </w:rPr>
              <w:t>Average Forecasted Corporate Baa Bond Rate:</w:t>
            </w:r>
          </w:p>
        </w:tc>
        <w:tc>
          <w:tcPr>
            <w:tcW w:w="978" w:type="pct"/>
          </w:tcPr>
          <w:p w:rsidR="00CA671C" w:rsidRPr="00CA671C" w:rsidRDefault="00CA671C" w:rsidP="00CA671C">
            <w:pPr>
              <w:rPr>
                <w:b/>
              </w:rPr>
            </w:pPr>
            <w:r w:rsidRPr="00CA671C">
              <w:rPr>
                <w:b/>
              </w:rPr>
              <w:t>5.075</w:t>
            </w:r>
          </w:p>
        </w:tc>
      </w:tr>
    </w:tbl>
    <w:p w:rsidR="00CA671C" w:rsidRPr="00CA671C" w:rsidRDefault="00CA671C" w:rsidP="00CA671C"/>
    <w:p w:rsidR="00CA671C" w:rsidRPr="00CA671C" w:rsidRDefault="00CA671C" w:rsidP="00CA671C">
      <w:r w:rsidRPr="00CA671C">
        <w:rPr>
          <w:b/>
        </w:rPr>
        <w:t>Assumed Bond Yield for Baa3 Utilities: 0.161 + 5.075 = 5.236</w:t>
      </w:r>
    </w:p>
    <w:p w:rsidR="00CA671C" w:rsidRPr="00CA671C" w:rsidRDefault="00CA671C" w:rsidP="00CA671C"/>
    <w:tbl>
      <w:tblPr>
        <w:tblW w:w="5000" w:type="pct"/>
        <w:tblLook w:val="04A0" w:firstRow="1" w:lastRow="0" w:firstColumn="1" w:lastColumn="0" w:noHBand="0" w:noVBand="1"/>
      </w:tblPr>
      <w:tblGrid>
        <w:gridCol w:w="6584"/>
        <w:gridCol w:w="1423"/>
        <w:gridCol w:w="1569"/>
      </w:tblGrid>
      <w:tr w:rsidR="00CA671C" w:rsidRPr="00CA671C" w:rsidTr="00CA671C">
        <w:tc>
          <w:tcPr>
            <w:tcW w:w="3438" w:type="pct"/>
          </w:tcPr>
          <w:p w:rsidR="00CA671C" w:rsidRPr="00CA671C" w:rsidRDefault="00CA671C" w:rsidP="00CA671C"/>
        </w:tc>
        <w:tc>
          <w:tcPr>
            <w:tcW w:w="743" w:type="pct"/>
          </w:tcPr>
          <w:p w:rsidR="00CA671C" w:rsidRPr="00CA671C" w:rsidRDefault="00CA671C" w:rsidP="00CA671C">
            <w:pPr>
              <w:jc w:val="right"/>
            </w:pPr>
            <w:r w:rsidRPr="00CA671C">
              <w:t>Updated</w:t>
            </w:r>
          </w:p>
        </w:tc>
        <w:tc>
          <w:tcPr>
            <w:tcW w:w="819" w:type="pct"/>
          </w:tcPr>
          <w:p w:rsidR="00CA671C" w:rsidRPr="00CA671C" w:rsidRDefault="00CA671C" w:rsidP="00CA671C">
            <w:pPr>
              <w:jc w:val="right"/>
            </w:pPr>
            <w:r w:rsidRPr="00CA671C">
              <w:t>Currently</w:t>
            </w:r>
          </w:p>
        </w:tc>
      </w:tr>
      <w:tr w:rsidR="00CA671C" w:rsidRPr="00CA671C" w:rsidTr="00CA671C">
        <w:tc>
          <w:tcPr>
            <w:tcW w:w="3438" w:type="pct"/>
          </w:tcPr>
          <w:p w:rsidR="00CA671C" w:rsidRPr="00CA671C" w:rsidRDefault="00CA671C" w:rsidP="00CA671C"/>
        </w:tc>
        <w:tc>
          <w:tcPr>
            <w:tcW w:w="743" w:type="pct"/>
          </w:tcPr>
          <w:p w:rsidR="00CA671C" w:rsidRPr="00CA671C" w:rsidRDefault="00CA671C" w:rsidP="00CA671C">
            <w:pPr>
              <w:jc w:val="right"/>
            </w:pPr>
            <w:r w:rsidRPr="00CA671C">
              <w:t>Results</w:t>
            </w:r>
          </w:p>
        </w:tc>
        <w:tc>
          <w:tcPr>
            <w:tcW w:w="819" w:type="pct"/>
          </w:tcPr>
          <w:p w:rsidR="00CA671C" w:rsidRPr="00CA671C" w:rsidRDefault="00CA671C" w:rsidP="00CA671C">
            <w:pPr>
              <w:jc w:val="right"/>
            </w:pPr>
            <w:r w:rsidRPr="00CA671C">
              <w:t>In Effect</w:t>
            </w:r>
          </w:p>
        </w:tc>
      </w:tr>
      <w:tr w:rsidR="00CA671C" w:rsidRPr="00CA671C" w:rsidTr="00CA671C">
        <w:tc>
          <w:tcPr>
            <w:tcW w:w="3438" w:type="pct"/>
          </w:tcPr>
          <w:p w:rsidR="00CA671C" w:rsidRPr="00CA671C" w:rsidRDefault="00CA671C" w:rsidP="00CA671C">
            <w:r w:rsidRPr="00CA671C">
              <w:t>Private Placement Premium</w:t>
            </w:r>
          </w:p>
        </w:tc>
        <w:tc>
          <w:tcPr>
            <w:tcW w:w="743" w:type="pct"/>
          </w:tcPr>
          <w:p w:rsidR="00CA671C" w:rsidRPr="00CA671C" w:rsidRDefault="00CA671C" w:rsidP="00CA671C">
            <w:pPr>
              <w:jc w:val="right"/>
            </w:pPr>
            <w:r w:rsidRPr="00CA671C">
              <w:t>0.50%</w:t>
            </w:r>
          </w:p>
        </w:tc>
        <w:tc>
          <w:tcPr>
            <w:tcW w:w="819" w:type="pct"/>
          </w:tcPr>
          <w:p w:rsidR="00CA671C" w:rsidRPr="00CA671C" w:rsidRDefault="00CA671C" w:rsidP="00CA671C">
            <w:pPr>
              <w:jc w:val="right"/>
            </w:pPr>
            <w:r w:rsidRPr="00CA671C">
              <w:t>0.50%</w:t>
            </w:r>
          </w:p>
        </w:tc>
      </w:tr>
      <w:tr w:rsidR="00CA671C" w:rsidRPr="00CA671C" w:rsidTr="00CA671C">
        <w:tc>
          <w:tcPr>
            <w:tcW w:w="3438" w:type="pct"/>
          </w:tcPr>
          <w:p w:rsidR="00CA671C" w:rsidRPr="00CA671C" w:rsidRDefault="00CA671C" w:rsidP="00CA671C">
            <w:r w:rsidRPr="00CA671C">
              <w:t>Small-Utility Risk Premium</w:t>
            </w:r>
          </w:p>
        </w:tc>
        <w:tc>
          <w:tcPr>
            <w:tcW w:w="743" w:type="pct"/>
          </w:tcPr>
          <w:p w:rsidR="00CA671C" w:rsidRPr="00CA671C" w:rsidRDefault="00CA671C" w:rsidP="00CA671C">
            <w:pPr>
              <w:jc w:val="right"/>
            </w:pPr>
            <w:r w:rsidRPr="00CA671C">
              <w:t>0.50%</w:t>
            </w:r>
          </w:p>
        </w:tc>
        <w:tc>
          <w:tcPr>
            <w:tcW w:w="819" w:type="pct"/>
          </w:tcPr>
          <w:p w:rsidR="00CA671C" w:rsidRPr="00CA671C" w:rsidRDefault="00CA671C" w:rsidP="00CA671C">
            <w:pPr>
              <w:jc w:val="right"/>
            </w:pPr>
            <w:r w:rsidRPr="00CA671C">
              <w:t>0.50%</w:t>
            </w:r>
          </w:p>
        </w:tc>
      </w:tr>
      <w:tr w:rsidR="00CA671C" w:rsidRPr="00CA671C" w:rsidTr="00CA671C">
        <w:tc>
          <w:tcPr>
            <w:tcW w:w="3438" w:type="pct"/>
          </w:tcPr>
          <w:p w:rsidR="00CA671C" w:rsidRPr="00CA671C" w:rsidRDefault="00CA671C" w:rsidP="00CA671C">
            <w:r w:rsidRPr="00CA671C">
              <w:t>Assumed Bond Yield for Baa3 Utilities</w:t>
            </w:r>
          </w:p>
        </w:tc>
        <w:tc>
          <w:tcPr>
            <w:tcW w:w="743" w:type="pct"/>
          </w:tcPr>
          <w:p w:rsidR="00CA671C" w:rsidRPr="00CA671C" w:rsidRDefault="00CA671C" w:rsidP="00CA671C">
            <w:pPr>
              <w:jc w:val="right"/>
            </w:pPr>
            <w:r w:rsidRPr="00CA671C">
              <w:t>5.24%</w:t>
            </w:r>
          </w:p>
        </w:tc>
        <w:tc>
          <w:tcPr>
            <w:tcW w:w="819" w:type="pct"/>
          </w:tcPr>
          <w:p w:rsidR="00CA671C" w:rsidRPr="00CA671C" w:rsidRDefault="00CA671C" w:rsidP="00CA671C">
            <w:pPr>
              <w:jc w:val="right"/>
            </w:pPr>
            <w:r w:rsidRPr="00CA671C">
              <w:t>6.13%</w:t>
            </w:r>
          </w:p>
        </w:tc>
      </w:tr>
      <w:tr w:rsidR="00CA671C" w:rsidRPr="00CA671C" w:rsidTr="00CA671C">
        <w:tc>
          <w:tcPr>
            <w:tcW w:w="3438" w:type="pct"/>
          </w:tcPr>
          <w:p w:rsidR="00CA671C" w:rsidRPr="00CA671C" w:rsidRDefault="00CA671C" w:rsidP="00CA671C">
            <w:pPr>
              <w:rPr>
                <w:b/>
              </w:rPr>
            </w:pPr>
            <w:r w:rsidRPr="00CA671C">
              <w:rPr>
                <w:b/>
              </w:rPr>
              <w:t>Assumed Bond Yield for Florida WAW Utilities:</w:t>
            </w:r>
          </w:p>
        </w:tc>
        <w:tc>
          <w:tcPr>
            <w:tcW w:w="743" w:type="pct"/>
          </w:tcPr>
          <w:p w:rsidR="00CA671C" w:rsidRPr="00CA671C" w:rsidRDefault="00CA671C" w:rsidP="00CA671C">
            <w:pPr>
              <w:jc w:val="right"/>
              <w:rPr>
                <w:b/>
                <w:u w:val="double"/>
              </w:rPr>
            </w:pPr>
            <w:r w:rsidRPr="00CA671C">
              <w:rPr>
                <w:b/>
                <w:u w:val="double"/>
              </w:rPr>
              <w:t>6.24%</w:t>
            </w:r>
          </w:p>
        </w:tc>
        <w:tc>
          <w:tcPr>
            <w:tcW w:w="819" w:type="pct"/>
          </w:tcPr>
          <w:p w:rsidR="00CA671C" w:rsidRPr="00CA671C" w:rsidRDefault="00CA671C" w:rsidP="00CA671C">
            <w:pPr>
              <w:jc w:val="right"/>
              <w:rPr>
                <w:b/>
                <w:u w:val="double"/>
              </w:rPr>
            </w:pPr>
            <w:r w:rsidRPr="00CA671C">
              <w:rPr>
                <w:b/>
                <w:u w:val="double"/>
              </w:rPr>
              <w:t>7.13%</w:t>
            </w:r>
          </w:p>
        </w:tc>
      </w:tr>
    </w:tbl>
    <w:p w:rsidR="00CA671C" w:rsidRPr="00CA671C" w:rsidRDefault="00CA671C" w:rsidP="00CA671C"/>
    <w:p w:rsidR="00CA671C" w:rsidRPr="00CA671C" w:rsidRDefault="00CA671C" w:rsidP="00CA671C"/>
    <w:p w:rsidR="00CA671C" w:rsidRPr="00CA671C" w:rsidRDefault="00CA671C" w:rsidP="00CA671C">
      <w:r w:rsidRPr="00CA671C">
        <w:t>Sources:</w:t>
      </w:r>
    </w:p>
    <w:p w:rsidR="00CA671C" w:rsidRPr="00CA671C" w:rsidRDefault="00CA671C" w:rsidP="00CA671C">
      <w:r w:rsidRPr="00CA671C">
        <w:t>Value Line Selection and Opinion</w:t>
      </w:r>
    </w:p>
    <w:p w:rsidR="00CA671C" w:rsidRPr="00CA671C" w:rsidRDefault="00CA671C" w:rsidP="00CA671C">
      <w:r w:rsidRPr="00CA671C">
        <w:t>Blue Chip Financial Forecast – May 2018</w:t>
      </w:r>
      <w:r w:rsidRPr="00CA671C">
        <w:br w:type="page"/>
      </w:r>
    </w:p>
    <w:p w:rsidR="00CA671C" w:rsidRPr="00CA671C" w:rsidRDefault="00CA671C" w:rsidP="00CA671C">
      <w:pPr>
        <w:jc w:val="right"/>
      </w:pPr>
      <w:r w:rsidRPr="00CA671C">
        <w:lastRenderedPageBreak/>
        <w:t>Attachment 1</w:t>
      </w:r>
    </w:p>
    <w:p w:rsidR="00CA671C" w:rsidRPr="00CA671C" w:rsidRDefault="00CA671C" w:rsidP="00CA671C">
      <w:pPr>
        <w:jc w:val="right"/>
      </w:pPr>
      <w:r w:rsidRPr="00CA671C">
        <w:t>Page 6 of 6</w:t>
      </w:r>
    </w:p>
    <w:p w:rsidR="00CA671C" w:rsidRPr="00CA671C" w:rsidRDefault="00CA671C" w:rsidP="00CA671C">
      <w:pPr>
        <w:jc w:val="right"/>
      </w:pPr>
    </w:p>
    <w:tbl>
      <w:tblPr>
        <w:tblW w:w="5000" w:type="pct"/>
        <w:tblLook w:val="04A0" w:firstRow="1" w:lastRow="0" w:firstColumn="1" w:lastColumn="0" w:noHBand="0" w:noVBand="1"/>
      </w:tblPr>
      <w:tblGrid>
        <w:gridCol w:w="2324"/>
        <w:gridCol w:w="804"/>
        <w:gridCol w:w="1350"/>
        <w:gridCol w:w="1266"/>
        <w:gridCol w:w="935"/>
        <w:gridCol w:w="1074"/>
        <w:gridCol w:w="743"/>
        <w:gridCol w:w="1080"/>
      </w:tblGrid>
      <w:tr w:rsidR="00CA671C" w:rsidRPr="00CA671C" w:rsidTr="00CA671C">
        <w:tc>
          <w:tcPr>
            <w:tcW w:w="5000" w:type="pct"/>
            <w:gridSpan w:val="8"/>
          </w:tcPr>
          <w:p w:rsidR="00CA671C" w:rsidRPr="00CA671C" w:rsidRDefault="00CA671C" w:rsidP="00CA671C">
            <w:pPr>
              <w:rPr>
                <w:sz w:val="22"/>
              </w:rPr>
            </w:pPr>
            <w:r w:rsidRPr="00CA671C">
              <w:rPr>
                <w:sz w:val="22"/>
              </w:rPr>
              <w:t>2018 Leverage Formula Proxy Group</w:t>
            </w:r>
          </w:p>
        </w:tc>
      </w:tr>
      <w:tr w:rsidR="00CA671C" w:rsidRPr="00CA671C" w:rsidTr="00CA671C">
        <w:tc>
          <w:tcPr>
            <w:tcW w:w="1213" w:type="pct"/>
          </w:tcPr>
          <w:p w:rsidR="00CA671C" w:rsidRPr="00CA671C" w:rsidRDefault="00CA671C" w:rsidP="00CA671C">
            <w:pPr>
              <w:rPr>
                <w:sz w:val="22"/>
              </w:rPr>
            </w:pPr>
          </w:p>
        </w:tc>
        <w:tc>
          <w:tcPr>
            <w:tcW w:w="420" w:type="pct"/>
          </w:tcPr>
          <w:p w:rsidR="00CA671C" w:rsidRPr="00CA671C" w:rsidRDefault="00CA671C" w:rsidP="00CA671C">
            <w:pPr>
              <w:rPr>
                <w:sz w:val="22"/>
              </w:rPr>
            </w:pPr>
          </w:p>
        </w:tc>
        <w:tc>
          <w:tcPr>
            <w:tcW w:w="705" w:type="pct"/>
          </w:tcPr>
          <w:p w:rsidR="00CA671C" w:rsidRPr="00CA671C" w:rsidRDefault="00CA671C" w:rsidP="00CA671C">
            <w:pPr>
              <w:rPr>
                <w:sz w:val="22"/>
              </w:rPr>
            </w:pPr>
          </w:p>
        </w:tc>
        <w:tc>
          <w:tcPr>
            <w:tcW w:w="661" w:type="pct"/>
          </w:tcPr>
          <w:p w:rsidR="00CA671C" w:rsidRPr="00CA671C" w:rsidRDefault="00CA671C" w:rsidP="00CA671C">
            <w:pPr>
              <w:rPr>
                <w:sz w:val="22"/>
              </w:rPr>
            </w:pPr>
          </w:p>
        </w:tc>
        <w:tc>
          <w:tcPr>
            <w:tcW w:w="488" w:type="pct"/>
          </w:tcPr>
          <w:p w:rsidR="00CA671C" w:rsidRPr="00CA671C" w:rsidRDefault="00CA671C" w:rsidP="00CA671C">
            <w:pPr>
              <w:rPr>
                <w:sz w:val="22"/>
              </w:rPr>
            </w:pPr>
          </w:p>
        </w:tc>
        <w:tc>
          <w:tcPr>
            <w:tcW w:w="561" w:type="pct"/>
          </w:tcPr>
          <w:p w:rsidR="00CA671C" w:rsidRPr="00CA671C" w:rsidRDefault="00CA671C" w:rsidP="00CA671C">
            <w:pPr>
              <w:rPr>
                <w:sz w:val="22"/>
              </w:rPr>
            </w:pPr>
          </w:p>
        </w:tc>
        <w:tc>
          <w:tcPr>
            <w:tcW w:w="388" w:type="pct"/>
          </w:tcPr>
          <w:p w:rsidR="00CA671C" w:rsidRPr="00CA671C" w:rsidRDefault="00CA671C" w:rsidP="00CA671C">
            <w:pPr>
              <w:rPr>
                <w:sz w:val="22"/>
              </w:rPr>
            </w:pPr>
          </w:p>
        </w:tc>
        <w:tc>
          <w:tcPr>
            <w:tcW w:w="564" w:type="pct"/>
          </w:tcPr>
          <w:p w:rsidR="00CA671C" w:rsidRPr="00CA671C" w:rsidRDefault="00CA671C" w:rsidP="00CA671C">
            <w:pPr>
              <w:rPr>
                <w:sz w:val="22"/>
              </w:rPr>
            </w:pPr>
          </w:p>
        </w:tc>
      </w:tr>
      <w:tr w:rsidR="00CA671C" w:rsidRPr="00CA671C" w:rsidTr="00CA671C">
        <w:tc>
          <w:tcPr>
            <w:tcW w:w="1213" w:type="pct"/>
          </w:tcPr>
          <w:p w:rsidR="00CA671C" w:rsidRPr="00CA671C" w:rsidRDefault="00CA671C" w:rsidP="00CA671C">
            <w:pPr>
              <w:rPr>
                <w:sz w:val="22"/>
              </w:rPr>
            </w:pPr>
          </w:p>
        </w:tc>
        <w:tc>
          <w:tcPr>
            <w:tcW w:w="420" w:type="pct"/>
          </w:tcPr>
          <w:p w:rsidR="00CA671C" w:rsidRPr="00CA671C" w:rsidRDefault="00CA671C" w:rsidP="00CA671C">
            <w:pPr>
              <w:rPr>
                <w:sz w:val="22"/>
              </w:rPr>
            </w:pPr>
            <w:r w:rsidRPr="00CA671C">
              <w:rPr>
                <w:sz w:val="22"/>
              </w:rPr>
              <w:t>S&amp;P</w:t>
            </w:r>
          </w:p>
        </w:tc>
        <w:tc>
          <w:tcPr>
            <w:tcW w:w="705" w:type="pct"/>
          </w:tcPr>
          <w:p w:rsidR="00CA671C" w:rsidRPr="00CA671C" w:rsidRDefault="00CA671C" w:rsidP="00CA671C">
            <w:pPr>
              <w:rPr>
                <w:sz w:val="22"/>
              </w:rPr>
            </w:pPr>
            <w:r w:rsidRPr="00CA671C">
              <w:rPr>
                <w:sz w:val="22"/>
              </w:rPr>
              <w:t>Percent</w:t>
            </w:r>
          </w:p>
        </w:tc>
        <w:tc>
          <w:tcPr>
            <w:tcW w:w="661" w:type="pct"/>
          </w:tcPr>
          <w:p w:rsidR="00CA671C" w:rsidRPr="00CA671C" w:rsidRDefault="00CA671C" w:rsidP="00CA671C">
            <w:pPr>
              <w:rPr>
                <w:sz w:val="22"/>
              </w:rPr>
            </w:pPr>
            <w:r w:rsidRPr="00CA671C">
              <w:rPr>
                <w:sz w:val="22"/>
              </w:rPr>
              <w:t>V/L Market</w:t>
            </w:r>
          </w:p>
        </w:tc>
        <w:tc>
          <w:tcPr>
            <w:tcW w:w="488" w:type="pct"/>
          </w:tcPr>
          <w:p w:rsidR="00CA671C" w:rsidRPr="00CA671C" w:rsidRDefault="00CA671C" w:rsidP="00CA671C">
            <w:pPr>
              <w:rPr>
                <w:sz w:val="22"/>
              </w:rPr>
            </w:pPr>
          </w:p>
        </w:tc>
        <w:tc>
          <w:tcPr>
            <w:tcW w:w="561" w:type="pct"/>
          </w:tcPr>
          <w:p w:rsidR="00CA671C" w:rsidRPr="00CA671C" w:rsidRDefault="00CA671C" w:rsidP="00CA671C">
            <w:pPr>
              <w:rPr>
                <w:sz w:val="22"/>
              </w:rPr>
            </w:pPr>
            <w:r w:rsidRPr="00CA671C">
              <w:rPr>
                <w:sz w:val="22"/>
              </w:rPr>
              <w:t>Weighted</w:t>
            </w:r>
          </w:p>
        </w:tc>
        <w:tc>
          <w:tcPr>
            <w:tcW w:w="388" w:type="pct"/>
          </w:tcPr>
          <w:p w:rsidR="00CA671C" w:rsidRPr="00CA671C" w:rsidRDefault="00CA671C" w:rsidP="00CA671C">
            <w:pPr>
              <w:rPr>
                <w:sz w:val="22"/>
              </w:rPr>
            </w:pPr>
            <w:r w:rsidRPr="00CA671C">
              <w:rPr>
                <w:sz w:val="22"/>
              </w:rPr>
              <w:t>Value</w:t>
            </w:r>
          </w:p>
        </w:tc>
        <w:tc>
          <w:tcPr>
            <w:tcW w:w="564" w:type="pct"/>
          </w:tcPr>
          <w:p w:rsidR="00CA671C" w:rsidRPr="00CA671C" w:rsidRDefault="00CA671C" w:rsidP="00CA671C">
            <w:pPr>
              <w:rPr>
                <w:sz w:val="22"/>
              </w:rPr>
            </w:pPr>
            <w:r w:rsidRPr="00CA671C">
              <w:rPr>
                <w:sz w:val="22"/>
              </w:rPr>
              <w:t>Weighted</w:t>
            </w:r>
          </w:p>
        </w:tc>
      </w:tr>
      <w:tr w:rsidR="00CA671C" w:rsidRPr="00CA671C" w:rsidTr="00CA671C">
        <w:tc>
          <w:tcPr>
            <w:tcW w:w="1213" w:type="pct"/>
          </w:tcPr>
          <w:p w:rsidR="00CA671C" w:rsidRPr="00CA671C" w:rsidRDefault="00CA671C" w:rsidP="00CA671C">
            <w:pPr>
              <w:rPr>
                <w:sz w:val="22"/>
              </w:rPr>
            </w:pPr>
          </w:p>
        </w:tc>
        <w:tc>
          <w:tcPr>
            <w:tcW w:w="420" w:type="pct"/>
          </w:tcPr>
          <w:p w:rsidR="00CA671C" w:rsidRPr="00CA671C" w:rsidRDefault="00CA671C" w:rsidP="00CA671C">
            <w:pPr>
              <w:rPr>
                <w:sz w:val="22"/>
              </w:rPr>
            </w:pPr>
            <w:r w:rsidRPr="00CA671C">
              <w:rPr>
                <w:sz w:val="22"/>
              </w:rPr>
              <w:t>Bond</w:t>
            </w:r>
          </w:p>
        </w:tc>
        <w:tc>
          <w:tcPr>
            <w:tcW w:w="705" w:type="pct"/>
          </w:tcPr>
          <w:p w:rsidR="00CA671C" w:rsidRPr="00CA671C" w:rsidRDefault="00CA671C" w:rsidP="00CA671C">
            <w:pPr>
              <w:rPr>
                <w:sz w:val="22"/>
              </w:rPr>
            </w:pPr>
            <w:r w:rsidRPr="00CA671C">
              <w:rPr>
                <w:sz w:val="22"/>
              </w:rPr>
              <w:t xml:space="preserve"> Regulated</w:t>
            </w:r>
          </w:p>
        </w:tc>
        <w:tc>
          <w:tcPr>
            <w:tcW w:w="661" w:type="pct"/>
          </w:tcPr>
          <w:p w:rsidR="00CA671C" w:rsidRPr="00CA671C" w:rsidRDefault="00CA671C" w:rsidP="00CA671C">
            <w:pPr>
              <w:rPr>
                <w:sz w:val="22"/>
              </w:rPr>
            </w:pPr>
            <w:r w:rsidRPr="00CA671C">
              <w:rPr>
                <w:sz w:val="22"/>
              </w:rPr>
              <w:t>Capital</w:t>
            </w:r>
          </w:p>
        </w:tc>
        <w:tc>
          <w:tcPr>
            <w:tcW w:w="488" w:type="pct"/>
          </w:tcPr>
          <w:p w:rsidR="00CA671C" w:rsidRPr="00CA671C" w:rsidRDefault="00CA671C" w:rsidP="00CA671C">
            <w:pPr>
              <w:rPr>
                <w:sz w:val="22"/>
              </w:rPr>
            </w:pPr>
            <w:r w:rsidRPr="00CA671C">
              <w:rPr>
                <w:sz w:val="22"/>
              </w:rPr>
              <w:t>Equity</w:t>
            </w:r>
          </w:p>
        </w:tc>
        <w:tc>
          <w:tcPr>
            <w:tcW w:w="561" w:type="pct"/>
          </w:tcPr>
          <w:p w:rsidR="00CA671C" w:rsidRPr="00CA671C" w:rsidRDefault="00CA671C" w:rsidP="00CA671C">
            <w:pPr>
              <w:rPr>
                <w:sz w:val="22"/>
              </w:rPr>
            </w:pPr>
            <w:r w:rsidRPr="00CA671C">
              <w:rPr>
                <w:sz w:val="22"/>
              </w:rPr>
              <w:t>Equity</w:t>
            </w:r>
          </w:p>
        </w:tc>
        <w:tc>
          <w:tcPr>
            <w:tcW w:w="388" w:type="pct"/>
          </w:tcPr>
          <w:p w:rsidR="00CA671C" w:rsidRPr="00CA671C" w:rsidRDefault="00CA671C" w:rsidP="00CA671C">
            <w:pPr>
              <w:rPr>
                <w:sz w:val="22"/>
              </w:rPr>
            </w:pPr>
            <w:r w:rsidRPr="00CA671C">
              <w:rPr>
                <w:sz w:val="22"/>
              </w:rPr>
              <w:t>Line</w:t>
            </w:r>
          </w:p>
        </w:tc>
        <w:tc>
          <w:tcPr>
            <w:tcW w:w="564" w:type="pct"/>
          </w:tcPr>
          <w:p w:rsidR="00CA671C" w:rsidRPr="00CA671C" w:rsidRDefault="00CA671C" w:rsidP="00CA671C">
            <w:pPr>
              <w:rPr>
                <w:sz w:val="22"/>
              </w:rPr>
            </w:pPr>
            <w:r w:rsidRPr="00CA671C">
              <w:rPr>
                <w:sz w:val="22"/>
              </w:rPr>
              <w:t>Value</w:t>
            </w:r>
          </w:p>
        </w:tc>
      </w:tr>
      <w:tr w:rsidR="00CA671C" w:rsidRPr="00CA671C" w:rsidTr="00CA671C">
        <w:tc>
          <w:tcPr>
            <w:tcW w:w="1213" w:type="pct"/>
          </w:tcPr>
          <w:p w:rsidR="00CA671C" w:rsidRPr="00CA671C" w:rsidRDefault="00CA671C" w:rsidP="00CA671C">
            <w:pPr>
              <w:rPr>
                <w:sz w:val="22"/>
              </w:rPr>
            </w:pPr>
            <w:r w:rsidRPr="00CA671C">
              <w:rPr>
                <w:sz w:val="22"/>
              </w:rPr>
              <w:t>Company</w:t>
            </w:r>
          </w:p>
        </w:tc>
        <w:tc>
          <w:tcPr>
            <w:tcW w:w="420" w:type="pct"/>
          </w:tcPr>
          <w:p w:rsidR="00CA671C" w:rsidRPr="00CA671C" w:rsidRDefault="00CA671C" w:rsidP="00CA671C">
            <w:pPr>
              <w:rPr>
                <w:sz w:val="22"/>
                <w:u w:val="single"/>
              </w:rPr>
            </w:pPr>
            <w:r w:rsidRPr="00CA671C">
              <w:rPr>
                <w:sz w:val="22"/>
                <w:u w:val="single"/>
              </w:rPr>
              <w:t>Rating</w:t>
            </w:r>
          </w:p>
        </w:tc>
        <w:tc>
          <w:tcPr>
            <w:tcW w:w="705" w:type="pct"/>
          </w:tcPr>
          <w:p w:rsidR="00CA671C" w:rsidRPr="00CA671C" w:rsidRDefault="00CA671C" w:rsidP="00CA671C">
            <w:pPr>
              <w:rPr>
                <w:sz w:val="22"/>
                <w:u w:val="single"/>
              </w:rPr>
            </w:pPr>
            <w:r w:rsidRPr="00CA671C">
              <w:rPr>
                <w:sz w:val="22"/>
                <w:u w:val="single"/>
              </w:rPr>
              <w:t>Revenue</w:t>
            </w:r>
          </w:p>
        </w:tc>
        <w:tc>
          <w:tcPr>
            <w:tcW w:w="661" w:type="pct"/>
          </w:tcPr>
          <w:p w:rsidR="00CA671C" w:rsidRPr="00CA671C" w:rsidRDefault="00CA671C" w:rsidP="00CA671C">
            <w:pPr>
              <w:rPr>
                <w:sz w:val="22"/>
                <w:u w:val="single"/>
              </w:rPr>
            </w:pPr>
            <w:r w:rsidRPr="00CA671C">
              <w:rPr>
                <w:sz w:val="22"/>
                <w:u w:val="single"/>
              </w:rPr>
              <w:t>(Millions)</w:t>
            </w:r>
          </w:p>
        </w:tc>
        <w:tc>
          <w:tcPr>
            <w:tcW w:w="488" w:type="pct"/>
          </w:tcPr>
          <w:p w:rsidR="00CA671C" w:rsidRPr="00CA671C" w:rsidRDefault="00CA671C" w:rsidP="00CA671C">
            <w:pPr>
              <w:rPr>
                <w:sz w:val="22"/>
                <w:u w:val="single"/>
              </w:rPr>
            </w:pPr>
            <w:r w:rsidRPr="00CA671C">
              <w:rPr>
                <w:sz w:val="22"/>
                <w:u w:val="single"/>
              </w:rPr>
              <w:t>Ratio</w:t>
            </w:r>
          </w:p>
        </w:tc>
        <w:tc>
          <w:tcPr>
            <w:tcW w:w="561" w:type="pct"/>
          </w:tcPr>
          <w:p w:rsidR="00CA671C" w:rsidRPr="00CA671C" w:rsidRDefault="00CA671C" w:rsidP="00CA671C">
            <w:pPr>
              <w:rPr>
                <w:sz w:val="22"/>
                <w:u w:val="single"/>
              </w:rPr>
            </w:pPr>
            <w:r w:rsidRPr="00CA671C">
              <w:rPr>
                <w:sz w:val="22"/>
                <w:u w:val="single"/>
              </w:rPr>
              <w:t>Ratio</w:t>
            </w:r>
          </w:p>
        </w:tc>
        <w:tc>
          <w:tcPr>
            <w:tcW w:w="388" w:type="pct"/>
          </w:tcPr>
          <w:p w:rsidR="00CA671C" w:rsidRPr="00CA671C" w:rsidRDefault="00CA671C" w:rsidP="00CA671C">
            <w:pPr>
              <w:rPr>
                <w:sz w:val="22"/>
                <w:u w:val="single"/>
              </w:rPr>
            </w:pPr>
            <w:r w:rsidRPr="00CA671C">
              <w:rPr>
                <w:sz w:val="22"/>
                <w:u w:val="single"/>
              </w:rPr>
              <w:t>Beta</w:t>
            </w:r>
          </w:p>
        </w:tc>
        <w:tc>
          <w:tcPr>
            <w:tcW w:w="564" w:type="pct"/>
          </w:tcPr>
          <w:p w:rsidR="00CA671C" w:rsidRPr="00CA671C" w:rsidRDefault="00CA671C" w:rsidP="00CA671C">
            <w:pPr>
              <w:rPr>
                <w:sz w:val="22"/>
                <w:u w:val="single"/>
              </w:rPr>
            </w:pPr>
            <w:r w:rsidRPr="00CA671C">
              <w:rPr>
                <w:sz w:val="22"/>
                <w:u w:val="single"/>
              </w:rPr>
              <w:t>Line Beta</w:t>
            </w:r>
          </w:p>
        </w:tc>
      </w:tr>
      <w:tr w:rsidR="00CA671C" w:rsidRPr="00CA671C" w:rsidTr="00CA671C">
        <w:tc>
          <w:tcPr>
            <w:tcW w:w="1213" w:type="pct"/>
          </w:tcPr>
          <w:p w:rsidR="00CA671C" w:rsidRPr="00CA671C" w:rsidRDefault="00CA671C" w:rsidP="00CA671C">
            <w:pPr>
              <w:rPr>
                <w:sz w:val="22"/>
              </w:rPr>
            </w:pPr>
          </w:p>
        </w:tc>
        <w:tc>
          <w:tcPr>
            <w:tcW w:w="420" w:type="pct"/>
          </w:tcPr>
          <w:p w:rsidR="00CA671C" w:rsidRPr="00CA671C" w:rsidRDefault="00CA671C" w:rsidP="00CA671C">
            <w:pPr>
              <w:rPr>
                <w:sz w:val="22"/>
              </w:rPr>
            </w:pPr>
          </w:p>
        </w:tc>
        <w:tc>
          <w:tcPr>
            <w:tcW w:w="705" w:type="pct"/>
          </w:tcPr>
          <w:p w:rsidR="00CA671C" w:rsidRPr="00CA671C" w:rsidRDefault="00CA671C" w:rsidP="00CA671C">
            <w:pPr>
              <w:jc w:val="right"/>
              <w:rPr>
                <w:sz w:val="22"/>
              </w:rPr>
            </w:pPr>
          </w:p>
        </w:tc>
        <w:tc>
          <w:tcPr>
            <w:tcW w:w="661" w:type="pct"/>
          </w:tcPr>
          <w:p w:rsidR="00CA671C" w:rsidRPr="00CA671C" w:rsidRDefault="00CA671C" w:rsidP="00CA671C">
            <w:pPr>
              <w:jc w:val="right"/>
              <w:rPr>
                <w:sz w:val="22"/>
              </w:rPr>
            </w:pPr>
          </w:p>
        </w:tc>
        <w:tc>
          <w:tcPr>
            <w:tcW w:w="488" w:type="pct"/>
          </w:tcPr>
          <w:p w:rsidR="00CA671C" w:rsidRPr="00CA671C" w:rsidRDefault="00CA671C" w:rsidP="00CA671C">
            <w:pPr>
              <w:jc w:val="right"/>
              <w:rPr>
                <w:sz w:val="22"/>
              </w:rPr>
            </w:pPr>
          </w:p>
        </w:tc>
        <w:tc>
          <w:tcPr>
            <w:tcW w:w="561" w:type="pct"/>
          </w:tcPr>
          <w:p w:rsidR="00CA671C" w:rsidRPr="00CA671C" w:rsidRDefault="00CA671C" w:rsidP="00CA671C">
            <w:pPr>
              <w:jc w:val="right"/>
              <w:rPr>
                <w:sz w:val="22"/>
              </w:rPr>
            </w:pPr>
          </w:p>
        </w:tc>
        <w:tc>
          <w:tcPr>
            <w:tcW w:w="388" w:type="pct"/>
          </w:tcPr>
          <w:p w:rsidR="00CA671C" w:rsidRPr="00CA671C" w:rsidRDefault="00CA671C" w:rsidP="00CA671C">
            <w:pPr>
              <w:jc w:val="right"/>
              <w:rPr>
                <w:sz w:val="22"/>
              </w:rPr>
            </w:pPr>
          </w:p>
        </w:tc>
        <w:tc>
          <w:tcPr>
            <w:tcW w:w="564" w:type="pct"/>
          </w:tcPr>
          <w:p w:rsidR="00CA671C" w:rsidRPr="00CA671C" w:rsidRDefault="00CA671C" w:rsidP="00CA671C">
            <w:pPr>
              <w:jc w:val="right"/>
              <w:rPr>
                <w:sz w:val="22"/>
              </w:rPr>
            </w:pPr>
          </w:p>
        </w:tc>
      </w:tr>
      <w:tr w:rsidR="00CA671C" w:rsidRPr="00CA671C" w:rsidTr="00CA671C">
        <w:tc>
          <w:tcPr>
            <w:tcW w:w="1213" w:type="pct"/>
          </w:tcPr>
          <w:p w:rsidR="00CA671C" w:rsidRPr="00CA671C" w:rsidRDefault="00CA671C" w:rsidP="00CA671C">
            <w:pPr>
              <w:rPr>
                <w:sz w:val="22"/>
              </w:rPr>
            </w:pPr>
            <w:r w:rsidRPr="00CA671C">
              <w:rPr>
                <w:sz w:val="22"/>
              </w:rPr>
              <w:t>Atmos Energy</w:t>
            </w:r>
          </w:p>
        </w:tc>
        <w:tc>
          <w:tcPr>
            <w:tcW w:w="420" w:type="pct"/>
          </w:tcPr>
          <w:p w:rsidR="00CA671C" w:rsidRPr="00CA671C" w:rsidRDefault="00CA671C" w:rsidP="00CA671C">
            <w:pPr>
              <w:rPr>
                <w:sz w:val="22"/>
              </w:rPr>
            </w:pPr>
            <w:r w:rsidRPr="00CA671C">
              <w:rPr>
                <w:sz w:val="22"/>
              </w:rPr>
              <w:t>A</w:t>
            </w:r>
          </w:p>
        </w:tc>
        <w:tc>
          <w:tcPr>
            <w:tcW w:w="705" w:type="pct"/>
          </w:tcPr>
          <w:p w:rsidR="00CA671C" w:rsidRPr="00CA671C" w:rsidRDefault="00CA671C" w:rsidP="00CA671C">
            <w:pPr>
              <w:jc w:val="right"/>
              <w:rPr>
                <w:sz w:val="22"/>
              </w:rPr>
            </w:pPr>
            <w:r w:rsidRPr="00CA671C">
              <w:rPr>
                <w:sz w:val="22"/>
              </w:rPr>
              <w:t>95.99%</w:t>
            </w:r>
          </w:p>
        </w:tc>
        <w:tc>
          <w:tcPr>
            <w:tcW w:w="661" w:type="pct"/>
          </w:tcPr>
          <w:p w:rsidR="00CA671C" w:rsidRPr="00CA671C" w:rsidRDefault="00CA671C" w:rsidP="00CA671C">
            <w:pPr>
              <w:jc w:val="right"/>
              <w:rPr>
                <w:sz w:val="22"/>
              </w:rPr>
            </w:pPr>
            <w:r w:rsidRPr="00CA671C">
              <w:rPr>
                <w:sz w:val="22"/>
              </w:rPr>
              <w:t>$9,100</w:t>
            </w:r>
          </w:p>
        </w:tc>
        <w:tc>
          <w:tcPr>
            <w:tcW w:w="488" w:type="pct"/>
          </w:tcPr>
          <w:p w:rsidR="00CA671C" w:rsidRPr="00CA671C" w:rsidRDefault="00CA671C" w:rsidP="00CA671C">
            <w:pPr>
              <w:jc w:val="right"/>
              <w:rPr>
                <w:sz w:val="22"/>
              </w:rPr>
            </w:pPr>
            <w:r w:rsidRPr="00CA671C">
              <w:rPr>
                <w:sz w:val="22"/>
              </w:rPr>
              <w:t>52.59%</w:t>
            </w:r>
          </w:p>
        </w:tc>
        <w:tc>
          <w:tcPr>
            <w:tcW w:w="561" w:type="pct"/>
          </w:tcPr>
          <w:p w:rsidR="00CA671C" w:rsidRPr="00CA671C" w:rsidRDefault="00CA671C" w:rsidP="00CA671C">
            <w:pPr>
              <w:jc w:val="right"/>
              <w:rPr>
                <w:sz w:val="22"/>
              </w:rPr>
            </w:pPr>
            <w:r w:rsidRPr="00CA671C">
              <w:rPr>
                <w:sz w:val="22"/>
              </w:rPr>
              <w:t>10.20%</w:t>
            </w:r>
          </w:p>
        </w:tc>
        <w:tc>
          <w:tcPr>
            <w:tcW w:w="388" w:type="pct"/>
          </w:tcPr>
          <w:p w:rsidR="00CA671C" w:rsidRPr="00CA671C" w:rsidRDefault="00CA671C" w:rsidP="00CA671C">
            <w:pPr>
              <w:jc w:val="right"/>
              <w:rPr>
                <w:sz w:val="22"/>
              </w:rPr>
            </w:pPr>
            <w:r w:rsidRPr="00CA671C">
              <w:rPr>
                <w:sz w:val="22"/>
              </w:rPr>
              <w:t>0.70</w:t>
            </w:r>
          </w:p>
        </w:tc>
        <w:tc>
          <w:tcPr>
            <w:tcW w:w="564" w:type="pct"/>
          </w:tcPr>
          <w:p w:rsidR="00CA671C" w:rsidRPr="00CA671C" w:rsidRDefault="00CA671C" w:rsidP="00CA671C">
            <w:pPr>
              <w:jc w:val="right"/>
              <w:rPr>
                <w:sz w:val="22"/>
              </w:rPr>
            </w:pPr>
            <w:r w:rsidRPr="00CA671C">
              <w:rPr>
                <w:sz w:val="22"/>
              </w:rPr>
              <w:t>0.14</w:t>
            </w:r>
          </w:p>
        </w:tc>
      </w:tr>
      <w:tr w:rsidR="00CA671C" w:rsidRPr="00CA671C" w:rsidTr="00CA671C">
        <w:tc>
          <w:tcPr>
            <w:tcW w:w="1213" w:type="pct"/>
          </w:tcPr>
          <w:p w:rsidR="00CA671C" w:rsidRPr="00CA671C" w:rsidRDefault="00CA671C" w:rsidP="00CA671C">
            <w:pPr>
              <w:rPr>
                <w:sz w:val="22"/>
              </w:rPr>
            </w:pPr>
            <w:r w:rsidRPr="00CA671C">
              <w:rPr>
                <w:sz w:val="22"/>
              </w:rPr>
              <w:t>NW Natural Gas</w:t>
            </w:r>
          </w:p>
        </w:tc>
        <w:tc>
          <w:tcPr>
            <w:tcW w:w="420" w:type="pct"/>
          </w:tcPr>
          <w:p w:rsidR="00CA671C" w:rsidRPr="00CA671C" w:rsidRDefault="00CA671C" w:rsidP="00CA671C">
            <w:pPr>
              <w:rPr>
                <w:sz w:val="22"/>
              </w:rPr>
            </w:pPr>
            <w:r w:rsidRPr="00CA671C">
              <w:rPr>
                <w:sz w:val="22"/>
              </w:rPr>
              <w:t>A+</w:t>
            </w:r>
          </w:p>
        </w:tc>
        <w:tc>
          <w:tcPr>
            <w:tcW w:w="705" w:type="pct"/>
          </w:tcPr>
          <w:p w:rsidR="00CA671C" w:rsidRPr="00CA671C" w:rsidRDefault="00CA671C" w:rsidP="00CA671C">
            <w:pPr>
              <w:jc w:val="right"/>
              <w:rPr>
                <w:sz w:val="22"/>
              </w:rPr>
            </w:pPr>
            <w:r w:rsidRPr="00CA671C">
              <w:rPr>
                <w:sz w:val="22"/>
              </w:rPr>
              <w:t>96.16%</w:t>
            </w:r>
          </w:p>
        </w:tc>
        <w:tc>
          <w:tcPr>
            <w:tcW w:w="661" w:type="pct"/>
          </w:tcPr>
          <w:p w:rsidR="00CA671C" w:rsidRPr="00CA671C" w:rsidRDefault="00CA671C" w:rsidP="00CA671C">
            <w:pPr>
              <w:jc w:val="right"/>
              <w:rPr>
                <w:sz w:val="22"/>
              </w:rPr>
            </w:pPr>
            <w:r w:rsidRPr="00CA671C">
              <w:rPr>
                <w:sz w:val="22"/>
              </w:rPr>
              <w:t>$1,600</w:t>
            </w:r>
          </w:p>
        </w:tc>
        <w:tc>
          <w:tcPr>
            <w:tcW w:w="488" w:type="pct"/>
          </w:tcPr>
          <w:p w:rsidR="00CA671C" w:rsidRPr="00CA671C" w:rsidRDefault="00CA671C" w:rsidP="00CA671C">
            <w:pPr>
              <w:jc w:val="right"/>
              <w:rPr>
                <w:sz w:val="22"/>
              </w:rPr>
            </w:pPr>
            <w:r w:rsidRPr="00CA671C">
              <w:rPr>
                <w:sz w:val="22"/>
              </w:rPr>
              <w:t>47.10%</w:t>
            </w:r>
          </w:p>
        </w:tc>
        <w:tc>
          <w:tcPr>
            <w:tcW w:w="561" w:type="pct"/>
          </w:tcPr>
          <w:p w:rsidR="00CA671C" w:rsidRPr="00CA671C" w:rsidRDefault="00CA671C" w:rsidP="00CA671C">
            <w:pPr>
              <w:jc w:val="right"/>
              <w:rPr>
                <w:sz w:val="22"/>
              </w:rPr>
            </w:pPr>
            <w:r w:rsidRPr="00CA671C">
              <w:rPr>
                <w:sz w:val="22"/>
              </w:rPr>
              <w:t>1.61%</w:t>
            </w:r>
          </w:p>
        </w:tc>
        <w:tc>
          <w:tcPr>
            <w:tcW w:w="388" w:type="pct"/>
          </w:tcPr>
          <w:p w:rsidR="00CA671C" w:rsidRPr="00CA671C" w:rsidRDefault="00CA671C" w:rsidP="00CA671C">
            <w:pPr>
              <w:jc w:val="right"/>
              <w:rPr>
                <w:sz w:val="22"/>
              </w:rPr>
            </w:pPr>
            <w:r w:rsidRPr="00CA671C">
              <w:rPr>
                <w:sz w:val="22"/>
              </w:rPr>
              <w:t>0.65</w:t>
            </w:r>
          </w:p>
        </w:tc>
        <w:tc>
          <w:tcPr>
            <w:tcW w:w="564" w:type="pct"/>
          </w:tcPr>
          <w:p w:rsidR="00CA671C" w:rsidRPr="00CA671C" w:rsidRDefault="00CA671C" w:rsidP="00CA671C">
            <w:pPr>
              <w:jc w:val="right"/>
              <w:rPr>
                <w:sz w:val="22"/>
              </w:rPr>
            </w:pPr>
            <w:r w:rsidRPr="00CA671C">
              <w:rPr>
                <w:sz w:val="22"/>
              </w:rPr>
              <w:t>0.02</w:t>
            </w:r>
          </w:p>
        </w:tc>
      </w:tr>
      <w:tr w:rsidR="00CA671C" w:rsidRPr="00CA671C" w:rsidTr="00CA671C">
        <w:tc>
          <w:tcPr>
            <w:tcW w:w="1213" w:type="pct"/>
          </w:tcPr>
          <w:p w:rsidR="00CA671C" w:rsidRPr="00CA671C" w:rsidRDefault="00CA671C" w:rsidP="00CA671C">
            <w:pPr>
              <w:rPr>
                <w:sz w:val="22"/>
              </w:rPr>
            </w:pPr>
            <w:r w:rsidRPr="00CA671C">
              <w:rPr>
                <w:sz w:val="22"/>
              </w:rPr>
              <w:t>One Gas, Inc.</w:t>
            </w:r>
          </w:p>
        </w:tc>
        <w:tc>
          <w:tcPr>
            <w:tcW w:w="420" w:type="pct"/>
          </w:tcPr>
          <w:p w:rsidR="00CA671C" w:rsidRPr="00CA671C" w:rsidRDefault="00CA671C" w:rsidP="00CA671C">
            <w:pPr>
              <w:rPr>
                <w:sz w:val="22"/>
              </w:rPr>
            </w:pPr>
            <w:r w:rsidRPr="00CA671C">
              <w:rPr>
                <w:sz w:val="22"/>
              </w:rPr>
              <w:t>A</w:t>
            </w:r>
          </w:p>
        </w:tc>
        <w:tc>
          <w:tcPr>
            <w:tcW w:w="705" w:type="pct"/>
          </w:tcPr>
          <w:p w:rsidR="00CA671C" w:rsidRPr="00CA671C" w:rsidRDefault="00CA671C" w:rsidP="00CA671C">
            <w:pPr>
              <w:jc w:val="right"/>
              <w:rPr>
                <w:sz w:val="22"/>
              </w:rPr>
            </w:pPr>
            <w:r w:rsidRPr="00CA671C">
              <w:rPr>
                <w:sz w:val="22"/>
              </w:rPr>
              <w:t>100.00%</w:t>
            </w:r>
          </w:p>
        </w:tc>
        <w:tc>
          <w:tcPr>
            <w:tcW w:w="661" w:type="pct"/>
          </w:tcPr>
          <w:p w:rsidR="00CA671C" w:rsidRPr="00CA671C" w:rsidRDefault="00CA671C" w:rsidP="00CA671C">
            <w:pPr>
              <w:jc w:val="right"/>
              <w:rPr>
                <w:sz w:val="22"/>
              </w:rPr>
            </w:pPr>
            <w:r w:rsidRPr="00CA671C">
              <w:rPr>
                <w:sz w:val="22"/>
              </w:rPr>
              <w:t>$3,500</w:t>
            </w:r>
          </w:p>
        </w:tc>
        <w:tc>
          <w:tcPr>
            <w:tcW w:w="488" w:type="pct"/>
          </w:tcPr>
          <w:p w:rsidR="00CA671C" w:rsidRPr="00CA671C" w:rsidRDefault="00CA671C" w:rsidP="00CA671C">
            <w:pPr>
              <w:jc w:val="right"/>
              <w:rPr>
                <w:sz w:val="22"/>
              </w:rPr>
            </w:pPr>
            <w:r w:rsidRPr="00CA671C">
              <w:rPr>
                <w:sz w:val="22"/>
              </w:rPr>
              <w:t>55.71%</w:t>
            </w:r>
          </w:p>
        </w:tc>
        <w:tc>
          <w:tcPr>
            <w:tcW w:w="561" w:type="pct"/>
          </w:tcPr>
          <w:p w:rsidR="00CA671C" w:rsidRPr="00CA671C" w:rsidRDefault="00CA671C" w:rsidP="00CA671C">
            <w:pPr>
              <w:jc w:val="right"/>
              <w:rPr>
                <w:sz w:val="22"/>
              </w:rPr>
            </w:pPr>
            <w:r w:rsidRPr="00CA671C">
              <w:rPr>
                <w:sz w:val="22"/>
              </w:rPr>
              <w:t>4.16%</w:t>
            </w:r>
          </w:p>
        </w:tc>
        <w:tc>
          <w:tcPr>
            <w:tcW w:w="388" w:type="pct"/>
          </w:tcPr>
          <w:p w:rsidR="00CA671C" w:rsidRPr="00CA671C" w:rsidRDefault="00CA671C" w:rsidP="00CA671C">
            <w:pPr>
              <w:jc w:val="right"/>
              <w:rPr>
                <w:sz w:val="22"/>
              </w:rPr>
            </w:pPr>
            <w:r w:rsidRPr="00CA671C">
              <w:rPr>
                <w:sz w:val="22"/>
              </w:rPr>
              <w:t>0.70</w:t>
            </w:r>
          </w:p>
        </w:tc>
        <w:tc>
          <w:tcPr>
            <w:tcW w:w="564" w:type="pct"/>
          </w:tcPr>
          <w:p w:rsidR="00CA671C" w:rsidRPr="00CA671C" w:rsidRDefault="00CA671C" w:rsidP="00CA671C">
            <w:pPr>
              <w:jc w:val="right"/>
              <w:rPr>
                <w:sz w:val="22"/>
              </w:rPr>
            </w:pPr>
            <w:r w:rsidRPr="00CA671C">
              <w:rPr>
                <w:sz w:val="22"/>
              </w:rPr>
              <w:t>0.05</w:t>
            </w:r>
          </w:p>
        </w:tc>
      </w:tr>
      <w:tr w:rsidR="00CA671C" w:rsidRPr="00CA671C" w:rsidTr="00CA671C">
        <w:tc>
          <w:tcPr>
            <w:tcW w:w="1213" w:type="pct"/>
          </w:tcPr>
          <w:p w:rsidR="00CA671C" w:rsidRPr="00CA671C" w:rsidRDefault="00CA671C" w:rsidP="00CA671C">
            <w:pPr>
              <w:rPr>
                <w:sz w:val="22"/>
              </w:rPr>
            </w:pPr>
            <w:r w:rsidRPr="00CA671C">
              <w:rPr>
                <w:sz w:val="22"/>
              </w:rPr>
              <w:t>SW Gas</w:t>
            </w:r>
          </w:p>
        </w:tc>
        <w:tc>
          <w:tcPr>
            <w:tcW w:w="420" w:type="pct"/>
          </w:tcPr>
          <w:p w:rsidR="00CA671C" w:rsidRPr="00CA671C" w:rsidRDefault="00CA671C" w:rsidP="00CA671C">
            <w:pPr>
              <w:rPr>
                <w:sz w:val="22"/>
              </w:rPr>
            </w:pPr>
            <w:r w:rsidRPr="00CA671C">
              <w:rPr>
                <w:sz w:val="22"/>
              </w:rPr>
              <w:t>BBB+</w:t>
            </w:r>
          </w:p>
        </w:tc>
        <w:tc>
          <w:tcPr>
            <w:tcW w:w="705" w:type="pct"/>
          </w:tcPr>
          <w:p w:rsidR="00CA671C" w:rsidRPr="00CA671C" w:rsidRDefault="00CA671C" w:rsidP="00CA671C">
            <w:pPr>
              <w:jc w:val="right"/>
              <w:rPr>
                <w:sz w:val="22"/>
              </w:rPr>
            </w:pPr>
            <w:r w:rsidRPr="00CA671C">
              <w:rPr>
                <w:sz w:val="22"/>
              </w:rPr>
              <w:t>51.09%</w:t>
            </w:r>
          </w:p>
        </w:tc>
        <w:tc>
          <w:tcPr>
            <w:tcW w:w="661" w:type="pct"/>
          </w:tcPr>
          <w:p w:rsidR="00CA671C" w:rsidRPr="00CA671C" w:rsidRDefault="00CA671C" w:rsidP="00CA671C">
            <w:pPr>
              <w:jc w:val="right"/>
              <w:rPr>
                <w:sz w:val="22"/>
              </w:rPr>
            </w:pPr>
            <w:r w:rsidRPr="00CA671C">
              <w:rPr>
                <w:sz w:val="22"/>
              </w:rPr>
              <w:t>$3,200</w:t>
            </w:r>
          </w:p>
        </w:tc>
        <w:tc>
          <w:tcPr>
            <w:tcW w:w="488" w:type="pct"/>
          </w:tcPr>
          <w:p w:rsidR="00CA671C" w:rsidRPr="00CA671C" w:rsidRDefault="00CA671C" w:rsidP="00CA671C">
            <w:pPr>
              <w:jc w:val="right"/>
              <w:rPr>
                <w:sz w:val="22"/>
              </w:rPr>
            </w:pPr>
            <w:r w:rsidRPr="00CA671C">
              <w:rPr>
                <w:sz w:val="22"/>
              </w:rPr>
              <w:t>47.07%</w:t>
            </w:r>
          </w:p>
        </w:tc>
        <w:tc>
          <w:tcPr>
            <w:tcW w:w="561" w:type="pct"/>
          </w:tcPr>
          <w:p w:rsidR="00CA671C" w:rsidRPr="00CA671C" w:rsidRDefault="00CA671C" w:rsidP="00CA671C">
            <w:pPr>
              <w:jc w:val="right"/>
              <w:rPr>
                <w:sz w:val="22"/>
              </w:rPr>
            </w:pPr>
            <w:r w:rsidRPr="00CA671C">
              <w:rPr>
                <w:sz w:val="22"/>
              </w:rPr>
              <w:t>3.21%</w:t>
            </w:r>
          </w:p>
        </w:tc>
        <w:tc>
          <w:tcPr>
            <w:tcW w:w="388" w:type="pct"/>
          </w:tcPr>
          <w:p w:rsidR="00CA671C" w:rsidRPr="00CA671C" w:rsidRDefault="00CA671C" w:rsidP="00CA671C">
            <w:pPr>
              <w:jc w:val="right"/>
              <w:rPr>
                <w:sz w:val="22"/>
              </w:rPr>
            </w:pPr>
            <w:r w:rsidRPr="00CA671C">
              <w:rPr>
                <w:sz w:val="22"/>
              </w:rPr>
              <w:t>0.75</w:t>
            </w:r>
          </w:p>
        </w:tc>
        <w:tc>
          <w:tcPr>
            <w:tcW w:w="564" w:type="pct"/>
          </w:tcPr>
          <w:p w:rsidR="00CA671C" w:rsidRPr="00CA671C" w:rsidRDefault="00CA671C" w:rsidP="00CA671C">
            <w:pPr>
              <w:jc w:val="right"/>
              <w:rPr>
                <w:sz w:val="22"/>
              </w:rPr>
            </w:pPr>
            <w:r w:rsidRPr="00CA671C">
              <w:rPr>
                <w:sz w:val="22"/>
              </w:rPr>
              <w:t>0.05</w:t>
            </w:r>
          </w:p>
        </w:tc>
      </w:tr>
      <w:tr w:rsidR="00CA671C" w:rsidRPr="00CA671C" w:rsidTr="00CA671C">
        <w:tc>
          <w:tcPr>
            <w:tcW w:w="1213" w:type="pct"/>
          </w:tcPr>
          <w:p w:rsidR="00CA671C" w:rsidRPr="00CA671C" w:rsidRDefault="00CA671C" w:rsidP="00CA671C">
            <w:pPr>
              <w:rPr>
                <w:sz w:val="22"/>
              </w:rPr>
            </w:pPr>
            <w:r w:rsidRPr="00CA671C">
              <w:rPr>
                <w:sz w:val="22"/>
              </w:rPr>
              <w:t>Spire, Inc.</w:t>
            </w:r>
          </w:p>
        </w:tc>
        <w:tc>
          <w:tcPr>
            <w:tcW w:w="420" w:type="pct"/>
          </w:tcPr>
          <w:p w:rsidR="00CA671C" w:rsidRPr="00CA671C" w:rsidRDefault="00CA671C" w:rsidP="00CA671C">
            <w:pPr>
              <w:rPr>
                <w:sz w:val="22"/>
              </w:rPr>
            </w:pPr>
            <w:r w:rsidRPr="00CA671C">
              <w:rPr>
                <w:sz w:val="22"/>
              </w:rPr>
              <w:t>A-</w:t>
            </w:r>
          </w:p>
        </w:tc>
        <w:tc>
          <w:tcPr>
            <w:tcW w:w="705" w:type="pct"/>
          </w:tcPr>
          <w:p w:rsidR="00CA671C" w:rsidRPr="00CA671C" w:rsidRDefault="00CA671C" w:rsidP="00CA671C">
            <w:pPr>
              <w:jc w:val="right"/>
              <w:rPr>
                <w:sz w:val="22"/>
              </w:rPr>
            </w:pPr>
            <w:r w:rsidRPr="00CA671C">
              <w:rPr>
                <w:sz w:val="22"/>
              </w:rPr>
              <w:t>95.36%</w:t>
            </w:r>
          </w:p>
        </w:tc>
        <w:tc>
          <w:tcPr>
            <w:tcW w:w="661" w:type="pct"/>
          </w:tcPr>
          <w:p w:rsidR="00CA671C" w:rsidRPr="00CA671C" w:rsidRDefault="00CA671C" w:rsidP="00CA671C">
            <w:pPr>
              <w:jc w:val="right"/>
              <w:rPr>
                <w:sz w:val="22"/>
              </w:rPr>
            </w:pPr>
            <w:r w:rsidRPr="00CA671C">
              <w:rPr>
                <w:sz w:val="22"/>
              </w:rPr>
              <w:t>$3,200</w:t>
            </w:r>
          </w:p>
        </w:tc>
        <w:tc>
          <w:tcPr>
            <w:tcW w:w="488" w:type="pct"/>
          </w:tcPr>
          <w:p w:rsidR="00CA671C" w:rsidRPr="00CA671C" w:rsidRDefault="00CA671C" w:rsidP="00CA671C">
            <w:pPr>
              <w:jc w:val="right"/>
              <w:rPr>
                <w:sz w:val="22"/>
              </w:rPr>
            </w:pPr>
            <w:r w:rsidRPr="00CA671C">
              <w:rPr>
                <w:sz w:val="22"/>
              </w:rPr>
              <w:t>43.63%</w:t>
            </w:r>
          </w:p>
        </w:tc>
        <w:tc>
          <w:tcPr>
            <w:tcW w:w="561" w:type="pct"/>
          </w:tcPr>
          <w:p w:rsidR="00CA671C" w:rsidRPr="00CA671C" w:rsidRDefault="00CA671C" w:rsidP="00CA671C">
            <w:pPr>
              <w:jc w:val="right"/>
              <w:rPr>
                <w:sz w:val="22"/>
              </w:rPr>
            </w:pPr>
            <w:r w:rsidRPr="00CA671C">
              <w:rPr>
                <w:sz w:val="22"/>
              </w:rPr>
              <w:t>2.98%</w:t>
            </w:r>
          </w:p>
        </w:tc>
        <w:tc>
          <w:tcPr>
            <w:tcW w:w="388" w:type="pct"/>
          </w:tcPr>
          <w:p w:rsidR="00CA671C" w:rsidRPr="00CA671C" w:rsidRDefault="00CA671C" w:rsidP="00CA671C">
            <w:pPr>
              <w:jc w:val="right"/>
              <w:rPr>
                <w:sz w:val="22"/>
              </w:rPr>
            </w:pPr>
            <w:r w:rsidRPr="00CA671C">
              <w:rPr>
                <w:sz w:val="22"/>
              </w:rPr>
              <w:t>0.65</w:t>
            </w:r>
          </w:p>
        </w:tc>
        <w:tc>
          <w:tcPr>
            <w:tcW w:w="564" w:type="pct"/>
          </w:tcPr>
          <w:p w:rsidR="00CA671C" w:rsidRPr="00CA671C" w:rsidRDefault="00CA671C" w:rsidP="00CA671C">
            <w:pPr>
              <w:jc w:val="right"/>
              <w:rPr>
                <w:sz w:val="22"/>
              </w:rPr>
            </w:pPr>
            <w:r w:rsidRPr="00CA671C">
              <w:rPr>
                <w:sz w:val="22"/>
              </w:rPr>
              <w:t>0.04</w:t>
            </w:r>
          </w:p>
        </w:tc>
      </w:tr>
      <w:tr w:rsidR="00CA671C" w:rsidRPr="00CA671C" w:rsidTr="00CA671C">
        <w:tc>
          <w:tcPr>
            <w:tcW w:w="1213" w:type="pct"/>
          </w:tcPr>
          <w:p w:rsidR="00CA671C" w:rsidRPr="00CA671C" w:rsidRDefault="00CA671C" w:rsidP="00CA671C">
            <w:pPr>
              <w:rPr>
                <w:sz w:val="22"/>
              </w:rPr>
            </w:pPr>
            <w:r w:rsidRPr="00CA671C">
              <w:rPr>
                <w:sz w:val="22"/>
              </w:rPr>
              <w:t>American States Water</w:t>
            </w:r>
          </w:p>
        </w:tc>
        <w:tc>
          <w:tcPr>
            <w:tcW w:w="420" w:type="pct"/>
          </w:tcPr>
          <w:p w:rsidR="00CA671C" w:rsidRPr="00CA671C" w:rsidRDefault="00CA671C" w:rsidP="00CA671C">
            <w:pPr>
              <w:rPr>
                <w:sz w:val="22"/>
              </w:rPr>
            </w:pPr>
            <w:r w:rsidRPr="00CA671C">
              <w:rPr>
                <w:sz w:val="22"/>
              </w:rPr>
              <w:t>A+</w:t>
            </w:r>
          </w:p>
        </w:tc>
        <w:tc>
          <w:tcPr>
            <w:tcW w:w="705" w:type="pct"/>
          </w:tcPr>
          <w:p w:rsidR="00CA671C" w:rsidRPr="00CA671C" w:rsidRDefault="00CA671C" w:rsidP="00CA671C">
            <w:pPr>
              <w:jc w:val="right"/>
              <w:rPr>
                <w:sz w:val="22"/>
              </w:rPr>
            </w:pPr>
            <w:r w:rsidRPr="00CA671C">
              <w:rPr>
                <w:sz w:val="22"/>
              </w:rPr>
              <w:t>77.24%</w:t>
            </w:r>
          </w:p>
        </w:tc>
        <w:tc>
          <w:tcPr>
            <w:tcW w:w="661" w:type="pct"/>
          </w:tcPr>
          <w:p w:rsidR="00CA671C" w:rsidRPr="00CA671C" w:rsidRDefault="00CA671C" w:rsidP="00CA671C">
            <w:pPr>
              <w:jc w:val="right"/>
              <w:rPr>
                <w:sz w:val="22"/>
              </w:rPr>
            </w:pPr>
            <w:r w:rsidRPr="00CA671C">
              <w:rPr>
                <w:sz w:val="22"/>
              </w:rPr>
              <w:t>$1,900</w:t>
            </w:r>
          </w:p>
        </w:tc>
        <w:tc>
          <w:tcPr>
            <w:tcW w:w="488" w:type="pct"/>
          </w:tcPr>
          <w:p w:rsidR="00CA671C" w:rsidRPr="00CA671C" w:rsidRDefault="00CA671C" w:rsidP="00CA671C">
            <w:pPr>
              <w:jc w:val="right"/>
              <w:rPr>
                <w:sz w:val="22"/>
              </w:rPr>
            </w:pPr>
            <w:r w:rsidRPr="00CA671C">
              <w:rPr>
                <w:sz w:val="22"/>
              </w:rPr>
              <w:t>58.22%</w:t>
            </w:r>
          </w:p>
        </w:tc>
        <w:tc>
          <w:tcPr>
            <w:tcW w:w="561" w:type="pct"/>
          </w:tcPr>
          <w:p w:rsidR="00CA671C" w:rsidRPr="00CA671C" w:rsidRDefault="00CA671C" w:rsidP="00CA671C">
            <w:pPr>
              <w:jc w:val="right"/>
              <w:rPr>
                <w:sz w:val="22"/>
              </w:rPr>
            </w:pPr>
            <w:r w:rsidRPr="00CA671C">
              <w:rPr>
                <w:sz w:val="22"/>
              </w:rPr>
              <w:t>2.36%</w:t>
            </w:r>
          </w:p>
        </w:tc>
        <w:tc>
          <w:tcPr>
            <w:tcW w:w="388" w:type="pct"/>
          </w:tcPr>
          <w:p w:rsidR="00CA671C" w:rsidRPr="00CA671C" w:rsidRDefault="00CA671C" w:rsidP="00CA671C">
            <w:pPr>
              <w:jc w:val="right"/>
              <w:rPr>
                <w:sz w:val="22"/>
              </w:rPr>
            </w:pPr>
            <w:r w:rsidRPr="00CA671C">
              <w:rPr>
                <w:sz w:val="22"/>
              </w:rPr>
              <w:t>0.75</w:t>
            </w:r>
          </w:p>
        </w:tc>
        <w:tc>
          <w:tcPr>
            <w:tcW w:w="564" w:type="pct"/>
          </w:tcPr>
          <w:p w:rsidR="00CA671C" w:rsidRPr="00CA671C" w:rsidRDefault="00CA671C" w:rsidP="00CA671C">
            <w:pPr>
              <w:jc w:val="right"/>
              <w:rPr>
                <w:sz w:val="22"/>
              </w:rPr>
            </w:pPr>
            <w:r w:rsidRPr="00CA671C">
              <w:rPr>
                <w:sz w:val="22"/>
              </w:rPr>
              <w:t>0.03</w:t>
            </w:r>
          </w:p>
        </w:tc>
      </w:tr>
      <w:tr w:rsidR="00CA671C" w:rsidRPr="00CA671C" w:rsidTr="00CA671C">
        <w:tc>
          <w:tcPr>
            <w:tcW w:w="1213" w:type="pct"/>
          </w:tcPr>
          <w:p w:rsidR="00CA671C" w:rsidRPr="00CA671C" w:rsidRDefault="00CA671C" w:rsidP="00CA671C">
            <w:pPr>
              <w:rPr>
                <w:sz w:val="22"/>
              </w:rPr>
            </w:pPr>
            <w:r w:rsidRPr="00CA671C">
              <w:rPr>
                <w:sz w:val="22"/>
              </w:rPr>
              <w:t>American Water Works</w:t>
            </w:r>
          </w:p>
        </w:tc>
        <w:tc>
          <w:tcPr>
            <w:tcW w:w="420" w:type="pct"/>
          </w:tcPr>
          <w:p w:rsidR="00CA671C" w:rsidRPr="00CA671C" w:rsidRDefault="00CA671C" w:rsidP="00CA671C">
            <w:pPr>
              <w:rPr>
                <w:sz w:val="22"/>
              </w:rPr>
            </w:pPr>
            <w:r w:rsidRPr="00CA671C">
              <w:rPr>
                <w:sz w:val="22"/>
              </w:rPr>
              <w:t>A</w:t>
            </w:r>
          </w:p>
        </w:tc>
        <w:tc>
          <w:tcPr>
            <w:tcW w:w="705" w:type="pct"/>
          </w:tcPr>
          <w:p w:rsidR="00CA671C" w:rsidRPr="00CA671C" w:rsidRDefault="00CA671C" w:rsidP="00CA671C">
            <w:pPr>
              <w:jc w:val="right"/>
              <w:rPr>
                <w:sz w:val="22"/>
              </w:rPr>
            </w:pPr>
            <w:r w:rsidRPr="00CA671C">
              <w:rPr>
                <w:sz w:val="22"/>
              </w:rPr>
              <w:t>88.11%</w:t>
            </w:r>
          </w:p>
        </w:tc>
        <w:tc>
          <w:tcPr>
            <w:tcW w:w="661" w:type="pct"/>
          </w:tcPr>
          <w:p w:rsidR="00CA671C" w:rsidRPr="00CA671C" w:rsidRDefault="00CA671C" w:rsidP="00CA671C">
            <w:pPr>
              <w:jc w:val="right"/>
              <w:rPr>
                <w:sz w:val="22"/>
              </w:rPr>
            </w:pPr>
            <w:r w:rsidRPr="00CA671C">
              <w:rPr>
                <w:sz w:val="22"/>
              </w:rPr>
              <w:t>$14,500</w:t>
            </w:r>
          </w:p>
        </w:tc>
        <w:tc>
          <w:tcPr>
            <w:tcW w:w="488" w:type="pct"/>
          </w:tcPr>
          <w:p w:rsidR="00CA671C" w:rsidRPr="00CA671C" w:rsidRDefault="00CA671C" w:rsidP="00CA671C">
            <w:pPr>
              <w:jc w:val="right"/>
              <w:rPr>
                <w:sz w:val="22"/>
              </w:rPr>
            </w:pPr>
            <w:r w:rsidRPr="00CA671C">
              <w:rPr>
                <w:sz w:val="22"/>
              </w:rPr>
              <w:t>41.08%</w:t>
            </w:r>
          </w:p>
        </w:tc>
        <w:tc>
          <w:tcPr>
            <w:tcW w:w="561" w:type="pct"/>
          </w:tcPr>
          <w:p w:rsidR="00CA671C" w:rsidRPr="00CA671C" w:rsidRDefault="00CA671C" w:rsidP="00CA671C">
            <w:pPr>
              <w:jc w:val="right"/>
              <w:rPr>
                <w:sz w:val="22"/>
              </w:rPr>
            </w:pPr>
            <w:r w:rsidRPr="00CA671C">
              <w:rPr>
                <w:sz w:val="22"/>
              </w:rPr>
              <w:t>12.70%</w:t>
            </w:r>
          </w:p>
        </w:tc>
        <w:tc>
          <w:tcPr>
            <w:tcW w:w="388" w:type="pct"/>
          </w:tcPr>
          <w:p w:rsidR="00CA671C" w:rsidRPr="00CA671C" w:rsidRDefault="00CA671C" w:rsidP="00CA671C">
            <w:pPr>
              <w:jc w:val="right"/>
              <w:rPr>
                <w:sz w:val="22"/>
              </w:rPr>
            </w:pPr>
            <w:r w:rsidRPr="00CA671C">
              <w:rPr>
                <w:sz w:val="22"/>
              </w:rPr>
              <w:t>0.65</w:t>
            </w:r>
          </w:p>
        </w:tc>
        <w:tc>
          <w:tcPr>
            <w:tcW w:w="564" w:type="pct"/>
          </w:tcPr>
          <w:p w:rsidR="00CA671C" w:rsidRPr="00CA671C" w:rsidRDefault="00CA671C" w:rsidP="00CA671C">
            <w:pPr>
              <w:jc w:val="right"/>
              <w:rPr>
                <w:sz w:val="22"/>
              </w:rPr>
            </w:pPr>
            <w:r w:rsidRPr="00CA671C">
              <w:rPr>
                <w:sz w:val="22"/>
              </w:rPr>
              <w:t>0.20</w:t>
            </w:r>
          </w:p>
        </w:tc>
      </w:tr>
      <w:tr w:rsidR="00CA671C" w:rsidRPr="00CA671C" w:rsidTr="00CA671C">
        <w:tc>
          <w:tcPr>
            <w:tcW w:w="1213" w:type="pct"/>
          </w:tcPr>
          <w:p w:rsidR="00CA671C" w:rsidRPr="00CA671C" w:rsidRDefault="00CA671C" w:rsidP="00CA671C">
            <w:pPr>
              <w:rPr>
                <w:sz w:val="22"/>
              </w:rPr>
            </w:pPr>
            <w:r w:rsidRPr="00CA671C">
              <w:rPr>
                <w:sz w:val="22"/>
              </w:rPr>
              <w:t>Aqua America</w:t>
            </w:r>
          </w:p>
        </w:tc>
        <w:tc>
          <w:tcPr>
            <w:tcW w:w="420" w:type="pct"/>
          </w:tcPr>
          <w:p w:rsidR="00CA671C" w:rsidRPr="00CA671C" w:rsidRDefault="00CA671C" w:rsidP="00CA671C">
            <w:pPr>
              <w:rPr>
                <w:sz w:val="22"/>
              </w:rPr>
            </w:pPr>
            <w:r w:rsidRPr="00CA671C">
              <w:rPr>
                <w:sz w:val="22"/>
              </w:rPr>
              <w:t>A+</w:t>
            </w:r>
          </w:p>
        </w:tc>
        <w:tc>
          <w:tcPr>
            <w:tcW w:w="705" w:type="pct"/>
          </w:tcPr>
          <w:p w:rsidR="00CA671C" w:rsidRPr="00CA671C" w:rsidRDefault="00CA671C" w:rsidP="00CA671C">
            <w:pPr>
              <w:jc w:val="right"/>
              <w:rPr>
                <w:sz w:val="22"/>
              </w:rPr>
            </w:pPr>
            <w:r w:rsidRPr="00CA671C">
              <w:rPr>
                <w:sz w:val="22"/>
              </w:rPr>
              <w:t>99.43%</w:t>
            </w:r>
          </w:p>
        </w:tc>
        <w:tc>
          <w:tcPr>
            <w:tcW w:w="661" w:type="pct"/>
          </w:tcPr>
          <w:p w:rsidR="00CA671C" w:rsidRPr="00CA671C" w:rsidRDefault="00CA671C" w:rsidP="00CA671C">
            <w:pPr>
              <w:jc w:val="right"/>
              <w:rPr>
                <w:sz w:val="22"/>
              </w:rPr>
            </w:pPr>
            <w:r w:rsidRPr="00CA671C">
              <w:rPr>
                <w:sz w:val="22"/>
              </w:rPr>
              <w:t>$6,000</w:t>
            </w:r>
          </w:p>
        </w:tc>
        <w:tc>
          <w:tcPr>
            <w:tcW w:w="488" w:type="pct"/>
          </w:tcPr>
          <w:p w:rsidR="00CA671C" w:rsidRPr="00CA671C" w:rsidRDefault="00CA671C" w:rsidP="00CA671C">
            <w:pPr>
              <w:jc w:val="right"/>
              <w:rPr>
                <w:sz w:val="22"/>
              </w:rPr>
            </w:pPr>
            <w:r w:rsidRPr="00CA671C">
              <w:rPr>
                <w:sz w:val="22"/>
              </w:rPr>
              <w:t>47.70%</w:t>
            </w:r>
          </w:p>
        </w:tc>
        <w:tc>
          <w:tcPr>
            <w:tcW w:w="561" w:type="pct"/>
          </w:tcPr>
          <w:p w:rsidR="00CA671C" w:rsidRPr="00CA671C" w:rsidRDefault="00CA671C" w:rsidP="00CA671C">
            <w:pPr>
              <w:jc w:val="right"/>
              <w:rPr>
                <w:sz w:val="22"/>
              </w:rPr>
            </w:pPr>
            <w:r w:rsidRPr="00CA671C">
              <w:rPr>
                <w:sz w:val="22"/>
              </w:rPr>
              <w:t>6.10%</w:t>
            </w:r>
          </w:p>
        </w:tc>
        <w:tc>
          <w:tcPr>
            <w:tcW w:w="388" w:type="pct"/>
          </w:tcPr>
          <w:p w:rsidR="00CA671C" w:rsidRPr="00CA671C" w:rsidRDefault="00CA671C" w:rsidP="00CA671C">
            <w:pPr>
              <w:jc w:val="right"/>
              <w:rPr>
                <w:sz w:val="22"/>
              </w:rPr>
            </w:pPr>
            <w:r w:rsidRPr="00CA671C">
              <w:rPr>
                <w:sz w:val="22"/>
              </w:rPr>
              <w:t>0.70</w:t>
            </w:r>
          </w:p>
        </w:tc>
        <w:tc>
          <w:tcPr>
            <w:tcW w:w="564" w:type="pct"/>
          </w:tcPr>
          <w:p w:rsidR="00CA671C" w:rsidRPr="00CA671C" w:rsidRDefault="00CA671C" w:rsidP="00CA671C">
            <w:pPr>
              <w:jc w:val="right"/>
              <w:rPr>
                <w:sz w:val="22"/>
              </w:rPr>
            </w:pPr>
            <w:r w:rsidRPr="00CA671C">
              <w:rPr>
                <w:sz w:val="22"/>
              </w:rPr>
              <w:t>0.09</w:t>
            </w:r>
          </w:p>
        </w:tc>
      </w:tr>
      <w:tr w:rsidR="00CA671C" w:rsidRPr="00CA671C" w:rsidTr="00CA671C">
        <w:tc>
          <w:tcPr>
            <w:tcW w:w="1213" w:type="pct"/>
          </w:tcPr>
          <w:p w:rsidR="00CA671C" w:rsidRPr="00CA671C" w:rsidRDefault="00CA671C" w:rsidP="00CA671C">
            <w:pPr>
              <w:rPr>
                <w:sz w:val="22"/>
              </w:rPr>
            </w:pPr>
            <w:r w:rsidRPr="00CA671C">
              <w:rPr>
                <w:sz w:val="22"/>
              </w:rPr>
              <w:t>Cal. Water Service</w:t>
            </w:r>
          </w:p>
        </w:tc>
        <w:tc>
          <w:tcPr>
            <w:tcW w:w="420" w:type="pct"/>
          </w:tcPr>
          <w:p w:rsidR="00CA671C" w:rsidRPr="00CA671C" w:rsidRDefault="00CA671C" w:rsidP="00CA671C">
            <w:pPr>
              <w:rPr>
                <w:sz w:val="22"/>
              </w:rPr>
            </w:pPr>
            <w:r w:rsidRPr="00CA671C">
              <w:rPr>
                <w:sz w:val="22"/>
              </w:rPr>
              <w:t>A+</w:t>
            </w:r>
          </w:p>
        </w:tc>
        <w:tc>
          <w:tcPr>
            <w:tcW w:w="705" w:type="pct"/>
          </w:tcPr>
          <w:p w:rsidR="00CA671C" w:rsidRPr="00CA671C" w:rsidRDefault="00CA671C" w:rsidP="00CA671C">
            <w:pPr>
              <w:jc w:val="right"/>
              <w:rPr>
                <w:sz w:val="22"/>
              </w:rPr>
            </w:pPr>
            <w:r w:rsidRPr="00CA671C">
              <w:rPr>
                <w:sz w:val="22"/>
              </w:rPr>
              <w:t>93.93%</w:t>
            </w:r>
          </w:p>
        </w:tc>
        <w:tc>
          <w:tcPr>
            <w:tcW w:w="661" w:type="pct"/>
          </w:tcPr>
          <w:p w:rsidR="00CA671C" w:rsidRPr="00CA671C" w:rsidRDefault="00CA671C" w:rsidP="00CA671C">
            <w:pPr>
              <w:jc w:val="right"/>
              <w:rPr>
                <w:sz w:val="22"/>
              </w:rPr>
            </w:pPr>
            <w:r w:rsidRPr="00CA671C">
              <w:rPr>
                <w:sz w:val="22"/>
              </w:rPr>
              <w:t>$1,800</w:t>
            </w:r>
          </w:p>
        </w:tc>
        <w:tc>
          <w:tcPr>
            <w:tcW w:w="488" w:type="pct"/>
          </w:tcPr>
          <w:p w:rsidR="00CA671C" w:rsidRPr="00CA671C" w:rsidRDefault="00CA671C" w:rsidP="00CA671C">
            <w:pPr>
              <w:jc w:val="right"/>
              <w:rPr>
                <w:sz w:val="22"/>
              </w:rPr>
            </w:pPr>
            <w:r w:rsidRPr="00CA671C">
              <w:rPr>
                <w:sz w:val="22"/>
              </w:rPr>
              <w:t>46.22%</w:t>
            </w:r>
          </w:p>
        </w:tc>
        <w:tc>
          <w:tcPr>
            <w:tcW w:w="561" w:type="pct"/>
          </w:tcPr>
          <w:p w:rsidR="00CA671C" w:rsidRPr="00CA671C" w:rsidRDefault="00CA671C" w:rsidP="00CA671C">
            <w:pPr>
              <w:jc w:val="right"/>
              <w:rPr>
                <w:sz w:val="22"/>
              </w:rPr>
            </w:pPr>
            <w:r w:rsidRPr="00CA671C">
              <w:rPr>
                <w:sz w:val="22"/>
              </w:rPr>
              <w:t>1.77%</w:t>
            </w:r>
          </w:p>
        </w:tc>
        <w:tc>
          <w:tcPr>
            <w:tcW w:w="388" w:type="pct"/>
          </w:tcPr>
          <w:p w:rsidR="00CA671C" w:rsidRPr="00CA671C" w:rsidRDefault="00CA671C" w:rsidP="00CA671C">
            <w:pPr>
              <w:jc w:val="right"/>
              <w:rPr>
                <w:sz w:val="22"/>
              </w:rPr>
            </w:pPr>
            <w:r w:rsidRPr="00CA671C">
              <w:rPr>
                <w:sz w:val="22"/>
              </w:rPr>
              <w:t>0.75</w:t>
            </w:r>
          </w:p>
        </w:tc>
        <w:tc>
          <w:tcPr>
            <w:tcW w:w="564" w:type="pct"/>
          </w:tcPr>
          <w:p w:rsidR="00CA671C" w:rsidRPr="00CA671C" w:rsidRDefault="00CA671C" w:rsidP="00CA671C">
            <w:pPr>
              <w:jc w:val="right"/>
              <w:rPr>
                <w:sz w:val="22"/>
              </w:rPr>
            </w:pPr>
            <w:r w:rsidRPr="00CA671C">
              <w:rPr>
                <w:sz w:val="22"/>
              </w:rPr>
              <w:t>0.03</w:t>
            </w:r>
          </w:p>
        </w:tc>
      </w:tr>
      <w:tr w:rsidR="00CA671C" w:rsidRPr="00CA671C" w:rsidTr="00CA671C">
        <w:tc>
          <w:tcPr>
            <w:tcW w:w="1213" w:type="pct"/>
          </w:tcPr>
          <w:p w:rsidR="00CA671C" w:rsidRPr="00CA671C" w:rsidRDefault="00CA671C" w:rsidP="00CA671C">
            <w:pPr>
              <w:rPr>
                <w:sz w:val="22"/>
              </w:rPr>
            </w:pPr>
            <w:r w:rsidRPr="00CA671C">
              <w:rPr>
                <w:sz w:val="22"/>
              </w:rPr>
              <w:t>Middlesex Water</w:t>
            </w:r>
          </w:p>
        </w:tc>
        <w:tc>
          <w:tcPr>
            <w:tcW w:w="420" w:type="pct"/>
          </w:tcPr>
          <w:p w:rsidR="00CA671C" w:rsidRPr="00CA671C" w:rsidRDefault="00CA671C" w:rsidP="00CA671C">
            <w:pPr>
              <w:rPr>
                <w:sz w:val="22"/>
              </w:rPr>
            </w:pPr>
            <w:r w:rsidRPr="00CA671C">
              <w:rPr>
                <w:sz w:val="22"/>
              </w:rPr>
              <w:t>A</w:t>
            </w:r>
          </w:p>
        </w:tc>
        <w:tc>
          <w:tcPr>
            <w:tcW w:w="705" w:type="pct"/>
          </w:tcPr>
          <w:p w:rsidR="00CA671C" w:rsidRPr="00CA671C" w:rsidRDefault="00CA671C" w:rsidP="00CA671C">
            <w:pPr>
              <w:jc w:val="right"/>
              <w:rPr>
                <w:sz w:val="22"/>
              </w:rPr>
            </w:pPr>
            <w:r w:rsidRPr="00CA671C">
              <w:rPr>
                <w:sz w:val="22"/>
              </w:rPr>
              <w:t>88.28%</w:t>
            </w:r>
          </w:p>
        </w:tc>
        <w:tc>
          <w:tcPr>
            <w:tcW w:w="661" w:type="pct"/>
          </w:tcPr>
          <w:p w:rsidR="00CA671C" w:rsidRPr="00CA671C" w:rsidRDefault="00CA671C" w:rsidP="00CA671C">
            <w:pPr>
              <w:jc w:val="right"/>
              <w:rPr>
                <w:sz w:val="22"/>
              </w:rPr>
            </w:pPr>
            <w:r w:rsidRPr="00CA671C">
              <w:rPr>
                <w:sz w:val="22"/>
              </w:rPr>
              <w:t>$600</w:t>
            </w:r>
          </w:p>
        </w:tc>
        <w:tc>
          <w:tcPr>
            <w:tcW w:w="488" w:type="pct"/>
          </w:tcPr>
          <w:p w:rsidR="00CA671C" w:rsidRPr="00CA671C" w:rsidRDefault="00CA671C" w:rsidP="00CA671C">
            <w:pPr>
              <w:jc w:val="right"/>
              <w:rPr>
                <w:sz w:val="22"/>
              </w:rPr>
            </w:pPr>
            <w:r w:rsidRPr="00CA671C">
              <w:rPr>
                <w:sz w:val="22"/>
              </w:rPr>
              <w:t>56.86%</w:t>
            </w:r>
          </w:p>
        </w:tc>
        <w:tc>
          <w:tcPr>
            <w:tcW w:w="561" w:type="pct"/>
          </w:tcPr>
          <w:p w:rsidR="00CA671C" w:rsidRPr="00CA671C" w:rsidRDefault="00CA671C" w:rsidP="00CA671C">
            <w:pPr>
              <w:jc w:val="right"/>
              <w:rPr>
                <w:sz w:val="22"/>
              </w:rPr>
            </w:pPr>
            <w:r w:rsidRPr="00CA671C">
              <w:rPr>
                <w:sz w:val="22"/>
              </w:rPr>
              <w:t>0.73%</w:t>
            </w:r>
          </w:p>
        </w:tc>
        <w:tc>
          <w:tcPr>
            <w:tcW w:w="388" w:type="pct"/>
          </w:tcPr>
          <w:p w:rsidR="00CA671C" w:rsidRPr="00CA671C" w:rsidRDefault="00CA671C" w:rsidP="00CA671C">
            <w:pPr>
              <w:jc w:val="right"/>
              <w:rPr>
                <w:sz w:val="22"/>
              </w:rPr>
            </w:pPr>
            <w:r w:rsidRPr="00CA671C">
              <w:rPr>
                <w:sz w:val="22"/>
              </w:rPr>
              <w:t>0.80</w:t>
            </w:r>
          </w:p>
        </w:tc>
        <w:tc>
          <w:tcPr>
            <w:tcW w:w="564" w:type="pct"/>
          </w:tcPr>
          <w:p w:rsidR="00CA671C" w:rsidRPr="00CA671C" w:rsidRDefault="00CA671C" w:rsidP="00CA671C">
            <w:pPr>
              <w:jc w:val="right"/>
              <w:rPr>
                <w:sz w:val="22"/>
              </w:rPr>
            </w:pPr>
            <w:r w:rsidRPr="00CA671C">
              <w:rPr>
                <w:sz w:val="22"/>
              </w:rPr>
              <w:t>0.01</w:t>
            </w:r>
          </w:p>
        </w:tc>
      </w:tr>
      <w:tr w:rsidR="00CA671C" w:rsidRPr="00CA671C" w:rsidTr="00CA671C">
        <w:tc>
          <w:tcPr>
            <w:tcW w:w="1213" w:type="pct"/>
          </w:tcPr>
          <w:p w:rsidR="00CA671C" w:rsidRPr="00CA671C" w:rsidRDefault="00CA671C" w:rsidP="00CA671C">
            <w:pPr>
              <w:rPr>
                <w:sz w:val="22"/>
              </w:rPr>
            </w:pPr>
            <w:r w:rsidRPr="00CA671C">
              <w:rPr>
                <w:sz w:val="22"/>
              </w:rPr>
              <w:t>SJW Group</w:t>
            </w:r>
          </w:p>
        </w:tc>
        <w:tc>
          <w:tcPr>
            <w:tcW w:w="420" w:type="pct"/>
          </w:tcPr>
          <w:p w:rsidR="00CA671C" w:rsidRPr="00CA671C" w:rsidRDefault="00CA671C" w:rsidP="00CA671C">
            <w:pPr>
              <w:rPr>
                <w:sz w:val="22"/>
              </w:rPr>
            </w:pPr>
            <w:r w:rsidRPr="00CA671C">
              <w:rPr>
                <w:sz w:val="22"/>
              </w:rPr>
              <w:t>A</w:t>
            </w:r>
          </w:p>
        </w:tc>
        <w:tc>
          <w:tcPr>
            <w:tcW w:w="705" w:type="pct"/>
          </w:tcPr>
          <w:p w:rsidR="00CA671C" w:rsidRPr="00CA671C" w:rsidRDefault="00CA671C" w:rsidP="00CA671C">
            <w:pPr>
              <w:jc w:val="right"/>
              <w:rPr>
                <w:sz w:val="22"/>
              </w:rPr>
            </w:pPr>
            <w:r w:rsidRPr="00CA671C">
              <w:rPr>
                <w:sz w:val="22"/>
              </w:rPr>
              <w:t>96.63%</w:t>
            </w:r>
          </w:p>
        </w:tc>
        <w:tc>
          <w:tcPr>
            <w:tcW w:w="661" w:type="pct"/>
          </w:tcPr>
          <w:p w:rsidR="00CA671C" w:rsidRPr="00CA671C" w:rsidRDefault="00CA671C" w:rsidP="00CA671C">
            <w:pPr>
              <w:jc w:val="right"/>
              <w:rPr>
                <w:sz w:val="22"/>
              </w:rPr>
            </w:pPr>
            <w:r w:rsidRPr="00CA671C">
              <w:rPr>
                <w:sz w:val="22"/>
              </w:rPr>
              <w:t>$1,100</w:t>
            </w:r>
          </w:p>
        </w:tc>
        <w:tc>
          <w:tcPr>
            <w:tcW w:w="488" w:type="pct"/>
          </w:tcPr>
          <w:p w:rsidR="00CA671C" w:rsidRPr="00CA671C" w:rsidRDefault="00CA671C" w:rsidP="00CA671C">
            <w:pPr>
              <w:jc w:val="right"/>
              <w:rPr>
                <w:sz w:val="22"/>
              </w:rPr>
            </w:pPr>
            <w:r w:rsidRPr="00CA671C">
              <w:rPr>
                <w:sz w:val="22"/>
              </w:rPr>
              <w:t>50.39%</w:t>
            </w:r>
          </w:p>
        </w:tc>
        <w:tc>
          <w:tcPr>
            <w:tcW w:w="561" w:type="pct"/>
          </w:tcPr>
          <w:p w:rsidR="00CA671C" w:rsidRPr="00CA671C" w:rsidRDefault="00CA671C" w:rsidP="00CA671C">
            <w:pPr>
              <w:jc w:val="right"/>
              <w:rPr>
                <w:sz w:val="22"/>
              </w:rPr>
            </w:pPr>
            <w:r w:rsidRPr="00CA671C">
              <w:rPr>
                <w:sz w:val="22"/>
              </w:rPr>
              <w:t>1.18%</w:t>
            </w:r>
          </w:p>
        </w:tc>
        <w:tc>
          <w:tcPr>
            <w:tcW w:w="388" w:type="pct"/>
          </w:tcPr>
          <w:p w:rsidR="00CA671C" w:rsidRPr="00CA671C" w:rsidRDefault="00CA671C" w:rsidP="00CA671C">
            <w:pPr>
              <w:jc w:val="right"/>
              <w:rPr>
                <w:sz w:val="22"/>
              </w:rPr>
            </w:pPr>
            <w:r w:rsidRPr="00CA671C">
              <w:rPr>
                <w:sz w:val="22"/>
              </w:rPr>
              <w:t>0.70</w:t>
            </w:r>
          </w:p>
        </w:tc>
        <w:tc>
          <w:tcPr>
            <w:tcW w:w="564" w:type="pct"/>
          </w:tcPr>
          <w:p w:rsidR="00CA671C" w:rsidRPr="00CA671C" w:rsidRDefault="00CA671C" w:rsidP="00CA671C">
            <w:pPr>
              <w:jc w:val="right"/>
              <w:rPr>
                <w:sz w:val="22"/>
              </w:rPr>
            </w:pPr>
            <w:r w:rsidRPr="00CA671C">
              <w:rPr>
                <w:sz w:val="22"/>
              </w:rPr>
              <w:t>0.02</w:t>
            </w:r>
          </w:p>
        </w:tc>
      </w:tr>
      <w:tr w:rsidR="00CA671C" w:rsidRPr="00CA671C" w:rsidTr="00CA671C">
        <w:tc>
          <w:tcPr>
            <w:tcW w:w="1213" w:type="pct"/>
          </w:tcPr>
          <w:p w:rsidR="00CA671C" w:rsidRPr="00CA671C" w:rsidRDefault="00CA671C" w:rsidP="00CA671C">
            <w:pPr>
              <w:rPr>
                <w:sz w:val="22"/>
              </w:rPr>
            </w:pPr>
            <w:r w:rsidRPr="00CA671C">
              <w:rPr>
                <w:sz w:val="22"/>
              </w:rPr>
              <w:t>York Water</w:t>
            </w:r>
          </w:p>
        </w:tc>
        <w:tc>
          <w:tcPr>
            <w:tcW w:w="420" w:type="pct"/>
          </w:tcPr>
          <w:p w:rsidR="00CA671C" w:rsidRPr="00CA671C" w:rsidRDefault="00CA671C" w:rsidP="00CA671C">
            <w:pPr>
              <w:rPr>
                <w:sz w:val="22"/>
              </w:rPr>
            </w:pPr>
            <w:r w:rsidRPr="00CA671C">
              <w:rPr>
                <w:sz w:val="22"/>
              </w:rPr>
              <w:t>A-</w:t>
            </w:r>
          </w:p>
        </w:tc>
        <w:tc>
          <w:tcPr>
            <w:tcW w:w="705" w:type="pct"/>
          </w:tcPr>
          <w:p w:rsidR="00CA671C" w:rsidRPr="00CA671C" w:rsidRDefault="00CA671C" w:rsidP="00CA671C">
            <w:pPr>
              <w:jc w:val="right"/>
              <w:rPr>
                <w:sz w:val="22"/>
              </w:rPr>
            </w:pPr>
            <w:r w:rsidRPr="00CA671C">
              <w:rPr>
                <w:sz w:val="22"/>
              </w:rPr>
              <w:t>100.00%</w:t>
            </w:r>
          </w:p>
        </w:tc>
        <w:tc>
          <w:tcPr>
            <w:tcW w:w="661" w:type="pct"/>
          </w:tcPr>
          <w:p w:rsidR="00CA671C" w:rsidRPr="00CA671C" w:rsidRDefault="00CA671C" w:rsidP="00CA671C">
            <w:pPr>
              <w:jc w:val="right"/>
              <w:rPr>
                <w:sz w:val="22"/>
              </w:rPr>
            </w:pPr>
            <w:r w:rsidRPr="00CA671C">
              <w:rPr>
                <w:sz w:val="22"/>
              </w:rPr>
              <w:t>$400</w:t>
            </w:r>
          </w:p>
        </w:tc>
        <w:tc>
          <w:tcPr>
            <w:tcW w:w="488" w:type="pct"/>
          </w:tcPr>
          <w:p w:rsidR="00CA671C" w:rsidRPr="00CA671C" w:rsidRDefault="00CA671C" w:rsidP="00CA671C">
            <w:pPr>
              <w:jc w:val="right"/>
              <w:rPr>
                <w:sz w:val="22"/>
              </w:rPr>
            </w:pPr>
            <w:r w:rsidRPr="00CA671C">
              <w:rPr>
                <w:sz w:val="22"/>
              </w:rPr>
              <w:t>56.71%</w:t>
            </w:r>
          </w:p>
        </w:tc>
        <w:tc>
          <w:tcPr>
            <w:tcW w:w="561" w:type="pct"/>
          </w:tcPr>
          <w:p w:rsidR="00CA671C" w:rsidRPr="00CA671C" w:rsidRDefault="00CA671C" w:rsidP="00CA671C">
            <w:pPr>
              <w:jc w:val="right"/>
              <w:rPr>
                <w:sz w:val="22"/>
              </w:rPr>
            </w:pPr>
            <w:r w:rsidRPr="00CA671C">
              <w:rPr>
                <w:sz w:val="22"/>
              </w:rPr>
              <w:t>0.48%</w:t>
            </w:r>
          </w:p>
        </w:tc>
        <w:tc>
          <w:tcPr>
            <w:tcW w:w="388" w:type="pct"/>
          </w:tcPr>
          <w:p w:rsidR="00CA671C" w:rsidRPr="00CA671C" w:rsidRDefault="00CA671C" w:rsidP="00CA671C">
            <w:pPr>
              <w:jc w:val="right"/>
              <w:rPr>
                <w:sz w:val="22"/>
              </w:rPr>
            </w:pPr>
            <w:r w:rsidRPr="00CA671C">
              <w:rPr>
                <w:sz w:val="22"/>
              </w:rPr>
              <w:t>0.80</w:t>
            </w:r>
          </w:p>
        </w:tc>
        <w:tc>
          <w:tcPr>
            <w:tcW w:w="564" w:type="pct"/>
          </w:tcPr>
          <w:p w:rsidR="00CA671C" w:rsidRPr="00CA671C" w:rsidRDefault="00CA671C" w:rsidP="00CA671C">
            <w:pPr>
              <w:jc w:val="right"/>
              <w:rPr>
                <w:sz w:val="22"/>
              </w:rPr>
            </w:pPr>
            <w:r w:rsidRPr="00CA671C">
              <w:rPr>
                <w:sz w:val="22"/>
              </w:rPr>
              <w:t>0.01</w:t>
            </w:r>
          </w:p>
        </w:tc>
      </w:tr>
      <w:tr w:rsidR="00CA671C" w:rsidRPr="00CA671C" w:rsidTr="00CA671C">
        <w:tc>
          <w:tcPr>
            <w:tcW w:w="1213" w:type="pct"/>
          </w:tcPr>
          <w:p w:rsidR="00CA671C" w:rsidRPr="00CA671C" w:rsidRDefault="00CA671C" w:rsidP="00CA671C">
            <w:pPr>
              <w:rPr>
                <w:b/>
                <w:sz w:val="22"/>
              </w:rPr>
            </w:pPr>
          </w:p>
        </w:tc>
        <w:tc>
          <w:tcPr>
            <w:tcW w:w="420" w:type="pct"/>
          </w:tcPr>
          <w:p w:rsidR="00CA671C" w:rsidRPr="00CA671C" w:rsidRDefault="00CA671C" w:rsidP="00CA671C">
            <w:pPr>
              <w:rPr>
                <w:b/>
                <w:sz w:val="22"/>
              </w:rPr>
            </w:pPr>
          </w:p>
        </w:tc>
        <w:tc>
          <w:tcPr>
            <w:tcW w:w="705" w:type="pct"/>
          </w:tcPr>
          <w:p w:rsidR="00CA671C" w:rsidRPr="00CA671C" w:rsidRDefault="00CA671C" w:rsidP="00CA671C">
            <w:pPr>
              <w:jc w:val="right"/>
              <w:rPr>
                <w:b/>
                <w:sz w:val="22"/>
              </w:rPr>
            </w:pPr>
          </w:p>
        </w:tc>
        <w:tc>
          <w:tcPr>
            <w:tcW w:w="661" w:type="pct"/>
          </w:tcPr>
          <w:p w:rsidR="00CA671C" w:rsidRPr="00CA671C" w:rsidRDefault="00CA671C" w:rsidP="00CA671C">
            <w:pPr>
              <w:jc w:val="right"/>
              <w:rPr>
                <w:b/>
                <w:sz w:val="22"/>
              </w:rPr>
            </w:pPr>
          </w:p>
        </w:tc>
        <w:tc>
          <w:tcPr>
            <w:tcW w:w="488" w:type="pct"/>
          </w:tcPr>
          <w:p w:rsidR="00CA671C" w:rsidRPr="00CA671C" w:rsidRDefault="00CA671C" w:rsidP="00CA671C">
            <w:pPr>
              <w:jc w:val="right"/>
              <w:rPr>
                <w:b/>
                <w:sz w:val="22"/>
              </w:rPr>
            </w:pPr>
          </w:p>
        </w:tc>
        <w:tc>
          <w:tcPr>
            <w:tcW w:w="561" w:type="pct"/>
          </w:tcPr>
          <w:p w:rsidR="00CA671C" w:rsidRPr="00CA671C" w:rsidRDefault="00CA671C" w:rsidP="00CA671C">
            <w:pPr>
              <w:jc w:val="right"/>
              <w:rPr>
                <w:b/>
                <w:sz w:val="22"/>
              </w:rPr>
            </w:pPr>
          </w:p>
        </w:tc>
        <w:tc>
          <w:tcPr>
            <w:tcW w:w="388" w:type="pct"/>
          </w:tcPr>
          <w:p w:rsidR="00CA671C" w:rsidRPr="00CA671C" w:rsidRDefault="00CA671C" w:rsidP="00CA671C">
            <w:pPr>
              <w:jc w:val="right"/>
              <w:rPr>
                <w:b/>
                <w:sz w:val="22"/>
              </w:rPr>
            </w:pPr>
          </w:p>
        </w:tc>
        <w:tc>
          <w:tcPr>
            <w:tcW w:w="564" w:type="pct"/>
          </w:tcPr>
          <w:p w:rsidR="00CA671C" w:rsidRPr="00CA671C" w:rsidRDefault="00CA671C" w:rsidP="00CA671C">
            <w:pPr>
              <w:jc w:val="right"/>
              <w:rPr>
                <w:b/>
                <w:sz w:val="22"/>
              </w:rPr>
            </w:pPr>
          </w:p>
        </w:tc>
      </w:tr>
      <w:tr w:rsidR="00CA671C" w:rsidRPr="00CA671C" w:rsidTr="00CA671C">
        <w:tc>
          <w:tcPr>
            <w:tcW w:w="1213" w:type="pct"/>
          </w:tcPr>
          <w:p w:rsidR="00CA671C" w:rsidRPr="00CA671C" w:rsidRDefault="00CA671C" w:rsidP="00CA671C">
            <w:pPr>
              <w:rPr>
                <w:b/>
                <w:sz w:val="22"/>
              </w:rPr>
            </w:pPr>
            <w:r w:rsidRPr="00CA671C">
              <w:rPr>
                <w:b/>
                <w:sz w:val="22"/>
              </w:rPr>
              <w:t>AVERAGE</w:t>
            </w:r>
          </w:p>
        </w:tc>
        <w:tc>
          <w:tcPr>
            <w:tcW w:w="420" w:type="pct"/>
          </w:tcPr>
          <w:p w:rsidR="00CA671C" w:rsidRPr="00CA671C" w:rsidRDefault="00CA671C" w:rsidP="00CA671C">
            <w:pPr>
              <w:rPr>
                <w:b/>
                <w:sz w:val="22"/>
              </w:rPr>
            </w:pPr>
            <w:r w:rsidRPr="00CA671C">
              <w:rPr>
                <w:b/>
                <w:sz w:val="22"/>
              </w:rPr>
              <w:t>A</w:t>
            </w:r>
          </w:p>
        </w:tc>
        <w:tc>
          <w:tcPr>
            <w:tcW w:w="705" w:type="pct"/>
          </w:tcPr>
          <w:p w:rsidR="00CA671C" w:rsidRPr="00CA671C" w:rsidRDefault="00CA671C" w:rsidP="00CA671C">
            <w:pPr>
              <w:jc w:val="right"/>
              <w:rPr>
                <w:b/>
                <w:sz w:val="22"/>
              </w:rPr>
            </w:pPr>
            <w:r w:rsidRPr="00CA671C">
              <w:rPr>
                <w:b/>
                <w:sz w:val="22"/>
              </w:rPr>
              <w:t>90.19%</w:t>
            </w:r>
          </w:p>
        </w:tc>
        <w:tc>
          <w:tcPr>
            <w:tcW w:w="661" w:type="pct"/>
          </w:tcPr>
          <w:p w:rsidR="00CA671C" w:rsidRPr="00CA671C" w:rsidRDefault="00CA671C" w:rsidP="00CA671C">
            <w:pPr>
              <w:jc w:val="right"/>
              <w:rPr>
                <w:b/>
                <w:sz w:val="22"/>
              </w:rPr>
            </w:pPr>
            <w:r w:rsidRPr="00CA671C">
              <w:rPr>
                <w:b/>
                <w:sz w:val="22"/>
              </w:rPr>
              <w:t>$3,908</w:t>
            </w:r>
          </w:p>
        </w:tc>
        <w:tc>
          <w:tcPr>
            <w:tcW w:w="488" w:type="pct"/>
          </w:tcPr>
          <w:p w:rsidR="00CA671C" w:rsidRPr="00CA671C" w:rsidRDefault="00CA671C" w:rsidP="00CA671C">
            <w:pPr>
              <w:jc w:val="right"/>
              <w:rPr>
                <w:b/>
                <w:sz w:val="22"/>
              </w:rPr>
            </w:pPr>
            <w:r w:rsidRPr="00CA671C">
              <w:rPr>
                <w:b/>
                <w:sz w:val="22"/>
              </w:rPr>
              <w:t>50.27%</w:t>
            </w:r>
          </w:p>
        </w:tc>
        <w:tc>
          <w:tcPr>
            <w:tcW w:w="561" w:type="pct"/>
          </w:tcPr>
          <w:p w:rsidR="00CA671C" w:rsidRPr="00CA671C" w:rsidRDefault="00CA671C" w:rsidP="00CA671C">
            <w:pPr>
              <w:jc w:val="right"/>
              <w:rPr>
                <w:b/>
                <w:sz w:val="22"/>
              </w:rPr>
            </w:pPr>
            <w:r w:rsidRPr="00CA671C">
              <w:rPr>
                <w:b/>
                <w:sz w:val="22"/>
              </w:rPr>
              <w:t>47.48%</w:t>
            </w:r>
          </w:p>
        </w:tc>
        <w:tc>
          <w:tcPr>
            <w:tcW w:w="388" w:type="pct"/>
          </w:tcPr>
          <w:p w:rsidR="00CA671C" w:rsidRPr="00CA671C" w:rsidRDefault="00CA671C" w:rsidP="00CA671C">
            <w:pPr>
              <w:jc w:val="right"/>
              <w:rPr>
                <w:b/>
                <w:sz w:val="22"/>
              </w:rPr>
            </w:pPr>
            <w:r w:rsidRPr="00CA671C">
              <w:rPr>
                <w:b/>
                <w:sz w:val="22"/>
              </w:rPr>
              <w:t>0.72</w:t>
            </w:r>
          </w:p>
        </w:tc>
        <w:tc>
          <w:tcPr>
            <w:tcW w:w="564" w:type="pct"/>
          </w:tcPr>
          <w:p w:rsidR="00CA671C" w:rsidRPr="00CA671C" w:rsidRDefault="00CA671C" w:rsidP="00CA671C">
            <w:pPr>
              <w:jc w:val="right"/>
              <w:rPr>
                <w:b/>
                <w:sz w:val="22"/>
              </w:rPr>
            </w:pPr>
            <w:r w:rsidRPr="00CA671C">
              <w:rPr>
                <w:b/>
                <w:sz w:val="22"/>
              </w:rPr>
              <w:t>0.69</w:t>
            </w:r>
          </w:p>
        </w:tc>
      </w:tr>
    </w:tbl>
    <w:p w:rsidR="00CA671C" w:rsidRPr="00CA671C" w:rsidRDefault="00CA671C" w:rsidP="00CA671C"/>
    <w:p w:rsidR="00CA671C" w:rsidRPr="00CA671C" w:rsidRDefault="00CA671C" w:rsidP="00CA671C">
      <w:r w:rsidRPr="00CA671C">
        <w:t>Sources:</w:t>
      </w:r>
    </w:p>
    <w:p w:rsidR="00CA671C" w:rsidRPr="00CA671C" w:rsidRDefault="00CA671C" w:rsidP="00CA671C">
      <w:r w:rsidRPr="00CA671C">
        <w:t>Value Line Ratings and Reports</w:t>
      </w:r>
    </w:p>
    <w:p w:rsidR="00CA671C" w:rsidRPr="00CA671C" w:rsidRDefault="00CA671C" w:rsidP="00CA671C">
      <w:r w:rsidRPr="00CA671C">
        <w:t>S.E.C. Form 10K for Companies</w:t>
      </w:r>
    </w:p>
    <w:p w:rsidR="00CA671C" w:rsidRPr="00CA671C" w:rsidRDefault="00CA671C" w:rsidP="00CA671C">
      <w:r w:rsidRPr="00CA671C">
        <w:t>Standard and Poor’s</w:t>
      </w:r>
    </w:p>
    <w:p w:rsidR="00CA671C" w:rsidRPr="00CA671C" w:rsidRDefault="00CA671C" w:rsidP="00CA671C"/>
    <w:p w:rsidR="00CA671C" w:rsidRPr="00CA671C" w:rsidRDefault="00CA671C" w:rsidP="00CA671C"/>
    <w:p w:rsidR="00CA671C" w:rsidRPr="00E01A38" w:rsidRDefault="00CA671C" w:rsidP="00E01A38">
      <w:pPr>
        <w:pStyle w:val="OrderBody"/>
      </w:pPr>
    </w:p>
    <w:sectPr w:rsidR="00CA671C" w:rsidRPr="00E01A38">
      <w:headerReference w:type="first" r:id="rId1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67E" w:rsidRDefault="0089167E">
      <w:r>
        <w:separator/>
      </w:r>
    </w:p>
  </w:endnote>
  <w:endnote w:type="continuationSeparator" w:id="0">
    <w:p w:rsidR="0089167E" w:rsidRDefault="0089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67E" w:rsidRDefault="0089167E">
    <w:pPr>
      <w:pStyle w:val="Footer"/>
      <w:tabs>
        <w:tab w:val="clear" w:pos="4320"/>
        <w:tab w:val="clear" w:pos="8640"/>
        <w:tab w:val="center" w:pos="4674"/>
        <w:tab w:val="right" w:pos="936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67E" w:rsidRDefault="008916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67E" w:rsidRDefault="0089167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67E" w:rsidRDefault="0089167E">
    <w:pPr>
      <w:pStyle w:val="Footer"/>
    </w:pPr>
  </w:p>
  <w:p w:rsidR="0089167E" w:rsidRDefault="008916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67E" w:rsidRDefault="0089167E">
      <w:r>
        <w:separator/>
      </w:r>
    </w:p>
  </w:footnote>
  <w:footnote w:type="continuationSeparator" w:id="0">
    <w:p w:rsidR="0089167E" w:rsidRDefault="0089167E">
      <w:r>
        <w:continuationSeparator/>
      </w:r>
    </w:p>
  </w:footnote>
  <w:footnote w:id="1">
    <w:p w:rsidR="0089167E" w:rsidRPr="00111BC8" w:rsidRDefault="0089167E" w:rsidP="008E3BF7">
      <w:pPr>
        <w:pStyle w:val="FootnoteText"/>
        <w:rPr>
          <w:i/>
        </w:rPr>
      </w:pPr>
      <w:r>
        <w:rPr>
          <w:rStyle w:val="FootnoteReference"/>
        </w:rPr>
        <w:footnoteRef/>
      </w:r>
      <w:r>
        <w:t xml:space="preserve">Order No. PSC-2001-2514-FOF-WS, issued December 24, 2001, in </w:t>
      </w:r>
      <w:r w:rsidRPr="00484C59">
        <w:t xml:space="preserve">Docket No. </w:t>
      </w:r>
      <w:r>
        <w:t>20</w:t>
      </w:r>
      <w:r w:rsidRPr="00484C59">
        <w:t>0</w:t>
      </w:r>
      <w:r>
        <w:t>1</w:t>
      </w:r>
      <w:r w:rsidRPr="00484C59">
        <w:t>0</w:t>
      </w:r>
      <w:r>
        <w:t>006</w:t>
      </w:r>
      <w:r w:rsidRPr="00484C59">
        <w:t xml:space="preserve">-WS, </w:t>
      </w:r>
      <w:r w:rsidRPr="00111BC8">
        <w:rPr>
          <w:i/>
        </w:rPr>
        <w:t xml:space="preserve">In re: Water and wastewater industry annual reestablishment of authorized range of return on common equity </w:t>
      </w:r>
      <w:r>
        <w:rPr>
          <w:i/>
        </w:rPr>
        <w:t>of</w:t>
      </w:r>
      <w:r w:rsidRPr="00111BC8">
        <w:rPr>
          <w:i/>
        </w:rPr>
        <w:t xml:space="preserve"> water and wastewater utilities pursuant to Section 367.081(4)(f), F.S.</w:t>
      </w:r>
    </w:p>
  </w:footnote>
  <w:footnote w:id="2">
    <w:p w:rsidR="0089167E" w:rsidRDefault="0089167E" w:rsidP="008E3BF7">
      <w:pPr>
        <w:pStyle w:val="FootnoteText"/>
      </w:pPr>
      <w:r>
        <w:rPr>
          <w:rStyle w:val="FootnoteReference"/>
        </w:rPr>
        <w:footnoteRef/>
      </w:r>
      <w:r>
        <w:t>At the May 20, 2008, Commission Conference, upon request of the Office of Public Counsel, we voted to set the establishment of the appropriate leverage formula directly for hearing.</w:t>
      </w:r>
    </w:p>
  </w:footnote>
  <w:footnote w:id="3">
    <w:p w:rsidR="0089167E" w:rsidRPr="004F4AE2" w:rsidRDefault="0089167E" w:rsidP="008E3BF7">
      <w:pPr>
        <w:pStyle w:val="FootnoteText"/>
        <w:rPr>
          <w:i/>
        </w:rPr>
      </w:pPr>
      <w:r w:rsidRPr="004F4AE2">
        <w:rPr>
          <w:rStyle w:val="FootnoteReference"/>
        </w:rPr>
        <w:footnoteRef/>
      </w:r>
      <w:r w:rsidRPr="004F4AE2">
        <w:t>Order No. PSC-</w:t>
      </w:r>
      <w:r>
        <w:t>20</w:t>
      </w:r>
      <w:r w:rsidRPr="004F4AE2">
        <w:t xml:space="preserve">08-0846-FOF-WS, issued December 31, 2008, in Docket No. </w:t>
      </w:r>
      <w:r>
        <w:t>20</w:t>
      </w:r>
      <w:r w:rsidRPr="004F4AE2">
        <w:t xml:space="preserve">080006-WS, </w:t>
      </w:r>
      <w:r w:rsidRPr="004F4AE2">
        <w:rPr>
          <w:i/>
        </w:rPr>
        <w:t>In re: Water and wastewater industry annual reestablishment of authorized range of return on common equity for water and wastewater utilities pursuant to Section 367.081(4)(f), F.S.</w:t>
      </w:r>
    </w:p>
  </w:footnote>
  <w:footnote w:id="4">
    <w:p w:rsidR="0089167E" w:rsidRPr="004F4AE2" w:rsidRDefault="0089167E" w:rsidP="008E3BF7">
      <w:pPr>
        <w:pStyle w:val="FootnoteText"/>
        <w:rPr>
          <w:i/>
        </w:rPr>
      </w:pPr>
      <w:r w:rsidRPr="004F4AE2">
        <w:rPr>
          <w:rStyle w:val="FootnoteReference"/>
        </w:rPr>
        <w:footnoteRef/>
      </w:r>
      <w:r w:rsidRPr="004F4AE2">
        <w:t>Order No. PSC-</w:t>
      </w:r>
      <w:r>
        <w:t>20</w:t>
      </w:r>
      <w:r w:rsidRPr="004F4AE2">
        <w:t xml:space="preserve">11-0287-PAA-WS, issued July 5, 2011, in Docket No. </w:t>
      </w:r>
      <w:r>
        <w:t>20</w:t>
      </w:r>
      <w:r w:rsidRPr="004F4AE2">
        <w:t xml:space="preserve">110006-WS, </w:t>
      </w:r>
      <w:r w:rsidRPr="004F4AE2">
        <w:rPr>
          <w:i/>
        </w:rPr>
        <w:t>In re: Water and wastewater industry annual reestablishment of authorized range of return on common equity for water and wastewater utilities pursuant to Section 367.081(4)(f), F.S.</w:t>
      </w:r>
    </w:p>
  </w:footnote>
  <w:footnote w:id="5">
    <w:p w:rsidR="0089167E" w:rsidRDefault="0089167E" w:rsidP="008E3BF7">
      <w:pPr>
        <w:pStyle w:val="FootnoteText"/>
      </w:pPr>
      <w:r>
        <w:rPr>
          <w:rStyle w:val="FootnoteReference"/>
        </w:rPr>
        <w:footnoteRef/>
      </w:r>
      <w:r>
        <w:t xml:space="preserve">Order No. PSC-2017-0249-PAA-WS, issued June 26, 2018, in Docket No. 20170006-WS, </w:t>
      </w:r>
      <w:r>
        <w:rPr>
          <w:i/>
        </w:rPr>
        <w:t>In re: Water and wastewater industry annual reestablishment of authorized range of return on common equity for water and wastewater utilities pursuant to Section 367.081(4)(f), F.S.</w:t>
      </w:r>
      <w:r>
        <w:t xml:space="preserve"> </w:t>
      </w:r>
    </w:p>
  </w:footnote>
  <w:footnote w:id="6">
    <w:p w:rsidR="0089167E" w:rsidRDefault="0089167E" w:rsidP="008E3BF7">
      <w:pPr>
        <w:pStyle w:val="FootnoteText"/>
      </w:pPr>
      <w:r>
        <w:rPr>
          <w:rStyle w:val="FootnoteReference"/>
        </w:rPr>
        <w:footnoteRef/>
      </w:r>
      <w:r w:rsidRPr="004F4AE2">
        <w:t>Order No. PSC-</w:t>
      </w:r>
      <w:r>
        <w:t>20</w:t>
      </w:r>
      <w:r w:rsidRPr="004F4AE2">
        <w:t xml:space="preserve">08-0846-FOF-WS, issued December 31, 2008, in Docket No. </w:t>
      </w:r>
      <w:r>
        <w:t>20</w:t>
      </w:r>
      <w:r w:rsidRPr="004F4AE2">
        <w:t xml:space="preserve">080006-WS, </w:t>
      </w:r>
      <w:r w:rsidRPr="004F4AE2">
        <w:rPr>
          <w:i/>
        </w:rPr>
        <w:t>In re: Water and wastewater industry annual reestablishment of authorized range of return on common equity for water and wastewater utilities pursuant to Section 367.081(4)(f), F.S.</w:t>
      </w:r>
    </w:p>
  </w:footnote>
  <w:footnote w:id="7">
    <w:p w:rsidR="0089167E" w:rsidRDefault="0089167E" w:rsidP="008E3BF7">
      <w:pPr>
        <w:pStyle w:val="FootnoteText"/>
      </w:pPr>
      <w:r>
        <w:rPr>
          <w:rStyle w:val="FootnoteReference"/>
        </w:rPr>
        <w:footnoteRef/>
      </w:r>
      <w:r>
        <w:t>Comments on Florida leverage formula to establish the annual authorized range of returns for water &amp; wastewater utilities of Pauline M. Ahern, CRRA, on behalf of Utilities, Inc. of Florida, P. 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67E" w:rsidRDefault="0089167E" w:rsidP="00CA671C">
    <w:pPr>
      <w:pStyle w:val="Header"/>
      <w:tabs>
        <w:tab w:val="clear" w:pos="4320"/>
        <w:tab w:val="clear" w:pos="8640"/>
        <w:tab w:val="right" w:pos="9360"/>
      </w:tabs>
    </w:pPr>
    <w:r>
      <w:tab/>
    </w:r>
  </w:p>
  <w:p w:rsidR="0089167E" w:rsidRDefault="0089167E" w:rsidP="00347B2D">
    <w:pPr>
      <w:pStyle w:val="OrderHeader"/>
    </w:pPr>
    <w:r>
      <w:t>ORDER NO. PSC-2018-0327-PAA-WS</w:t>
    </w:r>
  </w:p>
  <w:p w:rsidR="0089167E" w:rsidRDefault="0089167E" w:rsidP="00347B2D">
    <w:pPr>
      <w:pStyle w:val="OrderHeader"/>
    </w:pPr>
    <w:r>
      <w:t>DOCKET NO. 20180006-WS</w:t>
    </w:r>
  </w:p>
  <w:p w:rsidR="0089167E" w:rsidRDefault="0089167E" w:rsidP="00347B2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F1F01">
      <w:rPr>
        <w:rStyle w:val="PageNumber"/>
        <w:noProof/>
      </w:rPr>
      <w:t>3</w:t>
    </w:r>
    <w:r>
      <w:rPr>
        <w:rStyle w:val="PageNumber"/>
      </w:rPr>
      <w:fldChar w:fldCharType="end"/>
    </w:r>
  </w:p>
  <w:p w:rsidR="0089167E" w:rsidRDefault="0089167E" w:rsidP="00347B2D">
    <w:pPr>
      <w:pStyle w:val="OrderHeader"/>
    </w:pPr>
  </w:p>
  <w:p w:rsidR="0089167E" w:rsidRPr="001C057C" w:rsidRDefault="0089167E" w:rsidP="00CA67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67E" w:rsidRDefault="008916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67E" w:rsidRDefault="0089167E">
    <w:pPr>
      <w:pStyle w:val="OrderHeader"/>
    </w:pPr>
    <w:r>
      <w:t xml:space="preserve">ORDER NO. </w:t>
    </w:r>
    <w:r w:rsidR="00BF1F01">
      <w:fldChar w:fldCharType="begin"/>
    </w:r>
    <w:r w:rsidR="00BF1F01">
      <w:instrText xml:space="preserve"> REF OrderNo0327 </w:instrText>
    </w:r>
    <w:r w:rsidR="00BF1F01">
      <w:fldChar w:fldCharType="separate"/>
    </w:r>
    <w:r w:rsidR="00BF1F01">
      <w:t>PSC-2018-0327-PAA-WS</w:t>
    </w:r>
    <w:r w:rsidR="00BF1F01">
      <w:fldChar w:fldCharType="end"/>
    </w:r>
  </w:p>
  <w:p w:rsidR="0089167E" w:rsidRDefault="0089167E">
    <w:pPr>
      <w:pStyle w:val="OrderHeader"/>
    </w:pPr>
    <w:bookmarkStart w:id="11" w:name="HeaderDocketNo"/>
    <w:bookmarkEnd w:id="11"/>
    <w:r>
      <w:t>DOCKET NO. 20180006-WS</w:t>
    </w:r>
  </w:p>
  <w:p w:rsidR="0089167E" w:rsidRDefault="0089167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F1F01">
      <w:rPr>
        <w:rStyle w:val="PageNumber"/>
        <w:noProof/>
      </w:rPr>
      <w:t>11</w:t>
    </w:r>
    <w:r>
      <w:rPr>
        <w:rStyle w:val="PageNumber"/>
      </w:rPr>
      <w:fldChar w:fldCharType="end"/>
    </w:r>
  </w:p>
  <w:p w:rsidR="0089167E" w:rsidRDefault="0089167E">
    <w:pPr>
      <w:pStyle w:val="Order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67E" w:rsidRDefault="0089167E" w:rsidP="00347B2D">
    <w:pPr>
      <w:pStyle w:val="OrderHeader"/>
    </w:pPr>
    <w:r>
      <w:t>ORDER NO. PSC-2018-0327-PAA-WS</w:t>
    </w:r>
  </w:p>
  <w:p w:rsidR="0089167E" w:rsidRDefault="0089167E" w:rsidP="00347B2D">
    <w:pPr>
      <w:pStyle w:val="OrderHeader"/>
    </w:pPr>
    <w:r>
      <w:t>DOCKET NO. 20180006-WS</w:t>
    </w:r>
  </w:p>
  <w:p w:rsidR="0089167E" w:rsidRDefault="0089167E" w:rsidP="00347B2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F1F01">
      <w:rPr>
        <w:rStyle w:val="PageNumber"/>
        <w:noProof/>
      </w:rPr>
      <w:t>4</w:t>
    </w:r>
    <w:r>
      <w:rPr>
        <w:rStyle w:val="PageNumber"/>
      </w:rPr>
      <w:fldChar w:fldCharType="end"/>
    </w:r>
  </w:p>
  <w:p w:rsidR="0089167E" w:rsidRDefault="0089167E" w:rsidP="00347B2D">
    <w:pPr>
      <w:pStyle w:val="OrderHeader"/>
    </w:pPr>
  </w:p>
  <w:p w:rsidR="0089167E" w:rsidRDefault="0089167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67E" w:rsidRDefault="0089167E" w:rsidP="00CA671C">
    <w:pPr>
      <w:pStyle w:val="OrderHeader"/>
    </w:pPr>
    <w:r>
      <w:t>ORDER NO. PSC-2018-0327-PAA-WS</w:t>
    </w:r>
    <w:r>
      <w:tab/>
    </w:r>
    <w:r>
      <w:tab/>
      <w:t>ATTACHMENT 1</w:t>
    </w:r>
  </w:p>
  <w:p w:rsidR="0089167E" w:rsidRDefault="0089167E" w:rsidP="00CA671C">
    <w:pPr>
      <w:pStyle w:val="OrderHeader"/>
    </w:pPr>
    <w:r>
      <w:t>DOCKET NO. 20180006-WS</w:t>
    </w:r>
  </w:p>
  <w:p w:rsidR="0089167E" w:rsidRDefault="0089167E" w:rsidP="00CA671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F1F01">
      <w:rPr>
        <w:rStyle w:val="PageNumber"/>
        <w:noProof/>
      </w:rPr>
      <w:t>12</w:t>
    </w:r>
    <w:r>
      <w:rPr>
        <w:rStyle w:val="PageNumber"/>
      </w:rPr>
      <w:fldChar w:fldCharType="end"/>
    </w:r>
  </w:p>
  <w:p w:rsidR="0089167E" w:rsidRPr="008E7D58" w:rsidRDefault="0089167E" w:rsidP="008E7D5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67E" w:rsidRDefault="0089167E" w:rsidP="00347B2D">
    <w:pPr>
      <w:pStyle w:val="OrderHeader"/>
    </w:pPr>
    <w:r>
      <w:t>ORDER NO. PSC-2018-0327-PAA-WS</w:t>
    </w:r>
    <w:r>
      <w:tab/>
    </w:r>
    <w:r>
      <w:tab/>
      <w:t>ATTACHMENT 1</w:t>
    </w:r>
  </w:p>
  <w:p w:rsidR="0089167E" w:rsidRDefault="0089167E" w:rsidP="00347B2D">
    <w:pPr>
      <w:pStyle w:val="OrderHeader"/>
    </w:pPr>
    <w:r>
      <w:t>DOCKET NO. 20180006-WS</w:t>
    </w:r>
  </w:p>
  <w:p w:rsidR="0089167E" w:rsidRDefault="0089167E" w:rsidP="00347B2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F1F01">
      <w:rPr>
        <w:rStyle w:val="PageNumber"/>
        <w:noProof/>
      </w:rPr>
      <w:t>17</w:t>
    </w:r>
    <w:r>
      <w:rPr>
        <w:rStyle w:val="PageNumber"/>
      </w:rPr>
      <w:fldChar w:fldCharType="end"/>
    </w:r>
  </w:p>
  <w:p w:rsidR="0089167E" w:rsidRPr="00A20252" w:rsidRDefault="0089167E" w:rsidP="00A2025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67E" w:rsidRDefault="0089167E" w:rsidP="00CA671C">
    <w:pPr>
      <w:pStyle w:val="OrderHeader"/>
    </w:pPr>
    <w:r>
      <w:t>ORDER NO. PSC-2018-0327-PAA-WS</w:t>
    </w:r>
    <w:r>
      <w:tab/>
    </w:r>
    <w:r>
      <w:tab/>
      <w:t>ATTACHMENT 1</w:t>
    </w:r>
  </w:p>
  <w:p w:rsidR="0089167E" w:rsidRDefault="0089167E" w:rsidP="00CA671C">
    <w:pPr>
      <w:pStyle w:val="OrderHeader"/>
    </w:pPr>
    <w:r>
      <w:t>DOCKET NO. 20180006-WS</w:t>
    </w:r>
  </w:p>
  <w:p w:rsidR="0089167E" w:rsidRDefault="0089167E" w:rsidP="00CA671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F1F01">
      <w:rPr>
        <w:rStyle w:val="PageNumber"/>
        <w:noProof/>
      </w:rPr>
      <w:t>16</w:t>
    </w:r>
    <w:r>
      <w:rPr>
        <w:rStyle w:val="PageNumber"/>
      </w:rPr>
      <w:fldChar w:fldCharType="end"/>
    </w:r>
  </w:p>
  <w:p w:rsidR="0089167E" w:rsidRDefault="008916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20B67"/>
    <w:multiLevelType w:val="hybridMultilevel"/>
    <w:tmpl w:val="ECA4F74C"/>
    <w:lvl w:ilvl="0" w:tplc="4D180B26">
      <w:start w:val="1"/>
      <w:numFmt w:val="upperLetter"/>
      <w:lvlText w:val="%1."/>
      <w:lvlJc w:val="left"/>
      <w:pPr>
        <w:ind w:left="360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37091466"/>
    <w:multiLevelType w:val="hybridMultilevel"/>
    <w:tmpl w:val="E5C8CCB2"/>
    <w:lvl w:ilvl="0" w:tplc="24B47BA0">
      <w:numFmt w:val="bullet"/>
      <w:lvlText w:val="•"/>
      <w:lvlJc w:val="left"/>
      <w:pPr>
        <w:ind w:left="1080" w:hanging="72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331600"/>
    <w:multiLevelType w:val="hybridMultilevel"/>
    <w:tmpl w:val="ABE86830"/>
    <w:lvl w:ilvl="0" w:tplc="75C817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A81395"/>
    <w:multiLevelType w:val="hybridMultilevel"/>
    <w:tmpl w:val="A53A262C"/>
    <w:lvl w:ilvl="0" w:tplc="B68A84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6-WS"/>
  </w:docVars>
  <w:rsids>
    <w:rsidRoot w:val="00E01A38"/>
    <w:rsid w:val="000022B8"/>
    <w:rsid w:val="00035A8C"/>
    <w:rsid w:val="00053AB9"/>
    <w:rsid w:val="00056229"/>
    <w:rsid w:val="00057AF1"/>
    <w:rsid w:val="00065FC2"/>
    <w:rsid w:val="00067685"/>
    <w:rsid w:val="00076E6B"/>
    <w:rsid w:val="0008247D"/>
    <w:rsid w:val="00090AFC"/>
    <w:rsid w:val="00097C60"/>
    <w:rsid w:val="000B394E"/>
    <w:rsid w:val="000B783E"/>
    <w:rsid w:val="000D02B8"/>
    <w:rsid w:val="000D06E8"/>
    <w:rsid w:val="000E050C"/>
    <w:rsid w:val="000E1733"/>
    <w:rsid w:val="000E20F0"/>
    <w:rsid w:val="000E344D"/>
    <w:rsid w:val="000E3F6D"/>
    <w:rsid w:val="000F359F"/>
    <w:rsid w:val="000F3B2C"/>
    <w:rsid w:val="000F4B04"/>
    <w:rsid w:val="000F63EB"/>
    <w:rsid w:val="000F648A"/>
    <w:rsid w:val="000F7BE3"/>
    <w:rsid w:val="001052BA"/>
    <w:rsid w:val="001107B3"/>
    <w:rsid w:val="001114B1"/>
    <w:rsid w:val="00113740"/>
    <w:rsid w:val="001139D8"/>
    <w:rsid w:val="00116AD3"/>
    <w:rsid w:val="00121957"/>
    <w:rsid w:val="0012387E"/>
    <w:rsid w:val="00126593"/>
    <w:rsid w:val="00142A96"/>
    <w:rsid w:val="001513DE"/>
    <w:rsid w:val="00154A71"/>
    <w:rsid w:val="001602B4"/>
    <w:rsid w:val="00187E32"/>
    <w:rsid w:val="00194E81"/>
    <w:rsid w:val="001A15E7"/>
    <w:rsid w:val="001A1AEE"/>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47B2D"/>
    <w:rsid w:val="0035495B"/>
    <w:rsid w:val="00355A93"/>
    <w:rsid w:val="00361522"/>
    <w:rsid w:val="0037196E"/>
    <w:rsid w:val="003739A3"/>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656C9"/>
    <w:rsid w:val="00472BCC"/>
    <w:rsid w:val="004A25CD"/>
    <w:rsid w:val="004A26CC"/>
    <w:rsid w:val="004B2108"/>
    <w:rsid w:val="004B3A2B"/>
    <w:rsid w:val="004B70D3"/>
    <w:rsid w:val="004B78AF"/>
    <w:rsid w:val="004C312D"/>
    <w:rsid w:val="004D2D1B"/>
    <w:rsid w:val="004D5067"/>
    <w:rsid w:val="004D6838"/>
    <w:rsid w:val="004D72BC"/>
    <w:rsid w:val="004E469D"/>
    <w:rsid w:val="004F2DDE"/>
    <w:rsid w:val="004F7826"/>
    <w:rsid w:val="0050097F"/>
    <w:rsid w:val="00514B1F"/>
    <w:rsid w:val="00521F8E"/>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56B3A"/>
    <w:rsid w:val="00660774"/>
    <w:rsid w:val="0066389A"/>
    <w:rsid w:val="0066495C"/>
    <w:rsid w:val="00665CC7"/>
    <w:rsid w:val="00672612"/>
    <w:rsid w:val="00677F18"/>
    <w:rsid w:val="00693483"/>
    <w:rsid w:val="006A0BF3"/>
    <w:rsid w:val="006A199A"/>
    <w:rsid w:val="006B0DA6"/>
    <w:rsid w:val="006C547E"/>
    <w:rsid w:val="006D2B51"/>
    <w:rsid w:val="006D5575"/>
    <w:rsid w:val="006E42BE"/>
    <w:rsid w:val="006F0BEF"/>
    <w:rsid w:val="00704C5D"/>
    <w:rsid w:val="007072BC"/>
    <w:rsid w:val="00715275"/>
    <w:rsid w:val="00721B44"/>
    <w:rsid w:val="007232A2"/>
    <w:rsid w:val="00726366"/>
    <w:rsid w:val="00733B6B"/>
    <w:rsid w:val="00740808"/>
    <w:rsid w:val="00741FCB"/>
    <w:rsid w:val="007467C4"/>
    <w:rsid w:val="0076170F"/>
    <w:rsid w:val="0076669C"/>
    <w:rsid w:val="00766E46"/>
    <w:rsid w:val="00767C21"/>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03C9"/>
    <w:rsid w:val="008278FE"/>
    <w:rsid w:val="00832598"/>
    <w:rsid w:val="0083397E"/>
    <w:rsid w:val="0083534B"/>
    <w:rsid w:val="008368B2"/>
    <w:rsid w:val="00842602"/>
    <w:rsid w:val="00847B45"/>
    <w:rsid w:val="00863A66"/>
    <w:rsid w:val="008703D7"/>
    <w:rsid w:val="00874429"/>
    <w:rsid w:val="00883D9A"/>
    <w:rsid w:val="0089167E"/>
    <w:rsid w:val="008919EF"/>
    <w:rsid w:val="00892B20"/>
    <w:rsid w:val="008A12EC"/>
    <w:rsid w:val="008C21C8"/>
    <w:rsid w:val="008C6375"/>
    <w:rsid w:val="008C6A5B"/>
    <w:rsid w:val="008E26A5"/>
    <w:rsid w:val="008E3BF7"/>
    <w:rsid w:val="008E42D2"/>
    <w:rsid w:val="008E6328"/>
    <w:rsid w:val="008E7D58"/>
    <w:rsid w:val="009040EE"/>
    <w:rsid w:val="009057FD"/>
    <w:rsid w:val="00906FBA"/>
    <w:rsid w:val="009163E8"/>
    <w:rsid w:val="009228C7"/>
    <w:rsid w:val="00922A7F"/>
    <w:rsid w:val="00923A5E"/>
    <w:rsid w:val="00924FE7"/>
    <w:rsid w:val="00926E27"/>
    <w:rsid w:val="00931C8C"/>
    <w:rsid w:val="00941DD9"/>
    <w:rsid w:val="0094504B"/>
    <w:rsid w:val="00964A38"/>
    <w:rsid w:val="00966A9D"/>
    <w:rsid w:val="0096742B"/>
    <w:rsid w:val="009924CF"/>
    <w:rsid w:val="00994100"/>
    <w:rsid w:val="009A6B17"/>
    <w:rsid w:val="009D4C29"/>
    <w:rsid w:val="009D648F"/>
    <w:rsid w:val="009F6AD2"/>
    <w:rsid w:val="00A00D8D"/>
    <w:rsid w:val="00A01BB6"/>
    <w:rsid w:val="00A20252"/>
    <w:rsid w:val="00A427CA"/>
    <w:rsid w:val="00A4303C"/>
    <w:rsid w:val="00A470FD"/>
    <w:rsid w:val="00A50A16"/>
    <w:rsid w:val="00A62DAB"/>
    <w:rsid w:val="00A6757A"/>
    <w:rsid w:val="00A726A6"/>
    <w:rsid w:val="00A74842"/>
    <w:rsid w:val="00A97535"/>
    <w:rsid w:val="00AA2BAA"/>
    <w:rsid w:val="00AA73F1"/>
    <w:rsid w:val="00AB0E1A"/>
    <w:rsid w:val="00AB1A30"/>
    <w:rsid w:val="00AB3C36"/>
    <w:rsid w:val="00AD10EB"/>
    <w:rsid w:val="00AD1ED3"/>
    <w:rsid w:val="00AE6C6E"/>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0537"/>
    <w:rsid w:val="00B86EF0"/>
    <w:rsid w:val="00B96969"/>
    <w:rsid w:val="00B97900"/>
    <w:rsid w:val="00BA1229"/>
    <w:rsid w:val="00BA44A8"/>
    <w:rsid w:val="00BF1F01"/>
    <w:rsid w:val="00BF6691"/>
    <w:rsid w:val="00C01D25"/>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671C"/>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438"/>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A6BD3"/>
    <w:rsid w:val="00DC1D94"/>
    <w:rsid w:val="00DC42CF"/>
    <w:rsid w:val="00DD0C1D"/>
    <w:rsid w:val="00DE057F"/>
    <w:rsid w:val="00DE2082"/>
    <w:rsid w:val="00DE2289"/>
    <w:rsid w:val="00DF09A7"/>
    <w:rsid w:val="00E001D6"/>
    <w:rsid w:val="00E01A38"/>
    <w:rsid w:val="00E03A76"/>
    <w:rsid w:val="00E04410"/>
    <w:rsid w:val="00E07484"/>
    <w:rsid w:val="00E11351"/>
    <w:rsid w:val="00E4225C"/>
    <w:rsid w:val="00E44879"/>
    <w:rsid w:val="00E72914"/>
    <w:rsid w:val="00E7365A"/>
    <w:rsid w:val="00E75AE0"/>
    <w:rsid w:val="00E83C1F"/>
    <w:rsid w:val="00EA172C"/>
    <w:rsid w:val="00EA259B"/>
    <w:rsid w:val="00EA35A3"/>
    <w:rsid w:val="00EA3E6A"/>
    <w:rsid w:val="00EB18EF"/>
    <w:rsid w:val="00EB7951"/>
    <w:rsid w:val="00EC47F1"/>
    <w:rsid w:val="00EC7ECD"/>
    <w:rsid w:val="00ED6A79"/>
    <w:rsid w:val="00EE17DF"/>
    <w:rsid w:val="00EF4621"/>
    <w:rsid w:val="00EF4D52"/>
    <w:rsid w:val="00EF6312"/>
    <w:rsid w:val="00F038B0"/>
    <w:rsid w:val="00F22B27"/>
    <w:rsid w:val="00F234A7"/>
    <w:rsid w:val="00F2425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basedOn w:val="DefaultParagraphFont"/>
    <w:link w:val="Footer"/>
    <w:uiPriority w:val="99"/>
    <w:rsid w:val="008E3BF7"/>
    <w:rPr>
      <w:sz w:val="24"/>
      <w:szCs w:val="24"/>
    </w:rPr>
  </w:style>
  <w:style w:type="character" w:customStyle="1" w:styleId="HeaderChar">
    <w:name w:val="Header Char"/>
    <w:basedOn w:val="DefaultParagraphFont"/>
    <w:link w:val="Header"/>
    <w:rsid w:val="008E3BF7"/>
    <w:rPr>
      <w:sz w:val="24"/>
      <w:szCs w:val="24"/>
    </w:rPr>
  </w:style>
  <w:style w:type="character" w:customStyle="1" w:styleId="FootnoteTextChar">
    <w:name w:val="Footnote Text Char"/>
    <w:basedOn w:val="DefaultParagraphFont"/>
    <w:link w:val="FootnoteText"/>
    <w:rsid w:val="008E3BF7"/>
  </w:style>
  <w:style w:type="paragraph" w:customStyle="1" w:styleId="RecommendationMajorSectionHeading">
    <w:name w:val="Recommendation Major Section Heading"/>
    <w:basedOn w:val="Heading1"/>
    <w:next w:val="BodyText"/>
    <w:rsid w:val="008E3BF7"/>
    <w:pPr>
      <w:jc w:val="center"/>
    </w:pPr>
    <w:rPr>
      <w:rFonts w:ascii="Arial" w:hAnsi="Arial"/>
      <w:b/>
    </w:rPr>
  </w:style>
  <w:style w:type="paragraph" w:styleId="ListParagraph">
    <w:name w:val="List Paragraph"/>
    <w:basedOn w:val="Normal"/>
    <w:uiPriority w:val="34"/>
    <w:qFormat/>
    <w:rsid w:val="00F24257"/>
    <w:pPr>
      <w:ind w:left="720"/>
      <w:contextualSpacing/>
    </w:pPr>
  </w:style>
  <w:style w:type="paragraph" w:styleId="BalloonText">
    <w:name w:val="Balloon Text"/>
    <w:basedOn w:val="Normal"/>
    <w:link w:val="BalloonTextChar"/>
    <w:rsid w:val="00347B2D"/>
    <w:rPr>
      <w:rFonts w:ascii="Tahoma" w:hAnsi="Tahoma" w:cs="Tahoma"/>
      <w:sz w:val="16"/>
      <w:szCs w:val="16"/>
    </w:rPr>
  </w:style>
  <w:style w:type="character" w:customStyle="1" w:styleId="BalloonTextChar">
    <w:name w:val="Balloon Text Char"/>
    <w:basedOn w:val="DefaultParagraphFont"/>
    <w:link w:val="BalloonText"/>
    <w:rsid w:val="00347B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basedOn w:val="DefaultParagraphFont"/>
    <w:link w:val="Footer"/>
    <w:uiPriority w:val="99"/>
    <w:rsid w:val="008E3BF7"/>
    <w:rPr>
      <w:sz w:val="24"/>
      <w:szCs w:val="24"/>
    </w:rPr>
  </w:style>
  <w:style w:type="character" w:customStyle="1" w:styleId="HeaderChar">
    <w:name w:val="Header Char"/>
    <w:basedOn w:val="DefaultParagraphFont"/>
    <w:link w:val="Header"/>
    <w:rsid w:val="008E3BF7"/>
    <w:rPr>
      <w:sz w:val="24"/>
      <w:szCs w:val="24"/>
    </w:rPr>
  </w:style>
  <w:style w:type="character" w:customStyle="1" w:styleId="FootnoteTextChar">
    <w:name w:val="Footnote Text Char"/>
    <w:basedOn w:val="DefaultParagraphFont"/>
    <w:link w:val="FootnoteText"/>
    <w:rsid w:val="008E3BF7"/>
  </w:style>
  <w:style w:type="paragraph" w:customStyle="1" w:styleId="RecommendationMajorSectionHeading">
    <w:name w:val="Recommendation Major Section Heading"/>
    <w:basedOn w:val="Heading1"/>
    <w:next w:val="BodyText"/>
    <w:rsid w:val="008E3BF7"/>
    <w:pPr>
      <w:jc w:val="center"/>
    </w:pPr>
    <w:rPr>
      <w:rFonts w:ascii="Arial" w:hAnsi="Arial"/>
      <w:b/>
    </w:rPr>
  </w:style>
  <w:style w:type="paragraph" w:styleId="ListParagraph">
    <w:name w:val="List Paragraph"/>
    <w:basedOn w:val="Normal"/>
    <w:uiPriority w:val="34"/>
    <w:qFormat/>
    <w:rsid w:val="00F24257"/>
    <w:pPr>
      <w:ind w:left="720"/>
      <w:contextualSpacing/>
    </w:pPr>
  </w:style>
  <w:style w:type="paragraph" w:styleId="BalloonText">
    <w:name w:val="Balloon Text"/>
    <w:basedOn w:val="Normal"/>
    <w:link w:val="BalloonTextChar"/>
    <w:rsid w:val="00347B2D"/>
    <w:rPr>
      <w:rFonts w:ascii="Tahoma" w:hAnsi="Tahoma" w:cs="Tahoma"/>
      <w:sz w:val="16"/>
      <w:szCs w:val="16"/>
    </w:rPr>
  </w:style>
  <w:style w:type="character" w:customStyle="1" w:styleId="BalloonTextChar">
    <w:name w:val="Balloon Text Char"/>
    <w:basedOn w:val="DefaultParagraphFont"/>
    <w:link w:val="BalloonText"/>
    <w:rsid w:val="00347B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C2ED6-4388-4242-A1C6-0163D063D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17</Pages>
  <Words>5581</Words>
  <Characters>29378</Characters>
  <Application>Microsoft Office Word</Application>
  <DocSecurity>0</DocSecurity>
  <Lines>244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2018-06-26T17:06:00Z</dcterms:created>
  <dcterms:modified xsi:type="dcterms:W3CDTF">2018-06-26T18:53:00Z</dcterms:modified>
</cp:coreProperties>
</file>