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204A63">
            <w:pPr>
              <w:jc w:val="center"/>
            </w:pPr>
            <w:r>
              <w:rPr>
                <w:noProof/>
              </w:rPr>
              <w:drawing>
                <wp:inline distT="0" distB="0" distL="0" distR="0" wp14:anchorId="0DB8087C" wp14:editId="682A38B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rsidTr="002B1506">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04A63">
            <w:pPr>
              <w:pStyle w:val="MemoHeading"/>
            </w:pPr>
            <w:bookmarkStart w:id="0" w:name="FilingDate"/>
            <w:r>
              <w:t>June 27, 2018</w:t>
            </w:r>
            <w:bookmarkEnd w:id="0"/>
          </w:p>
        </w:tc>
      </w:tr>
      <w:tr w:rsidR="007C0528" w:rsidTr="002B1506">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rsidTr="002B1506">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04A63" w:rsidRDefault="00204A63">
            <w:pPr>
              <w:pStyle w:val="MemoHeading"/>
            </w:pPr>
            <w:bookmarkStart w:id="1" w:name="From"/>
            <w:r>
              <w:t>Division of Economics (Higgins, Wu)</w:t>
            </w:r>
          </w:p>
          <w:p w:rsidR="00204A63" w:rsidRDefault="00204A63">
            <w:pPr>
              <w:pStyle w:val="MemoHeading"/>
            </w:pPr>
            <w:r>
              <w:t>Division of Accounting and Finance (Cicchetti)</w:t>
            </w:r>
          </w:p>
          <w:p w:rsidR="007C0528" w:rsidRDefault="00204A63">
            <w:pPr>
              <w:pStyle w:val="MemoHeading"/>
            </w:pPr>
            <w:r>
              <w:t>Office of the Gen</w:t>
            </w:r>
            <w:bookmarkStart w:id="2" w:name="_GoBack"/>
            <w:bookmarkEnd w:id="2"/>
            <w:r>
              <w:t>eral Counsel (</w:t>
            </w:r>
            <w:r w:rsidR="00715871">
              <w:t>Schrader</w:t>
            </w:r>
            <w:r>
              <w:t>)</w:t>
            </w:r>
            <w:bookmarkEnd w:id="1"/>
          </w:p>
        </w:tc>
      </w:tr>
      <w:tr w:rsidR="007C0528" w:rsidTr="002B1506">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04A63">
            <w:pPr>
              <w:pStyle w:val="MemoHeadingRe"/>
            </w:pPr>
            <w:bookmarkStart w:id="3" w:name="Re"/>
            <w:r>
              <w:t>Docket No. 20170265-GU – Application for approval of new depreciation rates effective January 1, 2018, by St. Joe Natural Gas Company, Inc.</w:t>
            </w:r>
            <w:bookmarkEnd w:id="3"/>
          </w:p>
        </w:tc>
      </w:tr>
      <w:tr w:rsidR="007C0528" w:rsidTr="002B1506">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04A63">
            <w:pPr>
              <w:pStyle w:val="MemoHeading"/>
            </w:pPr>
            <w:bookmarkStart w:id="4" w:name="AgendaDate"/>
            <w:r>
              <w:t>07/10/18</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04A6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04A63">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04A6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04A6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04A63" w:rsidRDefault="00204A63" w:rsidP="00204A63">
      <w:pPr>
        <w:pStyle w:val="BodyText"/>
      </w:pPr>
      <w:r w:rsidRPr="007E013B">
        <w:t>Ru</w:t>
      </w:r>
      <w:r w:rsidR="009017B0">
        <w:t>le 25-7.045(4)(a),</w:t>
      </w:r>
      <w:r w:rsidRPr="007E013B">
        <w:t xml:space="preserve"> Florida Administrative Code (F.A.C.), requires natural gas public utilities to file a comprehensive depreciation study </w:t>
      </w:r>
      <w:r>
        <w:t>with the</w:t>
      </w:r>
      <w:r w:rsidRPr="007E013B">
        <w:t xml:space="preserve"> Florida Public Service Commission (Commission) </w:t>
      </w:r>
      <w:r>
        <w:t xml:space="preserve">for </w:t>
      </w:r>
      <w:r w:rsidRPr="007E013B">
        <w:t xml:space="preserve">review at least once every five years from the submission date of the previous study. </w:t>
      </w:r>
      <w:r>
        <w:t>On December 21, 2017, St. Joe Natural Gas Company (St. Joe or Company) filed its 2017</w:t>
      </w:r>
      <w:r w:rsidRPr="007E013B">
        <w:t xml:space="preserve"> depreciation study in compliance with the aforecited rule. </w:t>
      </w:r>
      <w:r w:rsidR="00850852" w:rsidRPr="00850852">
        <w:t xml:space="preserve">Staff notes </w:t>
      </w:r>
      <w:r w:rsidR="00850852">
        <w:t>t</w:t>
      </w:r>
      <w:r>
        <w:t>he C</w:t>
      </w:r>
      <w:r w:rsidRPr="007E013B">
        <w:t>ompany’s last depreciation study</w:t>
      </w:r>
      <w:r>
        <w:t xml:space="preserve"> was filed December 31, 2012</w:t>
      </w:r>
      <w:r w:rsidRPr="007E013B">
        <w:t xml:space="preserve">. </w:t>
      </w:r>
      <w:r w:rsidR="00D12E81">
        <w:t>For a brie</w:t>
      </w:r>
      <w:r w:rsidR="00590CBD">
        <w:t>f profile of the C</w:t>
      </w:r>
      <w:r w:rsidR="00D12E81">
        <w:t>ompany,</w:t>
      </w:r>
      <w:r w:rsidR="00850852">
        <w:t xml:space="preserve"> </w:t>
      </w:r>
      <w:r w:rsidRPr="00204A63">
        <w:t>St. Joe</w:t>
      </w:r>
      <w:r>
        <w:t xml:space="preserve"> had </w:t>
      </w:r>
      <w:r w:rsidR="00470403">
        <w:t>t</w:t>
      </w:r>
      <w:r w:rsidR="00470403" w:rsidRPr="00470403">
        <w:t xml:space="preserve">otal </w:t>
      </w:r>
      <w:r w:rsidRPr="00470403">
        <w:t xml:space="preserve">2017 operating revenues of approximately </w:t>
      </w:r>
      <w:r w:rsidR="00C90186" w:rsidRPr="00470403">
        <w:t>$2,005,700</w:t>
      </w:r>
      <w:r w:rsidRPr="00470403">
        <w:t>,</w:t>
      </w:r>
      <w:r w:rsidR="00C90186" w:rsidRPr="00470403">
        <w:t xml:space="preserve"> in</w:t>
      </w:r>
      <w:r w:rsidRPr="00532322">
        <w:t xml:space="preserve"> </w:t>
      </w:r>
      <w:r>
        <w:t xml:space="preserve">serving </w:t>
      </w:r>
      <w:r w:rsidR="00470403">
        <w:t>2,997</w:t>
      </w:r>
      <w:r w:rsidRPr="00532322">
        <w:t xml:space="preserve"> customers.</w:t>
      </w:r>
      <w:r w:rsidRPr="00EF00C0">
        <w:rPr>
          <w:rStyle w:val="FootnoteReference"/>
        </w:rPr>
        <w:footnoteReference w:id="1"/>
      </w:r>
      <w:r w:rsidRPr="00EF00C0">
        <w:t xml:space="preserve"> Staff has completed its review of </w:t>
      </w:r>
      <w:r w:rsidRPr="00204A63">
        <w:t>St. Joe</w:t>
      </w:r>
      <w:r w:rsidRPr="00EF00C0">
        <w:t>’s</w:t>
      </w:r>
      <w:r>
        <w:t xml:space="preserve"> </w:t>
      </w:r>
      <w:r w:rsidR="00B77666">
        <w:t xml:space="preserve">current </w:t>
      </w:r>
      <w:r>
        <w:t>2017 Depreciation S</w:t>
      </w:r>
      <w:r w:rsidRPr="00EF00C0">
        <w:t xml:space="preserve">tudy and presents its recommendations </w:t>
      </w:r>
      <w:r>
        <w:t xml:space="preserve">to the Commission </w:t>
      </w:r>
      <w:r w:rsidRPr="00EF00C0">
        <w:t>herein.</w:t>
      </w:r>
    </w:p>
    <w:p w:rsidR="008C0A97" w:rsidRDefault="008C0A97" w:rsidP="008C0A97">
      <w:pPr>
        <w:pStyle w:val="BodyText"/>
      </w:pPr>
      <w:r w:rsidRPr="00115681">
        <w:lastRenderedPageBreak/>
        <w:t>The Commission is vested with jurisdiction over these matte</w:t>
      </w:r>
      <w:r>
        <w:t xml:space="preserve">rs through several provisions of the </w:t>
      </w:r>
      <w:r w:rsidRPr="00115681">
        <w:t>Florida Statutes</w:t>
      </w:r>
      <w:r w:rsidR="004E42D3">
        <w:t xml:space="preserve"> (F.S.)</w:t>
      </w:r>
      <w:r w:rsidRPr="00115681">
        <w:t>, includi</w:t>
      </w:r>
      <w:r>
        <w:t>ng S</w:t>
      </w:r>
      <w:r w:rsidRPr="00115681">
        <w:t xml:space="preserve">ections </w:t>
      </w:r>
      <w:r w:rsidRPr="007E013B">
        <w:t>350.11</w:t>
      </w:r>
      <w:r>
        <w:t xml:space="preserve">5, </w:t>
      </w:r>
      <w:r w:rsidRPr="00115681">
        <w:t xml:space="preserve">366.05, </w:t>
      </w:r>
      <w:r>
        <w:t>and 366.06, F.S.</w:t>
      </w:r>
    </w:p>
    <w:p w:rsidR="008C0A97" w:rsidRPr="004A3457" w:rsidRDefault="008C0A97" w:rsidP="00204A63">
      <w:pPr>
        <w:pStyle w:val="BodyText"/>
        <w:rPr>
          <w:highlight w:val="yellow"/>
        </w:rPr>
      </w:pP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F257F" w:rsidRDefault="00DF257F">
      <w:pPr>
        <w:pStyle w:val="IssueHeading"/>
        <w:rPr>
          <w:vanish/>
          <w:specVanish/>
        </w:rPr>
      </w:pPr>
      <w:r w:rsidRPr="004C3641">
        <w:t xml:space="preserve">Issue </w:t>
      </w:r>
      <w:r w:rsidR="00883597">
        <w:fldChar w:fldCharType="begin"/>
      </w:r>
      <w:r w:rsidR="00883597">
        <w:instrText xml:space="preserve"> SEQ Issue \* MERGEFORMAT </w:instrText>
      </w:r>
      <w:r w:rsidR="00883597">
        <w:fldChar w:fldCharType="separate"/>
      </w:r>
      <w:r w:rsidR="00BD111B">
        <w:rPr>
          <w:noProof/>
        </w:rPr>
        <w:t>1</w:t>
      </w:r>
      <w:r w:rsidR="0088359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D111B">
        <w:rPr>
          <w:noProof/>
        </w:rPr>
        <w:instrText>1</w:instrText>
      </w:r>
      <w:r>
        <w:fldChar w:fldCharType="end"/>
      </w:r>
      <w:r>
        <w:tab/>
        <w:instrText xml:space="preserve">(Higgins)" \l 1 </w:instrText>
      </w:r>
      <w:r>
        <w:fldChar w:fldCharType="end"/>
      </w:r>
      <w:r>
        <w:t> </w:t>
      </w:r>
    </w:p>
    <w:p w:rsidR="00DF257F" w:rsidRDefault="00DF257F">
      <w:pPr>
        <w:pStyle w:val="BodyText"/>
      </w:pPr>
      <w:r>
        <w:t>Should</w:t>
      </w:r>
      <w:r w:rsidR="0053471A">
        <w:t xml:space="preserve"> the</w:t>
      </w:r>
      <w:r>
        <w:t xml:space="preserve"> currently prescribed depreciation rates for St. Joe Natural Gas Company be revised?</w:t>
      </w:r>
    </w:p>
    <w:p w:rsidR="00DF257F" w:rsidRPr="004C3641" w:rsidRDefault="00DF257F">
      <w:pPr>
        <w:pStyle w:val="IssueSubsectionHeading"/>
        <w:rPr>
          <w:vanish/>
          <w:specVanish/>
        </w:rPr>
      </w:pPr>
      <w:r w:rsidRPr="004C3641">
        <w:t>Recommendation: </w:t>
      </w:r>
    </w:p>
    <w:p w:rsidR="00DF257F" w:rsidRDefault="00DF257F" w:rsidP="00DF257F">
      <w:pPr>
        <w:pStyle w:val="BodyText"/>
      </w:pPr>
      <w:r>
        <w:t xml:space="preserve">Yes. The review of </w:t>
      </w:r>
      <w:r w:rsidRPr="00DF257F">
        <w:t>St. Joe</w:t>
      </w:r>
      <w:r w:rsidRPr="003E59B0">
        <w:t>’s</w:t>
      </w:r>
      <w:r>
        <w:t xml:space="preserve"> plant</w:t>
      </w:r>
      <w:r w:rsidR="00590CBD">
        <w:t xml:space="preserve"> and depreciation-related</w:t>
      </w:r>
      <w:r>
        <w:t xml:space="preserve"> </w:t>
      </w:r>
      <w:r w:rsidR="0053471A">
        <w:t>information indicates a need to revise</w:t>
      </w:r>
      <w:r w:rsidRPr="003E59B0">
        <w:t xml:space="preserve"> </w:t>
      </w:r>
      <w:r w:rsidR="00590CBD">
        <w:t>the C</w:t>
      </w:r>
      <w:r>
        <w:t>ompany</w:t>
      </w:r>
      <w:r w:rsidRPr="003E59B0">
        <w:t>’s</w:t>
      </w:r>
      <w:r>
        <w:t xml:space="preserve"> currently prescribed depreciation rates. (Higgins)</w:t>
      </w:r>
    </w:p>
    <w:p w:rsidR="00DF257F" w:rsidRPr="004C3641" w:rsidRDefault="00DF257F">
      <w:pPr>
        <w:pStyle w:val="IssueSubsectionHeading"/>
        <w:rPr>
          <w:vanish/>
          <w:specVanish/>
        </w:rPr>
      </w:pPr>
      <w:r w:rsidRPr="004C3641">
        <w:t>Staff Analysis: </w:t>
      </w:r>
    </w:p>
    <w:p w:rsidR="00DF257F" w:rsidRDefault="00DF257F" w:rsidP="00DF257F">
      <w:pPr>
        <w:pStyle w:val="BodyText"/>
      </w:pPr>
      <w:r>
        <w:t xml:space="preserve">St. Joe’s last depreciation filing was made on December 31, 2012. </w:t>
      </w:r>
      <w:proofErr w:type="gramStart"/>
      <w:r>
        <w:t>By Order No.</w:t>
      </w:r>
      <w:proofErr w:type="gramEnd"/>
      <w:r>
        <w:t xml:space="preserve"> PSC-13-0174-PAA-GU, the Commission approved revised depreciation rates that became effective January 1, 2013.</w:t>
      </w:r>
      <w:r>
        <w:rPr>
          <w:rStyle w:val="FootnoteReference"/>
        </w:rPr>
        <w:footnoteReference w:id="2"/>
      </w:r>
      <w:r>
        <w:t xml:space="preserve">  </w:t>
      </w:r>
    </w:p>
    <w:p w:rsidR="00DF257F" w:rsidRDefault="0053471A" w:rsidP="00DF257F">
      <w:pPr>
        <w:pStyle w:val="BodyText"/>
      </w:pPr>
      <w:r>
        <w:t>The Company</w:t>
      </w:r>
      <w:r w:rsidR="00DF257F">
        <w:t xml:space="preserve"> filed its current study in accordance with Rule 25-7.045</w:t>
      </w:r>
      <w:r w:rsidR="009017B0" w:rsidRPr="009017B0">
        <w:t>(4</w:t>
      </w:r>
      <w:proofErr w:type="gramStart"/>
      <w:r w:rsidR="009017B0" w:rsidRPr="009017B0">
        <w:t>)(</w:t>
      </w:r>
      <w:proofErr w:type="gramEnd"/>
      <w:r w:rsidR="009017B0" w:rsidRPr="009017B0">
        <w:t>a)</w:t>
      </w:r>
      <w:r w:rsidR="00DF257F">
        <w:t>, F.A.C.</w:t>
      </w:r>
      <w:r w:rsidR="00CD0F21">
        <w:t xml:space="preserve"> A review of the C</w:t>
      </w:r>
      <w:r w:rsidR="00DF257F">
        <w:t>ompany’s plant activity and</w:t>
      </w:r>
      <w:r w:rsidR="001830D8">
        <w:t xml:space="preserve"> other relevant</w:t>
      </w:r>
      <w:r>
        <w:t xml:space="preserve"> data indicates the need to revise</w:t>
      </w:r>
      <w:r w:rsidR="00DF257F">
        <w:t xml:space="preserve"> depreciation rates. Staff’s recommended depreciation rates and underlying components are </w:t>
      </w:r>
      <w:r w:rsidR="001830D8">
        <w:t xml:space="preserve">specifically </w:t>
      </w:r>
      <w:r w:rsidR="00DF257F">
        <w:t>discussed in Issue 3</w:t>
      </w:r>
      <w:r w:rsidR="00DF257F" w:rsidRPr="006015A8">
        <w:t>.</w:t>
      </w:r>
    </w:p>
    <w:p w:rsidR="00715871" w:rsidRDefault="00715871">
      <w:pPr>
        <w:pStyle w:val="IssueHeading"/>
        <w:rPr>
          <w:vanish/>
          <w:specVanish/>
        </w:rPr>
      </w:pPr>
      <w:r w:rsidRPr="004C3641">
        <w:rPr>
          <w:b w:val="0"/>
          <w:i w:val="0"/>
        </w:rPr>
        <w:br w:type="page"/>
      </w:r>
      <w:r w:rsidRPr="004C3641">
        <w:t xml:space="preserve">Issue </w:t>
      </w:r>
      <w:r w:rsidR="00883597">
        <w:fldChar w:fldCharType="begin"/>
      </w:r>
      <w:r w:rsidR="00883597">
        <w:instrText xml:space="preserve"> SEQ Issue \* MERGEFORMAT </w:instrText>
      </w:r>
      <w:r w:rsidR="00883597">
        <w:fldChar w:fldCharType="separate"/>
      </w:r>
      <w:r w:rsidR="00BD111B">
        <w:rPr>
          <w:noProof/>
        </w:rPr>
        <w:t>2</w:t>
      </w:r>
      <w:r w:rsidR="0088359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D111B">
        <w:rPr>
          <w:noProof/>
        </w:rPr>
        <w:instrText>2</w:instrText>
      </w:r>
      <w:r>
        <w:fldChar w:fldCharType="end"/>
      </w:r>
      <w:r>
        <w:tab/>
        <w:instrText xml:space="preserve">(Higgins)" \l 1 </w:instrText>
      </w:r>
      <w:r>
        <w:fldChar w:fldCharType="end"/>
      </w:r>
      <w:r>
        <w:t> </w:t>
      </w:r>
    </w:p>
    <w:p w:rsidR="00715871" w:rsidRDefault="00715871">
      <w:pPr>
        <w:pStyle w:val="BodyText"/>
      </w:pPr>
      <w:r>
        <w:t>What should be the implementation date for newly proposed depreciation rates?</w:t>
      </w:r>
    </w:p>
    <w:p w:rsidR="00715871" w:rsidRPr="004C3641" w:rsidRDefault="00715871">
      <w:pPr>
        <w:pStyle w:val="IssueSubsectionHeading"/>
        <w:rPr>
          <w:vanish/>
          <w:specVanish/>
        </w:rPr>
      </w:pPr>
      <w:r w:rsidRPr="004C3641">
        <w:t>Recommendation: </w:t>
      </w:r>
    </w:p>
    <w:p w:rsidR="00715871" w:rsidRDefault="00075518">
      <w:pPr>
        <w:pStyle w:val="BodyText"/>
      </w:pPr>
      <w:r>
        <w:t>If approved by the Commission, s</w:t>
      </w:r>
      <w:r w:rsidR="00597689">
        <w:t>taff recommends January 1, 2018</w:t>
      </w:r>
      <w:r w:rsidR="00FF2F2F" w:rsidRPr="00FF2F2F">
        <w:t xml:space="preserve">, for implementing </w:t>
      </w:r>
      <w:r>
        <w:t xml:space="preserve">the depreciation rates </w:t>
      </w:r>
      <w:r w:rsidR="00FF2F2F" w:rsidRPr="00FF2F2F">
        <w:t>shown on Attachments A and B t</w:t>
      </w:r>
      <w:r w:rsidR="00597689">
        <w:t>o this recommendation.</w:t>
      </w:r>
      <w:r w:rsidR="00715871">
        <w:t xml:space="preserve"> (Higgins)</w:t>
      </w:r>
    </w:p>
    <w:p w:rsidR="00715871" w:rsidRPr="004C3641" w:rsidRDefault="00715871">
      <w:pPr>
        <w:pStyle w:val="IssueSubsectionHeading"/>
        <w:rPr>
          <w:vanish/>
          <w:specVanish/>
        </w:rPr>
      </w:pPr>
      <w:r w:rsidRPr="004C3641">
        <w:t>Staff Analysis: </w:t>
      </w:r>
    </w:p>
    <w:p w:rsidR="00715871" w:rsidRDefault="00597689">
      <w:pPr>
        <w:pStyle w:val="BodyText"/>
      </w:pPr>
      <w:r>
        <w:t>Rule 25-7.045</w:t>
      </w:r>
      <w:r w:rsidR="009017B0">
        <w:t>(4</w:t>
      </w:r>
      <w:proofErr w:type="gramStart"/>
      <w:r w:rsidR="009017B0">
        <w:t>)(</w:t>
      </w:r>
      <w:proofErr w:type="gramEnd"/>
      <w:r w:rsidR="009017B0">
        <w:t>d)</w:t>
      </w:r>
      <w:r>
        <w:t xml:space="preserve">, F.A.C., requires that the data submitted in a depreciation study, including plant and reserve balances or </w:t>
      </w:r>
      <w:r w:rsidR="007F0798">
        <w:t>Company</w:t>
      </w:r>
      <w:r>
        <w:t xml:space="preserve"> estimates, “shall be brought to the effective date of the proposed rates.” The supporting data and calculations provided by St. Joe match an implementation date of January 1, 2018.</w:t>
      </w:r>
    </w:p>
    <w:p w:rsidR="00715871" w:rsidRDefault="00715871">
      <w:pPr>
        <w:pStyle w:val="IssueHeading"/>
        <w:rPr>
          <w:vanish/>
          <w:specVanish/>
        </w:rPr>
      </w:pPr>
      <w:r w:rsidRPr="004C3641">
        <w:rPr>
          <w:b w:val="0"/>
          <w:i w:val="0"/>
        </w:rPr>
        <w:br w:type="page"/>
      </w:r>
      <w:r w:rsidRPr="004C3641">
        <w:t xml:space="preserve">Issue </w:t>
      </w:r>
      <w:r w:rsidR="00883597">
        <w:fldChar w:fldCharType="begin"/>
      </w:r>
      <w:r w:rsidR="00883597">
        <w:instrText xml:space="preserve"> SEQ Issue \* MERGEFORMAT </w:instrText>
      </w:r>
      <w:r w:rsidR="00883597">
        <w:fldChar w:fldCharType="separate"/>
      </w:r>
      <w:r w:rsidR="00BD111B">
        <w:rPr>
          <w:noProof/>
        </w:rPr>
        <w:t>3</w:t>
      </w:r>
      <w:r w:rsidR="0088359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D111B">
        <w:rPr>
          <w:noProof/>
        </w:rPr>
        <w:instrText>3</w:instrText>
      </w:r>
      <w:r>
        <w:fldChar w:fldCharType="end"/>
      </w:r>
      <w:r>
        <w:tab/>
        <w:instrText xml:space="preserve">" \l 1 </w:instrText>
      </w:r>
      <w:r>
        <w:fldChar w:fldCharType="end"/>
      </w:r>
      <w:r>
        <w:t> </w:t>
      </w:r>
    </w:p>
    <w:p w:rsidR="00715871" w:rsidRDefault="00715871">
      <w:pPr>
        <w:pStyle w:val="BodyText"/>
      </w:pPr>
      <w:r>
        <w:t>What are the appropriate depreciation parameters and resulting rates?</w:t>
      </w:r>
    </w:p>
    <w:p w:rsidR="00715871" w:rsidRPr="004C3641" w:rsidRDefault="00715871">
      <w:pPr>
        <w:pStyle w:val="IssueSubsectionHeading"/>
        <w:rPr>
          <w:vanish/>
          <w:specVanish/>
        </w:rPr>
      </w:pPr>
      <w:r w:rsidRPr="004C3641">
        <w:t>Recommendation: </w:t>
      </w:r>
    </w:p>
    <w:p w:rsidR="00715871" w:rsidRDefault="00AA1514">
      <w:pPr>
        <w:pStyle w:val="BodyText"/>
      </w:pPr>
      <w:r w:rsidRPr="00581536">
        <w:t xml:space="preserve">Staff recommends the Commission approve the lives, reserve percentages, net salvage </w:t>
      </w:r>
      <w:r w:rsidR="00615206">
        <w:t>percentages, and resulting</w:t>
      </w:r>
      <w:r w:rsidR="00C73DF0">
        <w:t xml:space="preserve"> depreciation rates applicable to</w:t>
      </w:r>
      <w:r w:rsidRPr="00581536">
        <w:t xml:space="preserve"> St. Joe</w:t>
      </w:r>
      <w:r w:rsidR="00C73DF0">
        <w:t>’s</w:t>
      </w:r>
      <w:r w:rsidRPr="00581536">
        <w:t xml:space="preserve"> </w:t>
      </w:r>
      <w:r w:rsidR="00615206">
        <w:t>investments</w:t>
      </w:r>
      <w:r w:rsidR="00C73DF0">
        <w:t xml:space="preserve"> </w:t>
      </w:r>
      <w:r w:rsidRPr="00581536">
        <w:t>that are shown on Attachment A.</w:t>
      </w:r>
      <w:r w:rsidRPr="0000469F">
        <w:t xml:space="preserve"> As shown on Attachment B, the corresponding depreciation expense effect of staff’s rate recommendati</w:t>
      </w:r>
      <w:r w:rsidRPr="00BE3805">
        <w:t>ons is a decrease of $</w:t>
      </w:r>
      <w:r w:rsidR="0000469F" w:rsidRPr="00BE3805">
        <w:t>41,258</w:t>
      </w:r>
      <w:r w:rsidRPr="00BE3805">
        <w:t xml:space="preserve"> annual</w:t>
      </w:r>
      <w:r w:rsidRPr="0000469F">
        <w:t>ly</w:t>
      </w:r>
      <w:r w:rsidR="0000469F" w:rsidRPr="0000469F">
        <w:t>, or ap</w:t>
      </w:r>
      <w:r w:rsidR="0000469F" w:rsidRPr="00BE3805">
        <w:t>proximately 14.4</w:t>
      </w:r>
      <w:r w:rsidR="00615206">
        <w:t xml:space="preserve"> percent, from current depreciation rate levels</w:t>
      </w:r>
      <w:r w:rsidRPr="0000469F">
        <w:t xml:space="preserve">. </w:t>
      </w:r>
      <w:r w:rsidR="00850852">
        <w:t>(</w:t>
      </w:r>
      <w:r w:rsidR="0000469F">
        <w:t>Higgins</w:t>
      </w:r>
      <w:r w:rsidR="00850852">
        <w:t>, Wu</w:t>
      </w:r>
      <w:r w:rsidR="00715871" w:rsidRPr="0000469F">
        <w:t>)</w:t>
      </w:r>
    </w:p>
    <w:p w:rsidR="00715871" w:rsidRPr="004C3641" w:rsidRDefault="00715871">
      <w:pPr>
        <w:pStyle w:val="IssueSubsectionHeading"/>
        <w:rPr>
          <w:vanish/>
          <w:specVanish/>
        </w:rPr>
      </w:pPr>
      <w:r w:rsidRPr="004C3641">
        <w:t>Staff Analysis: </w:t>
      </w:r>
    </w:p>
    <w:p w:rsidR="00AA1514" w:rsidRPr="00AF359B" w:rsidRDefault="00B62AC4" w:rsidP="00AA1514">
      <w:pPr>
        <w:pStyle w:val="BodyText"/>
      </w:pPr>
      <w:r>
        <w:t xml:space="preserve">The purpose of this period depreciation review is to ensure that capital prudently invested, as well as future costs of retirement are recovered over the useful lives of the assets studied. </w:t>
      </w:r>
      <w:r w:rsidR="00197F8D">
        <w:t>To this end, s</w:t>
      </w:r>
      <w:r w:rsidR="00AA1514" w:rsidRPr="00AF359B">
        <w:t>taff’s recommendations are the result of a comprehensive review of</w:t>
      </w:r>
      <w:r w:rsidR="00AA1514">
        <w:t xml:space="preserve"> </w:t>
      </w:r>
      <w:r w:rsidR="00AA1514" w:rsidRPr="00AA1514">
        <w:t>St. Joe</w:t>
      </w:r>
      <w:r w:rsidR="00197F8D">
        <w:t xml:space="preserve">’s </w:t>
      </w:r>
      <w:r w:rsidR="00AA1514">
        <w:t>depreciation</w:t>
      </w:r>
      <w:r w:rsidR="00197F8D">
        <w:t xml:space="preserve"> and plant-related</w:t>
      </w:r>
      <w:r w:rsidR="00AA1514">
        <w:t xml:space="preserve"> data filed in this docket. </w:t>
      </w:r>
      <w:r w:rsidR="00AA1514" w:rsidRPr="00AF359B">
        <w:t xml:space="preserve">Attachment A to this recommendation shows a </w:t>
      </w:r>
      <w:r w:rsidR="00AA1514" w:rsidRPr="0000469F">
        <w:t xml:space="preserve">comparison of certain currently-approved depreciation parameters and rates to those staff is recommending </w:t>
      </w:r>
      <w:r w:rsidR="00075518">
        <w:t xml:space="preserve">to </w:t>
      </w:r>
      <w:r w:rsidR="00AA1514" w:rsidRPr="0000469F">
        <w:t>become effective</w:t>
      </w:r>
      <w:r w:rsidR="00075518">
        <w:t xml:space="preserve"> on</w:t>
      </w:r>
      <w:r w:rsidR="00AA1514" w:rsidRPr="0000469F">
        <w:t xml:space="preserve"> January 1, 2018</w:t>
      </w:r>
      <w:r w:rsidR="004E42D3">
        <w:t>,</w:t>
      </w:r>
      <w:r w:rsidR="00AA1514" w:rsidRPr="0000469F">
        <w:t xml:space="preserve"> (Issue 2).</w:t>
      </w:r>
      <w:r w:rsidR="00615206">
        <w:rPr>
          <w:rStyle w:val="FootnoteReference"/>
        </w:rPr>
        <w:footnoteReference w:id="3"/>
      </w:r>
      <w:r w:rsidR="00AA1514" w:rsidRPr="0000469F">
        <w:t xml:space="preserve"> Staff and the Company are in agreement on all</w:t>
      </w:r>
      <w:r w:rsidR="00AA1514">
        <w:t xml:space="preserve"> proposed </w:t>
      </w:r>
      <w:r w:rsidR="00AA1514" w:rsidRPr="00AF359B">
        <w:t>depreciation parameters and resulting rates.</w:t>
      </w:r>
      <w:r w:rsidR="00AA1514" w:rsidRPr="00AF359B">
        <w:rPr>
          <w:rStyle w:val="FootnoteReference"/>
        </w:rPr>
        <w:footnoteReference w:id="4"/>
      </w:r>
      <w:r w:rsidR="00AA1514" w:rsidRPr="00AF359B">
        <w:t xml:space="preserve"> </w:t>
      </w:r>
      <w:r w:rsidR="00AA1514">
        <w:t xml:space="preserve">Displayed on </w:t>
      </w:r>
      <w:r w:rsidR="00AA1514" w:rsidRPr="00AF359B">
        <w:t xml:space="preserve">Attachment B </w:t>
      </w:r>
      <w:r w:rsidR="00AA1514">
        <w:t>is a comparison of depreciation</w:t>
      </w:r>
      <w:r w:rsidR="00AA1514" w:rsidRPr="00AF359B">
        <w:t xml:space="preserve"> expenses</w:t>
      </w:r>
      <w:r w:rsidR="00AA1514">
        <w:t xml:space="preserve"> between </w:t>
      </w:r>
      <w:r w:rsidR="00AA1514" w:rsidRPr="009B5F29">
        <w:t>currently-approved</w:t>
      </w:r>
      <w:r w:rsidR="00AA1514">
        <w:t xml:space="preserve"> and proposed rates</w:t>
      </w:r>
      <w:r w:rsidR="00AA1514" w:rsidRPr="00AF359B">
        <w:t xml:space="preserve"> based on December 31, 201</w:t>
      </w:r>
      <w:r w:rsidR="00AA1514">
        <w:t>7</w:t>
      </w:r>
      <w:r w:rsidR="004E42D3">
        <w:t>,</w:t>
      </w:r>
      <w:r w:rsidR="00075518">
        <w:t xml:space="preserve"> investment levels</w:t>
      </w:r>
      <w:r w:rsidR="00AA1514" w:rsidRPr="00AF359B">
        <w:t>.</w:t>
      </w:r>
      <w:r w:rsidR="00615206">
        <w:rPr>
          <w:rStyle w:val="FootnoteReference"/>
        </w:rPr>
        <w:footnoteReference w:id="5"/>
      </w:r>
      <w:r w:rsidR="00AA1514" w:rsidRPr="00AF359B">
        <w:tab/>
      </w:r>
    </w:p>
    <w:p w:rsidR="005F2194" w:rsidRPr="00386CE9" w:rsidRDefault="00AC2BA7" w:rsidP="00137DA6">
      <w:pPr>
        <w:rPr>
          <w:rFonts w:ascii="Arial" w:hAnsi="Arial" w:cs="Arial"/>
          <w:b/>
        </w:rPr>
      </w:pPr>
      <w:r w:rsidRPr="00386CE9">
        <w:rPr>
          <w:rFonts w:ascii="Arial" w:hAnsi="Arial" w:cs="Arial"/>
          <w:b/>
        </w:rPr>
        <w:t>2017 Study Overview</w:t>
      </w:r>
    </w:p>
    <w:p w:rsidR="005C0EB4" w:rsidRDefault="008A3023" w:rsidP="008619E5">
      <w:pPr>
        <w:pStyle w:val="BodyText"/>
      </w:pPr>
      <w:r>
        <w:t>In general and with little exception,</w:t>
      </w:r>
      <w:r w:rsidR="005F2194">
        <w:t xml:space="preserve"> there has been</w:t>
      </w:r>
      <w:r w:rsidR="003768AD">
        <w:t xml:space="preserve"> </w:t>
      </w:r>
      <w:r w:rsidR="00EA478B">
        <w:t>relatively</w:t>
      </w:r>
      <w:r w:rsidR="005F2194">
        <w:t xml:space="preserve"> minimal plant addition and retirement activity </w:t>
      </w:r>
      <w:r w:rsidR="00197F8D">
        <w:t>during</w:t>
      </w:r>
      <w:r w:rsidR="005F2194">
        <w:t xml:space="preserve"> the study period of 201</w:t>
      </w:r>
      <w:r w:rsidR="00083C83">
        <w:t>3-2017, with no property/accounts appearing to experience abnormal life characteristics. Thus</w:t>
      </w:r>
      <w:r w:rsidR="00A25587">
        <w:t>,</w:t>
      </w:r>
      <w:r w:rsidR="005F2194">
        <w:t xml:space="preserve"> </w:t>
      </w:r>
      <w:r w:rsidR="002D7C44" w:rsidRPr="002D7C44">
        <w:t>St. Joe</w:t>
      </w:r>
      <w:r w:rsidR="002D7C44">
        <w:t xml:space="preserve"> </w:t>
      </w:r>
      <w:r w:rsidR="00304BD7">
        <w:t xml:space="preserve">initially </w:t>
      </w:r>
      <w:r w:rsidR="002D7C44">
        <w:t>proposed to retain all of its previous</w:t>
      </w:r>
      <w:r w:rsidR="00083C83">
        <w:t xml:space="preserve">ly ordered average service life </w:t>
      </w:r>
      <w:r w:rsidR="004A2E61">
        <w:t xml:space="preserve">(ASL) </w:t>
      </w:r>
      <w:r w:rsidR="00083C83">
        <w:t>durations, as</w:t>
      </w:r>
      <w:r w:rsidR="002D7C44">
        <w:t xml:space="preserve"> </w:t>
      </w:r>
      <w:r w:rsidR="00083C83">
        <w:t xml:space="preserve">well as </w:t>
      </w:r>
      <w:r w:rsidR="002D7C44">
        <w:t>net salvage</w:t>
      </w:r>
      <w:r w:rsidR="004A2E61">
        <w:t xml:space="preserve"> (NS)</w:t>
      </w:r>
      <w:r w:rsidR="002D7C44">
        <w:t xml:space="preserve"> values.</w:t>
      </w:r>
      <w:r w:rsidR="004A2E61" w:rsidRPr="004A2E61">
        <w:rPr>
          <w:vertAlign w:val="superscript"/>
        </w:rPr>
        <w:footnoteReference w:id="6"/>
      </w:r>
      <w:r w:rsidR="004A2E61">
        <w:t xml:space="preserve"> Staff notes that</w:t>
      </w:r>
      <w:r w:rsidR="00A25587">
        <w:t>,</w:t>
      </w:r>
      <w:r w:rsidR="00ED650E">
        <w:t xml:space="preserve"> in general</w:t>
      </w:r>
      <w:r w:rsidR="00A25587">
        <w:t>,</w:t>
      </w:r>
      <w:r w:rsidR="004A2E61">
        <w:t xml:space="preserve"> an</w:t>
      </w:r>
      <w:r w:rsidR="004A2E61" w:rsidRPr="004A2E61">
        <w:t xml:space="preserve"> </w:t>
      </w:r>
      <w:r w:rsidR="004A2E61">
        <w:t xml:space="preserve">ASL is the </w:t>
      </w:r>
      <w:r w:rsidR="004A2E61" w:rsidRPr="004A2E61">
        <w:t>average expected life of all units</w:t>
      </w:r>
      <w:r w:rsidR="00197F8D">
        <w:t xml:space="preserve"> </w:t>
      </w:r>
      <w:r w:rsidR="00A25587">
        <w:t xml:space="preserve">of a group of assets when new. </w:t>
      </w:r>
      <w:r w:rsidR="004A2E61">
        <w:t>NS represents t</w:t>
      </w:r>
      <w:r w:rsidR="004A2E61" w:rsidRPr="004A2E61">
        <w:t xml:space="preserve">he difference between </w:t>
      </w:r>
      <w:r w:rsidR="00197F8D">
        <w:t xml:space="preserve">the </w:t>
      </w:r>
      <w:r w:rsidR="004A2E61" w:rsidRPr="004A2E61">
        <w:t>value of salvage and cost o</w:t>
      </w:r>
      <w:r w:rsidR="00F65529">
        <w:t>f removal resulting from</w:t>
      </w:r>
      <w:r w:rsidR="00F65529" w:rsidRPr="00F65529">
        <w:t xml:space="preserve"> plant</w:t>
      </w:r>
      <w:r w:rsidR="004A2E61" w:rsidRPr="004A2E61">
        <w:t xml:space="preserve"> </w:t>
      </w:r>
      <w:r w:rsidR="00867E8F">
        <w:t xml:space="preserve">retirement and </w:t>
      </w:r>
      <w:r w:rsidR="00F65529">
        <w:t>disposal</w:t>
      </w:r>
      <w:r w:rsidR="004A2E61" w:rsidRPr="004A2E61">
        <w:t>.</w:t>
      </w:r>
      <w:r w:rsidR="005F2194">
        <w:t xml:space="preserve"> </w:t>
      </w:r>
      <w:r w:rsidR="004A2E61">
        <w:t>Both are key considerations/parameters when formulating depreciation rates.</w:t>
      </w:r>
      <w:r w:rsidR="0083045B">
        <w:t xml:space="preserve"> </w:t>
      </w:r>
      <w:r w:rsidR="0083045B" w:rsidRPr="0083045B">
        <w:t>Discussed later in this recommendation, staf</w:t>
      </w:r>
      <w:r w:rsidR="00075518">
        <w:t>f suggests</w:t>
      </w:r>
      <w:r w:rsidR="0083045B" w:rsidRPr="0083045B">
        <w:t xml:space="preserve"> </w:t>
      </w:r>
      <w:r w:rsidR="00075518">
        <w:t xml:space="preserve">to moderately </w:t>
      </w:r>
      <w:proofErr w:type="gramStart"/>
      <w:r w:rsidR="00075518">
        <w:t>lengthen</w:t>
      </w:r>
      <w:proofErr w:type="gramEnd"/>
      <w:r w:rsidR="0083045B" w:rsidRPr="0083045B">
        <w:t xml:space="preserve"> the service lives of three accounts. All else equal, the lengthening of</w:t>
      </w:r>
      <w:r w:rsidR="00CB318D">
        <w:t xml:space="preserve"> service life</w:t>
      </w:r>
      <w:r w:rsidR="00ED650E">
        <w:t xml:space="preserve"> will ultimately</w:t>
      </w:r>
      <w:r w:rsidR="0083045B" w:rsidRPr="0083045B">
        <w:t xml:space="preserve"> reduce annual depreciation expense.</w:t>
      </w:r>
    </w:p>
    <w:p w:rsidR="00177921" w:rsidRDefault="005F2194" w:rsidP="008619E5">
      <w:pPr>
        <w:pStyle w:val="BodyText"/>
      </w:pPr>
      <w:r w:rsidRPr="005F2194">
        <w:t>Staff observed that St. Joe’s as-proposed average remaining lives</w:t>
      </w:r>
      <w:r w:rsidR="0083040A">
        <w:t xml:space="preserve"> (ARLs)</w:t>
      </w:r>
      <w:r w:rsidRPr="005F2194">
        <w:t xml:space="preserve"> were not calculated using retirement dispersion curves.</w:t>
      </w:r>
      <w:r w:rsidR="0083040A">
        <w:t xml:space="preserve"> </w:t>
      </w:r>
      <w:r w:rsidR="00974E6F" w:rsidRPr="00974E6F">
        <w:t>To address this, staff applied the last known Iowa-Type Survivor Curves applicable to St. Joe’s plant on an account-by-account basis and derived new ARL values.</w:t>
      </w:r>
      <w:r w:rsidR="00974E6F" w:rsidRPr="00974E6F">
        <w:rPr>
          <w:vertAlign w:val="superscript"/>
        </w:rPr>
        <w:footnoteReference w:id="7"/>
      </w:r>
      <w:r w:rsidR="00974E6F" w:rsidRPr="00974E6F">
        <w:t xml:space="preserve"> </w:t>
      </w:r>
      <w:r w:rsidR="00974E6F">
        <w:t>For background, a</w:t>
      </w:r>
      <w:r w:rsidR="0083040A">
        <w:t>n ARL</w:t>
      </w:r>
      <w:r w:rsidRPr="005F2194">
        <w:t xml:space="preserve"> </w:t>
      </w:r>
      <w:r w:rsidR="0083040A">
        <w:t>is t</w:t>
      </w:r>
      <w:r w:rsidR="0083040A" w:rsidRPr="0083040A">
        <w:t>he future expec</w:t>
      </w:r>
      <w:r w:rsidR="0083040A">
        <w:t>ted service life in years of the</w:t>
      </w:r>
      <w:r w:rsidR="00061BAE">
        <w:t xml:space="preserve"> asset-</w:t>
      </w:r>
      <w:r w:rsidR="0083040A">
        <w:t>group</w:t>
      </w:r>
      <w:r w:rsidR="0083040A" w:rsidRPr="0083040A">
        <w:t xml:space="preserve"> survivors at a given </w:t>
      </w:r>
      <w:r w:rsidR="0083040A" w:rsidRPr="00183DD7">
        <w:t>age</w:t>
      </w:r>
      <w:r w:rsidR="00A25587">
        <w:t>,</w:t>
      </w:r>
      <w:r w:rsidR="0083040A" w:rsidRPr="00C6022A">
        <w:t xml:space="preserve"> </w:t>
      </w:r>
      <w:r w:rsidR="00A25587">
        <w:t>w</w:t>
      </w:r>
      <w:r w:rsidR="00DC5D79" w:rsidRPr="00C6022A">
        <w:t>hereas the</w:t>
      </w:r>
      <w:r w:rsidR="00061BAE" w:rsidRPr="00C6022A">
        <w:t xml:space="preserve"> age</w:t>
      </w:r>
      <w:r w:rsidR="00336397" w:rsidRPr="00C6022A">
        <w:t xml:space="preserve"> of investment</w:t>
      </w:r>
      <w:r w:rsidR="009D6D8B" w:rsidRPr="00C6022A">
        <w:t>s</w:t>
      </w:r>
      <w:r w:rsidR="00061BAE" w:rsidRPr="00C6022A">
        <w:t xml:space="preserve"> is the</w:t>
      </w:r>
      <w:r w:rsidR="00336397" w:rsidRPr="00C6022A">
        <w:t xml:space="preserve"> dollar-weighted</w:t>
      </w:r>
      <w:r w:rsidR="00061BAE" w:rsidRPr="00C6022A">
        <w:t xml:space="preserve"> length</w:t>
      </w:r>
      <w:r w:rsidR="0053483D" w:rsidRPr="00C6022A">
        <w:t xml:space="preserve"> of time</w:t>
      </w:r>
      <w:r w:rsidR="00336397" w:rsidRPr="00C6022A">
        <w:t xml:space="preserve"> </w:t>
      </w:r>
      <w:r w:rsidR="005A5F4A">
        <w:t xml:space="preserve">that </w:t>
      </w:r>
      <w:r w:rsidR="00336397" w:rsidRPr="00C6022A">
        <w:t>vintage</w:t>
      </w:r>
      <w:r w:rsidR="00061BAE" w:rsidRPr="00C6022A">
        <w:t xml:space="preserve"> assets have been in se</w:t>
      </w:r>
      <w:r w:rsidR="00A127F3" w:rsidRPr="00C6022A">
        <w:t>rvice.</w:t>
      </w:r>
      <w:r w:rsidR="00183DD7" w:rsidRPr="00C6022A">
        <w:t xml:space="preserve"> </w:t>
      </w:r>
      <w:r w:rsidR="00EA23B0">
        <w:t>Overall</w:t>
      </w:r>
      <w:r w:rsidR="00177921" w:rsidRPr="00177921">
        <w:t xml:space="preserve">, the effects of using the newly-derived ARLs in calculating depreciation rates of St. Joe’s plant were mixed, with greater rates of depreciation for some accounts, lesser rates of depreciation for others. </w:t>
      </w:r>
    </w:p>
    <w:p w:rsidR="00A127F3" w:rsidRDefault="00177921" w:rsidP="008619E5">
      <w:pPr>
        <w:pStyle w:val="BodyText"/>
      </w:pPr>
      <w:r w:rsidRPr="00177921">
        <w:t>Staff notes that many of St. Joe’s currently-approved service lives were retained and used in the curve/life selection process.</w:t>
      </w:r>
      <w:r w:rsidRPr="00177921">
        <w:rPr>
          <w:vertAlign w:val="superscript"/>
        </w:rPr>
        <w:footnoteReference w:id="8"/>
      </w:r>
      <w:r w:rsidRPr="00177921">
        <w:t xml:space="preserve"> </w:t>
      </w:r>
      <w:r w:rsidR="00ED650E">
        <w:t>Further</w:t>
      </w:r>
      <w:r w:rsidR="002F797E">
        <w:t xml:space="preserve">, staff accepted </w:t>
      </w:r>
      <w:r w:rsidR="00ED650E" w:rsidRPr="00ED650E">
        <w:t xml:space="preserve">or agreed with the Company’s initial </w:t>
      </w:r>
      <w:r w:rsidR="00ED650E">
        <w:t>proposals</w:t>
      </w:r>
      <w:r w:rsidR="00ED650E" w:rsidRPr="00ED650E">
        <w:t xml:space="preserve"> for many proposed net salvage value</w:t>
      </w:r>
      <w:r w:rsidR="00ED650E">
        <w:t>s as well</w:t>
      </w:r>
      <w:r w:rsidR="00ED650E" w:rsidRPr="00ED650E">
        <w:t>.</w:t>
      </w:r>
      <w:r>
        <w:t xml:space="preserve"> </w:t>
      </w:r>
      <w:r w:rsidR="00A127F3" w:rsidRPr="00A127F3">
        <w:t>An account-by-account analysis and discussion concerning depreciation parameter</w:t>
      </w:r>
      <w:r w:rsidR="00304BD7">
        <w:t xml:space="preserve"> formulation</w:t>
      </w:r>
      <w:r w:rsidR="00A127F3" w:rsidRPr="00A127F3">
        <w:t xml:space="preserve"> and rate development follows below.</w:t>
      </w:r>
      <w:r w:rsidR="00A127F3">
        <w:t xml:space="preserve"> </w:t>
      </w:r>
    </w:p>
    <w:p w:rsidR="00A127F3" w:rsidRDefault="00A127F3" w:rsidP="00386CE9">
      <w:pPr>
        <w:pStyle w:val="BodyText"/>
        <w:ind w:firstLine="720"/>
        <w:rPr>
          <w:rFonts w:ascii="Arial" w:hAnsi="Arial" w:cs="Arial"/>
          <w:b/>
          <w:i/>
        </w:rPr>
      </w:pPr>
      <w:r>
        <w:rPr>
          <w:rFonts w:ascii="Arial" w:hAnsi="Arial" w:cs="Arial"/>
          <w:b/>
          <w:i/>
        </w:rPr>
        <w:t>Account-Specific Analysis</w:t>
      </w:r>
    </w:p>
    <w:p w:rsidR="00D96560" w:rsidRPr="00D96560" w:rsidRDefault="00D96560" w:rsidP="00D96560">
      <w:pPr>
        <w:pStyle w:val="BodyText"/>
        <w:rPr>
          <w:u w:val="single"/>
        </w:rPr>
      </w:pPr>
      <w:r w:rsidRPr="00D96560">
        <w:rPr>
          <w:u w:val="single"/>
        </w:rPr>
        <w:t>Account 375 – Buildings &amp; Improvements</w:t>
      </w:r>
    </w:p>
    <w:p w:rsidR="00D96560" w:rsidRPr="00EC4179" w:rsidRDefault="00D96560" w:rsidP="00D96560">
      <w:pPr>
        <w:pStyle w:val="BodyText"/>
      </w:pPr>
      <w:r>
        <w:t>T</w:t>
      </w:r>
      <w:r w:rsidRPr="00EC4179">
        <w:t>h</w:t>
      </w:r>
      <w:r>
        <w:t>e</w:t>
      </w:r>
      <w:r w:rsidRPr="00EC4179">
        <w:t xml:space="preserve"> </w:t>
      </w:r>
      <w:r w:rsidR="009B7B00">
        <w:t>age</w:t>
      </w:r>
      <w:r>
        <w:t xml:space="preserve"> of this </w:t>
      </w:r>
      <w:r w:rsidRPr="00EC4179">
        <w:t>account</w:t>
      </w:r>
      <w:r>
        <w:t xml:space="preserve"> is</w:t>
      </w:r>
      <w:r w:rsidR="00405E68">
        <w:t xml:space="preserve"> 33.6 years. Staff recommends the</w:t>
      </w:r>
      <w:r w:rsidRPr="00EC4179">
        <w:t xml:space="preserve"> S3</w:t>
      </w:r>
      <w:r>
        <w:t xml:space="preserve"> Iowa </w:t>
      </w:r>
      <w:r w:rsidRPr="00EC4179">
        <w:t xml:space="preserve">curve with </w:t>
      </w:r>
      <w:r>
        <w:t>a 40-</w:t>
      </w:r>
      <w:r w:rsidR="005A5F4A">
        <w:t>year AS</w:t>
      </w:r>
      <w:r w:rsidRPr="00EC4179">
        <w:t>L (</w:t>
      </w:r>
      <w:r>
        <w:t>S3-40</w:t>
      </w:r>
      <w:r w:rsidRPr="00EC4179">
        <w:t>)</w:t>
      </w:r>
      <w:r>
        <w:t xml:space="preserve"> curve/life combination.</w:t>
      </w:r>
      <w:r w:rsidRPr="00EC4179">
        <w:t xml:space="preserve"> </w:t>
      </w:r>
      <w:r w:rsidRPr="0062639F">
        <w:t>Based on these parameters</w:t>
      </w:r>
      <w:r>
        <w:t xml:space="preserve"> and a negative 5, or (5), percent </w:t>
      </w:r>
      <w:r w:rsidRPr="00EC4179">
        <w:t>NS</w:t>
      </w:r>
      <w:r>
        <w:t xml:space="preserve"> level,</w:t>
      </w:r>
      <w:r w:rsidRPr="0062639F">
        <w:t xml:space="preserve"> </w:t>
      </w:r>
      <w:r>
        <w:t xml:space="preserve">a </w:t>
      </w:r>
      <w:r w:rsidRPr="00EC4179">
        <w:t>10.8</w:t>
      </w:r>
      <w:r>
        <w:t>-</w:t>
      </w:r>
      <w:r w:rsidRPr="00EC4179">
        <w:t>year</w:t>
      </w:r>
      <w:r>
        <w:t xml:space="preserve"> </w:t>
      </w:r>
      <w:r w:rsidRPr="00EC4179">
        <w:t>ARL</w:t>
      </w:r>
      <w:r>
        <w:t xml:space="preserve"> and </w:t>
      </w:r>
      <w:r w:rsidRPr="00EC4179">
        <w:t xml:space="preserve">remaining life depreciation rate </w:t>
      </w:r>
      <w:r>
        <w:t>of</w:t>
      </w:r>
      <w:r w:rsidRPr="00EC4179">
        <w:t xml:space="preserve"> 1.6 percent</w:t>
      </w:r>
      <w:r>
        <w:t xml:space="preserve"> are calculated</w:t>
      </w:r>
      <w:r w:rsidRPr="00751FEF">
        <w:t xml:space="preserve"> for this account</w:t>
      </w:r>
      <w:r w:rsidRPr="00EC4179">
        <w:t>.</w:t>
      </w:r>
      <w:r>
        <w:t xml:space="preserve"> </w:t>
      </w:r>
    </w:p>
    <w:p w:rsidR="00D96560" w:rsidRPr="00D96560" w:rsidRDefault="00D96560" w:rsidP="00D96560">
      <w:pPr>
        <w:pStyle w:val="BodyText"/>
        <w:rPr>
          <w:u w:val="single"/>
        </w:rPr>
      </w:pPr>
      <w:r w:rsidRPr="00D96560">
        <w:rPr>
          <w:u w:val="single"/>
        </w:rPr>
        <w:t>Account 376.1 – Mains-Plastic</w:t>
      </w:r>
    </w:p>
    <w:p w:rsidR="00D96560" w:rsidRPr="00EC4179" w:rsidRDefault="00D96560" w:rsidP="00D96560">
      <w:pPr>
        <w:pStyle w:val="BodyText"/>
      </w:pPr>
      <w:r>
        <w:t>T</w:t>
      </w:r>
      <w:r w:rsidRPr="00EC4179">
        <w:t>h</w:t>
      </w:r>
      <w:r>
        <w:t>e</w:t>
      </w:r>
      <w:r w:rsidRPr="00EC4179">
        <w:t xml:space="preserve"> </w:t>
      </w:r>
      <w:r w:rsidR="009B7B00">
        <w:t>age</w:t>
      </w:r>
      <w:r>
        <w:t xml:space="preserve"> of this </w:t>
      </w:r>
      <w:r w:rsidRPr="00EC4179">
        <w:t>account</w:t>
      </w:r>
      <w:r>
        <w:t xml:space="preserve"> is </w:t>
      </w:r>
      <w:r w:rsidRPr="00EC4179">
        <w:t>21.2 years</w:t>
      </w:r>
      <w:r w:rsidR="00405E68">
        <w:t>. Staff recommends the</w:t>
      </w:r>
      <w:r>
        <w:t xml:space="preserve"> S3-40 </w:t>
      </w:r>
      <w:r w:rsidRPr="00EC4179">
        <w:t>curve</w:t>
      </w:r>
      <w:r>
        <w:t>/life combination.</w:t>
      </w:r>
      <w:r w:rsidRPr="00EC4179">
        <w:t xml:space="preserve"> </w:t>
      </w:r>
      <w:r w:rsidRPr="0062639F">
        <w:t>Based on these parameters</w:t>
      </w:r>
      <w:r w:rsidRPr="00E30A9E">
        <w:t xml:space="preserve"> </w:t>
      </w:r>
      <w:r>
        <w:t xml:space="preserve">and a (30) percent </w:t>
      </w:r>
      <w:r w:rsidRPr="00EC4179">
        <w:t>NS</w:t>
      </w:r>
      <w:r>
        <w:t xml:space="preserve"> level,</w:t>
      </w:r>
      <w:r w:rsidRPr="0062639F">
        <w:t xml:space="preserve"> </w:t>
      </w:r>
      <w:r>
        <w:t xml:space="preserve">a 19.4-year </w:t>
      </w:r>
      <w:r w:rsidRPr="00EC4179">
        <w:t>ARL</w:t>
      </w:r>
      <w:r>
        <w:t xml:space="preserve"> and a </w:t>
      </w:r>
      <w:r w:rsidRPr="00EC4179">
        <w:t xml:space="preserve">remaining life depreciation rate </w:t>
      </w:r>
      <w:r>
        <w:t>of 3.2 percent are calculated</w:t>
      </w:r>
      <w:r w:rsidRPr="00751FEF">
        <w:t xml:space="preserve"> for this account</w:t>
      </w:r>
      <w:r>
        <w:t>.</w:t>
      </w:r>
    </w:p>
    <w:p w:rsidR="00D96560" w:rsidRPr="00D96560" w:rsidRDefault="00D96560" w:rsidP="00D96560">
      <w:pPr>
        <w:pStyle w:val="BodyText"/>
        <w:rPr>
          <w:u w:val="single"/>
        </w:rPr>
      </w:pPr>
      <w:r w:rsidRPr="00D96560">
        <w:rPr>
          <w:u w:val="single"/>
        </w:rPr>
        <w:t>Account 376.2 – Mains-Steel</w:t>
      </w:r>
    </w:p>
    <w:p w:rsidR="00D96560" w:rsidRPr="00EC4179" w:rsidRDefault="00D96560" w:rsidP="00D96560">
      <w:pPr>
        <w:pStyle w:val="BodyText"/>
      </w:pPr>
      <w:r>
        <w:t>T</w:t>
      </w:r>
      <w:r w:rsidRPr="00EC4179">
        <w:t>h</w:t>
      </w:r>
      <w:r>
        <w:t>e</w:t>
      </w:r>
      <w:r w:rsidRPr="00EC4179">
        <w:t xml:space="preserve"> </w:t>
      </w:r>
      <w:r w:rsidR="009B7B00">
        <w:t>age</w:t>
      </w:r>
      <w:r>
        <w:t xml:space="preserve"> of this </w:t>
      </w:r>
      <w:r w:rsidRPr="00EC4179">
        <w:t>account</w:t>
      </w:r>
      <w:r>
        <w:t xml:space="preserve"> is</w:t>
      </w:r>
      <w:r w:rsidR="00405E68">
        <w:t xml:space="preserve"> 26.2 years. Staff recommends the</w:t>
      </w:r>
      <w:r w:rsidRPr="00EC4179">
        <w:t xml:space="preserve"> S3</w:t>
      </w:r>
      <w:r>
        <w:t>-</w:t>
      </w:r>
      <w:r w:rsidRPr="00EC4179">
        <w:t>40</w:t>
      </w:r>
      <w:r>
        <w:t xml:space="preserve"> </w:t>
      </w:r>
      <w:r w:rsidRPr="00EC4179">
        <w:t>curve</w:t>
      </w:r>
      <w:r>
        <w:t>/life combination</w:t>
      </w:r>
      <w:r w:rsidRPr="00EC4179">
        <w:t xml:space="preserve">. </w:t>
      </w:r>
      <w:r>
        <w:t>Based on</w:t>
      </w:r>
      <w:r w:rsidRPr="006F646B">
        <w:t xml:space="preserve"> these parameters</w:t>
      </w:r>
      <w:r>
        <w:t xml:space="preserve"> a</w:t>
      </w:r>
      <w:r w:rsidRPr="00EC4179">
        <w:t xml:space="preserve"> 15.4</w:t>
      </w:r>
      <w:r>
        <w:t>-</w:t>
      </w:r>
      <w:r w:rsidRPr="00EC4179">
        <w:t>year</w:t>
      </w:r>
      <w:r w:rsidRPr="00505469">
        <w:t xml:space="preserve"> </w:t>
      </w:r>
      <w:r w:rsidRPr="00EC4179">
        <w:t>ARL</w:t>
      </w:r>
      <w:r>
        <w:t xml:space="preserve"> is calculated</w:t>
      </w:r>
      <w:r w:rsidRPr="00EC4179">
        <w:t xml:space="preserve">. </w:t>
      </w:r>
      <w:r w:rsidRPr="00B80BCC">
        <w:t>As Account 3</w:t>
      </w:r>
      <w:r>
        <w:t>76</w:t>
      </w:r>
      <w:r w:rsidRPr="00B80BCC">
        <w:t>.</w:t>
      </w:r>
      <w:r>
        <w:t>2</w:t>
      </w:r>
      <w:r w:rsidRPr="00B80BCC">
        <w:t xml:space="preserve"> is in a theoretical reserve</w:t>
      </w:r>
      <w:r w:rsidRPr="00EC4179">
        <w:rPr>
          <w:vertAlign w:val="superscript"/>
        </w:rPr>
        <w:footnoteReference w:id="9"/>
      </w:r>
      <w:r w:rsidRPr="00B80BCC">
        <w:t xml:space="preserve"> </w:t>
      </w:r>
      <w:r>
        <w:t>surplus</w:t>
      </w:r>
      <w:r w:rsidRPr="00B80BCC">
        <w:t xml:space="preserve"> p</w:t>
      </w:r>
      <w:r>
        <w:t>osition, staff also recomm</w:t>
      </w:r>
      <w:r w:rsidR="00C6022A">
        <w:t xml:space="preserve">ends that a reserve </w:t>
      </w:r>
      <w:r w:rsidR="00F65529">
        <w:t>adjustment</w:t>
      </w:r>
      <w:r w:rsidR="00C6022A">
        <w:t xml:space="preserve"> (</w:t>
      </w:r>
      <w:r w:rsidR="00F65529">
        <w:t xml:space="preserve">transfer </w:t>
      </w:r>
      <w:r w:rsidR="00C6022A" w:rsidRPr="00C6022A">
        <w:t>to</w:t>
      </w:r>
      <w:r w:rsidRPr="00C6022A">
        <w:t xml:space="preserve"> Acc</w:t>
      </w:r>
      <w:r>
        <w:t>ounts 378, 380.1</w:t>
      </w:r>
      <w:r w:rsidR="00850852">
        <w:t>, and 384</w:t>
      </w:r>
      <w:r w:rsidR="00B77666">
        <w:t xml:space="preserve"> respectively) totaling</w:t>
      </w:r>
      <w:r>
        <w:t xml:space="preserve"> (</w:t>
      </w:r>
      <w:r w:rsidRPr="00EC4179">
        <w:t>$63,019</w:t>
      </w:r>
      <w:r>
        <w:t>) be made</w:t>
      </w:r>
      <w:r w:rsidRPr="00EC4179">
        <w:t xml:space="preserve"> </w:t>
      </w:r>
      <w:r>
        <w:t>in order to reduce the account’s</w:t>
      </w:r>
      <w:r w:rsidRPr="00EC4179">
        <w:t xml:space="preserve"> reserve </w:t>
      </w:r>
      <w:r>
        <w:t>surplus</w:t>
      </w:r>
      <w:r w:rsidRPr="00EC4179">
        <w:t xml:space="preserve">. </w:t>
      </w:r>
      <w:r w:rsidR="00066C73">
        <w:t>The post-reserve transfer</w:t>
      </w:r>
      <w:r w:rsidRPr="00B80BCC">
        <w:t xml:space="preserve"> remaining life depreciation rate</w:t>
      </w:r>
      <w:r w:rsidR="00DC5D79">
        <w:t xml:space="preserve"> with a (30) percent NS level</w:t>
      </w:r>
      <w:r w:rsidRPr="00B80BCC">
        <w:t xml:space="preserve"> is calculated to be </w:t>
      </w:r>
      <w:r w:rsidRPr="00EC4179">
        <w:t>3.1 percent</w:t>
      </w:r>
      <w:r>
        <w:t xml:space="preserve"> for this account</w:t>
      </w:r>
      <w:r w:rsidRPr="00EC4179">
        <w:t>.</w:t>
      </w:r>
      <w:r>
        <w:t xml:space="preserve"> </w:t>
      </w:r>
    </w:p>
    <w:p w:rsidR="00D96560" w:rsidRPr="00D96560" w:rsidRDefault="00D96560" w:rsidP="00D96560">
      <w:pPr>
        <w:pStyle w:val="BodyText"/>
        <w:rPr>
          <w:u w:val="single"/>
        </w:rPr>
      </w:pPr>
      <w:r w:rsidRPr="00D96560">
        <w:rPr>
          <w:u w:val="single"/>
        </w:rPr>
        <w:t>Account 378 – Meas. &amp; Reg. Equip. (Distribution)</w:t>
      </w:r>
    </w:p>
    <w:p w:rsidR="00D96560" w:rsidRDefault="00D96560" w:rsidP="00D96560">
      <w:pPr>
        <w:pStyle w:val="BodyText"/>
      </w:pPr>
      <w:r>
        <w:t>T</w:t>
      </w:r>
      <w:r w:rsidRPr="00EC4179">
        <w:t>h</w:t>
      </w:r>
      <w:r>
        <w:t>e</w:t>
      </w:r>
      <w:r w:rsidRPr="00EC4179">
        <w:t xml:space="preserve"> </w:t>
      </w:r>
      <w:r w:rsidR="009B7B00">
        <w:t>age</w:t>
      </w:r>
      <w:r>
        <w:t xml:space="preserve"> of this </w:t>
      </w:r>
      <w:r w:rsidRPr="00EC4179">
        <w:t>account</w:t>
      </w:r>
      <w:r>
        <w:t xml:space="preserve"> is </w:t>
      </w:r>
      <w:r w:rsidRPr="00EC4179">
        <w:t>21.6 years</w:t>
      </w:r>
      <w:r>
        <w:t>.</w:t>
      </w:r>
      <w:r w:rsidRPr="00EC4179">
        <w:t xml:space="preserve"> </w:t>
      </w:r>
      <w:r w:rsidR="00405E68">
        <w:t>Staff recommends the</w:t>
      </w:r>
      <w:r w:rsidRPr="00EC4179">
        <w:t xml:space="preserve"> R3</w:t>
      </w:r>
      <w:r>
        <w:t xml:space="preserve">-35 </w:t>
      </w:r>
      <w:r w:rsidRPr="00EC4179">
        <w:t>curve</w:t>
      </w:r>
      <w:r>
        <w:t>/life combination.</w:t>
      </w:r>
      <w:r w:rsidRPr="00EC4179">
        <w:t xml:space="preserve"> </w:t>
      </w:r>
      <w:r>
        <w:t>Based on</w:t>
      </w:r>
      <w:r w:rsidRPr="006F646B">
        <w:t xml:space="preserve"> these parameters</w:t>
      </w:r>
      <w:r>
        <w:t xml:space="preserve"> a </w:t>
      </w:r>
      <w:r w:rsidRPr="00EC4179">
        <w:t>15.6</w:t>
      </w:r>
      <w:r>
        <w:t>-</w:t>
      </w:r>
      <w:r w:rsidRPr="00EC4179">
        <w:t>year</w:t>
      </w:r>
      <w:r w:rsidRPr="0032457F">
        <w:t xml:space="preserve"> </w:t>
      </w:r>
      <w:r w:rsidRPr="00EC4179">
        <w:t>ARL</w:t>
      </w:r>
      <w:r w:rsidRPr="0032457F">
        <w:t xml:space="preserve"> </w:t>
      </w:r>
      <w:r>
        <w:t xml:space="preserve">is calculated. </w:t>
      </w:r>
      <w:r w:rsidRPr="00B80BCC">
        <w:t>As Account 3</w:t>
      </w:r>
      <w:r>
        <w:t>78</w:t>
      </w:r>
      <w:r w:rsidRPr="00B80BCC">
        <w:t xml:space="preserve"> is in a theoretical reserve </w:t>
      </w:r>
      <w:r w:rsidRPr="0032457F">
        <w:t>deficit</w:t>
      </w:r>
      <w:r w:rsidRPr="00B80BCC">
        <w:t xml:space="preserve"> p</w:t>
      </w:r>
      <w:r>
        <w:t xml:space="preserve">osition, staff also recommends that a reserve transfer of </w:t>
      </w:r>
      <w:r w:rsidRPr="00EC4179">
        <w:t xml:space="preserve">$256 </w:t>
      </w:r>
      <w:r>
        <w:t>be made (from Account 376.2 – Main</w:t>
      </w:r>
      <w:r w:rsidR="00673E6C">
        <w:t>s-Steel)</w:t>
      </w:r>
      <w:r>
        <w:t xml:space="preserve"> </w:t>
      </w:r>
      <w:r w:rsidRPr="0032457F">
        <w:t xml:space="preserve">to </w:t>
      </w:r>
      <w:r>
        <w:t>correct</w:t>
      </w:r>
      <w:r w:rsidRPr="0032457F">
        <w:t xml:space="preserve"> the account’s theoretical reserve </w:t>
      </w:r>
      <w:r>
        <w:t xml:space="preserve">deficiency. </w:t>
      </w:r>
      <w:r w:rsidR="00066C73">
        <w:t>The post-reserve transfer</w:t>
      </w:r>
      <w:r w:rsidRPr="002F14CD">
        <w:t xml:space="preserve"> remaining life depreciation rate</w:t>
      </w:r>
      <w:r w:rsidR="00DC5D79">
        <w:t xml:space="preserve"> with a (5) percent NS level</w:t>
      </w:r>
      <w:r w:rsidRPr="002F14CD">
        <w:t xml:space="preserve"> is calculated to be</w:t>
      </w:r>
      <w:r>
        <w:t xml:space="preserve"> </w:t>
      </w:r>
      <w:r w:rsidRPr="00EC4179">
        <w:t>3.0 percent</w:t>
      </w:r>
      <w:r>
        <w:t xml:space="preserve"> for this account.</w:t>
      </w:r>
    </w:p>
    <w:p w:rsidR="00CD3024" w:rsidRDefault="00CD3024" w:rsidP="00D96560">
      <w:pPr>
        <w:pStyle w:val="BodyText"/>
      </w:pPr>
    </w:p>
    <w:p w:rsidR="00CD3024" w:rsidRPr="00EC4179" w:rsidRDefault="00CD3024" w:rsidP="00D96560">
      <w:pPr>
        <w:pStyle w:val="BodyText"/>
      </w:pPr>
    </w:p>
    <w:p w:rsidR="00D96560" w:rsidRPr="00D96560" w:rsidRDefault="00D96560" w:rsidP="00D96560">
      <w:pPr>
        <w:pStyle w:val="BodyText"/>
        <w:rPr>
          <w:u w:val="single"/>
        </w:rPr>
      </w:pPr>
      <w:r w:rsidRPr="00D96560">
        <w:rPr>
          <w:u w:val="single"/>
        </w:rPr>
        <w:t>Account 379 – Meas</w:t>
      </w:r>
      <w:r>
        <w:rPr>
          <w:u w:val="single"/>
        </w:rPr>
        <w:t>.</w:t>
      </w:r>
      <w:r w:rsidRPr="00D96560">
        <w:rPr>
          <w:u w:val="single"/>
        </w:rPr>
        <w:t xml:space="preserve"> &amp; Reg</w:t>
      </w:r>
      <w:r>
        <w:rPr>
          <w:u w:val="single"/>
        </w:rPr>
        <w:t>.</w:t>
      </w:r>
      <w:r w:rsidRPr="00D96560">
        <w:rPr>
          <w:u w:val="single"/>
        </w:rPr>
        <w:t xml:space="preserve"> Equip. (City Gate)</w:t>
      </w:r>
    </w:p>
    <w:p w:rsidR="00D96560" w:rsidRPr="00EC4179" w:rsidRDefault="00D96560" w:rsidP="00D96560">
      <w:pPr>
        <w:pStyle w:val="BodyText"/>
      </w:pPr>
      <w:r>
        <w:t>T</w:t>
      </w:r>
      <w:r w:rsidRPr="00EC4179">
        <w:t>h</w:t>
      </w:r>
      <w:r>
        <w:t>e</w:t>
      </w:r>
      <w:r w:rsidRPr="00EC4179">
        <w:t xml:space="preserve"> </w:t>
      </w:r>
      <w:r w:rsidR="009B7B00">
        <w:t>age</w:t>
      </w:r>
      <w:r>
        <w:t xml:space="preserve"> of this </w:t>
      </w:r>
      <w:r w:rsidRPr="00EC4179">
        <w:t>account</w:t>
      </w:r>
      <w:r>
        <w:t xml:space="preserve"> is</w:t>
      </w:r>
      <w:r w:rsidRPr="00EC4179">
        <w:t xml:space="preserve"> 25.2 years</w:t>
      </w:r>
      <w:r>
        <w:t>.</w:t>
      </w:r>
      <w:r w:rsidRPr="00EC4179">
        <w:t xml:space="preserve"> </w:t>
      </w:r>
      <w:r w:rsidR="00405E68">
        <w:t>Staff recommends the</w:t>
      </w:r>
      <w:r>
        <w:t xml:space="preserve"> </w:t>
      </w:r>
      <w:r w:rsidRPr="00EC4179">
        <w:t>S3</w:t>
      </w:r>
      <w:r>
        <w:t>-</w:t>
      </w:r>
      <w:r w:rsidRPr="00EC4179">
        <w:t>35 curve</w:t>
      </w:r>
      <w:r>
        <w:t>/life combination</w:t>
      </w:r>
      <w:r w:rsidRPr="00EC4179">
        <w:t xml:space="preserve">. </w:t>
      </w:r>
      <w:r w:rsidRPr="0062639F">
        <w:t>Based on these parameters</w:t>
      </w:r>
      <w:r w:rsidRPr="00E30A9E">
        <w:t xml:space="preserve"> </w:t>
      </w:r>
      <w:r>
        <w:t xml:space="preserve">and a (5) percent </w:t>
      </w:r>
      <w:r w:rsidRPr="00EC4179">
        <w:t>NS</w:t>
      </w:r>
      <w:r>
        <w:t xml:space="preserve"> level,</w:t>
      </w:r>
      <w:r w:rsidRPr="0062639F">
        <w:t xml:space="preserve"> </w:t>
      </w:r>
      <w:proofErr w:type="gramStart"/>
      <w:r>
        <w:t>a</w:t>
      </w:r>
      <w:proofErr w:type="gramEnd"/>
      <w:r w:rsidRPr="00EC4179">
        <w:t xml:space="preserve"> 11.9</w:t>
      </w:r>
      <w:r>
        <w:t>-</w:t>
      </w:r>
      <w:r w:rsidRPr="00EC4179">
        <w:t>year</w:t>
      </w:r>
      <w:r>
        <w:t xml:space="preserve"> ARL and a </w:t>
      </w:r>
      <w:r w:rsidRPr="00EC4179">
        <w:t xml:space="preserve">remaining life depreciation rate </w:t>
      </w:r>
      <w:r>
        <w:t>of</w:t>
      </w:r>
      <w:r w:rsidRPr="00EC4179">
        <w:t xml:space="preserve"> 2.5 percent</w:t>
      </w:r>
      <w:r>
        <w:t xml:space="preserve"> are calculated</w:t>
      </w:r>
      <w:r w:rsidRPr="00751FEF">
        <w:t xml:space="preserve"> for this account</w:t>
      </w:r>
      <w:r w:rsidRPr="00EC4179">
        <w:t>.</w:t>
      </w:r>
      <w:r>
        <w:t xml:space="preserve"> </w:t>
      </w:r>
    </w:p>
    <w:p w:rsidR="00D96560" w:rsidRPr="00D96560" w:rsidRDefault="00D96560" w:rsidP="00D96560">
      <w:pPr>
        <w:pStyle w:val="BodyText"/>
        <w:rPr>
          <w:u w:val="single"/>
        </w:rPr>
      </w:pPr>
      <w:r w:rsidRPr="00D96560">
        <w:rPr>
          <w:u w:val="single"/>
        </w:rPr>
        <w:t>Account 380.1 – Services-Plastic</w:t>
      </w:r>
    </w:p>
    <w:p w:rsidR="00D96560" w:rsidRPr="00EC4179" w:rsidRDefault="00D96560" w:rsidP="00D96560">
      <w:pPr>
        <w:pStyle w:val="BodyText"/>
      </w:pPr>
      <w:r w:rsidRPr="00EC4179">
        <w:t>Th</w:t>
      </w:r>
      <w:r>
        <w:t xml:space="preserve">e </w:t>
      </w:r>
      <w:r w:rsidRPr="00D00E1C">
        <w:t xml:space="preserve">account has </w:t>
      </w:r>
      <w:r>
        <w:t xml:space="preserve">an </w:t>
      </w:r>
      <w:r w:rsidR="009B7B00">
        <w:t>age</w:t>
      </w:r>
      <w:r>
        <w:t xml:space="preserve"> of </w:t>
      </w:r>
      <w:r w:rsidRPr="00EC4179">
        <w:t xml:space="preserve">17.1 years and </w:t>
      </w:r>
      <w:r>
        <w:t>a</w:t>
      </w:r>
      <w:r w:rsidR="00CB318D">
        <w:t xml:space="preserve">n </w:t>
      </w:r>
      <w:r w:rsidRPr="00EC4179">
        <w:t xml:space="preserve">ASL of </w:t>
      </w:r>
      <w:r>
        <w:t>40 years</w:t>
      </w:r>
      <w:r w:rsidRPr="00EC4179">
        <w:t xml:space="preserve">. </w:t>
      </w:r>
      <w:r>
        <w:t>St. Joe</w:t>
      </w:r>
      <w:r w:rsidR="00220DBD">
        <w:t xml:space="preserve"> reports that</w:t>
      </w:r>
      <w:r w:rsidRPr="00EC4179">
        <w:t xml:space="preserve"> inspections of plastic service lines</w:t>
      </w:r>
      <w:r w:rsidR="002F797E">
        <w:t xml:space="preserve"> (random</w:t>
      </w:r>
      <w:r w:rsidR="001D7729">
        <w:t>ly selected</w:t>
      </w:r>
      <w:r w:rsidR="00220DBD">
        <w:t>)</w:t>
      </w:r>
      <w:r w:rsidRPr="00EC4179">
        <w:t xml:space="preserve"> are performed on a regular basis and all lines continue to be found in acceptable condition with every indication of many years of service remaining.</w:t>
      </w:r>
      <w:r>
        <w:rPr>
          <w:rStyle w:val="FootnoteReference"/>
        </w:rPr>
        <w:footnoteReference w:id="10"/>
      </w:r>
      <w:r w:rsidRPr="00EC4179">
        <w:t xml:space="preserve"> Taking this into consideration, staff </w:t>
      </w:r>
      <w:r>
        <w:t>recommends</w:t>
      </w:r>
      <w:r w:rsidRPr="00EC4179">
        <w:t xml:space="preserve"> a moderate increase in ASL by 2 years. This will bring the ASL of the account to 42 years. </w:t>
      </w:r>
      <w:r>
        <w:t>Based on</w:t>
      </w:r>
      <w:r w:rsidRPr="00EC4179">
        <w:t xml:space="preserve"> </w:t>
      </w:r>
      <w:r w:rsidR="00405E68">
        <w:t>the</w:t>
      </w:r>
      <w:r>
        <w:t xml:space="preserve"> </w:t>
      </w:r>
      <w:r w:rsidRPr="00EC4179">
        <w:t>S3</w:t>
      </w:r>
      <w:r>
        <w:t>-42</w:t>
      </w:r>
      <w:r w:rsidRPr="00EC4179">
        <w:t xml:space="preserve"> curve</w:t>
      </w:r>
      <w:r w:rsidR="00D312AB">
        <w:t>/life combination</w:t>
      </w:r>
      <w:r w:rsidRPr="00EC4179">
        <w:t xml:space="preserve">, </w:t>
      </w:r>
      <w:r>
        <w:t>a 25-</w:t>
      </w:r>
      <w:r w:rsidRPr="00EC4179">
        <w:t>year</w:t>
      </w:r>
      <w:r>
        <w:t xml:space="preserve"> ARL is calculated</w:t>
      </w:r>
      <w:r w:rsidRPr="00EC4179">
        <w:t xml:space="preserve">. </w:t>
      </w:r>
      <w:r w:rsidRPr="00B80BCC">
        <w:t>As Account 3</w:t>
      </w:r>
      <w:r>
        <w:t>80.1</w:t>
      </w:r>
      <w:r w:rsidRPr="00B80BCC">
        <w:t xml:space="preserve"> is in a theoretical reserve </w:t>
      </w:r>
      <w:r w:rsidRPr="0032457F">
        <w:t>deficit</w:t>
      </w:r>
      <w:r w:rsidRPr="00B80BCC">
        <w:t xml:space="preserve"> p</w:t>
      </w:r>
      <w:r>
        <w:t xml:space="preserve">osition, staff also recommends that a reserve transfer of </w:t>
      </w:r>
      <w:r w:rsidRPr="00EC4179">
        <w:t>$</w:t>
      </w:r>
      <w:r>
        <w:t>57,246</w:t>
      </w:r>
      <w:r w:rsidRPr="00EC4179">
        <w:t xml:space="preserve"> </w:t>
      </w:r>
      <w:r>
        <w:t>be made (from Account 376.2 – Main</w:t>
      </w:r>
      <w:r w:rsidR="00673E6C">
        <w:t>s</w:t>
      </w:r>
      <w:r>
        <w:t xml:space="preserve">-Steel) as </w:t>
      </w:r>
      <w:r w:rsidRPr="0032457F">
        <w:t xml:space="preserve">to </w:t>
      </w:r>
      <w:r>
        <w:t>correct</w:t>
      </w:r>
      <w:r w:rsidRPr="0032457F">
        <w:t xml:space="preserve"> the account’s theoretical reserve </w:t>
      </w:r>
      <w:r>
        <w:t xml:space="preserve">deficiency. </w:t>
      </w:r>
      <w:r w:rsidR="002819C8">
        <w:t xml:space="preserve">The </w:t>
      </w:r>
      <w:r w:rsidR="00D312AB">
        <w:t>post-reserve-</w:t>
      </w:r>
      <w:r w:rsidR="002819C8">
        <w:t>transfer</w:t>
      </w:r>
      <w:r w:rsidRPr="002F14CD">
        <w:t xml:space="preserve"> remaining life depreciation rate </w:t>
      </w:r>
      <w:r w:rsidR="00D312AB">
        <w:t>with</w:t>
      </w:r>
      <w:r w:rsidR="00D312AB" w:rsidRPr="00D312AB">
        <w:t xml:space="preserve"> a (22) percent NS level</w:t>
      </w:r>
      <w:r w:rsidR="00D312AB">
        <w:t xml:space="preserve"> </w:t>
      </w:r>
      <w:r w:rsidRPr="002F14CD">
        <w:t>is calculated to be</w:t>
      </w:r>
      <w:r>
        <w:t xml:space="preserve"> </w:t>
      </w:r>
      <w:r w:rsidRPr="00EC4179">
        <w:t>2.9 percent</w:t>
      </w:r>
      <w:r w:rsidRPr="00751FEF">
        <w:t xml:space="preserve"> for this account</w:t>
      </w:r>
      <w:r>
        <w:t>.</w:t>
      </w:r>
    </w:p>
    <w:p w:rsidR="00D96560" w:rsidRPr="00D96560" w:rsidRDefault="00D96560" w:rsidP="00D96560">
      <w:pPr>
        <w:pStyle w:val="BodyText"/>
        <w:rPr>
          <w:u w:val="single"/>
        </w:rPr>
      </w:pPr>
      <w:r w:rsidRPr="00D96560">
        <w:rPr>
          <w:u w:val="single"/>
        </w:rPr>
        <w:t>Account 380.2 – Services-Steel</w:t>
      </w:r>
    </w:p>
    <w:p w:rsidR="00D96560" w:rsidRPr="00EC4179" w:rsidRDefault="00D96560" w:rsidP="00D96560">
      <w:pPr>
        <w:pStyle w:val="BodyText"/>
      </w:pPr>
      <w:r>
        <w:t>T</w:t>
      </w:r>
      <w:r w:rsidRPr="00EC4179">
        <w:t>h</w:t>
      </w:r>
      <w:r>
        <w:t>is</w:t>
      </w:r>
      <w:r w:rsidRPr="00EC4179">
        <w:t xml:space="preserve"> </w:t>
      </w:r>
      <w:r w:rsidRPr="00D00E1C">
        <w:t xml:space="preserve">account has </w:t>
      </w:r>
      <w:r>
        <w:t xml:space="preserve">an </w:t>
      </w:r>
      <w:r w:rsidR="009B7B00">
        <w:t>age</w:t>
      </w:r>
      <w:r w:rsidRPr="00EC4179">
        <w:t xml:space="preserve"> of 46.9 years</w:t>
      </w:r>
      <w:r>
        <w:t xml:space="preserve"> and an</w:t>
      </w:r>
      <w:r w:rsidRPr="00EC4179">
        <w:t xml:space="preserve"> ASL of 50 years. </w:t>
      </w:r>
      <w:r>
        <w:t>St. Joe</w:t>
      </w:r>
      <w:r w:rsidRPr="00EC4179">
        <w:t xml:space="preserve"> report</w:t>
      </w:r>
      <w:r>
        <w:t>s</w:t>
      </w:r>
      <w:r w:rsidR="00220DBD">
        <w:t xml:space="preserve"> that</w:t>
      </w:r>
      <w:r w:rsidRPr="00EC4179">
        <w:t xml:space="preserve"> inspections of steel service lines</w:t>
      </w:r>
      <w:r w:rsidR="00220DBD">
        <w:t xml:space="preserve"> </w:t>
      </w:r>
      <w:r w:rsidR="00F76949" w:rsidRPr="00F76949">
        <w:t>(</w:t>
      </w:r>
      <w:r w:rsidR="001D7729" w:rsidRPr="001D7729">
        <w:t>randomly selected</w:t>
      </w:r>
      <w:r w:rsidR="00F76949" w:rsidRPr="00F76949">
        <w:t>)</w:t>
      </w:r>
      <w:r w:rsidRPr="00EC4179">
        <w:t xml:space="preserve"> are performed on a regular basis and all lines continue to be found in acceptable condition with every indication of many years of service remaining.</w:t>
      </w:r>
      <w:r>
        <w:rPr>
          <w:rStyle w:val="FootnoteReference"/>
        </w:rPr>
        <w:footnoteReference w:id="11"/>
      </w:r>
      <w:r w:rsidRPr="00EC4179">
        <w:t xml:space="preserve"> Taking this into consideration, staff </w:t>
      </w:r>
      <w:r>
        <w:t>recommend</w:t>
      </w:r>
      <w:r w:rsidRPr="00EC4179">
        <w:t>s a</w:t>
      </w:r>
      <w:r>
        <w:t xml:space="preserve"> </w:t>
      </w:r>
      <w:r w:rsidRPr="00EC4179">
        <w:t xml:space="preserve">moderate increase in ASL by 3 years. </w:t>
      </w:r>
      <w:r w:rsidR="00405E68">
        <w:t>Based on the</w:t>
      </w:r>
      <w:r w:rsidRPr="00EC4179">
        <w:t xml:space="preserve"> SQ</w:t>
      </w:r>
      <w:r>
        <w:t xml:space="preserve">-53 </w:t>
      </w:r>
      <w:r w:rsidRPr="00EC4179">
        <w:t>curve</w:t>
      </w:r>
      <w:r>
        <w:t>/life combination</w:t>
      </w:r>
      <w:r w:rsidRPr="00EC4179">
        <w:t xml:space="preserve">, </w:t>
      </w:r>
      <w:r>
        <w:t>a</w:t>
      </w:r>
      <w:r w:rsidRPr="00EC4179">
        <w:t xml:space="preserve"> </w:t>
      </w:r>
      <w:r>
        <w:t xml:space="preserve">6.1-year </w:t>
      </w:r>
      <w:r w:rsidRPr="00EC4179">
        <w:t>ARL</w:t>
      </w:r>
      <w:r>
        <w:t xml:space="preserve"> is calculated</w:t>
      </w:r>
      <w:r w:rsidR="00504388">
        <w:t xml:space="preserve"> for this account</w:t>
      </w:r>
      <w:r>
        <w:t>.</w:t>
      </w:r>
      <w:r w:rsidRPr="00EC4179">
        <w:t xml:space="preserve"> </w:t>
      </w:r>
    </w:p>
    <w:p w:rsidR="00DC1C31" w:rsidRDefault="00D96560" w:rsidP="00D96560">
      <w:pPr>
        <w:pStyle w:val="BodyText"/>
      </w:pPr>
      <w:r>
        <w:t xml:space="preserve">The </w:t>
      </w:r>
      <w:r w:rsidRPr="00EC4179">
        <w:t>current</w:t>
      </w:r>
      <w:r>
        <w:t>-</w:t>
      </w:r>
      <w:r w:rsidRPr="00EC4179">
        <w:t>approved NS</w:t>
      </w:r>
      <w:r>
        <w:t xml:space="preserve"> level of the account is</w:t>
      </w:r>
      <w:r w:rsidRPr="00EC4179">
        <w:t xml:space="preserve"> (30) percent which is at the highest end of the industry range.</w:t>
      </w:r>
      <w:r w:rsidRPr="00EC4179">
        <w:rPr>
          <w:vertAlign w:val="superscript"/>
        </w:rPr>
        <w:footnoteReference w:id="12"/>
      </w:r>
      <w:r w:rsidRPr="00EC4179">
        <w:t xml:space="preserve"> During the current study period of 2013 through 2017, th</w:t>
      </w:r>
      <w:r>
        <w:t>e</w:t>
      </w:r>
      <w:r w:rsidRPr="00EC4179">
        <w:t xml:space="preserve"> account experienced a 59.6 percent aver</w:t>
      </w:r>
      <w:r>
        <w:t xml:space="preserve">age </w:t>
      </w:r>
      <w:r w:rsidRPr="00EC4179">
        <w:t>cost</w:t>
      </w:r>
      <w:r>
        <w:t xml:space="preserve"> of</w:t>
      </w:r>
      <w:r w:rsidRPr="00EC4179">
        <w:t xml:space="preserve"> removal with no gross salv</w:t>
      </w:r>
      <w:r>
        <w:t>age</w:t>
      </w:r>
      <w:r w:rsidRPr="00EC4179">
        <w:t>.</w:t>
      </w:r>
      <w:r w:rsidRPr="00EC4179">
        <w:rPr>
          <w:vertAlign w:val="superscript"/>
        </w:rPr>
        <w:footnoteReference w:id="13"/>
      </w:r>
      <w:r w:rsidRPr="00EC4179">
        <w:t xml:space="preserve"> </w:t>
      </w:r>
      <w:r>
        <w:t>D</w:t>
      </w:r>
      <w:r w:rsidRPr="00EC4179">
        <w:t xml:space="preserve">uring the </w:t>
      </w:r>
      <w:r>
        <w:t>period of St. Joe</w:t>
      </w:r>
      <w:r w:rsidRPr="00EC4179">
        <w:t xml:space="preserve">’s last </w:t>
      </w:r>
      <w:r>
        <w:t>d</w:t>
      </w:r>
      <w:r w:rsidRPr="00EC4179">
        <w:t xml:space="preserve">epreciation </w:t>
      </w:r>
      <w:r>
        <w:t>s</w:t>
      </w:r>
      <w:r w:rsidRPr="00EC4179">
        <w:t>tudy, th</w:t>
      </w:r>
      <w:r>
        <w:t>e</w:t>
      </w:r>
      <w:r w:rsidRPr="00EC4179">
        <w:t xml:space="preserve"> account had experienced an aver</w:t>
      </w:r>
      <w:r>
        <w:t xml:space="preserve">age </w:t>
      </w:r>
      <w:r w:rsidRPr="00EC4179">
        <w:t xml:space="preserve">48 percent cost </w:t>
      </w:r>
      <w:r>
        <w:t xml:space="preserve">of </w:t>
      </w:r>
      <w:r w:rsidRPr="00EC4179">
        <w:t>removal with no gross salv</w:t>
      </w:r>
      <w:r>
        <w:t>age</w:t>
      </w:r>
      <w:r w:rsidRPr="00EC4179">
        <w:t xml:space="preserve">; and the Commission </w:t>
      </w:r>
      <w:r>
        <w:t>order</w:t>
      </w:r>
      <w:r w:rsidRPr="00EC4179">
        <w:t xml:space="preserve">ed </w:t>
      </w:r>
      <w:r>
        <w:t>a</w:t>
      </w:r>
      <w:r w:rsidRPr="00EC4179">
        <w:t xml:space="preserve"> decrease</w:t>
      </w:r>
      <w:r>
        <w:t xml:space="preserve"> in the</w:t>
      </w:r>
      <w:r w:rsidRPr="00EC4179">
        <w:t xml:space="preserve"> </w:t>
      </w:r>
      <w:r>
        <w:t xml:space="preserve">level of </w:t>
      </w:r>
      <w:r w:rsidRPr="00EC4179">
        <w:t>NS from the then-approved (25) percent to the current</w:t>
      </w:r>
      <w:r>
        <w:t>ly</w:t>
      </w:r>
      <w:r w:rsidRPr="00EC4179">
        <w:t>-approved (30) percent.</w:t>
      </w:r>
      <w:r>
        <w:rPr>
          <w:rStyle w:val="FootnoteReference"/>
        </w:rPr>
        <w:footnoteReference w:id="14"/>
      </w:r>
      <w:r w:rsidRPr="00EC4179">
        <w:t xml:space="preserve"> Given th</w:t>
      </w:r>
      <w:r>
        <w:t xml:space="preserve">e </w:t>
      </w:r>
      <w:r w:rsidRPr="00EC4179">
        <w:t>trend</w:t>
      </w:r>
      <w:r>
        <w:t xml:space="preserve"> of the account’s NS</w:t>
      </w:r>
      <w:r w:rsidRPr="00EC4179">
        <w:t xml:space="preserve"> </w:t>
      </w:r>
      <w:r>
        <w:t>level in</w:t>
      </w:r>
      <w:r w:rsidRPr="00EC4179">
        <w:t xml:space="preserve"> the </w:t>
      </w:r>
      <w:r>
        <w:t>past</w:t>
      </w:r>
      <w:r w:rsidR="00D64466">
        <w:t xml:space="preserve"> 10 years and considering</w:t>
      </w:r>
      <w:r w:rsidRPr="00EC4179">
        <w:t xml:space="preserve"> the industrial aver</w:t>
      </w:r>
      <w:r>
        <w:t>age</w:t>
      </w:r>
      <w:r w:rsidRPr="00EC4179">
        <w:t xml:space="preserve">, staff </w:t>
      </w:r>
      <w:r>
        <w:t>recommends</w:t>
      </w:r>
      <w:r w:rsidRPr="00EC4179">
        <w:t xml:space="preserve"> to further decrease the NS </w:t>
      </w:r>
      <w:r>
        <w:t xml:space="preserve">level </w:t>
      </w:r>
      <w:r w:rsidRPr="00EC4179">
        <w:t>to (40) percent</w:t>
      </w:r>
      <w:r>
        <w:t>.</w:t>
      </w:r>
      <w:r w:rsidRPr="00EC4179">
        <w:t xml:space="preserve"> </w:t>
      </w:r>
      <w:r>
        <w:t>Staff notes that this degree of reduction</w:t>
      </w:r>
      <w:r w:rsidR="00DC1C31">
        <w:t xml:space="preserve"> does</w:t>
      </w:r>
      <w:r w:rsidRPr="00EC4179">
        <w:t xml:space="preserve"> not </w:t>
      </w:r>
      <w:r w:rsidR="009F5B2F">
        <w:t>fully reflect the account’s actual</w:t>
      </w:r>
      <w:r w:rsidRPr="00EC4179">
        <w:t xml:space="preserve"> experience and still leaves the NS </w:t>
      </w:r>
      <w:r>
        <w:t xml:space="preserve">level </w:t>
      </w:r>
      <w:r w:rsidRPr="00EC4179">
        <w:t xml:space="preserve">at the high end </w:t>
      </w:r>
      <w:r>
        <w:t xml:space="preserve">(least negative) </w:t>
      </w:r>
      <w:r w:rsidR="00DC1C31">
        <w:t>of the industry</w:t>
      </w:r>
      <w:r w:rsidRPr="00EC4179">
        <w:t xml:space="preserve"> range</w:t>
      </w:r>
      <w:r w:rsidR="00DC1C31">
        <w:t>. However, staff believes</w:t>
      </w:r>
      <w:r>
        <w:t xml:space="preserve"> </w:t>
      </w:r>
      <w:r w:rsidR="00DC1C31">
        <w:t xml:space="preserve">that </w:t>
      </w:r>
      <w:r>
        <w:t>whenever possible, gradual</w:t>
      </w:r>
      <w:r w:rsidRPr="00EC4179">
        <w:t xml:space="preserve"> </w:t>
      </w:r>
      <w:r w:rsidR="005A5F4A">
        <w:t>rather than abrupt</w:t>
      </w:r>
      <w:r w:rsidR="00651F7E">
        <w:t xml:space="preserve"> </w:t>
      </w:r>
      <w:r w:rsidR="00405E68">
        <w:t>and/</w:t>
      </w:r>
      <w:r w:rsidR="00651F7E">
        <w:t>or</w:t>
      </w:r>
      <w:r w:rsidR="00DC1C31">
        <w:t xml:space="preserve"> incremental rather than</w:t>
      </w:r>
      <w:r>
        <w:t xml:space="preserve"> large-magnitude </w:t>
      </w:r>
      <w:r w:rsidRPr="00EC4179">
        <w:t>change</w:t>
      </w:r>
      <w:r w:rsidR="00DC1C31">
        <w:t xml:space="preserve"> is</w:t>
      </w:r>
      <w:r>
        <w:t xml:space="preserve"> preferable.</w:t>
      </w:r>
      <w:r w:rsidRPr="00EC4179">
        <w:t xml:space="preserve"> </w:t>
      </w:r>
    </w:p>
    <w:p w:rsidR="00D96560" w:rsidRPr="00EC4179" w:rsidRDefault="00D96560" w:rsidP="00D96560">
      <w:pPr>
        <w:pStyle w:val="BodyText"/>
      </w:pPr>
      <w:r>
        <w:t>With a</w:t>
      </w:r>
      <w:r w:rsidRPr="00EC4179">
        <w:t xml:space="preserve"> 6.1</w:t>
      </w:r>
      <w:r>
        <w:t>-</w:t>
      </w:r>
      <w:r w:rsidRPr="00EC4179">
        <w:t xml:space="preserve">year ARL and </w:t>
      </w:r>
      <w:r>
        <w:t xml:space="preserve">a </w:t>
      </w:r>
      <w:r w:rsidRPr="00EC4179">
        <w:t>(40</w:t>
      </w:r>
      <w:r>
        <w:t>)</w:t>
      </w:r>
      <w:r w:rsidRPr="00EC4179">
        <w:t xml:space="preserve"> percent</w:t>
      </w:r>
      <w:r>
        <w:t xml:space="preserve"> NS level</w:t>
      </w:r>
      <w:r w:rsidRPr="00EC4179">
        <w:t xml:space="preserve">, </w:t>
      </w:r>
      <w:r>
        <w:t xml:space="preserve">the </w:t>
      </w:r>
      <w:r w:rsidRPr="00EC4179">
        <w:t xml:space="preserve">remaining life depreciation rate </w:t>
      </w:r>
      <w:r>
        <w:t xml:space="preserve">is calculated to be </w:t>
      </w:r>
      <w:r w:rsidRPr="00EC4179">
        <w:t>3.9 percent</w:t>
      </w:r>
      <w:r>
        <w:t xml:space="preserve"> for this account. </w:t>
      </w:r>
    </w:p>
    <w:p w:rsidR="00D96560" w:rsidRPr="00D96560" w:rsidRDefault="00D96560" w:rsidP="00D96560">
      <w:pPr>
        <w:pStyle w:val="BodyText"/>
        <w:rPr>
          <w:u w:val="single"/>
        </w:rPr>
      </w:pPr>
      <w:r w:rsidRPr="00D96560">
        <w:rPr>
          <w:u w:val="single"/>
        </w:rPr>
        <w:t>Account 381 – Meters</w:t>
      </w:r>
    </w:p>
    <w:p w:rsidR="00D96560" w:rsidRPr="00EC4179" w:rsidRDefault="00D96560" w:rsidP="00D96560">
      <w:pPr>
        <w:pStyle w:val="BodyText"/>
      </w:pPr>
      <w:r w:rsidRPr="00EC4179">
        <w:t>Th</w:t>
      </w:r>
      <w:r>
        <w:t xml:space="preserve">e </w:t>
      </w:r>
      <w:r w:rsidR="009B7B00">
        <w:t>age</w:t>
      </w:r>
      <w:r>
        <w:t xml:space="preserve"> of this </w:t>
      </w:r>
      <w:r w:rsidRPr="00EC4179">
        <w:t>account</w:t>
      </w:r>
      <w:r>
        <w:t xml:space="preserve"> is </w:t>
      </w:r>
      <w:r w:rsidRPr="00EC4179">
        <w:t>14 years</w:t>
      </w:r>
      <w:r>
        <w:t>.</w:t>
      </w:r>
      <w:r w:rsidRPr="00D00E1C">
        <w:t xml:space="preserve"> </w:t>
      </w:r>
      <w:r w:rsidR="00405E68">
        <w:t>Staff recommends the</w:t>
      </w:r>
      <w:r>
        <w:t xml:space="preserve"> R4-</w:t>
      </w:r>
      <w:r w:rsidRPr="00EC4179">
        <w:t>25 curve</w:t>
      </w:r>
      <w:r>
        <w:t>/life combination.</w:t>
      </w:r>
      <w:r w:rsidRPr="00EC4179">
        <w:t xml:space="preserve"> </w:t>
      </w:r>
      <w:r w:rsidRPr="0006627A">
        <w:t>Based on these parameters and a</w:t>
      </w:r>
      <w:r>
        <w:t xml:space="preserve"> zero percent NS level, </w:t>
      </w:r>
      <w:proofErr w:type="gramStart"/>
      <w:r>
        <w:t>a</w:t>
      </w:r>
      <w:proofErr w:type="gramEnd"/>
      <w:r>
        <w:t xml:space="preserve"> 11.5-</w:t>
      </w:r>
      <w:r w:rsidRPr="00EC4179">
        <w:t>year</w:t>
      </w:r>
      <w:r>
        <w:t xml:space="preserve"> ASL and a</w:t>
      </w:r>
      <w:r w:rsidRPr="00EC4179">
        <w:t xml:space="preserve"> remaining life depreciation rate </w:t>
      </w:r>
      <w:r>
        <w:t>of</w:t>
      </w:r>
      <w:r w:rsidRPr="00EC4179">
        <w:t xml:space="preserve"> 3.8 percent</w:t>
      </w:r>
      <w:r w:rsidRPr="00CB1735">
        <w:t xml:space="preserve"> </w:t>
      </w:r>
      <w:r>
        <w:t>are calculated</w:t>
      </w:r>
      <w:r w:rsidRPr="00751FEF">
        <w:t xml:space="preserve"> for this account</w:t>
      </w:r>
      <w:r w:rsidRPr="00EC4179">
        <w:t xml:space="preserve">. </w:t>
      </w:r>
    </w:p>
    <w:p w:rsidR="00D96560" w:rsidRPr="00D96560" w:rsidRDefault="00D96560" w:rsidP="00D96560">
      <w:pPr>
        <w:pStyle w:val="BodyText"/>
        <w:rPr>
          <w:u w:val="single"/>
        </w:rPr>
      </w:pPr>
      <w:r w:rsidRPr="00D96560">
        <w:rPr>
          <w:u w:val="single"/>
        </w:rPr>
        <w:t>Account 382 – Meters Installations</w:t>
      </w:r>
    </w:p>
    <w:p w:rsidR="00D96560" w:rsidRPr="00EC4179" w:rsidRDefault="00D96560" w:rsidP="00D96560">
      <w:pPr>
        <w:pStyle w:val="BodyText"/>
      </w:pPr>
      <w:r w:rsidRPr="00EC4179">
        <w:t>Th</w:t>
      </w:r>
      <w:r>
        <w:t xml:space="preserve">e </w:t>
      </w:r>
      <w:r w:rsidR="009B7B00">
        <w:t>age</w:t>
      </w:r>
      <w:r>
        <w:t xml:space="preserve"> of this</w:t>
      </w:r>
      <w:r w:rsidRPr="00EC4179">
        <w:t xml:space="preserve"> account </w:t>
      </w:r>
      <w:r>
        <w:t>i</w:t>
      </w:r>
      <w:r w:rsidRPr="00EC4179">
        <w:t>s 29 years</w:t>
      </w:r>
      <w:r>
        <w:t>.</w:t>
      </w:r>
      <w:r w:rsidRPr="00EC4179">
        <w:t xml:space="preserve"> </w:t>
      </w:r>
      <w:r w:rsidR="00405E68">
        <w:t>Staff recommends the</w:t>
      </w:r>
      <w:r>
        <w:t xml:space="preserve"> S2-</w:t>
      </w:r>
      <w:r w:rsidRPr="00EC4179">
        <w:t>40 curve</w:t>
      </w:r>
      <w:r>
        <w:t>/life combination</w:t>
      </w:r>
      <w:r w:rsidRPr="00EC4179">
        <w:t xml:space="preserve">. </w:t>
      </w:r>
      <w:r w:rsidRPr="0006627A">
        <w:t>Based on these parameters and a</w:t>
      </w:r>
      <w:r>
        <w:t xml:space="preserve"> (25) percent NS level, a 15.3-year ARL and a</w:t>
      </w:r>
      <w:r w:rsidRPr="00EC4179">
        <w:t xml:space="preserve"> remaining life depreciation rate </w:t>
      </w:r>
      <w:r>
        <w:t>of</w:t>
      </w:r>
      <w:r w:rsidRPr="00EC4179">
        <w:t xml:space="preserve"> 3.0 percent</w:t>
      </w:r>
      <w:r w:rsidRPr="00CB1735">
        <w:t xml:space="preserve"> </w:t>
      </w:r>
      <w:r>
        <w:t>are calculated</w:t>
      </w:r>
      <w:r w:rsidRPr="00751FEF">
        <w:t xml:space="preserve"> for this account</w:t>
      </w:r>
      <w:r w:rsidRPr="00EC4179">
        <w:t xml:space="preserve">. </w:t>
      </w:r>
    </w:p>
    <w:p w:rsidR="00D96560" w:rsidRPr="00D96560" w:rsidRDefault="00D96560" w:rsidP="00D96560">
      <w:pPr>
        <w:pStyle w:val="BodyText"/>
        <w:rPr>
          <w:u w:val="single"/>
        </w:rPr>
      </w:pPr>
      <w:r w:rsidRPr="00D96560">
        <w:rPr>
          <w:u w:val="single"/>
        </w:rPr>
        <w:t>Account 383 – Regulators</w:t>
      </w:r>
    </w:p>
    <w:p w:rsidR="00D96560" w:rsidRPr="00EC4179" w:rsidRDefault="00D96560" w:rsidP="00D96560">
      <w:pPr>
        <w:pStyle w:val="BodyText"/>
      </w:pPr>
      <w:r w:rsidRPr="00EC4179">
        <w:t>Th</w:t>
      </w:r>
      <w:r>
        <w:t xml:space="preserve">e </w:t>
      </w:r>
      <w:r w:rsidR="009B7B00">
        <w:t>age</w:t>
      </w:r>
      <w:r>
        <w:t xml:space="preserve"> of the</w:t>
      </w:r>
      <w:r w:rsidRPr="00EC4179">
        <w:t xml:space="preserve"> account </w:t>
      </w:r>
      <w:r>
        <w:t>i</w:t>
      </w:r>
      <w:r w:rsidRPr="00EC4179">
        <w:t>s 18.8 years</w:t>
      </w:r>
      <w:r>
        <w:t>.</w:t>
      </w:r>
      <w:r w:rsidRPr="00EC4179">
        <w:t xml:space="preserve"> </w:t>
      </w:r>
      <w:r w:rsidR="00405E68">
        <w:t>Staff recommends the</w:t>
      </w:r>
      <w:r>
        <w:t xml:space="preserve"> R4-</w:t>
      </w:r>
      <w:r w:rsidRPr="00EC4179">
        <w:t>30 curve</w:t>
      </w:r>
      <w:r>
        <w:t>/life combination</w:t>
      </w:r>
      <w:r w:rsidRPr="00EC4179">
        <w:t xml:space="preserve">. </w:t>
      </w:r>
      <w:r w:rsidRPr="0006627A">
        <w:t>Based on these parameters and a</w:t>
      </w:r>
      <w:r>
        <w:t xml:space="preserve"> zero percent NS level, a</w:t>
      </w:r>
      <w:r w:rsidRPr="00EC4179">
        <w:t xml:space="preserve"> 12.0</w:t>
      </w:r>
      <w:r>
        <w:t>-year ARL and a</w:t>
      </w:r>
      <w:r w:rsidRPr="00EC4179">
        <w:t xml:space="preserve"> remaining life depreciation rate </w:t>
      </w:r>
      <w:r>
        <w:t>of</w:t>
      </w:r>
      <w:r w:rsidRPr="00EC4179">
        <w:t xml:space="preserve"> 3.1 percent</w:t>
      </w:r>
      <w:r w:rsidRPr="00CB1735">
        <w:t xml:space="preserve"> </w:t>
      </w:r>
      <w:r>
        <w:t>are calculated</w:t>
      </w:r>
      <w:r w:rsidRPr="00751FEF">
        <w:t xml:space="preserve"> for this account</w:t>
      </w:r>
      <w:r w:rsidRPr="00EC4179">
        <w:t xml:space="preserve">. </w:t>
      </w:r>
    </w:p>
    <w:p w:rsidR="00D96560" w:rsidRPr="00D96560" w:rsidRDefault="00D96560" w:rsidP="00D96560">
      <w:pPr>
        <w:pStyle w:val="BodyText"/>
        <w:rPr>
          <w:u w:val="single"/>
        </w:rPr>
      </w:pPr>
      <w:r w:rsidRPr="00D96560">
        <w:rPr>
          <w:u w:val="single"/>
        </w:rPr>
        <w:t>Account 384 – Regulator Install</w:t>
      </w:r>
    </w:p>
    <w:p w:rsidR="00D96560" w:rsidRPr="00EC4179" w:rsidRDefault="00D96560" w:rsidP="00D96560">
      <w:pPr>
        <w:pStyle w:val="BodyText"/>
      </w:pPr>
      <w:r w:rsidRPr="008A3023">
        <w:t xml:space="preserve">This account has an </w:t>
      </w:r>
      <w:r w:rsidR="009B7B00" w:rsidRPr="008A3023">
        <w:t>age</w:t>
      </w:r>
      <w:r w:rsidRPr="008A3023">
        <w:t xml:space="preserve"> of 22.3 years</w:t>
      </w:r>
      <w:r w:rsidR="006768C7" w:rsidRPr="008A3023">
        <w:t xml:space="preserve">. </w:t>
      </w:r>
      <w:r w:rsidR="000D6CF9" w:rsidRPr="008A3023">
        <w:t>S</w:t>
      </w:r>
      <w:r w:rsidRPr="008A3023">
        <w:t>taff notes that the account has experienc</w:t>
      </w:r>
      <w:r w:rsidR="00651F7E" w:rsidRPr="008A3023">
        <w:t>ed significant changes, with plant investment being added</w:t>
      </w:r>
      <w:r w:rsidRPr="008A3023">
        <w:t xml:space="preserve"> and retired every year throughout the study period. Taken with th</w:t>
      </w:r>
      <w:r w:rsidR="00673E6C">
        <w:t>e account’s growth rate of 14.5 percent</w:t>
      </w:r>
      <w:r w:rsidRPr="008A3023">
        <w:t xml:space="preserve"> and retirement rate of 1.4 percent, </w:t>
      </w:r>
      <w:r w:rsidR="00651F7E" w:rsidRPr="008A3023">
        <w:t>staff recommends the</w:t>
      </w:r>
      <w:r w:rsidRPr="008A3023">
        <w:t xml:space="preserve"> S3 cur</w:t>
      </w:r>
      <w:r w:rsidRPr="00EC4179">
        <w:t xml:space="preserve">ve shape with a 40-year ASL </w:t>
      </w:r>
      <w:r w:rsidR="009A07E2">
        <w:t>as it</w:t>
      </w:r>
      <w:r w:rsidRPr="00EC4179">
        <w:t xml:space="preserve"> closely depict</w:t>
      </w:r>
      <w:r w:rsidR="000D6CF9">
        <w:t>s</w:t>
      </w:r>
      <w:r w:rsidRPr="00EC4179">
        <w:t xml:space="preserve"> th</w:t>
      </w:r>
      <w:r w:rsidR="000D6CF9">
        <w:t>is</w:t>
      </w:r>
      <w:r w:rsidRPr="00EC4179">
        <w:t xml:space="preserve"> account</w:t>
      </w:r>
      <w:r>
        <w:t>’s</w:t>
      </w:r>
      <w:r w:rsidRPr="00EC4179">
        <w:t xml:space="preserve"> activity. </w:t>
      </w:r>
      <w:r w:rsidRPr="0006627A">
        <w:t>Based on these parameters</w:t>
      </w:r>
      <w:r>
        <w:t xml:space="preserve">, </w:t>
      </w:r>
      <w:proofErr w:type="gramStart"/>
      <w:r>
        <w:t>a</w:t>
      </w:r>
      <w:proofErr w:type="gramEnd"/>
      <w:r>
        <w:t xml:space="preserve"> 18.4-</w:t>
      </w:r>
      <w:r w:rsidRPr="005A41EB">
        <w:t>year</w:t>
      </w:r>
      <w:r>
        <w:t xml:space="preserve"> ARL is calculated</w:t>
      </w:r>
      <w:r w:rsidRPr="005A41EB">
        <w:t>.</w:t>
      </w:r>
      <w:r>
        <w:t xml:space="preserve"> </w:t>
      </w:r>
      <w:r w:rsidRPr="00B80BCC">
        <w:t>As Account 3</w:t>
      </w:r>
      <w:r>
        <w:t>84</w:t>
      </w:r>
      <w:r w:rsidRPr="00B80BCC">
        <w:t xml:space="preserve"> is in a theoretical reserve </w:t>
      </w:r>
      <w:r w:rsidRPr="0032457F">
        <w:t>deficit</w:t>
      </w:r>
      <w:r w:rsidRPr="00B80BCC">
        <w:t xml:space="preserve"> p</w:t>
      </w:r>
      <w:r>
        <w:t xml:space="preserve">osition, staff also recommends that a reserve transfer of </w:t>
      </w:r>
      <w:r w:rsidRPr="00EC4179">
        <w:t>$</w:t>
      </w:r>
      <w:r>
        <w:t>5,517</w:t>
      </w:r>
      <w:r w:rsidRPr="00EC4179">
        <w:t xml:space="preserve"> </w:t>
      </w:r>
      <w:r>
        <w:t>be made (from Account 376.2 – Main</w:t>
      </w:r>
      <w:r w:rsidR="00673E6C">
        <w:t>s</w:t>
      </w:r>
      <w:r w:rsidR="002F797E">
        <w:t>-Steel)</w:t>
      </w:r>
      <w:r>
        <w:t xml:space="preserve"> </w:t>
      </w:r>
      <w:r w:rsidRPr="0032457F">
        <w:t xml:space="preserve">to </w:t>
      </w:r>
      <w:r>
        <w:t>correct</w:t>
      </w:r>
      <w:r w:rsidRPr="0032457F">
        <w:t xml:space="preserve"> the account’s theoretical reserve </w:t>
      </w:r>
      <w:r>
        <w:t>deficiency.</w:t>
      </w:r>
      <w:r w:rsidRPr="00EC4179">
        <w:t xml:space="preserve"> </w:t>
      </w:r>
      <w:r w:rsidR="004323E3">
        <w:t>The post-reserve-</w:t>
      </w:r>
      <w:r w:rsidR="002819C8">
        <w:t>transfer</w:t>
      </w:r>
      <w:r w:rsidRPr="002F14CD">
        <w:t xml:space="preserve"> remaining life depreciation rate</w:t>
      </w:r>
      <w:r w:rsidR="000D6CF9" w:rsidRPr="000D6CF9">
        <w:t xml:space="preserve"> </w:t>
      </w:r>
      <w:r w:rsidR="000D6CF9">
        <w:t>with</w:t>
      </w:r>
      <w:r w:rsidR="000D6CF9" w:rsidRPr="000D6CF9">
        <w:t xml:space="preserve"> a (40) percent NS level</w:t>
      </w:r>
      <w:r w:rsidRPr="002F14CD">
        <w:t xml:space="preserve"> is calculated to be</w:t>
      </w:r>
      <w:r w:rsidRPr="00EC4179">
        <w:t xml:space="preserve"> 3.5 percent</w:t>
      </w:r>
      <w:r w:rsidRPr="004B7CAA">
        <w:t xml:space="preserve"> </w:t>
      </w:r>
      <w:r w:rsidRPr="00751FEF">
        <w:t>for this account</w:t>
      </w:r>
      <w:r w:rsidRPr="00EC4179">
        <w:t xml:space="preserve">. </w:t>
      </w:r>
    </w:p>
    <w:p w:rsidR="00D96560" w:rsidRPr="00D96560" w:rsidRDefault="00D96560" w:rsidP="00D96560">
      <w:pPr>
        <w:pStyle w:val="BodyText"/>
        <w:rPr>
          <w:u w:val="single"/>
        </w:rPr>
      </w:pPr>
      <w:r w:rsidRPr="00D96560">
        <w:rPr>
          <w:u w:val="single"/>
        </w:rPr>
        <w:t>Account 385 – Industrial Meas. &amp; Reg. Equipment</w:t>
      </w:r>
    </w:p>
    <w:p w:rsidR="00D96560" w:rsidRPr="00EC4179" w:rsidRDefault="00D96560" w:rsidP="00D96560">
      <w:pPr>
        <w:pStyle w:val="BodyText"/>
      </w:pPr>
      <w:r w:rsidRPr="00EC4179">
        <w:t>Th</w:t>
      </w:r>
      <w:r>
        <w:t xml:space="preserve">e </w:t>
      </w:r>
      <w:r w:rsidR="009B7B00">
        <w:t>age</w:t>
      </w:r>
      <w:r>
        <w:t xml:space="preserve"> of the</w:t>
      </w:r>
      <w:r w:rsidRPr="00EC4179">
        <w:t xml:space="preserve"> account </w:t>
      </w:r>
      <w:r>
        <w:t>i</w:t>
      </w:r>
      <w:r w:rsidRPr="00EC4179">
        <w:t xml:space="preserve">s </w:t>
      </w:r>
      <w:r>
        <w:t>6.4 years.</w:t>
      </w:r>
      <w:r w:rsidRPr="00EC4179">
        <w:t xml:space="preserve"> </w:t>
      </w:r>
      <w:r w:rsidR="00405E68">
        <w:t>Staff recommends the</w:t>
      </w:r>
      <w:r w:rsidRPr="00EC4179">
        <w:t xml:space="preserve"> S4</w:t>
      </w:r>
      <w:r>
        <w:t>-</w:t>
      </w:r>
      <w:r w:rsidRPr="00EC4179">
        <w:t>30 curve</w:t>
      </w:r>
      <w:r>
        <w:t>/life combination</w:t>
      </w:r>
      <w:r w:rsidRPr="00EC4179">
        <w:t xml:space="preserve">. </w:t>
      </w:r>
      <w:r w:rsidR="004323E3">
        <w:t>Based on these parameters with</w:t>
      </w:r>
      <w:r w:rsidRPr="0006627A">
        <w:t xml:space="preserve"> a</w:t>
      </w:r>
      <w:r>
        <w:t xml:space="preserve"> (5) percent NS level, a 24-year ARL and a</w:t>
      </w:r>
      <w:r w:rsidRPr="00EC4179">
        <w:t xml:space="preserve"> remaining life depreciation rate </w:t>
      </w:r>
      <w:r>
        <w:t>of</w:t>
      </w:r>
      <w:r w:rsidRPr="00EC4179">
        <w:t xml:space="preserve"> 3.4 percent</w:t>
      </w:r>
      <w:r w:rsidRPr="004B7CAA">
        <w:t xml:space="preserve"> </w:t>
      </w:r>
      <w:r>
        <w:t>are calculated</w:t>
      </w:r>
      <w:r w:rsidRPr="00751FEF">
        <w:t xml:space="preserve"> for this account</w:t>
      </w:r>
      <w:r w:rsidRPr="00EC4179">
        <w:t>.</w:t>
      </w:r>
      <w:r>
        <w:t xml:space="preserve"> </w:t>
      </w:r>
    </w:p>
    <w:p w:rsidR="00D96560" w:rsidRPr="00D96560" w:rsidRDefault="00D96560" w:rsidP="00D96560">
      <w:pPr>
        <w:pStyle w:val="BodyText"/>
        <w:rPr>
          <w:u w:val="single"/>
        </w:rPr>
      </w:pPr>
      <w:r w:rsidRPr="00D96560">
        <w:rPr>
          <w:u w:val="single"/>
        </w:rPr>
        <w:t>Account 387 – Other Equipment</w:t>
      </w:r>
    </w:p>
    <w:p w:rsidR="00D96560" w:rsidRDefault="00D96560" w:rsidP="00D96560">
      <w:pPr>
        <w:pStyle w:val="BodyText"/>
      </w:pPr>
      <w:r w:rsidRPr="00EC4179">
        <w:t xml:space="preserve">This account </w:t>
      </w:r>
      <w:r>
        <w:t>is near</w:t>
      </w:r>
      <w:r w:rsidRPr="00EC4179">
        <w:t xml:space="preserve"> fully depreciated a</w:t>
      </w:r>
      <w:r>
        <w:t>t the study date of</w:t>
      </w:r>
      <w:r w:rsidRPr="00EC4179">
        <w:t xml:space="preserve"> December 31, 2017. </w:t>
      </w:r>
      <w:r>
        <w:t>I</w:t>
      </w:r>
      <w:r w:rsidRPr="00EC4179">
        <w:t xml:space="preserve">t has also </w:t>
      </w:r>
      <w:r>
        <w:t xml:space="preserve">experienced </w:t>
      </w:r>
      <w:r w:rsidRPr="00EC4179">
        <w:t xml:space="preserve">no activity (e.g. plant addition, retirement, etc.) during the study period. </w:t>
      </w:r>
      <w:r>
        <w:t>The Company seeks to apply a depreciation rate when new investment is added.</w:t>
      </w:r>
      <w:r>
        <w:rPr>
          <w:rStyle w:val="FootnoteReference"/>
        </w:rPr>
        <w:footnoteReference w:id="15"/>
      </w:r>
      <w:r w:rsidR="00130075">
        <w:t xml:space="preserve"> Due to the account’s current reserve position, staff believes</w:t>
      </w:r>
      <w:r w:rsidR="007C5357">
        <w:t xml:space="preserve"> </w:t>
      </w:r>
      <w:r w:rsidR="002F797E">
        <w:t xml:space="preserve">that </w:t>
      </w:r>
      <w:r w:rsidR="007C5357">
        <w:t>a whole life rate, rather than</w:t>
      </w:r>
      <w:r>
        <w:t xml:space="preserve"> a remaining life depreciation rate, </w:t>
      </w:r>
      <w:r w:rsidR="00130075">
        <w:t xml:space="preserve">should </w:t>
      </w:r>
      <w:r>
        <w:t>be applied to any new</w:t>
      </w:r>
      <w:r w:rsidR="00130075">
        <w:t>ly-added</w:t>
      </w:r>
      <w:r>
        <w:t xml:space="preserve"> </w:t>
      </w:r>
      <w:r w:rsidR="00130075">
        <w:t>investments</w:t>
      </w:r>
      <w:r>
        <w:t xml:space="preserve"> a</w:t>
      </w:r>
      <w:r w:rsidRPr="00130075">
        <w:t>s an inte</w:t>
      </w:r>
      <w:r w:rsidR="004323E3" w:rsidRPr="00130075">
        <w:t>rim measure until</w:t>
      </w:r>
      <w:r w:rsidRPr="00130075">
        <w:t xml:space="preserve"> S</w:t>
      </w:r>
      <w:r w:rsidR="004323E3" w:rsidRPr="00130075">
        <w:t>t. Joe’s depreciation rates are re-</w:t>
      </w:r>
      <w:r w:rsidRPr="00130075">
        <w:t>reviewed by the Commission.</w:t>
      </w:r>
    </w:p>
    <w:p w:rsidR="00D96560" w:rsidRPr="00EC4179" w:rsidRDefault="00D96560" w:rsidP="00D96560">
      <w:pPr>
        <w:pStyle w:val="BodyText"/>
      </w:pPr>
      <w:r>
        <w:t>This</w:t>
      </w:r>
      <w:r w:rsidRPr="00EC4179">
        <w:t xml:space="preserve"> </w:t>
      </w:r>
      <w:r>
        <w:t xml:space="preserve">account has an </w:t>
      </w:r>
      <w:r w:rsidR="009B7B00">
        <w:t>age</w:t>
      </w:r>
      <w:r w:rsidRPr="00EC4179">
        <w:t xml:space="preserve"> of</w:t>
      </w:r>
      <w:r>
        <w:t xml:space="preserve"> </w:t>
      </w:r>
      <w:r w:rsidR="00AF70C0">
        <w:t>5.2 years,</w:t>
      </w:r>
      <w:r w:rsidRPr="00EC4179">
        <w:t xml:space="preserve"> </w:t>
      </w:r>
      <w:r>
        <w:t>a currently-</w:t>
      </w:r>
      <w:r w:rsidRPr="00EC4179">
        <w:t xml:space="preserve">approved </w:t>
      </w:r>
      <w:r>
        <w:t>10-</w:t>
      </w:r>
      <w:r w:rsidRPr="007D26C0">
        <w:t>year ASL</w:t>
      </w:r>
      <w:r w:rsidR="00AF70C0">
        <w:t xml:space="preserve"> and</w:t>
      </w:r>
      <w:r w:rsidR="00B52DDF">
        <w:t xml:space="preserve"> a zero percent NS</w:t>
      </w:r>
      <w:r w:rsidRPr="007D26C0">
        <w:t>.</w:t>
      </w:r>
      <w:r w:rsidR="00B52DDF">
        <w:rPr>
          <w:rStyle w:val="FootnoteReference"/>
        </w:rPr>
        <w:footnoteReference w:id="16"/>
      </w:r>
      <w:r w:rsidRPr="007D26C0">
        <w:t xml:space="preserve"> Staff notes that </w:t>
      </w:r>
      <w:r w:rsidR="00673E6C">
        <w:t xml:space="preserve">a </w:t>
      </w:r>
      <w:r w:rsidRPr="007D26C0">
        <w:t>10-year ASL is at the lowest end of the indust</w:t>
      </w:r>
      <w:r w:rsidR="004323E3" w:rsidRPr="007D26C0">
        <w:t>ry</w:t>
      </w:r>
      <w:r w:rsidRPr="007D26C0">
        <w:t xml:space="preserve"> range of Florida gas</w:t>
      </w:r>
      <w:r w:rsidR="00E01119" w:rsidRPr="007D26C0">
        <w:t xml:space="preserve"> </w:t>
      </w:r>
      <w:r w:rsidR="00D47ABD" w:rsidRPr="007D26C0">
        <w:t>utilities</w:t>
      </w:r>
      <w:r w:rsidR="007D26C0" w:rsidRPr="007D26C0">
        <w:t xml:space="preserve"> for this account</w:t>
      </w:r>
      <w:r w:rsidR="00D47ABD" w:rsidRPr="007D26C0">
        <w:t>.</w:t>
      </w:r>
      <w:r w:rsidR="00D47ABD" w:rsidRPr="007D26C0">
        <w:rPr>
          <w:rStyle w:val="FootnoteReference"/>
        </w:rPr>
        <w:footnoteReference w:id="17"/>
      </w:r>
      <w:r w:rsidRPr="007D26C0">
        <w:t xml:space="preserve"> </w:t>
      </w:r>
      <w:r w:rsidR="00B52DDF">
        <w:t>S</w:t>
      </w:r>
      <w:r w:rsidRPr="007D26C0">
        <w:t>ta</w:t>
      </w:r>
      <w:r w:rsidRPr="00EC4179">
        <w:t xml:space="preserve">ff </w:t>
      </w:r>
      <w:r w:rsidR="00B52DDF">
        <w:t>believes</w:t>
      </w:r>
      <w:r w:rsidRPr="00EC4179">
        <w:t xml:space="preserve"> an increase in ASL by 4 years</w:t>
      </w:r>
      <w:r w:rsidR="00B52DDF">
        <w:t xml:space="preserve"> is appropriate. Therefore,</w:t>
      </w:r>
      <w:r>
        <w:t xml:space="preserve"> staff recommends</w:t>
      </w:r>
      <w:r w:rsidR="00B52DDF">
        <w:t xml:space="preserve"> </w:t>
      </w:r>
      <w:r>
        <w:t xml:space="preserve">a 7.1 percent whole life depreciation rate </w:t>
      </w:r>
      <w:r w:rsidR="00C608D5">
        <w:t>be applied</w:t>
      </w:r>
      <w:r w:rsidRPr="00EC4179">
        <w:t xml:space="preserve"> to </w:t>
      </w:r>
      <w:r>
        <w:t xml:space="preserve">any </w:t>
      </w:r>
      <w:r w:rsidRPr="00EC4179">
        <w:t>new investment added to th</w:t>
      </w:r>
      <w:r>
        <w:t>is</w:t>
      </w:r>
      <w:r w:rsidR="00130075">
        <w:t xml:space="preserve"> account.</w:t>
      </w:r>
    </w:p>
    <w:p w:rsidR="00CA0E71" w:rsidRPr="00103E21" w:rsidRDefault="00CA0E71" w:rsidP="008619E5">
      <w:pPr>
        <w:pStyle w:val="BodyText"/>
        <w:rPr>
          <w:b/>
          <w:i/>
          <w:u w:val="single"/>
        </w:rPr>
      </w:pPr>
      <w:r w:rsidRPr="00103E21">
        <w:rPr>
          <w:u w:val="single"/>
        </w:rPr>
        <w:t>Account 390 – Structures &amp; Improvements</w:t>
      </w:r>
    </w:p>
    <w:p w:rsidR="00A9430C" w:rsidRDefault="00A9430C" w:rsidP="008619E5">
      <w:pPr>
        <w:pStyle w:val="BodyText"/>
      </w:pPr>
      <w:r>
        <w:t xml:space="preserve">The </w:t>
      </w:r>
      <w:r w:rsidR="009B7B00">
        <w:t>age</w:t>
      </w:r>
      <w:r>
        <w:t xml:space="preserve"> of this account is 26.0 years.</w:t>
      </w:r>
      <w:r w:rsidR="00103E21">
        <w:t xml:space="preserve"> </w:t>
      </w:r>
      <w:r w:rsidR="00405E68">
        <w:t>Staff recommends the</w:t>
      </w:r>
      <w:r w:rsidR="00103E21" w:rsidRPr="00103E21">
        <w:t xml:space="preserve"> </w:t>
      </w:r>
      <w:r w:rsidR="00103E21">
        <w:t>R3-40</w:t>
      </w:r>
      <w:r w:rsidR="003D2D4D">
        <w:t xml:space="preserve"> </w:t>
      </w:r>
      <w:r w:rsidR="00103E21" w:rsidRPr="00103E21">
        <w:t>curve/life combination. Based on these parameters</w:t>
      </w:r>
      <w:r w:rsidR="001D25E5">
        <w:t xml:space="preserve"> and a zero percent NS level</w:t>
      </w:r>
      <w:r w:rsidR="00103E21" w:rsidRPr="00103E21">
        <w:t xml:space="preserve">, </w:t>
      </w:r>
      <w:r w:rsidR="00103E21">
        <w:t>a 16.8-year ARL</w:t>
      </w:r>
      <w:r w:rsidR="00103E21" w:rsidRPr="00103E21">
        <w:t xml:space="preserve"> and </w:t>
      </w:r>
      <w:r w:rsidR="00103E21">
        <w:t>1.9</w:t>
      </w:r>
      <w:r w:rsidR="00103E21" w:rsidRPr="00103E21">
        <w:t xml:space="preserve"> percent remaining life depreciation rate</w:t>
      </w:r>
      <w:r w:rsidR="00103E21">
        <w:t xml:space="preserve"> are</w:t>
      </w:r>
      <w:r w:rsidR="00103E21" w:rsidRPr="00103E21">
        <w:t xml:space="preserve"> calculated</w:t>
      </w:r>
      <w:r w:rsidR="00504388" w:rsidRPr="00504388">
        <w:t xml:space="preserve"> for this account</w:t>
      </w:r>
      <w:r w:rsidR="00103E21" w:rsidRPr="00103E21">
        <w:t>.</w:t>
      </w:r>
    </w:p>
    <w:p w:rsidR="00CA0E71" w:rsidRPr="004931CB" w:rsidRDefault="00CA0E71" w:rsidP="008619E5">
      <w:pPr>
        <w:pStyle w:val="BodyText"/>
        <w:rPr>
          <w:b/>
          <w:i/>
          <w:u w:val="single"/>
        </w:rPr>
      </w:pPr>
      <w:r w:rsidRPr="004931CB">
        <w:rPr>
          <w:u w:val="single"/>
        </w:rPr>
        <w:t>Account 391.1 – Office Furniture</w:t>
      </w:r>
    </w:p>
    <w:p w:rsidR="00A9430C" w:rsidRPr="00A9430C" w:rsidRDefault="00A9430C" w:rsidP="00A9430C">
      <w:pPr>
        <w:pStyle w:val="BodyText"/>
      </w:pPr>
      <w:r w:rsidRPr="00A9430C">
        <w:t xml:space="preserve">The </w:t>
      </w:r>
      <w:r w:rsidR="009B7B00">
        <w:t>age</w:t>
      </w:r>
      <w:r w:rsidRPr="00A9430C">
        <w:t xml:space="preserve"> of this account is </w:t>
      </w:r>
      <w:r w:rsidR="004931CB">
        <w:t>13.7</w:t>
      </w:r>
      <w:r w:rsidRPr="00A9430C">
        <w:t xml:space="preserve"> years.</w:t>
      </w:r>
      <w:r w:rsidR="00405E68">
        <w:t xml:space="preserve"> Staff recommends the</w:t>
      </w:r>
      <w:r w:rsidR="004931CB">
        <w:t xml:space="preserve"> </w:t>
      </w:r>
      <w:r w:rsidR="003D2D4D">
        <w:t xml:space="preserve">S2-15 </w:t>
      </w:r>
      <w:r w:rsidR="004931CB">
        <w:t>curve/life combination. Based on these parameters</w:t>
      </w:r>
      <w:r w:rsidR="001D25E5" w:rsidRPr="001D25E5">
        <w:t xml:space="preserve"> and a zero percent NS level</w:t>
      </w:r>
      <w:r w:rsidR="004931CB">
        <w:t xml:space="preserve">, </w:t>
      </w:r>
      <w:r w:rsidR="00103E21">
        <w:t>a 4.4-year ARL</w:t>
      </w:r>
      <w:r w:rsidR="004931CB" w:rsidRPr="004931CB">
        <w:t xml:space="preserve"> </w:t>
      </w:r>
      <w:r w:rsidR="004931CB">
        <w:t>a</w:t>
      </w:r>
      <w:r w:rsidR="00103E21">
        <w:t xml:space="preserve">nd </w:t>
      </w:r>
      <w:r w:rsidR="004931CB">
        <w:t>1.7 percent</w:t>
      </w:r>
      <w:r w:rsidR="00103E21">
        <w:t xml:space="preserve"> </w:t>
      </w:r>
      <w:r w:rsidR="00103E21" w:rsidRPr="00103E21">
        <w:t>remaining life depreciation rate</w:t>
      </w:r>
      <w:r w:rsidR="004931CB">
        <w:t xml:space="preserve"> </w:t>
      </w:r>
      <w:r w:rsidR="00103E21">
        <w:t>are</w:t>
      </w:r>
      <w:r w:rsidR="004931CB">
        <w:t xml:space="preserve"> calculated</w:t>
      </w:r>
      <w:r w:rsidR="00504388" w:rsidRPr="00504388">
        <w:t xml:space="preserve"> for this account</w:t>
      </w:r>
      <w:r w:rsidR="004931CB" w:rsidRPr="004931CB">
        <w:t>.</w:t>
      </w:r>
    </w:p>
    <w:p w:rsidR="00CA0E71" w:rsidRPr="004931CB" w:rsidRDefault="00CA0E71" w:rsidP="008619E5">
      <w:pPr>
        <w:pStyle w:val="BodyText"/>
        <w:rPr>
          <w:b/>
          <w:i/>
          <w:u w:val="single"/>
        </w:rPr>
      </w:pPr>
      <w:r w:rsidRPr="004931CB">
        <w:rPr>
          <w:u w:val="single"/>
        </w:rPr>
        <w:t>Account 391.2 – Office Devices</w:t>
      </w:r>
    </w:p>
    <w:p w:rsidR="00CA0E71" w:rsidRPr="00A9430C" w:rsidRDefault="00A9430C" w:rsidP="008619E5">
      <w:pPr>
        <w:pStyle w:val="BodyText"/>
      </w:pPr>
      <w:r w:rsidRPr="00A9430C">
        <w:t xml:space="preserve">The </w:t>
      </w:r>
      <w:r w:rsidR="009B7B00">
        <w:t>age</w:t>
      </w:r>
      <w:r w:rsidRPr="00A9430C">
        <w:t xml:space="preserve"> of this account is </w:t>
      </w:r>
      <w:r w:rsidR="004931CB">
        <w:t>4.9</w:t>
      </w:r>
      <w:r w:rsidRPr="00A9430C">
        <w:t xml:space="preserve"> years.</w:t>
      </w:r>
      <w:r w:rsidR="00E73473">
        <w:t xml:space="preserve"> </w:t>
      </w:r>
      <w:r w:rsidR="00405E68">
        <w:t>Staff recommends the</w:t>
      </w:r>
      <w:r w:rsidR="00E73473" w:rsidRPr="00E73473">
        <w:t xml:space="preserve"> </w:t>
      </w:r>
      <w:r w:rsidR="00E73473">
        <w:t>S1-8</w:t>
      </w:r>
      <w:r w:rsidR="003D2D4D">
        <w:t xml:space="preserve"> </w:t>
      </w:r>
      <w:r w:rsidR="00E73473" w:rsidRPr="00E73473">
        <w:t>curve/life combination. Based on these parameters</w:t>
      </w:r>
      <w:r w:rsidR="001D25E5">
        <w:t xml:space="preserve"> and a </w:t>
      </w:r>
      <w:r w:rsidR="003D2D4D">
        <w:t>5</w:t>
      </w:r>
      <w:r w:rsidR="001D25E5" w:rsidRPr="001D25E5">
        <w:t xml:space="preserve"> percent NS level</w:t>
      </w:r>
      <w:r w:rsidR="00E73473" w:rsidRPr="00E73473">
        <w:t xml:space="preserve">, </w:t>
      </w:r>
      <w:r w:rsidR="00E73473">
        <w:t>a 4.1</w:t>
      </w:r>
      <w:r w:rsidR="00E73473" w:rsidRPr="00E73473">
        <w:t xml:space="preserve">-year ARL and </w:t>
      </w:r>
      <w:r w:rsidR="00E73473">
        <w:t>8.4</w:t>
      </w:r>
      <w:r w:rsidR="00E73473" w:rsidRPr="00E73473">
        <w:t xml:space="preserve"> percent remaining life depreciation rate are calculated</w:t>
      </w:r>
      <w:r w:rsidR="00504388" w:rsidRPr="00504388">
        <w:t xml:space="preserve"> for this account</w:t>
      </w:r>
      <w:r w:rsidR="00E73473" w:rsidRPr="00E73473">
        <w:t>.</w:t>
      </w:r>
    </w:p>
    <w:p w:rsidR="00CA0E71" w:rsidRPr="00E73473" w:rsidRDefault="00CA0E71" w:rsidP="008619E5">
      <w:pPr>
        <w:pStyle w:val="BodyText"/>
        <w:rPr>
          <w:b/>
          <w:i/>
          <w:u w:val="single"/>
        </w:rPr>
      </w:pPr>
      <w:r w:rsidRPr="00E73473">
        <w:rPr>
          <w:u w:val="single"/>
        </w:rPr>
        <w:t>Account 391.3 – Office Computers</w:t>
      </w:r>
    </w:p>
    <w:p w:rsidR="00F42808" w:rsidRDefault="00A9430C" w:rsidP="00F42808">
      <w:pPr>
        <w:pStyle w:val="BodyText"/>
      </w:pPr>
      <w:r w:rsidRPr="00A9430C">
        <w:t xml:space="preserve">The </w:t>
      </w:r>
      <w:r w:rsidR="009B7B00">
        <w:t>age</w:t>
      </w:r>
      <w:r w:rsidRPr="00A9430C">
        <w:t xml:space="preserve"> of this account is </w:t>
      </w:r>
      <w:r w:rsidR="004931CB">
        <w:t>8.3</w:t>
      </w:r>
      <w:r w:rsidRPr="00A9430C">
        <w:t xml:space="preserve"> years.</w:t>
      </w:r>
      <w:r w:rsidR="00405E68">
        <w:t xml:space="preserve"> Staff recommends the</w:t>
      </w:r>
      <w:r w:rsidR="00F42808" w:rsidRPr="00F42808">
        <w:t xml:space="preserve"> S</w:t>
      </w:r>
      <w:r w:rsidR="00F42808">
        <w:t>3</w:t>
      </w:r>
      <w:r w:rsidR="00F42808" w:rsidRPr="00F42808">
        <w:t>-</w:t>
      </w:r>
      <w:r w:rsidR="00F42808">
        <w:t>16</w:t>
      </w:r>
      <w:r w:rsidR="00F42808" w:rsidRPr="00F42808">
        <w:t xml:space="preserve"> curve/life combination. Based on these parameters, </w:t>
      </w:r>
      <w:r w:rsidR="00F42808">
        <w:t>a 7.9</w:t>
      </w:r>
      <w:r w:rsidR="00F42808" w:rsidRPr="00F42808">
        <w:t xml:space="preserve">-year ARL </w:t>
      </w:r>
      <w:r w:rsidR="00F42808">
        <w:t>is</w:t>
      </w:r>
      <w:r w:rsidR="00F42808" w:rsidRPr="00F42808">
        <w:t xml:space="preserve"> calculated.</w:t>
      </w:r>
      <w:r w:rsidR="00F42808">
        <w:t xml:space="preserve"> </w:t>
      </w:r>
      <w:r w:rsidR="00BA5EB7">
        <w:t>As Account 391.3</w:t>
      </w:r>
      <w:r w:rsidR="00BA5EB7" w:rsidRPr="00BA5EB7">
        <w:t xml:space="preserve"> is </w:t>
      </w:r>
      <w:r w:rsidR="00BA5EB7">
        <w:t>in a theoretical reserve deficit</w:t>
      </w:r>
      <w:r w:rsidR="00BA5EB7" w:rsidRPr="00BA5EB7">
        <w:t xml:space="preserve"> position,</w:t>
      </w:r>
      <w:r w:rsidR="00BA5EB7">
        <w:t xml:space="preserve"> s</w:t>
      </w:r>
      <w:r w:rsidR="00F42808" w:rsidRPr="00F42808">
        <w:t xml:space="preserve">taff also recommends that a reserve transfer </w:t>
      </w:r>
      <w:r w:rsidR="00676E08" w:rsidRPr="00676E08">
        <w:t xml:space="preserve">of $5,190 </w:t>
      </w:r>
      <w:r w:rsidR="00F42808" w:rsidRPr="00F42808">
        <w:t>(from Account 392 – Transportation Equipment) be made in order to correct th</w:t>
      </w:r>
      <w:r w:rsidR="00C77E1E">
        <w:t xml:space="preserve">e account’s theoretical </w:t>
      </w:r>
      <w:r w:rsidR="002819C8">
        <w:t>deficiency. The post-reserve-transfer</w:t>
      </w:r>
      <w:r w:rsidR="00F42808" w:rsidRPr="00F42808">
        <w:t xml:space="preserve"> remaining life depreciation rate</w:t>
      </w:r>
      <w:r w:rsidR="00676E08">
        <w:t xml:space="preserve"> with</w:t>
      </w:r>
      <w:r w:rsidR="00676E08" w:rsidRPr="00676E08">
        <w:t xml:space="preserve"> a zero percent NS level </w:t>
      </w:r>
      <w:r w:rsidR="00F42808" w:rsidRPr="00F42808">
        <w:t>is calculated to be 6.3 percent for this account.</w:t>
      </w:r>
    </w:p>
    <w:p w:rsidR="00CD3024" w:rsidRDefault="00CD3024" w:rsidP="00F42808">
      <w:pPr>
        <w:pStyle w:val="BodyText"/>
      </w:pPr>
    </w:p>
    <w:p w:rsidR="00CD3024" w:rsidRPr="00F42808" w:rsidRDefault="00CD3024" w:rsidP="00F42808">
      <w:pPr>
        <w:pStyle w:val="BodyText"/>
      </w:pPr>
    </w:p>
    <w:p w:rsidR="00CA0E71" w:rsidRPr="008B5500" w:rsidRDefault="00CA0E71" w:rsidP="008619E5">
      <w:pPr>
        <w:pStyle w:val="BodyText"/>
        <w:rPr>
          <w:b/>
          <w:i/>
          <w:u w:val="single"/>
        </w:rPr>
      </w:pPr>
      <w:r w:rsidRPr="008B5500">
        <w:rPr>
          <w:u w:val="single"/>
        </w:rPr>
        <w:t>Account 392 – Transportation Equipment</w:t>
      </w:r>
    </w:p>
    <w:p w:rsidR="00CA0E71" w:rsidRPr="008B5500" w:rsidRDefault="00A9430C" w:rsidP="008619E5">
      <w:pPr>
        <w:pStyle w:val="BodyText"/>
      </w:pPr>
      <w:r w:rsidRPr="00A9430C">
        <w:t xml:space="preserve">The </w:t>
      </w:r>
      <w:r w:rsidR="009B7B00">
        <w:t>age</w:t>
      </w:r>
      <w:r w:rsidRPr="00A9430C">
        <w:t xml:space="preserve"> of this account is </w:t>
      </w:r>
      <w:r w:rsidR="004931CB">
        <w:t>4.6</w:t>
      </w:r>
      <w:r w:rsidRPr="00A9430C">
        <w:t xml:space="preserve"> years.</w:t>
      </w:r>
      <w:r w:rsidR="008B5500">
        <w:t xml:space="preserve"> </w:t>
      </w:r>
      <w:r w:rsidR="00405E68">
        <w:t>Staff recommends the</w:t>
      </w:r>
      <w:r w:rsidR="008B5500" w:rsidRPr="008B5500">
        <w:t xml:space="preserve"> S</w:t>
      </w:r>
      <w:r w:rsidR="008B5500">
        <w:t>2</w:t>
      </w:r>
      <w:r w:rsidR="008B5500" w:rsidRPr="008B5500">
        <w:t>-</w:t>
      </w:r>
      <w:r w:rsidR="008B5500">
        <w:t>7</w:t>
      </w:r>
      <w:r w:rsidR="003D2D4D">
        <w:t xml:space="preserve"> </w:t>
      </w:r>
      <w:r w:rsidR="008B5500" w:rsidRPr="008B5500">
        <w:t>curve/life combination. Based on these parameters</w:t>
      </w:r>
      <w:r w:rsidR="005A5F4A">
        <w:t>,</w:t>
      </w:r>
      <w:r w:rsidR="001D25E5">
        <w:t xml:space="preserve"> </w:t>
      </w:r>
      <w:r w:rsidR="008B5500">
        <w:t>a 3.0</w:t>
      </w:r>
      <w:r w:rsidR="008B5500" w:rsidRPr="008B5500">
        <w:t>-year ARL</w:t>
      </w:r>
      <w:r w:rsidR="008B5500">
        <w:t xml:space="preserve"> is calculated</w:t>
      </w:r>
      <w:r w:rsidR="008B5500" w:rsidRPr="0037534E">
        <w:t xml:space="preserve">. </w:t>
      </w:r>
      <w:r w:rsidR="00CA0E71" w:rsidRPr="0037534E">
        <w:t xml:space="preserve">As Account 392 is in a theoretical reserve surplus position, staff </w:t>
      </w:r>
      <w:r w:rsidR="00BA5EB7" w:rsidRPr="0037534E">
        <w:t>al</w:t>
      </w:r>
      <w:r w:rsidR="00BA5EB7">
        <w:t xml:space="preserve">so </w:t>
      </w:r>
      <w:r w:rsidR="00CA0E71" w:rsidRPr="00CA0E71">
        <w:t xml:space="preserve">recommends that a reserve </w:t>
      </w:r>
      <w:r w:rsidR="002819C8">
        <w:t>adjustment</w:t>
      </w:r>
      <w:r w:rsidR="00CA0E71" w:rsidRPr="00CA0E71">
        <w:t xml:space="preserve"> of ($5,190) be made </w:t>
      </w:r>
      <w:r w:rsidR="002819C8">
        <w:t xml:space="preserve">(transfer </w:t>
      </w:r>
      <w:r w:rsidR="00CA0E71" w:rsidRPr="00CA0E71">
        <w:t>to A</w:t>
      </w:r>
      <w:r w:rsidR="002819C8">
        <w:t>ccount 391.3 – Office Computers)</w:t>
      </w:r>
      <w:r w:rsidR="00CA0E71" w:rsidRPr="00CA0E71">
        <w:t xml:space="preserve"> to correct the </w:t>
      </w:r>
      <w:r w:rsidR="00C77E1E">
        <w:t xml:space="preserve">theoretical </w:t>
      </w:r>
      <w:r w:rsidR="00CA0E71" w:rsidRPr="00CA0E71">
        <w:t>reserve de</w:t>
      </w:r>
      <w:r w:rsidR="002819C8">
        <w:t xml:space="preserve">ficiency in Account 391.3. The </w:t>
      </w:r>
      <w:r w:rsidR="00273CB6">
        <w:t>post-reserve-</w:t>
      </w:r>
      <w:r w:rsidR="002819C8">
        <w:t>transfer</w:t>
      </w:r>
      <w:r w:rsidR="00CA0E71" w:rsidRPr="00CA0E71">
        <w:t xml:space="preserve"> remaining life depreciation rate</w:t>
      </w:r>
      <w:r w:rsidR="00CA245C">
        <w:t xml:space="preserve"> with</w:t>
      </w:r>
      <w:r w:rsidR="00CA245C" w:rsidRPr="00CA245C">
        <w:t xml:space="preserve"> a 10 percent NS level</w:t>
      </w:r>
      <w:r w:rsidR="00CA0E71" w:rsidRPr="00CA0E71">
        <w:t xml:space="preserve"> is calculated to be 9.3 percent for this account. </w:t>
      </w:r>
    </w:p>
    <w:p w:rsidR="00CA0E71" w:rsidRPr="008B5500" w:rsidRDefault="00CA0E71" w:rsidP="008619E5">
      <w:pPr>
        <w:pStyle w:val="BodyText"/>
        <w:rPr>
          <w:b/>
          <w:i/>
          <w:u w:val="single"/>
        </w:rPr>
      </w:pPr>
      <w:r w:rsidRPr="008B5500">
        <w:rPr>
          <w:u w:val="single"/>
        </w:rPr>
        <w:t>Account 394 – Tools, Shop &amp; Garage Equipment</w:t>
      </w:r>
    </w:p>
    <w:p w:rsidR="00021E5E" w:rsidRPr="00021E5E" w:rsidRDefault="00A9430C" w:rsidP="00021E5E">
      <w:pPr>
        <w:pStyle w:val="BodyText"/>
      </w:pPr>
      <w:r w:rsidRPr="00A9430C">
        <w:t xml:space="preserve">The </w:t>
      </w:r>
      <w:r w:rsidR="009B7B00">
        <w:t>age</w:t>
      </w:r>
      <w:r w:rsidRPr="00A9430C">
        <w:t xml:space="preserve"> of this account is </w:t>
      </w:r>
      <w:r w:rsidR="004931CB">
        <w:t>4.2</w:t>
      </w:r>
      <w:r w:rsidRPr="00A9430C">
        <w:t xml:space="preserve"> years.</w:t>
      </w:r>
      <w:r w:rsidR="00021E5E">
        <w:t xml:space="preserve"> </w:t>
      </w:r>
      <w:r w:rsidR="00405E68">
        <w:t>Staff recommends the</w:t>
      </w:r>
      <w:r w:rsidR="00021E5E" w:rsidRPr="00021E5E">
        <w:t xml:space="preserve"> </w:t>
      </w:r>
      <w:r w:rsidR="00021E5E">
        <w:t>S3-20</w:t>
      </w:r>
      <w:r w:rsidR="00021E5E" w:rsidRPr="00021E5E">
        <w:t xml:space="preserve"> curve/life combination. Based on these parameters</w:t>
      </w:r>
      <w:r w:rsidR="001D25E5">
        <w:t xml:space="preserve"> </w:t>
      </w:r>
      <w:r w:rsidR="001D25E5" w:rsidRPr="001D25E5">
        <w:t>and a zero percent NS level</w:t>
      </w:r>
      <w:r w:rsidR="00021E5E" w:rsidRPr="00021E5E">
        <w:t xml:space="preserve">, </w:t>
      </w:r>
      <w:r w:rsidR="00021E5E">
        <w:t>a 15.8</w:t>
      </w:r>
      <w:r w:rsidR="00021E5E" w:rsidRPr="00021E5E">
        <w:t xml:space="preserve">-year ARL and </w:t>
      </w:r>
      <w:r w:rsidR="00021E5E">
        <w:t>4.9</w:t>
      </w:r>
      <w:r w:rsidR="00021E5E" w:rsidRPr="00021E5E">
        <w:t xml:space="preserve"> percent remaining life depreciation rate are calculated</w:t>
      </w:r>
      <w:r w:rsidR="00504388" w:rsidRPr="00504388">
        <w:t xml:space="preserve"> for this account</w:t>
      </w:r>
      <w:r w:rsidR="00021E5E" w:rsidRPr="00021E5E">
        <w:t>.</w:t>
      </w:r>
    </w:p>
    <w:p w:rsidR="00CA0E71" w:rsidRPr="00021E5E" w:rsidRDefault="00CA0E71" w:rsidP="008619E5">
      <w:pPr>
        <w:pStyle w:val="BodyText"/>
        <w:rPr>
          <w:b/>
          <w:i/>
          <w:u w:val="single"/>
        </w:rPr>
      </w:pPr>
      <w:r w:rsidRPr="00021E5E">
        <w:rPr>
          <w:u w:val="single"/>
        </w:rPr>
        <w:t>Account 396 – Power Operated Equipment</w:t>
      </w:r>
    </w:p>
    <w:p w:rsidR="00021E5E" w:rsidRPr="00021E5E" w:rsidRDefault="00A9430C" w:rsidP="00021E5E">
      <w:pPr>
        <w:pStyle w:val="BodyText"/>
      </w:pPr>
      <w:r w:rsidRPr="00A9430C">
        <w:t xml:space="preserve">The </w:t>
      </w:r>
      <w:r w:rsidR="009B7B00">
        <w:t>age</w:t>
      </w:r>
      <w:r w:rsidRPr="00A9430C">
        <w:t xml:space="preserve"> of this account is </w:t>
      </w:r>
      <w:r w:rsidR="004931CB">
        <w:t>9.2</w:t>
      </w:r>
      <w:r w:rsidRPr="00A9430C">
        <w:t xml:space="preserve"> years.</w:t>
      </w:r>
      <w:r w:rsidR="00021E5E">
        <w:t xml:space="preserve"> </w:t>
      </w:r>
      <w:r w:rsidR="00405E68">
        <w:t>Staff recommends the</w:t>
      </w:r>
      <w:r w:rsidR="00021E5E" w:rsidRPr="00021E5E">
        <w:t xml:space="preserve"> S</w:t>
      </w:r>
      <w:r w:rsidR="00021E5E">
        <w:t>4</w:t>
      </w:r>
      <w:r w:rsidR="00021E5E" w:rsidRPr="00021E5E">
        <w:t>-</w:t>
      </w:r>
      <w:r w:rsidR="00021E5E">
        <w:t>15</w:t>
      </w:r>
      <w:r w:rsidR="00021E5E" w:rsidRPr="00021E5E">
        <w:t xml:space="preserve"> curve/life combination. Based on these parameters</w:t>
      </w:r>
      <w:r w:rsidR="001D25E5">
        <w:t xml:space="preserve"> </w:t>
      </w:r>
      <w:r w:rsidR="001D25E5" w:rsidRPr="001D25E5">
        <w:t>and a</w:t>
      </w:r>
      <w:r w:rsidR="003D2D4D">
        <w:t xml:space="preserve"> 5</w:t>
      </w:r>
      <w:r w:rsidR="001D25E5" w:rsidRPr="001D25E5">
        <w:t xml:space="preserve"> percent NS level</w:t>
      </w:r>
      <w:r w:rsidR="00021E5E" w:rsidRPr="00021E5E">
        <w:t xml:space="preserve">, a </w:t>
      </w:r>
      <w:r w:rsidR="00021E5E">
        <w:t>5.9</w:t>
      </w:r>
      <w:r w:rsidR="00021E5E" w:rsidRPr="00021E5E">
        <w:t xml:space="preserve">-year ARL and </w:t>
      </w:r>
      <w:r w:rsidR="00021E5E">
        <w:t>0.6</w:t>
      </w:r>
      <w:r w:rsidR="00021E5E" w:rsidRPr="00021E5E">
        <w:t xml:space="preserve"> percent remaining life </w:t>
      </w:r>
      <w:r w:rsidR="00021E5E">
        <w:t>d</w:t>
      </w:r>
      <w:r w:rsidR="00021E5E" w:rsidRPr="00021E5E">
        <w:t>epreciation rate are calculated</w:t>
      </w:r>
      <w:r w:rsidR="00504388" w:rsidRPr="00504388">
        <w:t xml:space="preserve"> for this account</w:t>
      </w:r>
      <w:r w:rsidR="00021E5E" w:rsidRPr="00021E5E">
        <w:t>.</w:t>
      </w:r>
    </w:p>
    <w:p w:rsidR="00CA0E71" w:rsidRPr="00021E5E" w:rsidRDefault="00CA0E71" w:rsidP="008619E5">
      <w:pPr>
        <w:pStyle w:val="BodyText"/>
        <w:rPr>
          <w:b/>
          <w:i/>
          <w:u w:val="single"/>
        </w:rPr>
      </w:pPr>
      <w:r w:rsidRPr="00021E5E">
        <w:rPr>
          <w:u w:val="single"/>
        </w:rPr>
        <w:t>Account 397 – Communication Equipment</w:t>
      </w:r>
    </w:p>
    <w:p w:rsidR="001D25E5" w:rsidRPr="001D25E5" w:rsidRDefault="00A9430C" w:rsidP="001D25E5">
      <w:pPr>
        <w:pStyle w:val="BodyText"/>
      </w:pPr>
      <w:r w:rsidRPr="00A9430C">
        <w:t xml:space="preserve">The </w:t>
      </w:r>
      <w:r w:rsidR="009B7B00">
        <w:t>age</w:t>
      </w:r>
      <w:r w:rsidRPr="00A9430C">
        <w:t xml:space="preserve"> of this account is </w:t>
      </w:r>
      <w:r w:rsidR="004931CB">
        <w:t>9.2</w:t>
      </w:r>
      <w:r w:rsidRPr="00A9430C">
        <w:t xml:space="preserve"> years.</w:t>
      </w:r>
      <w:r w:rsidR="001D25E5">
        <w:t xml:space="preserve"> </w:t>
      </w:r>
      <w:r w:rsidR="00405E68">
        <w:t>Staff recommends the</w:t>
      </w:r>
      <w:r w:rsidR="001D25E5" w:rsidRPr="001D25E5">
        <w:t xml:space="preserve"> S</w:t>
      </w:r>
      <w:r w:rsidR="001D25E5">
        <w:t>3</w:t>
      </w:r>
      <w:r w:rsidR="001D25E5" w:rsidRPr="001D25E5">
        <w:t>-</w:t>
      </w:r>
      <w:r w:rsidR="001D25E5">
        <w:t>12</w:t>
      </w:r>
      <w:r w:rsidR="001D25E5" w:rsidRPr="001D25E5">
        <w:t xml:space="preserve"> curve/life combination. Based on these parameters and a </w:t>
      </w:r>
      <w:r w:rsidR="001D25E5">
        <w:t>zero</w:t>
      </w:r>
      <w:r w:rsidR="001D25E5" w:rsidRPr="001D25E5">
        <w:t xml:space="preserve"> percent NS level, a </w:t>
      </w:r>
      <w:r w:rsidR="001D25E5">
        <w:t>3.7</w:t>
      </w:r>
      <w:r w:rsidR="001D25E5" w:rsidRPr="001D25E5">
        <w:t>-year ARL and 6</w:t>
      </w:r>
      <w:r w:rsidR="001D25E5">
        <w:t>.2</w:t>
      </w:r>
      <w:r w:rsidR="001D25E5" w:rsidRPr="001D25E5">
        <w:t xml:space="preserve"> percent remaining life depreciation rate are calculated</w:t>
      </w:r>
      <w:r w:rsidR="00504388" w:rsidRPr="00504388">
        <w:t xml:space="preserve"> for this account</w:t>
      </w:r>
      <w:r w:rsidR="001D25E5" w:rsidRPr="001D25E5">
        <w:t>.</w:t>
      </w:r>
    </w:p>
    <w:p w:rsidR="00BC0C3E" w:rsidRPr="00BC0C3E" w:rsidRDefault="00BC0C3E" w:rsidP="00ED5FB5">
      <w:pPr>
        <w:pStyle w:val="BodyText"/>
        <w:spacing w:after="0"/>
        <w:rPr>
          <w:rFonts w:ascii="Arial" w:hAnsi="Arial" w:cs="Arial"/>
          <w:b/>
          <w:bCs/>
          <w:i/>
          <w:kern w:val="32"/>
        </w:rPr>
      </w:pPr>
      <w:r w:rsidRPr="00BC0C3E">
        <w:rPr>
          <w:rFonts w:ascii="Arial" w:hAnsi="Arial" w:cs="Arial"/>
          <w:b/>
          <w:i/>
        </w:rPr>
        <w:t>Summary Schedules</w:t>
      </w:r>
    </w:p>
    <w:p w:rsidR="00715871" w:rsidRDefault="008619E5" w:rsidP="00ED5FB5">
      <w:pPr>
        <w:pStyle w:val="IssueHeading"/>
        <w:spacing w:after="0"/>
        <w:rPr>
          <w:vanish/>
          <w:specVanish/>
        </w:rPr>
      </w:pPr>
      <w:r w:rsidRPr="00BC0C3E">
        <w:rPr>
          <w:rStyle w:val="BodyTextChar"/>
          <w:rFonts w:ascii="Times New Roman" w:hAnsi="Times New Roman" w:cs="Times New Roman"/>
          <w:b w:val="0"/>
          <w:i w:val="0"/>
        </w:rPr>
        <w:t xml:space="preserve">Complete tabulations of staff’s </w:t>
      </w:r>
      <w:r w:rsidR="001D25E5" w:rsidRPr="00BC0C3E">
        <w:rPr>
          <w:rStyle w:val="BodyTextChar"/>
          <w:rFonts w:ascii="Times New Roman" w:hAnsi="Times New Roman" w:cs="Times New Roman"/>
          <w:b w:val="0"/>
          <w:i w:val="0"/>
        </w:rPr>
        <w:t>depreciation parameter</w:t>
      </w:r>
      <w:r w:rsidR="00F2298B">
        <w:rPr>
          <w:rStyle w:val="BodyTextChar"/>
          <w:rFonts w:ascii="Times New Roman" w:hAnsi="Times New Roman" w:cs="Times New Roman"/>
          <w:b w:val="0"/>
          <w:i w:val="0"/>
        </w:rPr>
        <w:t xml:space="preserve"> and rate</w:t>
      </w:r>
      <w:r w:rsidR="001D25E5" w:rsidRPr="00BC0C3E">
        <w:rPr>
          <w:rStyle w:val="BodyTextChar"/>
          <w:rFonts w:ascii="Times New Roman" w:hAnsi="Times New Roman" w:cs="Times New Roman"/>
          <w:b w:val="0"/>
          <w:i w:val="0"/>
        </w:rPr>
        <w:t xml:space="preserve"> recommendations</w:t>
      </w:r>
      <w:r w:rsidR="00F2298B">
        <w:rPr>
          <w:rStyle w:val="BodyTextChar"/>
          <w:rFonts w:ascii="Times New Roman" w:hAnsi="Times New Roman" w:cs="Times New Roman"/>
          <w:b w:val="0"/>
          <w:i w:val="0"/>
        </w:rPr>
        <w:t xml:space="preserve">, as well as annual </w:t>
      </w:r>
      <w:r w:rsidR="00BC0C3E">
        <w:rPr>
          <w:rStyle w:val="BodyTextChar"/>
          <w:rFonts w:ascii="Times New Roman" w:hAnsi="Times New Roman" w:cs="Times New Roman"/>
          <w:b w:val="0"/>
          <w:i w:val="0"/>
        </w:rPr>
        <w:t xml:space="preserve">expense comparisons </w:t>
      </w:r>
      <w:r w:rsidR="00C93959">
        <w:rPr>
          <w:rStyle w:val="BodyTextChar"/>
          <w:rFonts w:ascii="Times New Roman" w:hAnsi="Times New Roman" w:cs="Times New Roman"/>
          <w:b w:val="0"/>
          <w:i w:val="0"/>
        </w:rPr>
        <w:t>to</w:t>
      </w:r>
      <w:r w:rsidRPr="00BC0C3E">
        <w:rPr>
          <w:rStyle w:val="BodyTextChar"/>
          <w:rFonts w:ascii="Times New Roman" w:hAnsi="Times New Roman" w:cs="Times New Roman"/>
          <w:b w:val="0"/>
          <w:i w:val="0"/>
        </w:rPr>
        <w:t xml:space="preserve"> St. Joe’s currentl</w:t>
      </w:r>
      <w:r w:rsidR="00BC0C3E">
        <w:rPr>
          <w:rStyle w:val="BodyTextChar"/>
          <w:rFonts w:ascii="Times New Roman" w:hAnsi="Times New Roman" w:cs="Times New Roman"/>
          <w:b w:val="0"/>
          <w:i w:val="0"/>
        </w:rPr>
        <w:t>y-approved depreciation rates a</w:t>
      </w:r>
      <w:r w:rsidR="005A5F4A">
        <w:rPr>
          <w:rStyle w:val="BodyTextChar"/>
          <w:rFonts w:ascii="Times New Roman" w:hAnsi="Times New Roman" w:cs="Times New Roman"/>
          <w:b w:val="0"/>
          <w:i w:val="0"/>
        </w:rPr>
        <w:t>re contained i</w:t>
      </w:r>
      <w:r w:rsidRPr="00BC0C3E">
        <w:rPr>
          <w:rStyle w:val="BodyTextChar"/>
          <w:rFonts w:ascii="Times New Roman" w:hAnsi="Times New Roman" w:cs="Times New Roman"/>
          <w:b w:val="0"/>
          <w:i w:val="0"/>
        </w:rPr>
        <w:t xml:space="preserve">n Attachments A and B </w:t>
      </w:r>
      <w:r w:rsidR="00DB1426">
        <w:rPr>
          <w:rStyle w:val="BodyTextChar"/>
          <w:rFonts w:ascii="Times New Roman" w:hAnsi="Times New Roman" w:cs="Times New Roman"/>
          <w:b w:val="0"/>
          <w:i w:val="0"/>
        </w:rPr>
        <w:t>to</w:t>
      </w:r>
      <w:r w:rsidR="001D25E5" w:rsidRPr="00BC0C3E">
        <w:rPr>
          <w:rStyle w:val="BodyTextChar"/>
          <w:rFonts w:ascii="Times New Roman" w:hAnsi="Times New Roman" w:cs="Times New Roman"/>
          <w:b w:val="0"/>
          <w:i w:val="0"/>
        </w:rPr>
        <w:t xml:space="preserve"> this recommendation</w:t>
      </w:r>
      <w:r w:rsidRPr="00BC0C3E">
        <w:rPr>
          <w:rStyle w:val="BodyTextChar"/>
          <w:rFonts w:ascii="Times New Roman" w:hAnsi="Times New Roman" w:cs="Times New Roman"/>
          <w:b w:val="0"/>
          <w:i w:val="0"/>
        </w:rPr>
        <w:t xml:space="preserve">. </w:t>
      </w:r>
      <w:r w:rsidR="00715871" w:rsidRPr="00CA0E71">
        <w:br w:type="page"/>
      </w:r>
      <w:r w:rsidR="00715871" w:rsidRPr="006700E8">
        <w:t xml:space="preserve">Issue </w:t>
      </w:r>
      <w:r w:rsidR="00883597">
        <w:fldChar w:fldCharType="begin"/>
      </w:r>
      <w:r w:rsidR="00883597">
        <w:instrText xml:space="preserve"> SEQ Issue \* MERGEFORMAT </w:instrText>
      </w:r>
      <w:r w:rsidR="00883597">
        <w:fldChar w:fldCharType="separate"/>
      </w:r>
      <w:r w:rsidR="00BD111B">
        <w:rPr>
          <w:noProof/>
        </w:rPr>
        <w:t>4</w:t>
      </w:r>
      <w:r w:rsidR="00883597">
        <w:rPr>
          <w:noProof/>
        </w:rPr>
        <w:fldChar w:fldCharType="end"/>
      </w:r>
      <w:r w:rsidR="00715871" w:rsidRPr="006700E8">
        <w:t>:</w:t>
      </w:r>
      <w:r w:rsidR="00715871">
        <w:fldChar w:fldCharType="begin"/>
      </w:r>
      <w:r w:rsidR="00715871">
        <w:instrText xml:space="preserve"> TC "</w:instrText>
      </w:r>
      <w:r w:rsidR="00715871">
        <w:fldChar w:fldCharType="begin"/>
      </w:r>
      <w:r w:rsidR="00715871">
        <w:instrText xml:space="preserve"> SEQ issue \c </w:instrText>
      </w:r>
      <w:r w:rsidR="00715871">
        <w:fldChar w:fldCharType="separate"/>
      </w:r>
      <w:r w:rsidR="00BD111B">
        <w:rPr>
          <w:noProof/>
        </w:rPr>
        <w:instrText>4</w:instrText>
      </w:r>
      <w:r w:rsidR="00715871">
        <w:fldChar w:fldCharType="end"/>
      </w:r>
      <w:r w:rsidR="00715871">
        <w:tab/>
        <w:instrText xml:space="preserve">(Cicchetti)" \l 1 </w:instrText>
      </w:r>
      <w:r w:rsidR="00715871">
        <w:fldChar w:fldCharType="end"/>
      </w:r>
      <w:r w:rsidR="00715871">
        <w:t> </w:t>
      </w:r>
    </w:p>
    <w:p w:rsidR="00715871" w:rsidRDefault="00715871">
      <w:pPr>
        <w:pStyle w:val="BodyText"/>
      </w:pPr>
      <w:r>
        <w:t>Should the current amortization of investment tax credits (ITCs) and flow back of excess deferred income taxes (EDITs) be revised to reflect the approved depreciation rates and amortization schedules?</w:t>
      </w:r>
    </w:p>
    <w:p w:rsidR="00715871" w:rsidRPr="004C3641" w:rsidRDefault="00715871">
      <w:pPr>
        <w:pStyle w:val="IssueSubsectionHeading"/>
        <w:rPr>
          <w:vanish/>
          <w:specVanish/>
        </w:rPr>
      </w:pPr>
      <w:r w:rsidRPr="004C3641">
        <w:t>Recommendation: </w:t>
      </w:r>
    </w:p>
    <w:p w:rsidR="00715871" w:rsidRDefault="00360DD6">
      <w:pPr>
        <w:pStyle w:val="BodyText"/>
      </w:pPr>
      <w:r w:rsidRPr="00360DD6">
        <w:t xml:space="preserve">Yes. The current amortization of ITCs should be revised to match the actual recovery periods for the related property. The </w:t>
      </w:r>
      <w:r w:rsidR="007F0798">
        <w:t>Company</w:t>
      </w:r>
      <w:r w:rsidRPr="00360DD6">
        <w:t xml:space="preserve"> should file detailed calculations of the revised ITC amortization at the same time it files its earnings surveillance report covering</w:t>
      </w:r>
      <w:r w:rsidR="00673E6C">
        <w:t xml:space="preserve"> the </w:t>
      </w:r>
      <w:r w:rsidRPr="00360DD6">
        <w:t>period ending Dece</w:t>
      </w:r>
      <w:r w:rsidR="00673E6C">
        <w:t>mber 31, 2018, as specified in R</w:t>
      </w:r>
      <w:r w:rsidRPr="00360DD6">
        <w:t>u</w:t>
      </w:r>
      <w:r>
        <w:t>le 27-7.1352, F.A.C.</w:t>
      </w:r>
      <w:r w:rsidR="00715871">
        <w:t xml:space="preserve"> (Cicchetti)</w:t>
      </w:r>
    </w:p>
    <w:p w:rsidR="00715871" w:rsidRPr="004C3641" w:rsidRDefault="00715871">
      <w:pPr>
        <w:pStyle w:val="IssueSubsectionHeading"/>
        <w:rPr>
          <w:vanish/>
          <w:specVanish/>
        </w:rPr>
      </w:pPr>
      <w:r w:rsidRPr="004C3641">
        <w:t>Staff Analysis: </w:t>
      </w:r>
    </w:p>
    <w:p w:rsidR="00360DD6" w:rsidRDefault="00360DD6" w:rsidP="00360DD6">
      <w:pPr>
        <w:jc w:val="both"/>
      </w:pPr>
      <w:r w:rsidRPr="000332B6">
        <w:t>In Issue 2, staff recommended approval of revised dep</w:t>
      </w:r>
      <w:r w:rsidR="007F0798">
        <w:t>reciation rates for the Company</w:t>
      </w:r>
      <w:r w:rsidRPr="000332B6">
        <w:t xml:space="preserve"> to be effective</w:t>
      </w:r>
      <w:r>
        <w:t xml:space="preserve"> January 1, 2018</w:t>
      </w:r>
      <w:r w:rsidRPr="000332B6">
        <w:t>, which reflect changes to most accounts’ remaining lives</w:t>
      </w:r>
      <w:r>
        <w:t xml:space="preserve"> to be effective January 1, 2018</w:t>
      </w:r>
      <w:r w:rsidRPr="000332B6">
        <w:t>. Revising a utility</w:t>
      </w:r>
      <w:r w:rsidR="00561EEE" w:rsidRPr="00561EEE">
        <w:t>’</w:t>
      </w:r>
      <w:r w:rsidRPr="000332B6">
        <w:t>s book depreciation lives generally results in a change in its rate of ITC amo</w:t>
      </w:r>
      <w:r w:rsidRPr="00E94BC0">
        <w:t>rtization in order to comply with the normalization requirements of the Internal</w:t>
      </w:r>
      <w:r>
        <w:t xml:space="preserve"> Revenue Code (IRC or Code) set forth in </w:t>
      </w:r>
      <w:r w:rsidR="00ED5FB5">
        <w:t>S</w:t>
      </w:r>
      <w:r>
        <w:t>ections 168(f)(2) and (i)</w:t>
      </w:r>
      <w:r w:rsidRPr="00486365">
        <w:t>(9),</w:t>
      </w:r>
      <w:r w:rsidRPr="00486365">
        <w:rPr>
          <w:vertAlign w:val="superscript"/>
        </w:rPr>
        <w:footnoteReference w:id="18"/>
      </w:r>
      <w:r w:rsidRPr="00486365">
        <w:t xml:space="preserve"> former I</w:t>
      </w:r>
      <w:r>
        <w:t xml:space="preserve">RC </w:t>
      </w:r>
      <w:r w:rsidR="00ED5FB5">
        <w:t>S</w:t>
      </w:r>
      <w:r>
        <w:t>ection 167(l),</w:t>
      </w:r>
      <w:r w:rsidRPr="0025771A">
        <w:rPr>
          <w:vertAlign w:val="superscript"/>
        </w:rPr>
        <w:t>[</w:t>
      </w:r>
      <w:r>
        <w:rPr>
          <w:rStyle w:val="FootnoteReference"/>
        </w:rPr>
        <w:footnoteReference w:id="19"/>
      </w:r>
      <w:r w:rsidRPr="00BB30EA">
        <w:rPr>
          <w:vertAlign w:val="superscript"/>
        </w:rPr>
        <w:t>,</w:t>
      </w:r>
      <w:r>
        <w:rPr>
          <w:vertAlign w:val="superscript"/>
        </w:rPr>
        <w:t xml:space="preserve"> </w:t>
      </w:r>
      <w:r>
        <w:rPr>
          <w:rStyle w:val="FootnoteReference"/>
        </w:rPr>
        <w:footnoteReference w:id="20"/>
      </w:r>
      <w:r>
        <w:rPr>
          <w:vertAlign w:val="superscript"/>
        </w:rPr>
        <w:t>]</w:t>
      </w:r>
      <w:r w:rsidRPr="00BB30EA">
        <w:t xml:space="preserve"> </w:t>
      </w:r>
      <w:r>
        <w:t>former IRC Section 46(f),</w:t>
      </w:r>
      <w:r w:rsidRPr="0025771A">
        <w:rPr>
          <w:vertAlign w:val="superscript"/>
        </w:rPr>
        <w:t>[</w:t>
      </w:r>
      <w:r>
        <w:rPr>
          <w:rStyle w:val="FootnoteReference"/>
        </w:rPr>
        <w:footnoteReference w:id="21"/>
      </w:r>
      <w:r w:rsidRPr="002B7B2A">
        <w:rPr>
          <w:vertAlign w:val="superscript"/>
        </w:rPr>
        <w:t>,</w:t>
      </w:r>
      <w:r>
        <w:rPr>
          <w:rStyle w:val="FootnoteReference"/>
        </w:rPr>
        <w:footnoteReference w:id="22"/>
      </w:r>
      <w:r>
        <w:rPr>
          <w:vertAlign w:val="superscript"/>
        </w:rPr>
        <w:t>]</w:t>
      </w:r>
      <w:r>
        <w:t xml:space="preserve"> Federal Tax Regulations under the Code sections,</w:t>
      </w:r>
      <w:r>
        <w:rPr>
          <w:rStyle w:val="FootnoteReference"/>
        </w:rPr>
        <w:footnoteReference w:id="23"/>
      </w:r>
      <w:r>
        <w:t xml:space="preserve"> and </w:t>
      </w:r>
      <w:r w:rsidR="00ED5FB5">
        <w:t>S</w:t>
      </w:r>
      <w:r>
        <w:t>ection 203(e) of the Tax Reform Act of 1986 (the Act).</w:t>
      </w:r>
      <w:r>
        <w:rPr>
          <w:rStyle w:val="FootnoteReference"/>
        </w:rPr>
        <w:footnoteReference w:id="24"/>
      </w:r>
    </w:p>
    <w:p w:rsidR="00360DD6" w:rsidRDefault="00360DD6" w:rsidP="00360DD6">
      <w:pPr>
        <w:jc w:val="both"/>
      </w:pPr>
    </w:p>
    <w:p w:rsidR="00360DD6" w:rsidRDefault="00360DD6" w:rsidP="00360DD6">
      <w:pPr>
        <w:jc w:val="both"/>
      </w:pPr>
      <w:r>
        <w:t>Staff, the Internal Revenue Service (IRS), and independent outside auditors</w:t>
      </w:r>
      <w:r w:rsidR="00504388">
        <w:t xml:space="preserve"> examine</w:t>
      </w:r>
      <w:r>
        <w:t xml:space="preserve"> a </w:t>
      </w:r>
      <w:r w:rsidR="00BD111B">
        <w:t>c</w:t>
      </w:r>
      <w:r w:rsidR="007F0798">
        <w:t>ompany</w:t>
      </w:r>
      <w:r w:rsidR="00561EEE" w:rsidRPr="00561EEE">
        <w:t>’</w:t>
      </w:r>
      <w:r>
        <w:t xml:space="preserve">s books and records, and the orders and rules of the jurisdictional regulatory authorities to determine if the books and records are maintained in the appropriate manner. The books are also reviewed to determine if they are in compliance with the regulatory guidelines </w:t>
      </w:r>
      <w:r w:rsidR="00504388">
        <w:t>regarding</w:t>
      </w:r>
      <w:r>
        <w:t xml:space="preserve"> normalization.</w:t>
      </w:r>
    </w:p>
    <w:p w:rsidR="00360DD6" w:rsidRDefault="00360DD6" w:rsidP="00360DD6">
      <w:pPr>
        <w:jc w:val="both"/>
      </w:pPr>
    </w:p>
    <w:p w:rsidR="00360DD6" w:rsidRPr="00D52EE1" w:rsidRDefault="00360DD6" w:rsidP="00360DD6">
      <w:pPr>
        <w:jc w:val="both"/>
        <w:rPr>
          <w:vertAlign w:val="superscript"/>
        </w:rPr>
      </w:pPr>
      <w:r>
        <w:t>Former IRC Section 46(f</w:t>
      </w:r>
      <w:proofErr w:type="gramStart"/>
      <w:r>
        <w:t>)(</w:t>
      </w:r>
      <w:proofErr w:type="gramEnd"/>
      <w:r>
        <w:t>6)</w:t>
      </w:r>
      <w:r>
        <w:rPr>
          <w:bCs/>
        </w:rPr>
        <w:t xml:space="preserve"> of the Code</w:t>
      </w:r>
      <w:r>
        <w:rPr>
          <w:b/>
          <w:bCs/>
        </w:rPr>
        <w:t xml:space="preserve"> </w:t>
      </w:r>
      <w:r>
        <w:t>indicated that the amortization of ITC should be determined by the period of time actually used in computing depreciation expense for ratemaking purposes and on the regulated books of the utility.</w:t>
      </w:r>
      <w:r>
        <w:rPr>
          <w:rStyle w:val="FootnoteReference"/>
        </w:rPr>
        <w:footnoteReference w:id="25"/>
      </w:r>
      <w:r>
        <w:t xml:space="preserve"> While, Section 46(f</w:t>
      </w:r>
      <w:proofErr w:type="gramStart"/>
      <w:r>
        <w:t>)(</w:t>
      </w:r>
      <w:proofErr w:type="gramEnd"/>
      <w:r>
        <w:t xml:space="preserve">6) was repealed, under IRC Section 50(d)(2), the terms of former IRC Section 46(f)(6) remain applicable to public utility property for which a regulated utility previously claimed ITCs. </w:t>
      </w:r>
      <w:r w:rsidR="00BD111B">
        <w:t>Because</w:t>
      </w:r>
      <w:r>
        <w:t xml:space="preserve"> staff is recommending changes to the </w:t>
      </w:r>
      <w:r w:rsidR="007F0798">
        <w:t>Company</w:t>
      </w:r>
      <w:r>
        <w:t>’s remaining lives, it is also important to change the amortization of ITCs to avoid violation of the pro</w:t>
      </w:r>
      <w:r w:rsidR="00504388">
        <w:t xml:space="preserve">visions of IRC </w:t>
      </w:r>
      <w:r w:rsidR="00ED5FB5">
        <w:t>S</w:t>
      </w:r>
      <w:r w:rsidR="00504388">
        <w:t>ection 50(d)(2)</w:t>
      </w:r>
      <w:r w:rsidRPr="0025771A">
        <w:t xml:space="preserve"> </w:t>
      </w:r>
      <w:r>
        <w:t xml:space="preserve">and its underlying Treasury Regulations. The consequence of an ITC normalization violation is a repayment of unamortized ITC balances to the IRS. </w:t>
      </w:r>
      <w:r w:rsidRPr="00AF5B64">
        <w:t>Therefore, staff recommends</w:t>
      </w:r>
      <w:r w:rsidR="00504388">
        <w:t xml:space="preserve"> that</w:t>
      </w:r>
      <w:r w:rsidRPr="00AF5B64">
        <w:t xml:space="preserve"> the current amortization of ITCs should be revised to match the actual recovery periods for the related property. The </w:t>
      </w:r>
      <w:r w:rsidR="007F0798">
        <w:t>Company</w:t>
      </w:r>
      <w:r w:rsidRPr="00AF5B64">
        <w:t xml:space="preserve"> should file detailed calculations of the revised ITC amortization at the same time it files its earnings surveillance report covering the period ending December 31, 2</w:t>
      </w:r>
      <w:r>
        <w:t>018, as specified in Rule 25-7.1352, F.A.C.</w:t>
      </w:r>
    </w:p>
    <w:p w:rsidR="00715871" w:rsidRDefault="00715871">
      <w:pPr>
        <w:pStyle w:val="BodyText"/>
      </w:pPr>
    </w:p>
    <w:p w:rsidR="00715871" w:rsidRDefault="00715871">
      <w:pPr>
        <w:pStyle w:val="IssueHeading"/>
        <w:rPr>
          <w:vanish/>
          <w:specVanish/>
        </w:rPr>
      </w:pPr>
      <w:r w:rsidRPr="004C3641">
        <w:rPr>
          <w:b w:val="0"/>
          <w:i w:val="0"/>
        </w:rPr>
        <w:br w:type="page"/>
      </w:r>
      <w:r w:rsidRPr="004C3641">
        <w:t xml:space="preserve">Issue </w:t>
      </w:r>
      <w:r w:rsidR="00883597">
        <w:fldChar w:fldCharType="begin"/>
      </w:r>
      <w:r w:rsidR="00883597">
        <w:instrText xml:space="preserve"> SEQ Issue \* MERGEFORMAT </w:instrText>
      </w:r>
      <w:r w:rsidR="00883597">
        <w:fldChar w:fldCharType="separate"/>
      </w:r>
      <w:r w:rsidR="00BD111B">
        <w:rPr>
          <w:noProof/>
        </w:rPr>
        <w:t>5</w:t>
      </w:r>
      <w:r w:rsidR="0088359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D111B">
        <w:rPr>
          <w:noProof/>
        </w:rPr>
        <w:instrText>5</w:instrText>
      </w:r>
      <w:r>
        <w:fldChar w:fldCharType="end"/>
      </w:r>
      <w:r>
        <w:tab/>
        <w:instrText xml:space="preserve">(Schrader)" \l 1 </w:instrText>
      </w:r>
      <w:r>
        <w:fldChar w:fldCharType="end"/>
      </w:r>
      <w:r>
        <w:t> </w:t>
      </w:r>
    </w:p>
    <w:p w:rsidR="00715871" w:rsidRDefault="00715871">
      <w:pPr>
        <w:pStyle w:val="BodyText"/>
      </w:pPr>
      <w:r>
        <w:t>Should this docket be closed?</w:t>
      </w:r>
    </w:p>
    <w:p w:rsidR="00715871" w:rsidRPr="004C3641" w:rsidRDefault="00715871">
      <w:pPr>
        <w:pStyle w:val="IssueSubsectionHeading"/>
        <w:rPr>
          <w:vanish/>
          <w:specVanish/>
        </w:rPr>
      </w:pPr>
      <w:r w:rsidRPr="004C3641">
        <w:t>Recommendation: </w:t>
      </w:r>
    </w:p>
    <w:p w:rsidR="00715871" w:rsidRDefault="00CA5B85">
      <w:pPr>
        <w:pStyle w:val="BodyText"/>
      </w:pPr>
      <w:r w:rsidRPr="00CA5B85">
        <w:t>If no person whose substantial interests are affected by the proposed agency action files a protest within 21 days of the issuance of the order, this docket should be closed upon the is</w:t>
      </w:r>
      <w:r>
        <w:t>suance of a consummating order.</w:t>
      </w:r>
      <w:r w:rsidR="00715871">
        <w:t xml:space="preserve"> (Schrader)</w:t>
      </w:r>
    </w:p>
    <w:p w:rsidR="00715871" w:rsidRPr="004C3641" w:rsidRDefault="00715871">
      <w:pPr>
        <w:pStyle w:val="IssueSubsectionHeading"/>
        <w:rPr>
          <w:vanish/>
          <w:specVanish/>
        </w:rPr>
      </w:pPr>
      <w:r w:rsidRPr="004C3641">
        <w:t>Staff Analysis: </w:t>
      </w:r>
    </w:p>
    <w:p w:rsidR="00715871" w:rsidRDefault="00CA5B85">
      <w:pPr>
        <w:pStyle w:val="BodyText"/>
      </w:pPr>
      <w:r w:rsidRPr="00CA5B85">
        <w:t>At the conclusion of the protest period, if no protest is filed, this docket should be closed upon the issuance of a consummating order.</w:t>
      </w:r>
    </w:p>
    <w:p w:rsidR="009501E0" w:rsidRDefault="009501E0" w:rsidP="00E275D8">
      <w:pPr>
        <w:pStyle w:val="BodyText"/>
        <w:sectPr w:rsidR="009501E0"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tbl>
      <w:tblPr>
        <w:tblW w:w="9672" w:type="dxa"/>
        <w:jc w:val="center"/>
        <w:tblLook w:val="04A0" w:firstRow="1" w:lastRow="0" w:firstColumn="1" w:lastColumn="0" w:noHBand="0" w:noVBand="1"/>
      </w:tblPr>
      <w:tblGrid>
        <w:gridCol w:w="894"/>
        <w:gridCol w:w="1927"/>
        <w:gridCol w:w="782"/>
        <w:gridCol w:w="850"/>
        <w:gridCol w:w="1094"/>
        <w:gridCol w:w="266"/>
        <w:gridCol w:w="820"/>
        <w:gridCol w:w="861"/>
        <w:gridCol w:w="316"/>
        <w:gridCol w:w="850"/>
        <w:gridCol w:w="1094"/>
      </w:tblGrid>
      <w:tr w:rsidR="009501E0" w:rsidTr="00EF46F1">
        <w:trPr>
          <w:trHeight w:val="276"/>
          <w:jc w:val="center"/>
        </w:trPr>
        <w:tc>
          <w:tcPr>
            <w:tcW w:w="9672" w:type="dxa"/>
            <w:gridSpan w:val="11"/>
            <w:tcBorders>
              <w:top w:val="nil"/>
              <w:left w:val="nil"/>
              <w:bottom w:val="single" w:sz="8" w:space="0" w:color="auto"/>
              <w:right w:val="nil"/>
            </w:tcBorders>
            <w:shd w:val="clear" w:color="000000" w:fill="FFFFFF"/>
            <w:noWrap/>
            <w:vAlign w:val="bottom"/>
            <w:hideMark/>
          </w:tcPr>
          <w:p w:rsidR="009501E0" w:rsidRDefault="009501E0">
            <w:pPr>
              <w:jc w:val="right"/>
              <w:rPr>
                <w:sz w:val="20"/>
                <w:szCs w:val="20"/>
              </w:rPr>
            </w:pPr>
          </w:p>
        </w:tc>
      </w:tr>
      <w:tr w:rsidR="009501E0" w:rsidTr="00EF46F1">
        <w:trPr>
          <w:trHeight w:val="264"/>
          <w:jc w:val="center"/>
        </w:trPr>
        <w:tc>
          <w:tcPr>
            <w:tcW w:w="9672" w:type="dxa"/>
            <w:gridSpan w:val="11"/>
            <w:tcBorders>
              <w:top w:val="single" w:sz="8" w:space="0" w:color="auto"/>
              <w:left w:val="single" w:sz="8" w:space="0" w:color="auto"/>
              <w:bottom w:val="nil"/>
              <w:right w:val="single" w:sz="8" w:space="0" w:color="000000"/>
            </w:tcBorders>
            <w:shd w:val="clear" w:color="000000" w:fill="C0C0C0"/>
            <w:noWrap/>
            <w:vAlign w:val="bottom"/>
            <w:hideMark/>
          </w:tcPr>
          <w:p w:rsidR="009501E0" w:rsidRDefault="009501E0">
            <w:pPr>
              <w:jc w:val="center"/>
              <w:rPr>
                <w:b/>
                <w:bCs/>
                <w:sz w:val="20"/>
                <w:szCs w:val="20"/>
              </w:rPr>
            </w:pPr>
            <w:r>
              <w:rPr>
                <w:b/>
                <w:bCs/>
                <w:sz w:val="20"/>
                <w:szCs w:val="20"/>
              </w:rPr>
              <w:t>Comparison of Rates and Components</w:t>
            </w:r>
          </w:p>
        </w:tc>
      </w:tr>
      <w:tr w:rsidR="009501E0" w:rsidTr="00EF46F1">
        <w:trPr>
          <w:trHeight w:val="264"/>
          <w:jc w:val="center"/>
        </w:trPr>
        <w:tc>
          <w:tcPr>
            <w:tcW w:w="881" w:type="dxa"/>
            <w:tcBorders>
              <w:top w:val="nil"/>
              <w:left w:val="single" w:sz="8" w:space="0" w:color="auto"/>
              <w:bottom w:val="nil"/>
              <w:right w:val="nil"/>
            </w:tcBorders>
            <w:shd w:val="clear" w:color="000000" w:fill="C0C0C0"/>
            <w:noWrap/>
            <w:vAlign w:val="bottom"/>
            <w:hideMark/>
          </w:tcPr>
          <w:p w:rsidR="009501E0" w:rsidRDefault="009501E0">
            <w:pPr>
              <w:jc w:val="center"/>
              <w:rPr>
                <w:b/>
                <w:bCs/>
                <w:sz w:val="20"/>
                <w:szCs w:val="20"/>
              </w:rPr>
            </w:pPr>
            <w:r>
              <w:rPr>
                <w:b/>
                <w:bCs/>
                <w:sz w:val="20"/>
                <w:szCs w:val="20"/>
              </w:rPr>
              <w:t> </w:t>
            </w:r>
          </w:p>
        </w:tc>
        <w:tc>
          <w:tcPr>
            <w:tcW w:w="1927"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 </w:t>
            </w:r>
          </w:p>
        </w:tc>
        <w:tc>
          <w:tcPr>
            <w:tcW w:w="2699" w:type="dxa"/>
            <w:gridSpan w:val="3"/>
            <w:tcBorders>
              <w:top w:val="nil"/>
              <w:left w:val="nil"/>
              <w:bottom w:val="nil"/>
              <w:right w:val="nil"/>
            </w:tcBorders>
            <w:shd w:val="clear" w:color="000000" w:fill="C0C0C0"/>
            <w:noWrap/>
            <w:vAlign w:val="bottom"/>
            <w:hideMark/>
          </w:tcPr>
          <w:p w:rsidR="009501E0" w:rsidRDefault="009501E0">
            <w:pPr>
              <w:jc w:val="center"/>
              <w:rPr>
                <w:b/>
                <w:bCs/>
                <w:sz w:val="20"/>
                <w:szCs w:val="20"/>
              </w:rPr>
            </w:pPr>
            <w:r>
              <w:rPr>
                <w:b/>
                <w:bCs/>
                <w:sz w:val="20"/>
                <w:szCs w:val="20"/>
              </w:rPr>
              <w:t>Current¹</w:t>
            </w:r>
          </w:p>
        </w:tc>
        <w:tc>
          <w:tcPr>
            <w:tcW w:w="265"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 </w:t>
            </w:r>
          </w:p>
        </w:tc>
        <w:tc>
          <w:tcPr>
            <w:tcW w:w="3900" w:type="dxa"/>
            <w:gridSpan w:val="5"/>
            <w:tcBorders>
              <w:top w:val="nil"/>
              <w:left w:val="nil"/>
              <w:bottom w:val="nil"/>
              <w:right w:val="single" w:sz="8" w:space="0" w:color="000000"/>
            </w:tcBorders>
            <w:shd w:val="clear" w:color="000000" w:fill="C0C0C0"/>
            <w:noWrap/>
            <w:vAlign w:val="bottom"/>
            <w:hideMark/>
          </w:tcPr>
          <w:p w:rsidR="009501E0" w:rsidRDefault="009501E0">
            <w:pPr>
              <w:jc w:val="center"/>
              <w:rPr>
                <w:b/>
                <w:bCs/>
                <w:sz w:val="20"/>
                <w:szCs w:val="20"/>
              </w:rPr>
            </w:pPr>
            <w:r>
              <w:rPr>
                <w:b/>
                <w:bCs/>
                <w:sz w:val="20"/>
                <w:szCs w:val="20"/>
              </w:rPr>
              <w:t>Staff Recommended</w:t>
            </w:r>
          </w:p>
        </w:tc>
      </w:tr>
      <w:tr w:rsidR="00EF46F1" w:rsidTr="00EF46F1">
        <w:trPr>
          <w:trHeight w:val="264"/>
          <w:jc w:val="center"/>
        </w:trPr>
        <w:tc>
          <w:tcPr>
            <w:tcW w:w="881" w:type="dxa"/>
            <w:tcBorders>
              <w:top w:val="nil"/>
              <w:left w:val="single" w:sz="8" w:space="0" w:color="auto"/>
              <w:bottom w:val="nil"/>
              <w:right w:val="nil"/>
            </w:tcBorders>
            <w:shd w:val="clear" w:color="000000" w:fill="C0C0C0"/>
            <w:noWrap/>
            <w:vAlign w:val="bottom"/>
            <w:hideMark/>
          </w:tcPr>
          <w:p w:rsidR="009501E0" w:rsidRDefault="009501E0">
            <w:pPr>
              <w:jc w:val="center"/>
              <w:rPr>
                <w:sz w:val="20"/>
                <w:szCs w:val="20"/>
              </w:rPr>
            </w:pPr>
            <w:r>
              <w:rPr>
                <w:sz w:val="20"/>
                <w:szCs w:val="20"/>
              </w:rPr>
              <w:t>Account</w:t>
            </w:r>
          </w:p>
        </w:tc>
        <w:tc>
          <w:tcPr>
            <w:tcW w:w="1927" w:type="dxa"/>
            <w:vMerge w:val="restart"/>
            <w:tcBorders>
              <w:top w:val="nil"/>
              <w:left w:val="nil"/>
              <w:bottom w:val="nil"/>
              <w:right w:val="nil"/>
            </w:tcBorders>
            <w:shd w:val="clear" w:color="000000" w:fill="C0C0C0"/>
            <w:noWrap/>
            <w:vAlign w:val="center"/>
            <w:hideMark/>
          </w:tcPr>
          <w:p w:rsidR="009501E0" w:rsidRDefault="009501E0">
            <w:pPr>
              <w:jc w:val="center"/>
              <w:rPr>
                <w:sz w:val="20"/>
                <w:szCs w:val="20"/>
              </w:rPr>
            </w:pPr>
            <w:r>
              <w:rPr>
                <w:sz w:val="20"/>
                <w:szCs w:val="20"/>
              </w:rPr>
              <w:t>Account Title</w:t>
            </w:r>
          </w:p>
        </w:tc>
        <w:tc>
          <w:tcPr>
            <w:tcW w:w="782"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Ave.</w:t>
            </w:r>
          </w:p>
        </w:tc>
        <w:tc>
          <w:tcPr>
            <w:tcW w:w="839"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Future</w:t>
            </w:r>
          </w:p>
        </w:tc>
        <w:tc>
          <w:tcPr>
            <w:tcW w:w="1078"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 xml:space="preserve">Remaining </w:t>
            </w:r>
          </w:p>
        </w:tc>
        <w:tc>
          <w:tcPr>
            <w:tcW w:w="265" w:type="dxa"/>
            <w:tcBorders>
              <w:top w:val="nil"/>
              <w:left w:val="nil"/>
              <w:bottom w:val="nil"/>
              <w:right w:val="nil"/>
            </w:tcBorders>
            <w:shd w:val="clear" w:color="000000" w:fill="C0C0C0"/>
            <w:noWrap/>
            <w:vAlign w:val="bottom"/>
            <w:hideMark/>
          </w:tcPr>
          <w:p w:rsidR="009501E0" w:rsidRDefault="009501E0">
            <w:pPr>
              <w:rPr>
                <w:sz w:val="20"/>
                <w:szCs w:val="20"/>
              </w:rPr>
            </w:pPr>
            <w:r>
              <w:rPr>
                <w:sz w:val="20"/>
                <w:szCs w:val="20"/>
              </w:rPr>
              <w:t> </w:t>
            </w:r>
          </w:p>
        </w:tc>
        <w:tc>
          <w:tcPr>
            <w:tcW w:w="820"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Ave.</w:t>
            </w:r>
          </w:p>
        </w:tc>
        <w:tc>
          <w:tcPr>
            <w:tcW w:w="849"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Reserve</w:t>
            </w:r>
          </w:p>
        </w:tc>
        <w:tc>
          <w:tcPr>
            <w:tcW w:w="314"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 </w:t>
            </w:r>
          </w:p>
        </w:tc>
        <w:tc>
          <w:tcPr>
            <w:tcW w:w="839"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Future</w:t>
            </w:r>
          </w:p>
        </w:tc>
        <w:tc>
          <w:tcPr>
            <w:tcW w:w="1078" w:type="dxa"/>
            <w:tcBorders>
              <w:top w:val="nil"/>
              <w:left w:val="nil"/>
              <w:bottom w:val="nil"/>
              <w:right w:val="single" w:sz="8" w:space="0" w:color="auto"/>
            </w:tcBorders>
            <w:shd w:val="clear" w:color="000000" w:fill="C0C0C0"/>
            <w:noWrap/>
            <w:vAlign w:val="bottom"/>
            <w:hideMark/>
          </w:tcPr>
          <w:p w:rsidR="009501E0" w:rsidRDefault="009501E0">
            <w:pPr>
              <w:jc w:val="center"/>
              <w:rPr>
                <w:sz w:val="20"/>
                <w:szCs w:val="20"/>
              </w:rPr>
            </w:pPr>
            <w:r>
              <w:rPr>
                <w:sz w:val="20"/>
                <w:szCs w:val="20"/>
              </w:rPr>
              <w:t xml:space="preserve">Remaining </w:t>
            </w:r>
          </w:p>
        </w:tc>
      </w:tr>
      <w:tr w:rsidR="00EF46F1" w:rsidTr="00EF46F1">
        <w:trPr>
          <w:trHeight w:val="264"/>
          <w:jc w:val="center"/>
        </w:trPr>
        <w:tc>
          <w:tcPr>
            <w:tcW w:w="881" w:type="dxa"/>
            <w:tcBorders>
              <w:top w:val="nil"/>
              <w:left w:val="single" w:sz="8" w:space="0" w:color="auto"/>
              <w:bottom w:val="nil"/>
              <w:right w:val="nil"/>
            </w:tcBorders>
            <w:shd w:val="clear" w:color="000000" w:fill="C0C0C0"/>
            <w:noWrap/>
            <w:vAlign w:val="bottom"/>
            <w:hideMark/>
          </w:tcPr>
          <w:p w:rsidR="009501E0" w:rsidRDefault="009501E0">
            <w:pPr>
              <w:jc w:val="center"/>
              <w:rPr>
                <w:sz w:val="20"/>
                <w:szCs w:val="20"/>
              </w:rPr>
            </w:pPr>
            <w:r>
              <w:rPr>
                <w:sz w:val="20"/>
                <w:szCs w:val="20"/>
              </w:rPr>
              <w:t>Number</w:t>
            </w:r>
          </w:p>
        </w:tc>
        <w:tc>
          <w:tcPr>
            <w:tcW w:w="1927" w:type="dxa"/>
            <w:vMerge/>
            <w:tcBorders>
              <w:top w:val="nil"/>
              <w:left w:val="nil"/>
              <w:bottom w:val="nil"/>
              <w:right w:val="nil"/>
            </w:tcBorders>
            <w:vAlign w:val="center"/>
            <w:hideMark/>
          </w:tcPr>
          <w:p w:rsidR="009501E0" w:rsidRDefault="009501E0">
            <w:pPr>
              <w:rPr>
                <w:sz w:val="20"/>
                <w:szCs w:val="20"/>
              </w:rPr>
            </w:pPr>
          </w:p>
        </w:tc>
        <w:tc>
          <w:tcPr>
            <w:tcW w:w="782"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Rem. Life</w:t>
            </w:r>
          </w:p>
        </w:tc>
        <w:tc>
          <w:tcPr>
            <w:tcW w:w="839"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Net Salvage</w:t>
            </w:r>
          </w:p>
        </w:tc>
        <w:tc>
          <w:tcPr>
            <w:tcW w:w="1078"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Life Rate</w:t>
            </w:r>
          </w:p>
        </w:tc>
        <w:tc>
          <w:tcPr>
            <w:tcW w:w="265" w:type="dxa"/>
            <w:tcBorders>
              <w:top w:val="nil"/>
              <w:left w:val="nil"/>
              <w:bottom w:val="nil"/>
              <w:right w:val="nil"/>
            </w:tcBorders>
            <w:shd w:val="clear" w:color="000000" w:fill="C0C0C0"/>
            <w:noWrap/>
            <w:vAlign w:val="bottom"/>
            <w:hideMark/>
          </w:tcPr>
          <w:p w:rsidR="009501E0" w:rsidRDefault="009501E0">
            <w:pPr>
              <w:rPr>
                <w:sz w:val="20"/>
                <w:szCs w:val="20"/>
              </w:rPr>
            </w:pPr>
            <w:r>
              <w:rPr>
                <w:sz w:val="20"/>
                <w:szCs w:val="20"/>
              </w:rPr>
              <w:t> </w:t>
            </w:r>
          </w:p>
        </w:tc>
        <w:tc>
          <w:tcPr>
            <w:tcW w:w="820"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Rem. Life</w:t>
            </w:r>
          </w:p>
        </w:tc>
        <w:tc>
          <w:tcPr>
            <w:tcW w:w="849" w:type="dxa"/>
            <w:tcBorders>
              <w:top w:val="nil"/>
              <w:left w:val="nil"/>
              <w:bottom w:val="nil"/>
              <w:right w:val="nil"/>
            </w:tcBorders>
            <w:shd w:val="clear" w:color="000000" w:fill="C0C0C0"/>
            <w:noWrap/>
            <w:vAlign w:val="bottom"/>
            <w:hideMark/>
          </w:tcPr>
          <w:p w:rsidR="009501E0" w:rsidRDefault="009501E0">
            <w:pPr>
              <w:rPr>
                <w:sz w:val="20"/>
                <w:szCs w:val="20"/>
              </w:rPr>
            </w:pPr>
            <w:r>
              <w:rPr>
                <w:sz w:val="20"/>
                <w:szCs w:val="20"/>
              </w:rPr>
              <w:t> </w:t>
            </w:r>
          </w:p>
        </w:tc>
        <w:tc>
          <w:tcPr>
            <w:tcW w:w="314"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 </w:t>
            </w:r>
          </w:p>
        </w:tc>
        <w:tc>
          <w:tcPr>
            <w:tcW w:w="839"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Net Salvage</w:t>
            </w:r>
          </w:p>
        </w:tc>
        <w:tc>
          <w:tcPr>
            <w:tcW w:w="1078" w:type="dxa"/>
            <w:tcBorders>
              <w:top w:val="nil"/>
              <w:left w:val="nil"/>
              <w:bottom w:val="nil"/>
              <w:right w:val="single" w:sz="8" w:space="0" w:color="auto"/>
            </w:tcBorders>
            <w:shd w:val="clear" w:color="000000" w:fill="C0C0C0"/>
            <w:noWrap/>
            <w:vAlign w:val="bottom"/>
            <w:hideMark/>
          </w:tcPr>
          <w:p w:rsidR="009501E0" w:rsidRDefault="009501E0">
            <w:pPr>
              <w:jc w:val="center"/>
              <w:rPr>
                <w:sz w:val="20"/>
                <w:szCs w:val="20"/>
              </w:rPr>
            </w:pPr>
            <w:r>
              <w:rPr>
                <w:sz w:val="20"/>
                <w:szCs w:val="20"/>
              </w:rPr>
              <w:t>Life Rate</w:t>
            </w:r>
          </w:p>
        </w:tc>
      </w:tr>
      <w:tr w:rsidR="00EF46F1" w:rsidTr="00EF46F1">
        <w:trPr>
          <w:trHeight w:val="300"/>
          <w:jc w:val="center"/>
        </w:trPr>
        <w:tc>
          <w:tcPr>
            <w:tcW w:w="2808" w:type="dxa"/>
            <w:gridSpan w:val="2"/>
            <w:tcBorders>
              <w:top w:val="nil"/>
              <w:left w:val="single" w:sz="8" w:space="0" w:color="auto"/>
              <w:bottom w:val="single" w:sz="8" w:space="0" w:color="auto"/>
              <w:right w:val="nil"/>
            </w:tcBorders>
            <w:shd w:val="clear" w:color="000000" w:fill="C0C0C0"/>
            <w:noWrap/>
            <w:vAlign w:val="bottom"/>
            <w:hideMark/>
          </w:tcPr>
          <w:p w:rsidR="009501E0" w:rsidRDefault="009501E0">
            <w:pPr>
              <w:rPr>
                <w:sz w:val="20"/>
                <w:szCs w:val="20"/>
              </w:rPr>
            </w:pPr>
            <w:r>
              <w:rPr>
                <w:sz w:val="20"/>
                <w:szCs w:val="20"/>
              </w:rPr>
              <w:t> </w:t>
            </w:r>
          </w:p>
        </w:tc>
        <w:tc>
          <w:tcPr>
            <w:tcW w:w="782"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(yrs.)</w:t>
            </w:r>
          </w:p>
        </w:tc>
        <w:tc>
          <w:tcPr>
            <w:tcW w:w="839"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w:t>
            </w:r>
          </w:p>
        </w:tc>
        <w:tc>
          <w:tcPr>
            <w:tcW w:w="1078"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w:t>
            </w:r>
          </w:p>
        </w:tc>
        <w:tc>
          <w:tcPr>
            <w:tcW w:w="265" w:type="dxa"/>
            <w:tcBorders>
              <w:top w:val="nil"/>
              <w:left w:val="nil"/>
              <w:bottom w:val="single" w:sz="8" w:space="0" w:color="auto"/>
              <w:right w:val="nil"/>
            </w:tcBorders>
            <w:shd w:val="clear" w:color="000000" w:fill="C0C0C0"/>
            <w:noWrap/>
            <w:vAlign w:val="bottom"/>
            <w:hideMark/>
          </w:tcPr>
          <w:p w:rsidR="009501E0" w:rsidRDefault="009501E0">
            <w:pPr>
              <w:rPr>
                <w:sz w:val="20"/>
                <w:szCs w:val="20"/>
              </w:rPr>
            </w:pPr>
            <w:r>
              <w:rPr>
                <w:sz w:val="20"/>
                <w:szCs w:val="20"/>
              </w:rPr>
              <w:t> </w:t>
            </w:r>
          </w:p>
        </w:tc>
        <w:tc>
          <w:tcPr>
            <w:tcW w:w="820"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(yrs.)</w:t>
            </w:r>
          </w:p>
        </w:tc>
        <w:tc>
          <w:tcPr>
            <w:tcW w:w="849"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w:t>
            </w:r>
          </w:p>
        </w:tc>
        <w:tc>
          <w:tcPr>
            <w:tcW w:w="314"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839"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w:t>
            </w:r>
          </w:p>
        </w:tc>
        <w:tc>
          <w:tcPr>
            <w:tcW w:w="1078" w:type="dxa"/>
            <w:tcBorders>
              <w:top w:val="nil"/>
              <w:left w:val="nil"/>
              <w:bottom w:val="single" w:sz="8" w:space="0" w:color="auto"/>
              <w:right w:val="single" w:sz="8" w:space="0" w:color="auto"/>
            </w:tcBorders>
            <w:shd w:val="clear" w:color="000000" w:fill="C0C0C0"/>
            <w:noWrap/>
            <w:vAlign w:val="bottom"/>
            <w:hideMark/>
          </w:tcPr>
          <w:p w:rsidR="009501E0" w:rsidRDefault="009501E0">
            <w:pPr>
              <w:jc w:val="center"/>
              <w:rPr>
                <w:sz w:val="20"/>
                <w:szCs w:val="20"/>
              </w:rPr>
            </w:pPr>
            <w:r>
              <w:rPr>
                <w:sz w:val="20"/>
                <w:szCs w:val="20"/>
              </w:rPr>
              <w:t>(%)</w:t>
            </w:r>
          </w:p>
        </w:tc>
      </w:tr>
      <w:tr w:rsidR="00EF46F1" w:rsidTr="00EF46F1">
        <w:trPr>
          <w:trHeight w:val="288"/>
          <w:jc w:val="center"/>
        </w:trPr>
        <w:tc>
          <w:tcPr>
            <w:tcW w:w="2808"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9501E0" w:rsidRDefault="009501E0">
            <w:pPr>
              <w:rPr>
                <w:sz w:val="20"/>
                <w:szCs w:val="20"/>
              </w:rPr>
            </w:pPr>
            <w:r>
              <w:rPr>
                <w:sz w:val="20"/>
                <w:szCs w:val="20"/>
              </w:rPr>
              <w:t>DISTRIBUTION PLANT</w:t>
            </w:r>
          </w:p>
        </w:tc>
        <w:tc>
          <w:tcPr>
            <w:tcW w:w="782"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839"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1078"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265" w:type="dxa"/>
            <w:tcBorders>
              <w:top w:val="nil"/>
              <w:left w:val="nil"/>
              <w:bottom w:val="nil"/>
              <w:right w:val="nil"/>
            </w:tcBorders>
            <w:shd w:val="clear" w:color="000000" w:fill="C0C0C0"/>
            <w:noWrap/>
            <w:vAlign w:val="bottom"/>
            <w:hideMark/>
          </w:tcPr>
          <w:p w:rsidR="009501E0" w:rsidRDefault="009501E0">
            <w:pPr>
              <w:rPr>
                <w:sz w:val="20"/>
                <w:szCs w:val="20"/>
              </w:rPr>
            </w:pPr>
            <w:r>
              <w:rPr>
                <w:sz w:val="20"/>
                <w:szCs w:val="20"/>
              </w:rPr>
              <w:t> </w:t>
            </w:r>
          </w:p>
        </w:tc>
        <w:tc>
          <w:tcPr>
            <w:tcW w:w="820"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849"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314"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839"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1078" w:type="dxa"/>
            <w:tcBorders>
              <w:top w:val="nil"/>
              <w:left w:val="nil"/>
              <w:bottom w:val="single" w:sz="4" w:space="0" w:color="auto"/>
              <w:right w:val="single" w:sz="8" w:space="0" w:color="auto"/>
            </w:tcBorders>
            <w:shd w:val="clear" w:color="000000" w:fill="C0C0C0"/>
            <w:noWrap/>
            <w:vAlign w:val="bottom"/>
            <w:hideMark/>
          </w:tcPr>
          <w:p w:rsidR="009501E0" w:rsidRDefault="009501E0">
            <w:pPr>
              <w:jc w:val="center"/>
              <w:rPr>
                <w:sz w:val="20"/>
                <w:szCs w:val="20"/>
              </w:rPr>
            </w:pPr>
            <w:r>
              <w:rPr>
                <w:sz w:val="20"/>
                <w:szCs w:val="20"/>
              </w:rPr>
              <w:t> </w:t>
            </w:r>
          </w:p>
        </w:tc>
      </w:tr>
      <w:tr w:rsidR="00EF46F1" w:rsidTr="00EF46F1">
        <w:trPr>
          <w:trHeight w:val="528"/>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375</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Structures &amp; Improvements</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11.4</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2.7</w:t>
            </w:r>
          </w:p>
        </w:tc>
        <w:tc>
          <w:tcPr>
            <w:tcW w:w="265" w:type="dxa"/>
            <w:tcBorders>
              <w:top w:val="nil"/>
              <w:left w:val="nil"/>
              <w:bottom w:val="nil"/>
              <w:right w:val="single" w:sz="4" w:space="0" w:color="auto"/>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10.8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88.08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1.6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376.1</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Mains - Plastic</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22.0</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3.4</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19.4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68.71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3.2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376.2</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Mains - Steel</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18.8</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3.3</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15.4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81.94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3.1 </w:t>
            </w:r>
          </w:p>
        </w:tc>
      </w:tr>
      <w:tr w:rsidR="00EF46F1" w:rsidTr="00EF46F1">
        <w:trPr>
          <w:trHeight w:val="528"/>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378</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M&amp;R Station Equip. - Distribution</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18.1</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3.6</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15.6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58.20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3.0 </w:t>
            </w:r>
          </w:p>
        </w:tc>
      </w:tr>
      <w:tr w:rsidR="00EF46F1" w:rsidTr="00EF46F1">
        <w:trPr>
          <w:trHeight w:val="528"/>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379</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M&amp;R Station Equip. - City Gate</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14.8</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3.0</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11.9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75.30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2.5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380.1</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Services - Plastic</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24.0</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(22)</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3.4</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25.0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49.50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(22)</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2.9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380.2</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Services - Steel</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8.1</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(30)</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3.0</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6.1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116.13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(40)</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3.9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381</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Meters</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5.6</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4.2</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11.5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56.63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3.8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382</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Meter Installations</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10.3</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(25)</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4.8</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15.3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79.45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(25)</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3.0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383</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Regulators</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13.7</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3.4</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12.0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62.44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3.1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384</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Regulator Installations</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17.5</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(40)</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4.4</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18.4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75.60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(40)</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3.5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385</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Industrial M&amp;R Equip.</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18.7</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3.8</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24.0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22.33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3.4 </w:t>
            </w:r>
          </w:p>
        </w:tc>
      </w:tr>
      <w:tr w:rsidR="00EF46F1" w:rsidRPr="00BE3805"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Pr="00BE3805" w:rsidRDefault="009501E0" w:rsidP="009501E0">
            <w:pPr>
              <w:rPr>
                <w:color w:val="000000"/>
                <w:sz w:val="20"/>
                <w:szCs w:val="20"/>
              </w:rPr>
            </w:pPr>
            <w:r w:rsidRPr="00BE3805">
              <w:rPr>
                <w:color w:val="000000"/>
                <w:sz w:val="20"/>
                <w:szCs w:val="20"/>
              </w:rPr>
              <w:t>387</w:t>
            </w:r>
          </w:p>
        </w:tc>
        <w:tc>
          <w:tcPr>
            <w:tcW w:w="1927" w:type="dxa"/>
            <w:tcBorders>
              <w:top w:val="nil"/>
              <w:left w:val="nil"/>
              <w:bottom w:val="single" w:sz="4" w:space="0" w:color="auto"/>
              <w:right w:val="single" w:sz="4" w:space="0" w:color="auto"/>
            </w:tcBorders>
            <w:shd w:val="clear" w:color="auto" w:fill="auto"/>
            <w:vAlign w:val="bottom"/>
            <w:hideMark/>
          </w:tcPr>
          <w:p w:rsidR="009501E0" w:rsidRPr="00BE3805" w:rsidRDefault="009501E0" w:rsidP="009501E0">
            <w:pPr>
              <w:rPr>
                <w:color w:val="000000"/>
                <w:sz w:val="20"/>
                <w:szCs w:val="20"/>
              </w:rPr>
            </w:pPr>
            <w:r w:rsidRPr="00BE3805">
              <w:rPr>
                <w:color w:val="000000"/>
                <w:sz w:val="20"/>
                <w:szCs w:val="20"/>
              </w:rPr>
              <w:t>Other Equipment</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Pr="00BE3805" w:rsidRDefault="009501E0">
            <w:pPr>
              <w:jc w:val="right"/>
              <w:rPr>
                <w:color w:val="000000"/>
                <w:sz w:val="20"/>
                <w:szCs w:val="20"/>
              </w:rPr>
            </w:pPr>
            <w:r w:rsidRPr="00BE3805">
              <w:rPr>
                <w:color w:val="000000"/>
                <w:sz w:val="20"/>
                <w:szCs w:val="20"/>
              </w:rPr>
              <w:t>5.0</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Pr="00BE3805" w:rsidRDefault="009501E0">
            <w:pPr>
              <w:jc w:val="right"/>
              <w:rPr>
                <w:color w:val="000000"/>
                <w:sz w:val="20"/>
                <w:szCs w:val="20"/>
              </w:rPr>
            </w:pPr>
            <w:r w:rsidRPr="00BE3805">
              <w:rPr>
                <w:color w:val="000000"/>
                <w:sz w:val="20"/>
                <w:szCs w:val="20"/>
              </w:rPr>
              <w:t xml:space="preserve">0 </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Pr="00BE3805" w:rsidRDefault="009501E0">
            <w:pPr>
              <w:jc w:val="right"/>
              <w:rPr>
                <w:color w:val="000000"/>
                <w:sz w:val="20"/>
                <w:szCs w:val="20"/>
              </w:rPr>
            </w:pPr>
            <w:r w:rsidRPr="00BE3805">
              <w:rPr>
                <w:color w:val="000000"/>
                <w:sz w:val="20"/>
                <w:szCs w:val="20"/>
              </w:rPr>
              <w:t>11.4</w:t>
            </w:r>
          </w:p>
        </w:tc>
        <w:tc>
          <w:tcPr>
            <w:tcW w:w="265" w:type="dxa"/>
            <w:tcBorders>
              <w:top w:val="nil"/>
              <w:left w:val="nil"/>
              <w:bottom w:val="nil"/>
              <w:right w:val="nil"/>
            </w:tcBorders>
            <w:shd w:val="clear" w:color="000000" w:fill="BFBFBF"/>
            <w:noWrap/>
            <w:vAlign w:val="bottom"/>
            <w:hideMark/>
          </w:tcPr>
          <w:p w:rsidR="009501E0" w:rsidRPr="00BE3805" w:rsidRDefault="009501E0">
            <w:pPr>
              <w:rPr>
                <w:color w:val="000000"/>
                <w:sz w:val="20"/>
                <w:szCs w:val="20"/>
              </w:rPr>
            </w:pPr>
            <w:r w:rsidRPr="00BE3805">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Pr="00BE3805" w:rsidRDefault="009501E0">
            <w:pPr>
              <w:jc w:val="right"/>
              <w:rPr>
                <w:color w:val="000000"/>
                <w:sz w:val="20"/>
                <w:szCs w:val="20"/>
              </w:rPr>
            </w:pPr>
            <w:r w:rsidRPr="00BE3805">
              <w:rPr>
                <w:color w:val="000000"/>
                <w:sz w:val="20"/>
                <w:szCs w:val="20"/>
              </w:rPr>
              <w:t xml:space="preserve">8.8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Pr="00BE3805" w:rsidRDefault="009501E0">
            <w:pPr>
              <w:jc w:val="right"/>
              <w:rPr>
                <w:color w:val="000000"/>
                <w:sz w:val="20"/>
                <w:szCs w:val="20"/>
              </w:rPr>
            </w:pPr>
            <w:r w:rsidRPr="00BE3805">
              <w:rPr>
                <w:color w:val="000000"/>
                <w:sz w:val="20"/>
                <w:szCs w:val="20"/>
              </w:rPr>
              <w:t xml:space="preserve">99.87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Pr="00BE3805" w:rsidRDefault="009501E0">
            <w:pPr>
              <w:jc w:val="center"/>
              <w:rPr>
                <w:color w:val="000000"/>
                <w:sz w:val="20"/>
                <w:szCs w:val="20"/>
              </w:rPr>
            </w:pPr>
            <w:r w:rsidRPr="00BE3805">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Pr="00BE3805" w:rsidRDefault="009501E0">
            <w:pPr>
              <w:jc w:val="right"/>
              <w:rPr>
                <w:color w:val="000000"/>
                <w:sz w:val="20"/>
                <w:szCs w:val="20"/>
              </w:rPr>
            </w:pPr>
            <w:r w:rsidRPr="00BE3805">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Pr="00BE3805" w:rsidRDefault="00BE3805">
            <w:pPr>
              <w:jc w:val="right"/>
              <w:rPr>
                <w:color w:val="000000"/>
                <w:sz w:val="20"/>
                <w:szCs w:val="20"/>
              </w:rPr>
            </w:pPr>
            <w:r w:rsidRPr="00BE3805">
              <w:rPr>
                <w:color w:val="000000"/>
                <w:sz w:val="20"/>
                <w:szCs w:val="20"/>
              </w:rPr>
              <w:t>7.1</w:t>
            </w:r>
            <w:r w:rsidR="00120387">
              <w:rPr>
                <w:color w:val="000000"/>
                <w:sz w:val="20"/>
                <w:szCs w:val="20"/>
              </w:rPr>
              <w:t>**</w:t>
            </w:r>
          </w:p>
        </w:tc>
      </w:tr>
      <w:tr w:rsidR="00EF46F1" w:rsidTr="00EF46F1">
        <w:trPr>
          <w:trHeight w:val="264"/>
          <w:jc w:val="center"/>
        </w:trPr>
        <w:tc>
          <w:tcPr>
            <w:tcW w:w="2808" w:type="dxa"/>
            <w:gridSpan w:val="2"/>
            <w:tcBorders>
              <w:top w:val="nil"/>
              <w:left w:val="single" w:sz="8" w:space="0" w:color="auto"/>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GENERAL PLANT</w:t>
            </w:r>
          </w:p>
        </w:tc>
        <w:tc>
          <w:tcPr>
            <w:tcW w:w="782"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39"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078"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49"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314"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39"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078" w:type="dxa"/>
            <w:tcBorders>
              <w:top w:val="nil"/>
              <w:left w:val="nil"/>
              <w:bottom w:val="nil"/>
              <w:right w:val="single" w:sz="8" w:space="0" w:color="auto"/>
            </w:tcBorders>
            <w:shd w:val="clear" w:color="000000" w:fill="BFBFBF"/>
            <w:noWrap/>
            <w:vAlign w:val="bottom"/>
            <w:hideMark/>
          </w:tcPr>
          <w:p w:rsidR="009501E0" w:rsidRDefault="009501E0">
            <w:pPr>
              <w:rPr>
                <w:color w:val="000000"/>
                <w:sz w:val="20"/>
                <w:szCs w:val="20"/>
              </w:rPr>
            </w:pPr>
            <w:r>
              <w:rPr>
                <w:color w:val="000000"/>
                <w:sz w:val="20"/>
                <w:szCs w:val="20"/>
              </w:rPr>
              <w:t> </w:t>
            </w:r>
          </w:p>
        </w:tc>
      </w:tr>
      <w:tr w:rsidR="00EF46F1" w:rsidTr="00EF46F1">
        <w:trPr>
          <w:trHeight w:val="528"/>
          <w:jc w:val="center"/>
        </w:trPr>
        <w:tc>
          <w:tcPr>
            <w:tcW w:w="88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390</w:t>
            </w:r>
          </w:p>
        </w:tc>
        <w:tc>
          <w:tcPr>
            <w:tcW w:w="1927" w:type="dxa"/>
            <w:tcBorders>
              <w:top w:val="single" w:sz="4" w:space="0" w:color="auto"/>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Structures &amp; Improvements</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16.8</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0</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2.7</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16.8 </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68.50 </w:t>
            </w:r>
          </w:p>
        </w:tc>
        <w:tc>
          <w:tcPr>
            <w:tcW w:w="314"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single" w:sz="4" w:space="0" w:color="auto"/>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1.9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391.1</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Office Furniture</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6.0</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7.4</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4.4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92.39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1.7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391.2</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Office Devices</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5.9</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12.6</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4.1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60.45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8.4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391.3</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Office Computers</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5.8</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6.3</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7.9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50.23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6.3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392</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Transportation Equip.</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1.4</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10</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12.9</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3.0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62.10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10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9.3 </w:t>
            </w:r>
          </w:p>
        </w:tc>
      </w:tr>
      <w:tr w:rsidR="00EF46F1" w:rsidTr="00EF46F1">
        <w:trPr>
          <w:trHeight w:val="528"/>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394</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Tools, Shop &amp; Garage Equip.</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4.8</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0</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5.5</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15.8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22.24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4.9 </w:t>
            </w:r>
          </w:p>
        </w:tc>
      </w:tr>
      <w:tr w:rsidR="00EF46F1" w:rsidTr="00EF46F1">
        <w:trPr>
          <w:trHeight w:val="264"/>
          <w:jc w:val="center"/>
        </w:trPr>
        <w:tc>
          <w:tcPr>
            <w:tcW w:w="881"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396</w:t>
            </w:r>
          </w:p>
        </w:tc>
        <w:tc>
          <w:tcPr>
            <w:tcW w:w="1927" w:type="dxa"/>
            <w:tcBorders>
              <w:top w:val="nil"/>
              <w:left w:val="nil"/>
              <w:bottom w:val="single" w:sz="4"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Power Operated Equip.</w:t>
            </w:r>
          </w:p>
        </w:tc>
        <w:tc>
          <w:tcPr>
            <w:tcW w:w="782"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4.7</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5</w:t>
            </w:r>
          </w:p>
        </w:tc>
        <w:tc>
          <w:tcPr>
            <w:tcW w:w="1078"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6.3</w:t>
            </w:r>
          </w:p>
        </w:tc>
        <w:tc>
          <w:tcPr>
            <w:tcW w:w="265"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5.9 </w:t>
            </w:r>
          </w:p>
        </w:tc>
        <w:tc>
          <w:tcPr>
            <w:tcW w:w="84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91.57 </w:t>
            </w:r>
          </w:p>
        </w:tc>
        <w:tc>
          <w:tcPr>
            <w:tcW w:w="314" w:type="dxa"/>
            <w:tcBorders>
              <w:top w:val="nil"/>
              <w:left w:val="nil"/>
              <w:bottom w:val="single" w:sz="4"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 </w:t>
            </w:r>
          </w:p>
        </w:tc>
        <w:tc>
          <w:tcPr>
            <w:tcW w:w="1078"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0.6 </w:t>
            </w:r>
          </w:p>
        </w:tc>
      </w:tr>
      <w:tr w:rsidR="00EF46F1" w:rsidTr="00EF46F1">
        <w:trPr>
          <w:trHeight w:val="276"/>
          <w:jc w:val="center"/>
        </w:trPr>
        <w:tc>
          <w:tcPr>
            <w:tcW w:w="881" w:type="dxa"/>
            <w:tcBorders>
              <w:top w:val="nil"/>
              <w:left w:val="single" w:sz="8" w:space="0" w:color="auto"/>
              <w:bottom w:val="single" w:sz="8"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397</w:t>
            </w:r>
          </w:p>
        </w:tc>
        <w:tc>
          <w:tcPr>
            <w:tcW w:w="1927" w:type="dxa"/>
            <w:tcBorders>
              <w:top w:val="nil"/>
              <w:left w:val="nil"/>
              <w:bottom w:val="single" w:sz="8" w:space="0" w:color="auto"/>
              <w:right w:val="single" w:sz="4" w:space="0" w:color="auto"/>
            </w:tcBorders>
            <w:shd w:val="clear" w:color="auto" w:fill="auto"/>
            <w:vAlign w:val="bottom"/>
            <w:hideMark/>
          </w:tcPr>
          <w:p w:rsidR="009501E0" w:rsidRDefault="009501E0" w:rsidP="009501E0">
            <w:pPr>
              <w:rPr>
                <w:color w:val="000000"/>
                <w:sz w:val="20"/>
                <w:szCs w:val="20"/>
              </w:rPr>
            </w:pPr>
            <w:r>
              <w:rPr>
                <w:color w:val="000000"/>
                <w:sz w:val="20"/>
                <w:szCs w:val="20"/>
              </w:rPr>
              <w:t>Communication Equip.</w:t>
            </w:r>
          </w:p>
        </w:tc>
        <w:tc>
          <w:tcPr>
            <w:tcW w:w="782" w:type="dxa"/>
            <w:tcBorders>
              <w:top w:val="nil"/>
              <w:left w:val="nil"/>
              <w:bottom w:val="single" w:sz="8"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4.5</w:t>
            </w:r>
          </w:p>
        </w:tc>
        <w:tc>
          <w:tcPr>
            <w:tcW w:w="839" w:type="dxa"/>
            <w:tcBorders>
              <w:top w:val="nil"/>
              <w:left w:val="nil"/>
              <w:bottom w:val="single" w:sz="8"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0</w:t>
            </w:r>
          </w:p>
        </w:tc>
        <w:tc>
          <w:tcPr>
            <w:tcW w:w="1078" w:type="dxa"/>
            <w:tcBorders>
              <w:top w:val="nil"/>
              <w:left w:val="nil"/>
              <w:bottom w:val="single" w:sz="8"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8.3</w:t>
            </w:r>
          </w:p>
        </w:tc>
        <w:tc>
          <w:tcPr>
            <w:tcW w:w="265" w:type="dxa"/>
            <w:tcBorders>
              <w:top w:val="nil"/>
              <w:left w:val="nil"/>
              <w:bottom w:val="single" w:sz="8" w:space="0" w:color="auto"/>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20" w:type="dxa"/>
            <w:tcBorders>
              <w:top w:val="nil"/>
              <w:left w:val="single" w:sz="4" w:space="0" w:color="auto"/>
              <w:bottom w:val="single" w:sz="8"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3.7 </w:t>
            </w:r>
          </w:p>
        </w:tc>
        <w:tc>
          <w:tcPr>
            <w:tcW w:w="849" w:type="dxa"/>
            <w:tcBorders>
              <w:top w:val="nil"/>
              <w:left w:val="nil"/>
              <w:bottom w:val="single" w:sz="8"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77.03 </w:t>
            </w:r>
          </w:p>
        </w:tc>
        <w:tc>
          <w:tcPr>
            <w:tcW w:w="314" w:type="dxa"/>
            <w:tcBorders>
              <w:top w:val="nil"/>
              <w:left w:val="nil"/>
              <w:bottom w:val="single" w:sz="8" w:space="0" w:color="auto"/>
              <w:right w:val="single" w:sz="4" w:space="0" w:color="auto"/>
            </w:tcBorders>
            <w:shd w:val="clear" w:color="auto" w:fill="auto"/>
            <w:noWrap/>
            <w:vAlign w:val="bottom"/>
            <w:hideMark/>
          </w:tcPr>
          <w:p w:rsidR="009501E0" w:rsidRDefault="009501E0">
            <w:pPr>
              <w:jc w:val="center"/>
              <w:rPr>
                <w:color w:val="000000"/>
                <w:sz w:val="20"/>
                <w:szCs w:val="20"/>
              </w:rPr>
            </w:pPr>
            <w:r>
              <w:rPr>
                <w:color w:val="000000"/>
                <w:sz w:val="20"/>
                <w:szCs w:val="20"/>
              </w:rPr>
              <w:t> </w:t>
            </w:r>
          </w:p>
        </w:tc>
        <w:tc>
          <w:tcPr>
            <w:tcW w:w="839" w:type="dxa"/>
            <w:tcBorders>
              <w:top w:val="nil"/>
              <w:left w:val="nil"/>
              <w:bottom w:val="single" w:sz="8"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c>
          <w:tcPr>
            <w:tcW w:w="1078" w:type="dxa"/>
            <w:tcBorders>
              <w:top w:val="nil"/>
              <w:left w:val="nil"/>
              <w:bottom w:val="single" w:sz="8"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6.2 </w:t>
            </w:r>
          </w:p>
        </w:tc>
      </w:tr>
      <w:tr w:rsidR="009501E0" w:rsidTr="00EF46F1">
        <w:trPr>
          <w:trHeight w:val="264"/>
          <w:jc w:val="center"/>
        </w:trPr>
        <w:tc>
          <w:tcPr>
            <w:tcW w:w="9672" w:type="dxa"/>
            <w:gridSpan w:val="11"/>
            <w:tcBorders>
              <w:top w:val="nil"/>
              <w:left w:val="nil"/>
              <w:bottom w:val="nil"/>
              <w:right w:val="nil"/>
            </w:tcBorders>
            <w:shd w:val="clear" w:color="auto" w:fill="auto"/>
            <w:noWrap/>
            <w:vAlign w:val="bottom"/>
            <w:hideMark/>
          </w:tcPr>
          <w:p w:rsidR="009501E0" w:rsidRDefault="009501E0">
            <w:pPr>
              <w:rPr>
                <w:color w:val="000000"/>
                <w:sz w:val="20"/>
                <w:szCs w:val="20"/>
              </w:rPr>
            </w:pPr>
            <w:r>
              <w:rPr>
                <w:color w:val="000000"/>
                <w:sz w:val="20"/>
                <w:szCs w:val="20"/>
              </w:rPr>
              <w:t>¹ Order No. PSC-13-0174-PAA-GU</w:t>
            </w:r>
          </w:p>
        </w:tc>
      </w:tr>
      <w:tr w:rsidR="00EF46F1" w:rsidTr="00EF46F1">
        <w:trPr>
          <w:trHeight w:val="264"/>
          <w:jc w:val="center"/>
        </w:trPr>
        <w:tc>
          <w:tcPr>
            <w:tcW w:w="2808" w:type="dxa"/>
            <w:gridSpan w:val="2"/>
            <w:tcBorders>
              <w:top w:val="nil"/>
              <w:left w:val="nil"/>
              <w:bottom w:val="nil"/>
              <w:right w:val="nil"/>
            </w:tcBorders>
            <w:shd w:val="clear" w:color="auto" w:fill="auto"/>
            <w:noWrap/>
            <w:vAlign w:val="bottom"/>
            <w:hideMark/>
          </w:tcPr>
          <w:p w:rsidR="009501E0" w:rsidRDefault="009501E0">
            <w:pPr>
              <w:rPr>
                <w:color w:val="000000"/>
                <w:sz w:val="20"/>
                <w:szCs w:val="20"/>
              </w:rPr>
            </w:pPr>
            <w:r>
              <w:rPr>
                <w:color w:val="000000"/>
                <w:sz w:val="20"/>
                <w:szCs w:val="20"/>
              </w:rPr>
              <w:t>* Denotes a Reserve Transfer</w:t>
            </w:r>
          </w:p>
        </w:tc>
        <w:tc>
          <w:tcPr>
            <w:tcW w:w="782"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839"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1078"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265"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820"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849"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314"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839"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1078"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r>
      <w:tr w:rsidR="00120387" w:rsidTr="00EF46F1">
        <w:trPr>
          <w:trHeight w:val="264"/>
          <w:jc w:val="center"/>
        </w:trPr>
        <w:tc>
          <w:tcPr>
            <w:tcW w:w="2808" w:type="dxa"/>
            <w:gridSpan w:val="2"/>
            <w:tcBorders>
              <w:top w:val="nil"/>
              <w:left w:val="nil"/>
              <w:bottom w:val="nil"/>
              <w:right w:val="nil"/>
            </w:tcBorders>
            <w:shd w:val="clear" w:color="auto" w:fill="auto"/>
            <w:noWrap/>
            <w:vAlign w:val="bottom"/>
          </w:tcPr>
          <w:p w:rsidR="00120387" w:rsidRDefault="00120387">
            <w:pPr>
              <w:rPr>
                <w:color w:val="000000"/>
                <w:sz w:val="20"/>
                <w:szCs w:val="20"/>
              </w:rPr>
            </w:pPr>
            <w:r>
              <w:rPr>
                <w:color w:val="000000"/>
                <w:sz w:val="20"/>
                <w:szCs w:val="20"/>
              </w:rPr>
              <w:t xml:space="preserve">**Whole Life </w:t>
            </w:r>
            <w:r w:rsidR="005F2756">
              <w:rPr>
                <w:color w:val="000000"/>
                <w:sz w:val="20"/>
                <w:szCs w:val="20"/>
              </w:rPr>
              <w:t xml:space="preserve">Dep. </w:t>
            </w:r>
            <w:r>
              <w:rPr>
                <w:color w:val="000000"/>
                <w:sz w:val="20"/>
                <w:szCs w:val="20"/>
              </w:rPr>
              <w:t>Rate</w:t>
            </w:r>
          </w:p>
        </w:tc>
        <w:tc>
          <w:tcPr>
            <w:tcW w:w="782" w:type="dxa"/>
            <w:tcBorders>
              <w:top w:val="nil"/>
              <w:left w:val="nil"/>
              <w:bottom w:val="nil"/>
              <w:right w:val="nil"/>
            </w:tcBorders>
            <w:shd w:val="clear" w:color="auto" w:fill="auto"/>
            <w:noWrap/>
            <w:vAlign w:val="bottom"/>
          </w:tcPr>
          <w:p w:rsidR="00120387" w:rsidRDefault="00120387">
            <w:pPr>
              <w:rPr>
                <w:color w:val="000000"/>
                <w:sz w:val="20"/>
                <w:szCs w:val="20"/>
              </w:rPr>
            </w:pPr>
          </w:p>
        </w:tc>
        <w:tc>
          <w:tcPr>
            <w:tcW w:w="839" w:type="dxa"/>
            <w:tcBorders>
              <w:top w:val="nil"/>
              <w:left w:val="nil"/>
              <w:bottom w:val="nil"/>
              <w:right w:val="nil"/>
            </w:tcBorders>
            <w:shd w:val="clear" w:color="auto" w:fill="auto"/>
            <w:noWrap/>
            <w:vAlign w:val="bottom"/>
          </w:tcPr>
          <w:p w:rsidR="00120387" w:rsidRDefault="00120387">
            <w:pPr>
              <w:rPr>
                <w:color w:val="000000"/>
                <w:sz w:val="20"/>
                <w:szCs w:val="20"/>
              </w:rPr>
            </w:pPr>
          </w:p>
        </w:tc>
        <w:tc>
          <w:tcPr>
            <w:tcW w:w="1078" w:type="dxa"/>
            <w:tcBorders>
              <w:top w:val="nil"/>
              <w:left w:val="nil"/>
              <w:bottom w:val="nil"/>
              <w:right w:val="nil"/>
            </w:tcBorders>
            <w:shd w:val="clear" w:color="auto" w:fill="auto"/>
            <w:noWrap/>
            <w:vAlign w:val="bottom"/>
          </w:tcPr>
          <w:p w:rsidR="00120387" w:rsidRDefault="00120387">
            <w:pPr>
              <w:rPr>
                <w:color w:val="000000"/>
                <w:sz w:val="20"/>
                <w:szCs w:val="20"/>
              </w:rPr>
            </w:pPr>
          </w:p>
        </w:tc>
        <w:tc>
          <w:tcPr>
            <w:tcW w:w="265" w:type="dxa"/>
            <w:tcBorders>
              <w:top w:val="nil"/>
              <w:left w:val="nil"/>
              <w:bottom w:val="nil"/>
              <w:right w:val="nil"/>
            </w:tcBorders>
            <w:shd w:val="clear" w:color="auto" w:fill="auto"/>
            <w:noWrap/>
            <w:vAlign w:val="bottom"/>
          </w:tcPr>
          <w:p w:rsidR="00120387" w:rsidRDefault="00120387">
            <w:pPr>
              <w:rPr>
                <w:color w:val="000000"/>
                <w:sz w:val="20"/>
                <w:szCs w:val="20"/>
              </w:rPr>
            </w:pPr>
          </w:p>
        </w:tc>
        <w:tc>
          <w:tcPr>
            <w:tcW w:w="820" w:type="dxa"/>
            <w:tcBorders>
              <w:top w:val="nil"/>
              <w:left w:val="nil"/>
              <w:bottom w:val="nil"/>
              <w:right w:val="nil"/>
            </w:tcBorders>
            <w:shd w:val="clear" w:color="auto" w:fill="auto"/>
            <w:noWrap/>
            <w:vAlign w:val="bottom"/>
          </w:tcPr>
          <w:p w:rsidR="00120387" w:rsidRDefault="00120387">
            <w:pPr>
              <w:rPr>
                <w:color w:val="000000"/>
                <w:sz w:val="20"/>
                <w:szCs w:val="20"/>
              </w:rPr>
            </w:pPr>
          </w:p>
        </w:tc>
        <w:tc>
          <w:tcPr>
            <w:tcW w:w="849" w:type="dxa"/>
            <w:tcBorders>
              <w:top w:val="nil"/>
              <w:left w:val="nil"/>
              <w:bottom w:val="nil"/>
              <w:right w:val="nil"/>
            </w:tcBorders>
            <w:shd w:val="clear" w:color="auto" w:fill="auto"/>
            <w:noWrap/>
            <w:vAlign w:val="bottom"/>
          </w:tcPr>
          <w:p w:rsidR="00120387" w:rsidRDefault="00120387">
            <w:pPr>
              <w:rPr>
                <w:color w:val="000000"/>
                <w:sz w:val="20"/>
                <w:szCs w:val="20"/>
              </w:rPr>
            </w:pPr>
          </w:p>
        </w:tc>
        <w:tc>
          <w:tcPr>
            <w:tcW w:w="314" w:type="dxa"/>
            <w:tcBorders>
              <w:top w:val="nil"/>
              <w:left w:val="nil"/>
              <w:bottom w:val="nil"/>
              <w:right w:val="nil"/>
            </w:tcBorders>
            <w:shd w:val="clear" w:color="auto" w:fill="auto"/>
            <w:noWrap/>
            <w:vAlign w:val="bottom"/>
          </w:tcPr>
          <w:p w:rsidR="00120387" w:rsidRDefault="00120387">
            <w:pPr>
              <w:rPr>
                <w:color w:val="000000"/>
                <w:sz w:val="20"/>
                <w:szCs w:val="20"/>
              </w:rPr>
            </w:pPr>
          </w:p>
        </w:tc>
        <w:tc>
          <w:tcPr>
            <w:tcW w:w="839" w:type="dxa"/>
            <w:tcBorders>
              <w:top w:val="nil"/>
              <w:left w:val="nil"/>
              <w:bottom w:val="nil"/>
              <w:right w:val="nil"/>
            </w:tcBorders>
            <w:shd w:val="clear" w:color="auto" w:fill="auto"/>
            <w:noWrap/>
            <w:vAlign w:val="bottom"/>
          </w:tcPr>
          <w:p w:rsidR="00120387" w:rsidRDefault="00120387">
            <w:pPr>
              <w:rPr>
                <w:color w:val="000000"/>
                <w:sz w:val="20"/>
                <w:szCs w:val="20"/>
              </w:rPr>
            </w:pPr>
          </w:p>
        </w:tc>
        <w:tc>
          <w:tcPr>
            <w:tcW w:w="1078" w:type="dxa"/>
            <w:tcBorders>
              <w:top w:val="nil"/>
              <w:left w:val="nil"/>
              <w:bottom w:val="nil"/>
              <w:right w:val="nil"/>
            </w:tcBorders>
            <w:shd w:val="clear" w:color="auto" w:fill="auto"/>
            <w:noWrap/>
            <w:vAlign w:val="bottom"/>
          </w:tcPr>
          <w:p w:rsidR="00120387" w:rsidRDefault="00120387">
            <w:pPr>
              <w:rPr>
                <w:color w:val="000000"/>
                <w:sz w:val="20"/>
                <w:szCs w:val="20"/>
              </w:rPr>
            </w:pPr>
          </w:p>
        </w:tc>
      </w:tr>
    </w:tbl>
    <w:p w:rsidR="009501E0" w:rsidRDefault="009501E0" w:rsidP="009501E0">
      <w:pPr>
        <w:pStyle w:val="BodyText"/>
        <w:tabs>
          <w:tab w:val="left" w:pos="900"/>
          <w:tab w:val="left" w:pos="2880"/>
        </w:tabs>
        <w:sectPr w:rsidR="009501E0"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pPr>
    </w:p>
    <w:tbl>
      <w:tblPr>
        <w:tblW w:w="9113" w:type="dxa"/>
        <w:jc w:val="center"/>
        <w:tblLook w:val="04A0" w:firstRow="1" w:lastRow="0" w:firstColumn="1" w:lastColumn="0" w:noHBand="0" w:noVBand="1"/>
      </w:tblPr>
      <w:tblGrid>
        <w:gridCol w:w="995"/>
        <w:gridCol w:w="2347"/>
        <w:gridCol w:w="1263"/>
        <w:gridCol w:w="990"/>
        <w:gridCol w:w="266"/>
        <w:gridCol w:w="1264"/>
        <w:gridCol w:w="899"/>
        <w:gridCol w:w="1089"/>
      </w:tblGrid>
      <w:tr w:rsidR="009501E0" w:rsidTr="00EF46F1">
        <w:trPr>
          <w:trHeight w:val="276"/>
          <w:jc w:val="center"/>
        </w:trPr>
        <w:tc>
          <w:tcPr>
            <w:tcW w:w="9113" w:type="dxa"/>
            <w:gridSpan w:val="8"/>
            <w:tcBorders>
              <w:top w:val="nil"/>
              <w:left w:val="nil"/>
              <w:bottom w:val="single" w:sz="8" w:space="0" w:color="auto"/>
              <w:right w:val="nil"/>
            </w:tcBorders>
            <w:shd w:val="clear" w:color="000000" w:fill="FFFFFF"/>
            <w:noWrap/>
            <w:vAlign w:val="bottom"/>
            <w:hideMark/>
          </w:tcPr>
          <w:p w:rsidR="009501E0" w:rsidRDefault="009501E0">
            <w:pPr>
              <w:jc w:val="right"/>
              <w:rPr>
                <w:sz w:val="20"/>
                <w:szCs w:val="20"/>
              </w:rPr>
            </w:pPr>
            <w:r>
              <w:rPr>
                <w:sz w:val="20"/>
                <w:szCs w:val="20"/>
              </w:rPr>
              <w:t> </w:t>
            </w:r>
          </w:p>
        </w:tc>
      </w:tr>
      <w:tr w:rsidR="009501E0" w:rsidTr="00EF46F1">
        <w:trPr>
          <w:trHeight w:val="264"/>
          <w:jc w:val="center"/>
        </w:trPr>
        <w:tc>
          <w:tcPr>
            <w:tcW w:w="9113" w:type="dxa"/>
            <w:gridSpan w:val="8"/>
            <w:tcBorders>
              <w:top w:val="single" w:sz="8" w:space="0" w:color="auto"/>
              <w:left w:val="single" w:sz="8" w:space="0" w:color="auto"/>
              <w:bottom w:val="nil"/>
              <w:right w:val="single" w:sz="8" w:space="0" w:color="000000"/>
            </w:tcBorders>
            <w:shd w:val="clear" w:color="000000" w:fill="C0C0C0"/>
            <w:noWrap/>
            <w:vAlign w:val="bottom"/>
            <w:hideMark/>
          </w:tcPr>
          <w:p w:rsidR="009501E0" w:rsidRDefault="009501E0">
            <w:pPr>
              <w:jc w:val="center"/>
              <w:rPr>
                <w:b/>
                <w:bCs/>
                <w:sz w:val="20"/>
                <w:szCs w:val="20"/>
              </w:rPr>
            </w:pPr>
            <w:r>
              <w:rPr>
                <w:b/>
                <w:bCs/>
                <w:sz w:val="20"/>
                <w:szCs w:val="20"/>
              </w:rPr>
              <w:t>Comparison of Expenses</w:t>
            </w:r>
          </w:p>
        </w:tc>
      </w:tr>
      <w:tr w:rsidR="009501E0" w:rsidTr="00EF46F1">
        <w:trPr>
          <w:trHeight w:val="264"/>
          <w:jc w:val="center"/>
        </w:trPr>
        <w:tc>
          <w:tcPr>
            <w:tcW w:w="995" w:type="dxa"/>
            <w:tcBorders>
              <w:top w:val="nil"/>
              <w:left w:val="single" w:sz="8" w:space="0" w:color="auto"/>
              <w:bottom w:val="nil"/>
              <w:right w:val="nil"/>
            </w:tcBorders>
            <w:shd w:val="clear" w:color="000000" w:fill="C0C0C0"/>
            <w:noWrap/>
            <w:vAlign w:val="bottom"/>
            <w:hideMark/>
          </w:tcPr>
          <w:p w:rsidR="009501E0" w:rsidRDefault="009501E0">
            <w:pPr>
              <w:jc w:val="center"/>
              <w:rPr>
                <w:b/>
                <w:bCs/>
                <w:sz w:val="20"/>
                <w:szCs w:val="20"/>
              </w:rPr>
            </w:pPr>
            <w:r>
              <w:rPr>
                <w:b/>
                <w:bCs/>
                <w:sz w:val="20"/>
                <w:szCs w:val="20"/>
              </w:rPr>
              <w:t> </w:t>
            </w:r>
          </w:p>
        </w:tc>
        <w:tc>
          <w:tcPr>
            <w:tcW w:w="2347"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 </w:t>
            </w:r>
          </w:p>
        </w:tc>
        <w:tc>
          <w:tcPr>
            <w:tcW w:w="2519" w:type="dxa"/>
            <w:gridSpan w:val="3"/>
            <w:tcBorders>
              <w:top w:val="nil"/>
              <w:left w:val="nil"/>
              <w:bottom w:val="nil"/>
              <w:right w:val="nil"/>
            </w:tcBorders>
            <w:shd w:val="clear" w:color="000000" w:fill="C0C0C0"/>
            <w:noWrap/>
            <w:vAlign w:val="bottom"/>
            <w:hideMark/>
          </w:tcPr>
          <w:p w:rsidR="009501E0" w:rsidRDefault="009501E0">
            <w:pPr>
              <w:jc w:val="center"/>
              <w:rPr>
                <w:b/>
                <w:bCs/>
                <w:sz w:val="20"/>
                <w:szCs w:val="20"/>
              </w:rPr>
            </w:pPr>
            <w:r>
              <w:rPr>
                <w:b/>
                <w:bCs/>
                <w:sz w:val="20"/>
                <w:szCs w:val="20"/>
              </w:rPr>
              <w:t>Current¹</w:t>
            </w:r>
          </w:p>
        </w:tc>
        <w:tc>
          <w:tcPr>
            <w:tcW w:w="3252" w:type="dxa"/>
            <w:gridSpan w:val="3"/>
            <w:tcBorders>
              <w:top w:val="nil"/>
              <w:left w:val="nil"/>
              <w:bottom w:val="nil"/>
              <w:right w:val="single" w:sz="8" w:space="0" w:color="000000"/>
            </w:tcBorders>
            <w:shd w:val="clear" w:color="000000" w:fill="C0C0C0"/>
            <w:noWrap/>
            <w:vAlign w:val="bottom"/>
            <w:hideMark/>
          </w:tcPr>
          <w:p w:rsidR="009501E0" w:rsidRDefault="009501E0">
            <w:pPr>
              <w:jc w:val="center"/>
              <w:rPr>
                <w:b/>
                <w:bCs/>
                <w:sz w:val="20"/>
                <w:szCs w:val="20"/>
              </w:rPr>
            </w:pPr>
            <w:r>
              <w:rPr>
                <w:b/>
                <w:bCs/>
                <w:sz w:val="20"/>
                <w:szCs w:val="20"/>
              </w:rPr>
              <w:t>Staff Proposed</w:t>
            </w:r>
          </w:p>
        </w:tc>
      </w:tr>
      <w:tr w:rsidR="009501E0" w:rsidTr="00EF46F1">
        <w:trPr>
          <w:trHeight w:val="264"/>
          <w:jc w:val="center"/>
        </w:trPr>
        <w:tc>
          <w:tcPr>
            <w:tcW w:w="995" w:type="dxa"/>
            <w:tcBorders>
              <w:top w:val="nil"/>
              <w:left w:val="single" w:sz="8" w:space="0" w:color="auto"/>
              <w:bottom w:val="nil"/>
              <w:right w:val="nil"/>
            </w:tcBorders>
            <w:shd w:val="clear" w:color="000000" w:fill="C0C0C0"/>
            <w:noWrap/>
            <w:vAlign w:val="bottom"/>
            <w:hideMark/>
          </w:tcPr>
          <w:p w:rsidR="009501E0" w:rsidRDefault="009501E0">
            <w:pPr>
              <w:jc w:val="center"/>
              <w:rPr>
                <w:sz w:val="20"/>
                <w:szCs w:val="20"/>
              </w:rPr>
            </w:pPr>
            <w:r>
              <w:rPr>
                <w:sz w:val="20"/>
                <w:szCs w:val="20"/>
              </w:rPr>
              <w:t>Account</w:t>
            </w:r>
          </w:p>
        </w:tc>
        <w:tc>
          <w:tcPr>
            <w:tcW w:w="2347" w:type="dxa"/>
            <w:vMerge w:val="restart"/>
            <w:tcBorders>
              <w:top w:val="nil"/>
              <w:left w:val="nil"/>
              <w:bottom w:val="nil"/>
              <w:right w:val="nil"/>
            </w:tcBorders>
            <w:shd w:val="clear" w:color="000000" w:fill="C0C0C0"/>
            <w:noWrap/>
            <w:vAlign w:val="center"/>
            <w:hideMark/>
          </w:tcPr>
          <w:p w:rsidR="009501E0" w:rsidRDefault="009501E0">
            <w:pPr>
              <w:jc w:val="center"/>
              <w:rPr>
                <w:sz w:val="20"/>
                <w:szCs w:val="20"/>
              </w:rPr>
            </w:pPr>
            <w:r>
              <w:rPr>
                <w:sz w:val="20"/>
                <w:szCs w:val="20"/>
              </w:rPr>
              <w:t>Account Title</w:t>
            </w:r>
          </w:p>
        </w:tc>
        <w:tc>
          <w:tcPr>
            <w:tcW w:w="1263"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Depreciation</w:t>
            </w:r>
          </w:p>
        </w:tc>
        <w:tc>
          <w:tcPr>
            <w:tcW w:w="990"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Annual</w:t>
            </w:r>
          </w:p>
        </w:tc>
        <w:tc>
          <w:tcPr>
            <w:tcW w:w="266" w:type="dxa"/>
            <w:tcBorders>
              <w:top w:val="nil"/>
              <w:left w:val="nil"/>
              <w:bottom w:val="nil"/>
              <w:right w:val="nil"/>
            </w:tcBorders>
            <w:shd w:val="clear" w:color="000000" w:fill="C0C0C0"/>
            <w:noWrap/>
            <w:vAlign w:val="bottom"/>
            <w:hideMark/>
          </w:tcPr>
          <w:p w:rsidR="009501E0" w:rsidRDefault="009501E0">
            <w:pPr>
              <w:rPr>
                <w:sz w:val="20"/>
                <w:szCs w:val="20"/>
              </w:rPr>
            </w:pPr>
            <w:r>
              <w:rPr>
                <w:sz w:val="20"/>
                <w:szCs w:val="20"/>
              </w:rPr>
              <w:t> </w:t>
            </w:r>
          </w:p>
        </w:tc>
        <w:tc>
          <w:tcPr>
            <w:tcW w:w="1264"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Depreciation</w:t>
            </w:r>
          </w:p>
        </w:tc>
        <w:tc>
          <w:tcPr>
            <w:tcW w:w="899"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Annual</w:t>
            </w:r>
          </w:p>
        </w:tc>
        <w:tc>
          <w:tcPr>
            <w:tcW w:w="1089" w:type="dxa"/>
            <w:tcBorders>
              <w:top w:val="nil"/>
              <w:left w:val="nil"/>
              <w:bottom w:val="nil"/>
              <w:right w:val="single" w:sz="8" w:space="0" w:color="auto"/>
            </w:tcBorders>
            <w:shd w:val="clear" w:color="000000" w:fill="C0C0C0"/>
            <w:noWrap/>
            <w:vAlign w:val="bottom"/>
            <w:hideMark/>
          </w:tcPr>
          <w:p w:rsidR="009501E0" w:rsidRDefault="009501E0">
            <w:pPr>
              <w:jc w:val="center"/>
              <w:rPr>
                <w:sz w:val="20"/>
                <w:szCs w:val="20"/>
              </w:rPr>
            </w:pPr>
            <w:r>
              <w:rPr>
                <w:sz w:val="20"/>
                <w:szCs w:val="20"/>
              </w:rPr>
              <w:t>Change In</w:t>
            </w:r>
          </w:p>
        </w:tc>
      </w:tr>
      <w:tr w:rsidR="009501E0" w:rsidTr="00EF46F1">
        <w:trPr>
          <w:trHeight w:val="264"/>
          <w:jc w:val="center"/>
        </w:trPr>
        <w:tc>
          <w:tcPr>
            <w:tcW w:w="995" w:type="dxa"/>
            <w:tcBorders>
              <w:top w:val="nil"/>
              <w:left w:val="single" w:sz="8" w:space="0" w:color="auto"/>
              <w:bottom w:val="nil"/>
              <w:right w:val="nil"/>
            </w:tcBorders>
            <w:shd w:val="clear" w:color="000000" w:fill="C0C0C0"/>
            <w:noWrap/>
            <w:vAlign w:val="bottom"/>
            <w:hideMark/>
          </w:tcPr>
          <w:p w:rsidR="009501E0" w:rsidRDefault="009501E0">
            <w:pPr>
              <w:jc w:val="center"/>
              <w:rPr>
                <w:sz w:val="20"/>
                <w:szCs w:val="20"/>
              </w:rPr>
            </w:pPr>
            <w:r>
              <w:rPr>
                <w:sz w:val="20"/>
                <w:szCs w:val="20"/>
              </w:rPr>
              <w:t>Number</w:t>
            </w:r>
          </w:p>
        </w:tc>
        <w:tc>
          <w:tcPr>
            <w:tcW w:w="2347" w:type="dxa"/>
            <w:vMerge/>
            <w:tcBorders>
              <w:top w:val="nil"/>
              <w:left w:val="nil"/>
              <w:bottom w:val="nil"/>
              <w:right w:val="nil"/>
            </w:tcBorders>
            <w:vAlign w:val="center"/>
            <w:hideMark/>
          </w:tcPr>
          <w:p w:rsidR="009501E0" w:rsidRDefault="009501E0">
            <w:pPr>
              <w:rPr>
                <w:sz w:val="20"/>
                <w:szCs w:val="20"/>
              </w:rPr>
            </w:pPr>
          </w:p>
        </w:tc>
        <w:tc>
          <w:tcPr>
            <w:tcW w:w="1263"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Rate</w:t>
            </w:r>
          </w:p>
        </w:tc>
        <w:tc>
          <w:tcPr>
            <w:tcW w:w="990"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Expense</w:t>
            </w:r>
          </w:p>
        </w:tc>
        <w:tc>
          <w:tcPr>
            <w:tcW w:w="266" w:type="dxa"/>
            <w:tcBorders>
              <w:top w:val="nil"/>
              <w:left w:val="nil"/>
              <w:bottom w:val="nil"/>
              <w:right w:val="nil"/>
            </w:tcBorders>
            <w:shd w:val="clear" w:color="000000" w:fill="C0C0C0"/>
            <w:noWrap/>
            <w:vAlign w:val="bottom"/>
            <w:hideMark/>
          </w:tcPr>
          <w:p w:rsidR="009501E0" w:rsidRDefault="009501E0">
            <w:pPr>
              <w:rPr>
                <w:sz w:val="20"/>
                <w:szCs w:val="20"/>
              </w:rPr>
            </w:pPr>
            <w:r>
              <w:rPr>
                <w:sz w:val="20"/>
                <w:szCs w:val="20"/>
              </w:rPr>
              <w:t> </w:t>
            </w:r>
          </w:p>
        </w:tc>
        <w:tc>
          <w:tcPr>
            <w:tcW w:w="1264"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Rate</w:t>
            </w:r>
          </w:p>
        </w:tc>
        <w:tc>
          <w:tcPr>
            <w:tcW w:w="899" w:type="dxa"/>
            <w:tcBorders>
              <w:top w:val="nil"/>
              <w:left w:val="nil"/>
              <w:bottom w:val="nil"/>
              <w:right w:val="nil"/>
            </w:tcBorders>
            <w:shd w:val="clear" w:color="000000" w:fill="C0C0C0"/>
            <w:noWrap/>
            <w:vAlign w:val="bottom"/>
            <w:hideMark/>
          </w:tcPr>
          <w:p w:rsidR="009501E0" w:rsidRDefault="009501E0">
            <w:pPr>
              <w:jc w:val="center"/>
              <w:rPr>
                <w:sz w:val="20"/>
                <w:szCs w:val="20"/>
              </w:rPr>
            </w:pPr>
            <w:r>
              <w:rPr>
                <w:sz w:val="20"/>
                <w:szCs w:val="20"/>
              </w:rPr>
              <w:t>Expense</w:t>
            </w:r>
          </w:p>
        </w:tc>
        <w:tc>
          <w:tcPr>
            <w:tcW w:w="1089" w:type="dxa"/>
            <w:tcBorders>
              <w:top w:val="nil"/>
              <w:left w:val="nil"/>
              <w:bottom w:val="nil"/>
              <w:right w:val="single" w:sz="8" w:space="0" w:color="auto"/>
            </w:tcBorders>
            <w:shd w:val="clear" w:color="000000" w:fill="C0C0C0"/>
            <w:noWrap/>
            <w:vAlign w:val="bottom"/>
            <w:hideMark/>
          </w:tcPr>
          <w:p w:rsidR="009501E0" w:rsidRDefault="009501E0">
            <w:pPr>
              <w:jc w:val="center"/>
              <w:rPr>
                <w:sz w:val="20"/>
                <w:szCs w:val="20"/>
              </w:rPr>
            </w:pPr>
            <w:r>
              <w:rPr>
                <w:sz w:val="20"/>
                <w:szCs w:val="20"/>
              </w:rPr>
              <w:t>Expense</w:t>
            </w:r>
          </w:p>
        </w:tc>
      </w:tr>
      <w:tr w:rsidR="009501E0" w:rsidTr="00EF46F1">
        <w:trPr>
          <w:trHeight w:val="300"/>
          <w:jc w:val="center"/>
        </w:trPr>
        <w:tc>
          <w:tcPr>
            <w:tcW w:w="3342" w:type="dxa"/>
            <w:gridSpan w:val="2"/>
            <w:tcBorders>
              <w:top w:val="nil"/>
              <w:left w:val="single" w:sz="8" w:space="0" w:color="auto"/>
              <w:bottom w:val="single" w:sz="8" w:space="0" w:color="auto"/>
              <w:right w:val="nil"/>
            </w:tcBorders>
            <w:shd w:val="clear" w:color="000000" w:fill="C0C0C0"/>
            <w:noWrap/>
            <w:vAlign w:val="bottom"/>
            <w:hideMark/>
          </w:tcPr>
          <w:p w:rsidR="009501E0" w:rsidRDefault="009501E0">
            <w:pPr>
              <w:rPr>
                <w:sz w:val="20"/>
                <w:szCs w:val="20"/>
              </w:rPr>
            </w:pPr>
            <w:r>
              <w:rPr>
                <w:sz w:val="20"/>
                <w:szCs w:val="20"/>
              </w:rPr>
              <w:t> </w:t>
            </w:r>
          </w:p>
        </w:tc>
        <w:tc>
          <w:tcPr>
            <w:tcW w:w="1263"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w:t>
            </w:r>
          </w:p>
        </w:tc>
        <w:tc>
          <w:tcPr>
            <w:tcW w:w="990"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w:t>
            </w:r>
          </w:p>
        </w:tc>
        <w:tc>
          <w:tcPr>
            <w:tcW w:w="266" w:type="dxa"/>
            <w:tcBorders>
              <w:top w:val="nil"/>
              <w:left w:val="nil"/>
              <w:bottom w:val="single" w:sz="8" w:space="0" w:color="auto"/>
              <w:right w:val="nil"/>
            </w:tcBorders>
            <w:shd w:val="clear" w:color="000000" w:fill="C0C0C0"/>
            <w:noWrap/>
            <w:vAlign w:val="bottom"/>
            <w:hideMark/>
          </w:tcPr>
          <w:p w:rsidR="009501E0" w:rsidRDefault="009501E0">
            <w:pPr>
              <w:rPr>
                <w:sz w:val="20"/>
                <w:szCs w:val="20"/>
              </w:rPr>
            </w:pPr>
            <w:r>
              <w:rPr>
                <w:sz w:val="20"/>
                <w:szCs w:val="20"/>
              </w:rPr>
              <w:t> </w:t>
            </w:r>
          </w:p>
        </w:tc>
        <w:tc>
          <w:tcPr>
            <w:tcW w:w="1264"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w:t>
            </w:r>
          </w:p>
        </w:tc>
        <w:tc>
          <w:tcPr>
            <w:tcW w:w="899" w:type="dxa"/>
            <w:tcBorders>
              <w:top w:val="nil"/>
              <w:left w:val="nil"/>
              <w:bottom w:val="single" w:sz="8" w:space="0" w:color="auto"/>
              <w:right w:val="nil"/>
            </w:tcBorders>
            <w:shd w:val="clear" w:color="000000" w:fill="C0C0C0"/>
            <w:noWrap/>
            <w:vAlign w:val="bottom"/>
            <w:hideMark/>
          </w:tcPr>
          <w:p w:rsidR="009501E0" w:rsidRDefault="009501E0">
            <w:pPr>
              <w:jc w:val="center"/>
              <w:rPr>
                <w:sz w:val="20"/>
                <w:szCs w:val="20"/>
              </w:rPr>
            </w:pPr>
            <w:r>
              <w:rPr>
                <w:sz w:val="20"/>
                <w:szCs w:val="20"/>
              </w:rPr>
              <w:t>($)</w:t>
            </w:r>
          </w:p>
        </w:tc>
        <w:tc>
          <w:tcPr>
            <w:tcW w:w="1089" w:type="dxa"/>
            <w:tcBorders>
              <w:top w:val="nil"/>
              <w:left w:val="nil"/>
              <w:bottom w:val="single" w:sz="8" w:space="0" w:color="auto"/>
              <w:right w:val="single" w:sz="8" w:space="0" w:color="auto"/>
            </w:tcBorders>
            <w:shd w:val="clear" w:color="000000" w:fill="C0C0C0"/>
            <w:noWrap/>
            <w:vAlign w:val="bottom"/>
            <w:hideMark/>
          </w:tcPr>
          <w:p w:rsidR="009501E0" w:rsidRDefault="009501E0">
            <w:pPr>
              <w:jc w:val="center"/>
              <w:rPr>
                <w:sz w:val="20"/>
                <w:szCs w:val="20"/>
              </w:rPr>
            </w:pPr>
            <w:r>
              <w:rPr>
                <w:sz w:val="20"/>
                <w:szCs w:val="20"/>
              </w:rPr>
              <w:t>($)</w:t>
            </w:r>
          </w:p>
        </w:tc>
      </w:tr>
      <w:tr w:rsidR="009501E0" w:rsidTr="00EF46F1">
        <w:trPr>
          <w:trHeight w:val="288"/>
          <w:jc w:val="center"/>
        </w:trPr>
        <w:tc>
          <w:tcPr>
            <w:tcW w:w="3342"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9501E0" w:rsidRDefault="009501E0">
            <w:pPr>
              <w:rPr>
                <w:sz w:val="20"/>
                <w:szCs w:val="20"/>
              </w:rPr>
            </w:pPr>
            <w:r>
              <w:rPr>
                <w:sz w:val="20"/>
                <w:szCs w:val="20"/>
              </w:rPr>
              <w:t>DISTRIBUTION PLANT</w:t>
            </w:r>
          </w:p>
        </w:tc>
        <w:tc>
          <w:tcPr>
            <w:tcW w:w="1263"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990"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266" w:type="dxa"/>
            <w:tcBorders>
              <w:top w:val="nil"/>
              <w:left w:val="nil"/>
              <w:bottom w:val="nil"/>
              <w:right w:val="nil"/>
            </w:tcBorders>
            <w:shd w:val="clear" w:color="000000" w:fill="C0C0C0"/>
            <w:noWrap/>
            <w:vAlign w:val="bottom"/>
            <w:hideMark/>
          </w:tcPr>
          <w:p w:rsidR="009501E0" w:rsidRDefault="009501E0">
            <w:pPr>
              <w:rPr>
                <w:sz w:val="20"/>
                <w:szCs w:val="20"/>
              </w:rPr>
            </w:pPr>
            <w:r>
              <w:rPr>
                <w:sz w:val="20"/>
                <w:szCs w:val="20"/>
              </w:rPr>
              <w:t> </w:t>
            </w:r>
          </w:p>
        </w:tc>
        <w:tc>
          <w:tcPr>
            <w:tcW w:w="1264"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899" w:type="dxa"/>
            <w:tcBorders>
              <w:top w:val="nil"/>
              <w:left w:val="nil"/>
              <w:bottom w:val="single" w:sz="4" w:space="0" w:color="auto"/>
              <w:right w:val="nil"/>
            </w:tcBorders>
            <w:shd w:val="clear" w:color="000000" w:fill="C0C0C0"/>
            <w:noWrap/>
            <w:vAlign w:val="bottom"/>
            <w:hideMark/>
          </w:tcPr>
          <w:p w:rsidR="009501E0" w:rsidRDefault="009501E0">
            <w:pPr>
              <w:jc w:val="center"/>
              <w:rPr>
                <w:sz w:val="20"/>
                <w:szCs w:val="20"/>
              </w:rPr>
            </w:pPr>
            <w:r>
              <w:rPr>
                <w:sz w:val="20"/>
                <w:szCs w:val="20"/>
              </w:rPr>
              <w:t> </w:t>
            </w:r>
          </w:p>
        </w:tc>
        <w:tc>
          <w:tcPr>
            <w:tcW w:w="1089" w:type="dxa"/>
            <w:tcBorders>
              <w:top w:val="nil"/>
              <w:left w:val="nil"/>
              <w:bottom w:val="single" w:sz="4" w:space="0" w:color="auto"/>
              <w:right w:val="single" w:sz="8" w:space="0" w:color="auto"/>
            </w:tcBorders>
            <w:shd w:val="clear" w:color="000000" w:fill="C0C0C0"/>
            <w:noWrap/>
            <w:vAlign w:val="bottom"/>
            <w:hideMark/>
          </w:tcPr>
          <w:p w:rsidR="009501E0" w:rsidRDefault="009501E0">
            <w:pPr>
              <w:jc w:val="center"/>
              <w:rPr>
                <w:sz w:val="20"/>
                <w:szCs w:val="20"/>
              </w:rPr>
            </w:pPr>
            <w:r>
              <w:rPr>
                <w:sz w:val="20"/>
                <w:szCs w:val="20"/>
              </w:rPr>
              <w:t> </w:t>
            </w:r>
          </w:p>
        </w:tc>
      </w:tr>
      <w:tr w:rsidR="009501E0" w:rsidTr="00EF46F1">
        <w:trPr>
          <w:trHeight w:val="528"/>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375</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Structures &amp; Improvements</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2.7</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578 </w:t>
            </w:r>
          </w:p>
        </w:tc>
        <w:tc>
          <w:tcPr>
            <w:tcW w:w="266" w:type="dxa"/>
            <w:tcBorders>
              <w:top w:val="nil"/>
              <w:left w:val="nil"/>
              <w:bottom w:val="nil"/>
              <w:right w:val="single" w:sz="4" w:space="0" w:color="auto"/>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1.6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342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(236)</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376.1</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Mains - Plastic</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3.4</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36,860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3.2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34,692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(2,168)</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376.2</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Mains - Steel</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3.3</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100,521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3.1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94,429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(6,092)</w:t>
            </w:r>
          </w:p>
        </w:tc>
      </w:tr>
      <w:tr w:rsidR="009501E0" w:rsidTr="00EF46F1">
        <w:trPr>
          <w:trHeight w:val="528"/>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378</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M&amp;R Station Equip. - Distribution</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3.6</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3,560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3.0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2,967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(593)</w:t>
            </w:r>
          </w:p>
        </w:tc>
      </w:tr>
      <w:tr w:rsidR="009501E0" w:rsidTr="00EF46F1">
        <w:trPr>
          <w:trHeight w:val="528"/>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379</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M&amp;R Station Equip. - City Gate</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3.0</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13,772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2.5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11,477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(2,295)</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380.1</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Services - Plastic</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3.4</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22,160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2.9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18,901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(3,259)</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380.2</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Services - Steel</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3.0</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3,294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3.9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4,282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988 </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381</w:t>
            </w:r>
          </w:p>
        </w:tc>
        <w:tc>
          <w:tcPr>
            <w:tcW w:w="2347" w:type="dxa"/>
            <w:tcBorders>
              <w:top w:val="nil"/>
              <w:left w:val="nil"/>
              <w:bottom w:val="single" w:sz="4" w:space="0" w:color="auto"/>
              <w:right w:val="single" w:sz="4" w:space="0" w:color="auto"/>
            </w:tcBorders>
            <w:shd w:val="clear" w:color="000000" w:fill="FFFFFF"/>
            <w:vAlign w:val="bottom"/>
            <w:hideMark/>
          </w:tcPr>
          <w:p w:rsidR="009501E0" w:rsidRDefault="009501E0">
            <w:pPr>
              <w:rPr>
                <w:color w:val="000000"/>
                <w:sz w:val="20"/>
                <w:szCs w:val="20"/>
              </w:rPr>
            </w:pPr>
            <w:r>
              <w:rPr>
                <w:color w:val="000000"/>
                <w:sz w:val="20"/>
                <w:szCs w:val="20"/>
              </w:rPr>
              <w:t>Meters</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4.2</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23,567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3.8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21,323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(2,244)</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382</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Meter Installations</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4.8</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3,477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3.0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2,173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(1,304)</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383</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Regulators</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3.4</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6,485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3.1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5,912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(573)</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384</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Regulator Installations</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4.4</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1,481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3.5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1,178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(303)</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385</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Industrial M&amp;R Equip.</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3.8</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2,059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3.4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1,843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(216)</w:t>
            </w:r>
          </w:p>
        </w:tc>
      </w:tr>
      <w:tr w:rsidR="009501E0" w:rsidRPr="00BE3805"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387</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Other Equipment</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11.4</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1,596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Pr="00BE3805" w:rsidRDefault="00BE3805">
            <w:pPr>
              <w:jc w:val="right"/>
              <w:rPr>
                <w:color w:val="000000"/>
                <w:sz w:val="20"/>
                <w:szCs w:val="20"/>
              </w:rPr>
            </w:pPr>
            <w:r w:rsidRPr="00BE3805">
              <w:rPr>
                <w:color w:val="000000"/>
                <w:sz w:val="20"/>
                <w:szCs w:val="20"/>
              </w:rPr>
              <w:t>7.1</w:t>
            </w:r>
            <w:r w:rsidR="009501E0" w:rsidRPr="00BE3805">
              <w:rPr>
                <w:color w:val="000000"/>
                <w:sz w:val="20"/>
                <w:szCs w:val="20"/>
              </w:rPr>
              <w:t xml:space="preserve">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Pr="00BE3805" w:rsidRDefault="009501E0">
            <w:pPr>
              <w:jc w:val="right"/>
              <w:rPr>
                <w:color w:val="000000"/>
                <w:sz w:val="20"/>
                <w:szCs w:val="20"/>
              </w:rPr>
            </w:pPr>
            <w:r w:rsidRPr="00BE3805">
              <w:rPr>
                <w:color w:val="000000"/>
                <w:sz w:val="20"/>
                <w:szCs w:val="20"/>
              </w:rPr>
              <w:t xml:space="preserve">0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Pr="00BE3805" w:rsidRDefault="009501E0">
            <w:pPr>
              <w:jc w:val="right"/>
              <w:rPr>
                <w:color w:val="000000"/>
                <w:sz w:val="20"/>
                <w:szCs w:val="20"/>
              </w:rPr>
            </w:pPr>
            <w:r w:rsidRPr="00BE3805">
              <w:rPr>
                <w:color w:val="FF0000"/>
                <w:sz w:val="20"/>
                <w:szCs w:val="20"/>
              </w:rPr>
              <w:t>(1,596)</w:t>
            </w:r>
          </w:p>
        </w:tc>
      </w:tr>
      <w:tr w:rsidR="009501E0" w:rsidTr="00EF46F1">
        <w:trPr>
          <w:trHeight w:val="264"/>
          <w:jc w:val="center"/>
        </w:trPr>
        <w:tc>
          <w:tcPr>
            <w:tcW w:w="3342" w:type="dxa"/>
            <w:gridSpan w:val="2"/>
            <w:tcBorders>
              <w:top w:val="nil"/>
              <w:left w:val="single" w:sz="8" w:space="0" w:color="auto"/>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GENERAL PLANT</w:t>
            </w:r>
          </w:p>
        </w:tc>
        <w:tc>
          <w:tcPr>
            <w:tcW w:w="1263"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990"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899"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089" w:type="dxa"/>
            <w:tcBorders>
              <w:top w:val="nil"/>
              <w:left w:val="nil"/>
              <w:bottom w:val="nil"/>
              <w:right w:val="single" w:sz="8" w:space="0" w:color="auto"/>
            </w:tcBorders>
            <w:shd w:val="clear" w:color="000000" w:fill="BFBFBF"/>
            <w:noWrap/>
            <w:vAlign w:val="bottom"/>
            <w:hideMark/>
          </w:tcPr>
          <w:p w:rsidR="009501E0" w:rsidRDefault="009501E0">
            <w:pPr>
              <w:rPr>
                <w:color w:val="000000"/>
                <w:sz w:val="20"/>
                <w:szCs w:val="20"/>
              </w:rPr>
            </w:pPr>
            <w:r>
              <w:rPr>
                <w:color w:val="000000"/>
                <w:sz w:val="20"/>
                <w:szCs w:val="20"/>
              </w:rPr>
              <w:t> </w:t>
            </w:r>
          </w:p>
        </w:tc>
      </w:tr>
      <w:tr w:rsidR="009501E0" w:rsidTr="00EF46F1">
        <w:trPr>
          <w:trHeight w:val="528"/>
          <w:jc w:val="center"/>
        </w:trPr>
        <w:tc>
          <w:tcPr>
            <w:tcW w:w="99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390</w:t>
            </w:r>
          </w:p>
        </w:tc>
        <w:tc>
          <w:tcPr>
            <w:tcW w:w="2347" w:type="dxa"/>
            <w:tcBorders>
              <w:top w:val="single" w:sz="4" w:space="0" w:color="auto"/>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Structures &amp; Improvements</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2.7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4,228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1.9 </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2,976 </w:t>
            </w:r>
          </w:p>
        </w:tc>
        <w:tc>
          <w:tcPr>
            <w:tcW w:w="1089" w:type="dxa"/>
            <w:tcBorders>
              <w:top w:val="single" w:sz="4" w:space="0" w:color="auto"/>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(1,252)</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391.1</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Transportation Equip.</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7.4</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556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1.7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128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(428)</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391.2</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Office Devices</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12.6</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2,687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8.4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1,791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(896)</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391.3</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Office Computers</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6.3</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4,686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6.3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4,686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 </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392</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Transportation Equip.</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12.9</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46,608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9.3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33,601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(13,007)</w:t>
            </w:r>
          </w:p>
        </w:tc>
      </w:tr>
      <w:tr w:rsidR="009501E0" w:rsidTr="00EF46F1">
        <w:trPr>
          <w:trHeight w:val="528"/>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394</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Tools, Shop &amp; Garage Equip.</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5.5</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2,467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4.9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2,198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(269)</w:t>
            </w:r>
          </w:p>
        </w:tc>
      </w:tr>
      <w:tr w:rsidR="009501E0" w:rsidTr="00EF46F1">
        <w:trPr>
          <w:trHeight w:val="264"/>
          <w:jc w:val="center"/>
        </w:trPr>
        <w:tc>
          <w:tcPr>
            <w:tcW w:w="995" w:type="dxa"/>
            <w:tcBorders>
              <w:top w:val="nil"/>
              <w:left w:val="single" w:sz="8" w:space="0" w:color="auto"/>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396</w:t>
            </w:r>
          </w:p>
        </w:tc>
        <w:tc>
          <w:tcPr>
            <w:tcW w:w="2347" w:type="dxa"/>
            <w:tcBorders>
              <w:top w:val="nil"/>
              <w:left w:val="nil"/>
              <w:bottom w:val="single" w:sz="4" w:space="0" w:color="auto"/>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Power Operated Equip.</w:t>
            </w:r>
          </w:p>
        </w:tc>
        <w:tc>
          <w:tcPr>
            <w:tcW w:w="1263"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6.3</w:t>
            </w:r>
          </w:p>
        </w:tc>
        <w:tc>
          <w:tcPr>
            <w:tcW w:w="990"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5,971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0.6 </w:t>
            </w:r>
          </w:p>
        </w:tc>
        <w:tc>
          <w:tcPr>
            <w:tcW w:w="899" w:type="dxa"/>
            <w:tcBorders>
              <w:top w:val="nil"/>
              <w:left w:val="nil"/>
              <w:bottom w:val="single" w:sz="4" w:space="0" w:color="auto"/>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569 </w:t>
            </w:r>
          </w:p>
        </w:tc>
        <w:tc>
          <w:tcPr>
            <w:tcW w:w="1089" w:type="dxa"/>
            <w:tcBorders>
              <w:top w:val="nil"/>
              <w:left w:val="nil"/>
              <w:bottom w:val="single" w:sz="4" w:space="0" w:color="auto"/>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(5,402)</w:t>
            </w:r>
          </w:p>
        </w:tc>
      </w:tr>
      <w:tr w:rsidR="009501E0" w:rsidTr="00EF46F1">
        <w:trPr>
          <w:trHeight w:val="276"/>
          <w:jc w:val="center"/>
        </w:trPr>
        <w:tc>
          <w:tcPr>
            <w:tcW w:w="995" w:type="dxa"/>
            <w:tcBorders>
              <w:top w:val="nil"/>
              <w:left w:val="single" w:sz="8" w:space="0" w:color="auto"/>
              <w:bottom w:val="nil"/>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397</w:t>
            </w:r>
          </w:p>
        </w:tc>
        <w:tc>
          <w:tcPr>
            <w:tcW w:w="2347" w:type="dxa"/>
            <w:tcBorders>
              <w:top w:val="nil"/>
              <w:left w:val="nil"/>
              <w:bottom w:val="nil"/>
              <w:right w:val="single" w:sz="4" w:space="0" w:color="auto"/>
            </w:tcBorders>
            <w:shd w:val="clear" w:color="auto" w:fill="auto"/>
            <w:vAlign w:val="bottom"/>
            <w:hideMark/>
          </w:tcPr>
          <w:p w:rsidR="009501E0" w:rsidRDefault="009501E0">
            <w:pPr>
              <w:rPr>
                <w:color w:val="000000"/>
                <w:sz w:val="20"/>
                <w:szCs w:val="20"/>
              </w:rPr>
            </w:pPr>
            <w:r>
              <w:rPr>
                <w:color w:val="000000"/>
                <w:sz w:val="20"/>
                <w:szCs w:val="20"/>
              </w:rPr>
              <w:t>Communication Equip.</w:t>
            </w:r>
          </w:p>
        </w:tc>
        <w:tc>
          <w:tcPr>
            <w:tcW w:w="1263" w:type="dxa"/>
            <w:tcBorders>
              <w:top w:val="nil"/>
              <w:left w:val="nil"/>
              <w:bottom w:val="nil"/>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8.3</w:t>
            </w:r>
          </w:p>
        </w:tc>
        <w:tc>
          <w:tcPr>
            <w:tcW w:w="990" w:type="dxa"/>
            <w:tcBorders>
              <w:top w:val="nil"/>
              <w:left w:val="nil"/>
              <w:bottom w:val="nil"/>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449 </w:t>
            </w:r>
          </w:p>
        </w:tc>
        <w:tc>
          <w:tcPr>
            <w:tcW w:w="266" w:type="dxa"/>
            <w:tcBorders>
              <w:top w:val="nil"/>
              <w:left w:val="nil"/>
              <w:bottom w:val="nil"/>
              <w:right w:val="nil"/>
            </w:tcBorders>
            <w:shd w:val="clear" w:color="000000" w:fill="BFBFBF"/>
            <w:noWrap/>
            <w:vAlign w:val="bottom"/>
            <w:hideMark/>
          </w:tcPr>
          <w:p w:rsidR="009501E0" w:rsidRDefault="009501E0">
            <w:pPr>
              <w:rPr>
                <w:color w:val="000000"/>
                <w:sz w:val="20"/>
                <w:szCs w:val="20"/>
              </w:rPr>
            </w:pPr>
            <w:r>
              <w:rPr>
                <w:color w:val="000000"/>
                <w:sz w:val="20"/>
                <w:szCs w:val="20"/>
              </w:rPr>
              <w:t> </w:t>
            </w:r>
          </w:p>
        </w:tc>
        <w:tc>
          <w:tcPr>
            <w:tcW w:w="1264" w:type="dxa"/>
            <w:tcBorders>
              <w:top w:val="nil"/>
              <w:left w:val="single" w:sz="4" w:space="0" w:color="auto"/>
              <w:bottom w:val="nil"/>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6.2 </w:t>
            </w:r>
          </w:p>
        </w:tc>
        <w:tc>
          <w:tcPr>
            <w:tcW w:w="899" w:type="dxa"/>
            <w:tcBorders>
              <w:top w:val="nil"/>
              <w:left w:val="nil"/>
              <w:bottom w:val="nil"/>
              <w:right w:val="single" w:sz="4" w:space="0" w:color="auto"/>
            </w:tcBorders>
            <w:shd w:val="clear" w:color="auto" w:fill="auto"/>
            <w:noWrap/>
            <w:vAlign w:val="bottom"/>
            <w:hideMark/>
          </w:tcPr>
          <w:p w:rsidR="009501E0" w:rsidRDefault="009501E0">
            <w:pPr>
              <w:jc w:val="right"/>
              <w:rPr>
                <w:color w:val="000000"/>
                <w:sz w:val="20"/>
                <w:szCs w:val="20"/>
              </w:rPr>
            </w:pPr>
            <w:r>
              <w:rPr>
                <w:color w:val="000000"/>
                <w:sz w:val="20"/>
                <w:szCs w:val="20"/>
              </w:rPr>
              <w:t xml:space="preserve">336 </w:t>
            </w:r>
          </w:p>
        </w:tc>
        <w:tc>
          <w:tcPr>
            <w:tcW w:w="1089" w:type="dxa"/>
            <w:tcBorders>
              <w:top w:val="nil"/>
              <w:left w:val="nil"/>
              <w:bottom w:val="nil"/>
              <w:right w:val="single" w:sz="8" w:space="0" w:color="auto"/>
            </w:tcBorders>
            <w:shd w:val="clear" w:color="auto" w:fill="auto"/>
            <w:noWrap/>
            <w:vAlign w:val="bottom"/>
            <w:hideMark/>
          </w:tcPr>
          <w:p w:rsidR="009501E0" w:rsidRDefault="009501E0">
            <w:pPr>
              <w:jc w:val="right"/>
              <w:rPr>
                <w:color w:val="000000"/>
                <w:sz w:val="20"/>
                <w:szCs w:val="20"/>
              </w:rPr>
            </w:pPr>
            <w:r>
              <w:rPr>
                <w:color w:val="FF0000"/>
                <w:sz w:val="20"/>
                <w:szCs w:val="20"/>
              </w:rPr>
              <w:t>(113)</w:t>
            </w:r>
          </w:p>
        </w:tc>
      </w:tr>
      <w:tr w:rsidR="009501E0" w:rsidTr="00EF46F1">
        <w:trPr>
          <w:trHeight w:val="276"/>
          <w:jc w:val="center"/>
        </w:trPr>
        <w:tc>
          <w:tcPr>
            <w:tcW w:w="334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501E0" w:rsidRDefault="009501E0">
            <w:pPr>
              <w:jc w:val="right"/>
              <w:rPr>
                <w:b/>
                <w:bCs/>
                <w:sz w:val="20"/>
                <w:szCs w:val="20"/>
              </w:rPr>
            </w:pPr>
            <w:r>
              <w:rPr>
                <w:b/>
                <w:bCs/>
                <w:sz w:val="20"/>
                <w:szCs w:val="20"/>
              </w:rPr>
              <w:t>Total</w:t>
            </w:r>
          </w:p>
        </w:tc>
        <w:tc>
          <w:tcPr>
            <w:tcW w:w="1263" w:type="dxa"/>
            <w:tcBorders>
              <w:top w:val="single" w:sz="8" w:space="0" w:color="auto"/>
              <w:left w:val="nil"/>
              <w:bottom w:val="single" w:sz="8" w:space="0" w:color="auto"/>
              <w:right w:val="nil"/>
            </w:tcBorders>
            <w:shd w:val="clear" w:color="000000" w:fill="BFBFBF"/>
            <w:noWrap/>
            <w:vAlign w:val="bottom"/>
            <w:hideMark/>
          </w:tcPr>
          <w:p w:rsidR="009501E0" w:rsidRDefault="009501E0">
            <w:pPr>
              <w:jc w:val="right"/>
              <w:rPr>
                <w:color w:val="000000"/>
                <w:sz w:val="20"/>
                <w:szCs w:val="20"/>
              </w:rPr>
            </w:pPr>
            <w:r>
              <w:rPr>
                <w:color w:val="000000"/>
                <w:sz w:val="20"/>
                <w:szCs w:val="20"/>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501E0" w:rsidRDefault="009501E0">
            <w:pPr>
              <w:jc w:val="right"/>
              <w:rPr>
                <w:b/>
                <w:bCs/>
                <w:sz w:val="20"/>
                <w:szCs w:val="20"/>
              </w:rPr>
            </w:pPr>
            <w:r>
              <w:rPr>
                <w:b/>
                <w:bCs/>
                <w:sz w:val="20"/>
                <w:szCs w:val="20"/>
              </w:rPr>
              <w:t xml:space="preserve">287,064 </w:t>
            </w:r>
          </w:p>
        </w:tc>
        <w:tc>
          <w:tcPr>
            <w:tcW w:w="266" w:type="dxa"/>
            <w:tcBorders>
              <w:top w:val="nil"/>
              <w:left w:val="nil"/>
              <w:bottom w:val="single" w:sz="8" w:space="0" w:color="auto"/>
              <w:right w:val="nil"/>
            </w:tcBorders>
            <w:shd w:val="clear" w:color="000000" w:fill="BFBFBF"/>
            <w:noWrap/>
            <w:vAlign w:val="bottom"/>
            <w:hideMark/>
          </w:tcPr>
          <w:p w:rsidR="009501E0" w:rsidRDefault="009501E0">
            <w:pPr>
              <w:rPr>
                <w:sz w:val="20"/>
                <w:szCs w:val="20"/>
              </w:rPr>
            </w:pPr>
            <w:r>
              <w:rPr>
                <w:sz w:val="20"/>
                <w:szCs w:val="20"/>
              </w:rPr>
              <w:t> </w:t>
            </w:r>
          </w:p>
        </w:tc>
        <w:tc>
          <w:tcPr>
            <w:tcW w:w="1264" w:type="dxa"/>
            <w:tcBorders>
              <w:top w:val="single" w:sz="8" w:space="0" w:color="auto"/>
              <w:left w:val="single" w:sz="8" w:space="0" w:color="auto"/>
              <w:bottom w:val="single" w:sz="8" w:space="0" w:color="auto"/>
              <w:right w:val="nil"/>
            </w:tcBorders>
            <w:shd w:val="clear" w:color="000000" w:fill="BFBFBF"/>
            <w:noWrap/>
            <w:vAlign w:val="bottom"/>
            <w:hideMark/>
          </w:tcPr>
          <w:p w:rsidR="009501E0" w:rsidRDefault="009501E0">
            <w:pPr>
              <w:jc w:val="right"/>
              <w:rPr>
                <w:b/>
                <w:bCs/>
                <w:sz w:val="20"/>
                <w:szCs w:val="20"/>
              </w:rPr>
            </w:pPr>
            <w:r>
              <w:rPr>
                <w:b/>
                <w:bCs/>
                <w:sz w:val="20"/>
                <w:szCs w:val="20"/>
              </w:rPr>
              <w:t> </w:t>
            </w:r>
          </w:p>
        </w:tc>
        <w:tc>
          <w:tcPr>
            <w:tcW w:w="8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501E0" w:rsidRDefault="009501E0">
            <w:pPr>
              <w:jc w:val="right"/>
              <w:rPr>
                <w:b/>
                <w:bCs/>
                <w:sz w:val="20"/>
                <w:szCs w:val="20"/>
              </w:rPr>
            </w:pPr>
            <w:r>
              <w:rPr>
                <w:b/>
                <w:bCs/>
                <w:sz w:val="20"/>
                <w:szCs w:val="20"/>
              </w:rPr>
              <w:t xml:space="preserve">245,804 </w:t>
            </w:r>
          </w:p>
        </w:tc>
        <w:tc>
          <w:tcPr>
            <w:tcW w:w="1089" w:type="dxa"/>
            <w:tcBorders>
              <w:top w:val="single" w:sz="8" w:space="0" w:color="auto"/>
              <w:left w:val="nil"/>
              <w:bottom w:val="single" w:sz="8" w:space="0" w:color="auto"/>
              <w:right w:val="single" w:sz="8" w:space="0" w:color="auto"/>
            </w:tcBorders>
            <w:shd w:val="clear" w:color="auto" w:fill="auto"/>
            <w:noWrap/>
            <w:vAlign w:val="bottom"/>
            <w:hideMark/>
          </w:tcPr>
          <w:p w:rsidR="009501E0" w:rsidRDefault="009501E0">
            <w:pPr>
              <w:jc w:val="right"/>
              <w:rPr>
                <w:b/>
                <w:bCs/>
                <w:sz w:val="20"/>
                <w:szCs w:val="20"/>
              </w:rPr>
            </w:pPr>
            <w:r>
              <w:rPr>
                <w:b/>
                <w:bCs/>
                <w:color w:val="FF0000"/>
                <w:sz w:val="20"/>
                <w:szCs w:val="20"/>
              </w:rPr>
              <w:t>(41,258)</w:t>
            </w:r>
          </w:p>
        </w:tc>
      </w:tr>
      <w:tr w:rsidR="009501E0" w:rsidTr="00EF46F1">
        <w:trPr>
          <w:trHeight w:val="264"/>
          <w:jc w:val="center"/>
        </w:trPr>
        <w:tc>
          <w:tcPr>
            <w:tcW w:w="3342" w:type="dxa"/>
            <w:gridSpan w:val="2"/>
            <w:tcBorders>
              <w:top w:val="nil"/>
              <w:left w:val="nil"/>
              <w:bottom w:val="nil"/>
              <w:right w:val="nil"/>
            </w:tcBorders>
            <w:shd w:val="clear" w:color="auto" w:fill="auto"/>
            <w:noWrap/>
            <w:vAlign w:val="bottom"/>
            <w:hideMark/>
          </w:tcPr>
          <w:p w:rsidR="009501E0" w:rsidRDefault="009501E0">
            <w:pPr>
              <w:rPr>
                <w:color w:val="000000"/>
                <w:sz w:val="20"/>
                <w:szCs w:val="20"/>
              </w:rPr>
            </w:pPr>
            <w:r>
              <w:rPr>
                <w:color w:val="000000"/>
                <w:sz w:val="20"/>
                <w:szCs w:val="20"/>
              </w:rPr>
              <w:t>¹ Order No. PSC-13-0174-PAA-GU</w:t>
            </w:r>
          </w:p>
        </w:tc>
        <w:tc>
          <w:tcPr>
            <w:tcW w:w="1263"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990"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266"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1264"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899"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c>
          <w:tcPr>
            <w:tcW w:w="1089" w:type="dxa"/>
            <w:tcBorders>
              <w:top w:val="nil"/>
              <w:left w:val="nil"/>
              <w:bottom w:val="nil"/>
              <w:right w:val="nil"/>
            </w:tcBorders>
            <w:shd w:val="clear" w:color="auto" w:fill="auto"/>
            <w:noWrap/>
            <w:vAlign w:val="bottom"/>
            <w:hideMark/>
          </w:tcPr>
          <w:p w:rsidR="009501E0" w:rsidRDefault="009501E0">
            <w:pPr>
              <w:rPr>
                <w:color w:val="000000"/>
                <w:sz w:val="20"/>
                <w:szCs w:val="20"/>
              </w:rPr>
            </w:pPr>
          </w:p>
        </w:tc>
      </w:tr>
    </w:tbl>
    <w:p w:rsidR="00E06484" w:rsidRDefault="00E06484" w:rsidP="00BE3805">
      <w:pPr>
        <w:pStyle w:val="BodyText"/>
      </w:pPr>
    </w:p>
    <w:sectPr w:rsidR="00E06484" w:rsidSect="0068481F">
      <w:headerReference w:type="even" r:id="rId19"/>
      <w:headerReference w:type="default" r:id="rId20"/>
      <w:headerReference w:type="firs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2D3" w:rsidRDefault="004E42D3">
      <w:r>
        <w:separator/>
      </w:r>
    </w:p>
  </w:endnote>
  <w:endnote w:type="continuationSeparator" w:id="0">
    <w:p w:rsidR="004E42D3" w:rsidRDefault="004E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F7C11">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2D3" w:rsidRDefault="004E42D3">
      <w:r>
        <w:separator/>
      </w:r>
    </w:p>
  </w:footnote>
  <w:footnote w:type="continuationSeparator" w:id="0">
    <w:p w:rsidR="004E42D3" w:rsidRDefault="004E42D3">
      <w:r>
        <w:continuationSeparator/>
      </w:r>
    </w:p>
  </w:footnote>
  <w:footnote w:id="1">
    <w:p w:rsidR="004E42D3" w:rsidRDefault="004E42D3" w:rsidP="00204A63">
      <w:pPr>
        <w:pStyle w:val="FootnoteText"/>
      </w:pPr>
      <w:r w:rsidRPr="00470403">
        <w:rPr>
          <w:rStyle w:val="FootnoteReference"/>
        </w:rPr>
        <w:footnoteRef/>
      </w:r>
      <w:r w:rsidRPr="00470403">
        <w:t xml:space="preserve"> St Joe’s Annual Report of Natural Gas Utilities, Form PSC/ECR 020-G, at December 31, 2017, filed with the Florida Public Service Commission on June 7, 2018.</w:t>
      </w:r>
    </w:p>
  </w:footnote>
  <w:footnote w:id="2">
    <w:p w:rsidR="004E42D3" w:rsidRDefault="004E42D3" w:rsidP="00DF257F">
      <w:pPr>
        <w:pStyle w:val="FootnoteText"/>
      </w:pPr>
      <w:r>
        <w:rPr>
          <w:rStyle w:val="FootnoteReference"/>
        </w:rPr>
        <w:footnoteRef/>
      </w:r>
      <w:r>
        <w:t xml:space="preserve"> </w:t>
      </w:r>
      <w:proofErr w:type="gramStart"/>
      <w:r>
        <w:t>Order No.</w:t>
      </w:r>
      <w:proofErr w:type="gramEnd"/>
      <w:r>
        <w:t xml:space="preserve"> PSC-13-0174-PAA-GU, issued April 26, 2013, in Docket No. 20120325-GU, </w:t>
      </w:r>
      <w:r w:rsidRPr="0036180D">
        <w:rPr>
          <w:i/>
        </w:rPr>
        <w:t>In re: Application for approval of new depreciation rates, effective January 1, 2013, by St. Joe Natural Gas Company</w:t>
      </w:r>
      <w:r>
        <w:t>.</w:t>
      </w:r>
    </w:p>
  </w:footnote>
  <w:footnote w:id="3">
    <w:p w:rsidR="004E42D3" w:rsidRDefault="004E42D3">
      <w:pPr>
        <w:pStyle w:val="FootnoteText"/>
      </w:pPr>
      <w:r>
        <w:rPr>
          <w:rStyle w:val="FootnoteReference"/>
        </w:rPr>
        <w:footnoteRef/>
      </w:r>
      <w:r>
        <w:t xml:space="preserve"> </w:t>
      </w:r>
      <w:proofErr w:type="gramStart"/>
      <w:r w:rsidRPr="00615206">
        <w:t>Order No.</w:t>
      </w:r>
      <w:proofErr w:type="gramEnd"/>
      <w:r w:rsidRPr="00615206">
        <w:t xml:space="preserve"> </w:t>
      </w:r>
      <w:proofErr w:type="gramStart"/>
      <w:r w:rsidRPr="00615206">
        <w:t>PSC-13-0174-PAA-GU.</w:t>
      </w:r>
      <w:proofErr w:type="gramEnd"/>
    </w:p>
  </w:footnote>
  <w:footnote w:id="4">
    <w:p w:rsidR="004E42D3" w:rsidRDefault="004E42D3" w:rsidP="00143534">
      <w:pPr>
        <w:pStyle w:val="FootnoteText"/>
      </w:pPr>
      <w:r>
        <w:rPr>
          <w:rStyle w:val="FootnoteReference"/>
        </w:rPr>
        <w:footnoteRef/>
      </w:r>
      <w:r>
        <w:t xml:space="preserve"> </w:t>
      </w:r>
      <w:r w:rsidRPr="006F09CB">
        <w:t>See</w:t>
      </w:r>
      <w:r>
        <w:t xml:space="preserve"> Commission</w:t>
      </w:r>
      <w:r w:rsidRPr="006F09CB">
        <w:t xml:space="preserve"> Document No. 03668-2018</w:t>
      </w:r>
      <w:r>
        <w:t>.</w:t>
      </w:r>
    </w:p>
  </w:footnote>
  <w:footnote w:id="5">
    <w:p w:rsidR="004E42D3" w:rsidRDefault="004E42D3">
      <w:pPr>
        <w:pStyle w:val="FootnoteText"/>
      </w:pPr>
      <w:r>
        <w:rPr>
          <w:rStyle w:val="FootnoteReference"/>
        </w:rPr>
        <w:footnoteRef/>
      </w:r>
      <w:r>
        <w:t xml:space="preserve"> </w:t>
      </w:r>
      <w:proofErr w:type="gramStart"/>
      <w:r w:rsidRPr="00615206">
        <w:t>Order No.</w:t>
      </w:r>
      <w:proofErr w:type="gramEnd"/>
      <w:r w:rsidRPr="00615206">
        <w:t xml:space="preserve"> </w:t>
      </w:r>
      <w:proofErr w:type="gramStart"/>
      <w:r w:rsidRPr="00615206">
        <w:t>PSC-13-0174-PAA-GU.</w:t>
      </w:r>
      <w:proofErr w:type="gramEnd"/>
    </w:p>
  </w:footnote>
  <w:footnote w:id="6">
    <w:p w:rsidR="004E42D3" w:rsidRDefault="004E42D3" w:rsidP="00143534">
      <w:pPr>
        <w:pStyle w:val="FootnoteText"/>
      </w:pPr>
      <w:r>
        <w:rPr>
          <w:rStyle w:val="FootnoteReference"/>
        </w:rPr>
        <w:footnoteRef/>
      </w:r>
      <w:r>
        <w:t xml:space="preserve"> </w:t>
      </w:r>
      <w:r w:rsidRPr="00615206">
        <w:rPr>
          <w:u w:val="single"/>
        </w:rPr>
        <w:t>Id</w:t>
      </w:r>
      <w:r w:rsidRPr="00936149">
        <w:t>.</w:t>
      </w:r>
    </w:p>
  </w:footnote>
  <w:footnote w:id="7">
    <w:p w:rsidR="004E42D3" w:rsidRDefault="004E42D3" w:rsidP="00974E6F">
      <w:pPr>
        <w:pStyle w:val="FootnoteText"/>
      </w:pPr>
      <w:r>
        <w:rPr>
          <w:rStyle w:val="FootnoteReference"/>
        </w:rPr>
        <w:footnoteRef/>
      </w:r>
      <w:r>
        <w:t xml:space="preserve"> Bulletin 125, </w:t>
      </w:r>
      <w:r w:rsidRPr="008558EA">
        <w:rPr>
          <w:i/>
        </w:rPr>
        <w:t>Statistical Analysis of Industrial Reporting</w:t>
      </w:r>
      <w:r>
        <w:t>,</w:t>
      </w:r>
      <w:r w:rsidRPr="005370BB">
        <w:t xml:space="preserve"> published in 1935, by </w:t>
      </w:r>
      <w:proofErr w:type="spellStart"/>
      <w:r w:rsidRPr="005370BB">
        <w:t>Robley</w:t>
      </w:r>
      <w:proofErr w:type="spellEnd"/>
      <w:r w:rsidRPr="005370BB">
        <w:t xml:space="preserve"> Winfrey of the Iowa State College Engineering Experimental Station. The retirement distributions (depicted as the “Iowa Curves”) published in Bulletin 125 are </w:t>
      </w:r>
      <w:r>
        <w:t>widely-</w:t>
      </w:r>
      <w:r w:rsidRPr="005370BB">
        <w:t>accepted r</w:t>
      </w:r>
      <w:r>
        <w:t>epresentations of</w:t>
      </w:r>
      <w:r w:rsidRPr="005370BB">
        <w:t xml:space="preserve"> utility property</w:t>
      </w:r>
      <w:r>
        <w:t xml:space="preserve"> retirement patterns</w:t>
      </w:r>
      <w:r w:rsidRPr="005370BB">
        <w:t>.</w:t>
      </w:r>
      <w:r w:rsidRPr="005F5529">
        <w:t xml:space="preserve"> Iowa curves are comprised of</w:t>
      </w:r>
      <w:r>
        <w:t xml:space="preserve"> a set of standardized patterns</w:t>
      </w:r>
      <w:r w:rsidRPr="005F5529">
        <w:t xml:space="preserve"> </w:t>
      </w:r>
      <w:r>
        <w:t>(</w:t>
      </w:r>
      <w:r w:rsidRPr="005F5529">
        <w:t>or curve shapes</w:t>
      </w:r>
      <w:r>
        <w:t>)</w:t>
      </w:r>
      <w:r w:rsidRPr="005F5529">
        <w:t xml:space="preserve">, of asset retirement dispersion organized into four broad classes: “S,” “R,” “L,” </w:t>
      </w:r>
      <w:r>
        <w:t>and “O” curves. The inherent logic of the Iowa Curves is that the same type o</w:t>
      </w:r>
      <w:r w:rsidRPr="005F5529">
        <w:t>f plant, living in the same environments, generally experiencing the same external f</w:t>
      </w:r>
      <w:r>
        <w:t>actors, will continue to follow</w:t>
      </w:r>
      <w:r w:rsidRPr="008558EA">
        <w:t xml:space="preserve"> </w:t>
      </w:r>
      <w:r w:rsidRPr="005F5529">
        <w:t>the same mortality pattern, or until</w:t>
      </w:r>
      <w:r>
        <w:t xml:space="preserve"> factors/considerations change.</w:t>
      </w:r>
    </w:p>
  </w:footnote>
  <w:footnote w:id="8">
    <w:p w:rsidR="004E42D3" w:rsidRDefault="004E42D3" w:rsidP="00177921">
      <w:pPr>
        <w:pStyle w:val="FootnoteText"/>
      </w:pPr>
      <w:r>
        <w:rPr>
          <w:rStyle w:val="FootnoteReference"/>
        </w:rPr>
        <w:footnoteRef/>
      </w:r>
      <w:r>
        <w:t xml:space="preserve"> </w:t>
      </w:r>
      <w:proofErr w:type="gramStart"/>
      <w:r w:rsidRPr="00936149">
        <w:t>Order No.</w:t>
      </w:r>
      <w:proofErr w:type="gramEnd"/>
      <w:r w:rsidRPr="00936149">
        <w:t xml:space="preserve"> </w:t>
      </w:r>
      <w:proofErr w:type="gramStart"/>
      <w:r w:rsidRPr="00936149">
        <w:t>PSC-13-0174-PAA-GU</w:t>
      </w:r>
      <w:r>
        <w:t>.</w:t>
      </w:r>
      <w:proofErr w:type="gramEnd"/>
    </w:p>
  </w:footnote>
  <w:footnote w:id="9">
    <w:p w:rsidR="004E42D3" w:rsidRDefault="004E42D3" w:rsidP="005370BB">
      <w:pPr>
        <w:pStyle w:val="FootnoteText"/>
      </w:pPr>
      <w:r>
        <w:rPr>
          <w:rStyle w:val="FootnoteReference"/>
        </w:rPr>
        <w:footnoteRef/>
      </w:r>
      <w:r>
        <w:t xml:space="preserve"> See Commission Rule 25-7.045(1</w:t>
      </w:r>
      <w:proofErr w:type="gramStart"/>
      <w:r>
        <w:t>)(</w:t>
      </w:r>
      <w:proofErr w:type="gramEnd"/>
      <w:r>
        <w:t>k), F. A. C., which prescribes a Theoretical Reserve being equal to: Book Investment minus Future Accruals minus Future Net Salvage.</w:t>
      </w:r>
    </w:p>
  </w:footnote>
  <w:footnote w:id="10">
    <w:p w:rsidR="004E42D3" w:rsidRDefault="004E42D3" w:rsidP="00D96560">
      <w:pPr>
        <w:pStyle w:val="FootnoteText"/>
      </w:pPr>
      <w:r>
        <w:rPr>
          <w:rStyle w:val="FootnoteReference"/>
        </w:rPr>
        <w:footnoteRef/>
      </w:r>
      <w:r>
        <w:t xml:space="preserve"> </w:t>
      </w:r>
      <w:proofErr w:type="gramStart"/>
      <w:r>
        <w:t xml:space="preserve">See </w:t>
      </w:r>
      <w:r w:rsidRPr="00143534">
        <w:t>St. Joe’s 2017 Depreciation Study</w:t>
      </w:r>
      <w:r>
        <w:t xml:space="preserve">, </w:t>
      </w:r>
      <w:r w:rsidRPr="00EC4179">
        <w:t>Filing Requirements 6(f)</w:t>
      </w:r>
      <w:r>
        <w:t>.</w:t>
      </w:r>
      <w:proofErr w:type="gramEnd"/>
    </w:p>
  </w:footnote>
  <w:footnote w:id="11">
    <w:p w:rsidR="004E42D3" w:rsidRDefault="004E42D3" w:rsidP="00D96560">
      <w:pPr>
        <w:pStyle w:val="FootnoteText"/>
      </w:pPr>
      <w:r>
        <w:rPr>
          <w:rStyle w:val="FootnoteReference"/>
        </w:rPr>
        <w:footnoteRef/>
      </w:r>
      <w:r>
        <w:t xml:space="preserve"> </w:t>
      </w:r>
      <w:r w:rsidRPr="00D065D2">
        <w:rPr>
          <w:u w:val="single"/>
        </w:rPr>
        <w:t>Id</w:t>
      </w:r>
      <w:r>
        <w:t>.</w:t>
      </w:r>
    </w:p>
  </w:footnote>
  <w:footnote w:id="12">
    <w:p w:rsidR="004E42D3" w:rsidRDefault="004E42D3" w:rsidP="00D96560">
      <w:pPr>
        <w:pStyle w:val="FootnoteText"/>
      </w:pPr>
      <w:r>
        <w:rPr>
          <w:rStyle w:val="FootnoteReference"/>
        </w:rPr>
        <w:footnoteRef/>
      </w:r>
      <w:r>
        <w:t xml:space="preserve"> </w:t>
      </w:r>
      <w:proofErr w:type="gramStart"/>
      <w:r>
        <w:t xml:space="preserve">Approved </w:t>
      </w:r>
      <w:r w:rsidRPr="002049E7">
        <w:t xml:space="preserve">NS </w:t>
      </w:r>
      <w:r>
        <w:t>levels (steel services) for</w:t>
      </w:r>
      <w:r w:rsidRPr="002049E7">
        <w:t xml:space="preserve"> </w:t>
      </w:r>
      <w:r>
        <w:t>Florida’s gas utilities range from (</w:t>
      </w:r>
      <w:r w:rsidRPr="002049E7">
        <w:t>125</w:t>
      </w:r>
      <w:r>
        <w:t>)</w:t>
      </w:r>
      <w:r w:rsidRPr="002049E7">
        <w:t xml:space="preserve"> </w:t>
      </w:r>
      <w:r>
        <w:t xml:space="preserve">percent </w:t>
      </w:r>
      <w:r w:rsidRPr="002049E7">
        <w:t xml:space="preserve">to </w:t>
      </w:r>
      <w:r>
        <w:t>(30) percent, with an arithmetic mean of (77)</w:t>
      </w:r>
      <w:r w:rsidRPr="002049E7">
        <w:t xml:space="preserve"> percent.</w:t>
      </w:r>
      <w:proofErr w:type="gramEnd"/>
      <w:r>
        <w:t xml:space="preserve"> See </w:t>
      </w:r>
      <w:r w:rsidRPr="005F0E6F">
        <w:t xml:space="preserve">Order No. </w:t>
      </w:r>
      <w:bookmarkStart w:id="17" w:name="OrderNo0698"/>
      <w:r w:rsidRPr="005F0E6F">
        <w:t>PSC-14-0698-PAA-GU</w:t>
      </w:r>
      <w:bookmarkEnd w:id="17"/>
      <w:r>
        <w:t>, i</w:t>
      </w:r>
      <w:r w:rsidRPr="005F0E6F">
        <w:t xml:space="preserve">ssued December 18, 2014, in Docket </w:t>
      </w:r>
      <w:proofErr w:type="gramStart"/>
      <w:r w:rsidRPr="005F0E6F">
        <w:t>No</w:t>
      </w:r>
      <w:proofErr w:type="gramEnd"/>
      <w:r w:rsidRPr="005F0E6F">
        <w:t xml:space="preserve">. </w:t>
      </w:r>
      <w:bookmarkStart w:id="18" w:name="SSDocketNo"/>
      <w:bookmarkEnd w:id="18"/>
      <w:r w:rsidRPr="005F0E6F">
        <w:t>140016-GU,</w:t>
      </w:r>
      <w:r>
        <w:t xml:space="preserve"> </w:t>
      </w:r>
      <w:r w:rsidRPr="00AD0090">
        <w:rPr>
          <w:i/>
        </w:rPr>
        <w:t xml:space="preserve">In re: </w:t>
      </w:r>
      <w:bookmarkStart w:id="19" w:name="SSInRe"/>
      <w:bookmarkEnd w:id="19"/>
      <w:r w:rsidRPr="00AD0090">
        <w:rPr>
          <w:i/>
        </w:rPr>
        <w:t>2014 depreciation study by Florida Public Utilities Company</w:t>
      </w:r>
      <w:r>
        <w:t xml:space="preserve">; Order No. PSC-17-0066-AS-GU, </w:t>
      </w:r>
      <w:r w:rsidRPr="005F0E6F">
        <w:t>Issued February 28, 2017</w:t>
      </w:r>
      <w:r>
        <w:t>, in Docket No</w:t>
      </w:r>
      <w:r w:rsidRPr="005F0E6F">
        <w:t>. 160159-GU</w:t>
      </w:r>
      <w:r>
        <w:t xml:space="preserve">, </w:t>
      </w:r>
      <w:r w:rsidRPr="00AD0090">
        <w:rPr>
          <w:i/>
        </w:rPr>
        <w:t>In re: Petition for approval of settlement agreement pertaining to Peoples Gas System's 2016 depreciation study, environmental reserve account, problematic plastic pipe replacement, and authorized ROE</w:t>
      </w:r>
      <w:r>
        <w:t>; Order No. PSC-16-0574-PAA-GU, i</w:t>
      </w:r>
      <w:r w:rsidRPr="005F0E6F">
        <w:t xml:space="preserve">ssued December 19, 2016, in Docket </w:t>
      </w:r>
      <w:proofErr w:type="gramStart"/>
      <w:r w:rsidRPr="005F0E6F">
        <w:t>No</w:t>
      </w:r>
      <w:proofErr w:type="gramEnd"/>
      <w:r w:rsidRPr="005F0E6F">
        <w:t xml:space="preserve">. 160174-GU, </w:t>
      </w:r>
      <w:r w:rsidRPr="00AD0090">
        <w:rPr>
          <w:i/>
        </w:rPr>
        <w:t>In re: Request for approval of 2016 depreciation study by Sebring Gas System, Inc</w:t>
      </w:r>
      <w:r w:rsidRPr="005F0E6F">
        <w:t>.</w:t>
      </w:r>
      <w:r>
        <w:t xml:space="preserve">; Order No. PSC-2018-0190-FOF-GU, issued April 20, 2018, </w:t>
      </w:r>
      <w:r w:rsidRPr="00D4435D">
        <w:t>Docket No. 20170179-GU</w:t>
      </w:r>
      <w:r>
        <w:t xml:space="preserve">, </w:t>
      </w:r>
      <w:r w:rsidRPr="00D4435D">
        <w:rPr>
          <w:i/>
        </w:rPr>
        <w:t>In re: Petition for rate increase by Florida City Gas</w:t>
      </w:r>
      <w:r w:rsidRPr="00D4435D">
        <w:t>.</w:t>
      </w:r>
    </w:p>
  </w:footnote>
  <w:footnote w:id="13">
    <w:p w:rsidR="004E42D3" w:rsidRDefault="004E42D3" w:rsidP="00D96560">
      <w:pPr>
        <w:pStyle w:val="FootnoteText"/>
      </w:pPr>
      <w:r w:rsidRPr="00C632DC">
        <w:rPr>
          <w:rStyle w:val="FootnoteReference"/>
        </w:rPr>
        <w:footnoteRef/>
      </w:r>
      <w:r w:rsidRPr="00C632DC">
        <w:t xml:space="preserve"> Net Salvage is equal to: Gross Salvage - Cost of Removal.</w:t>
      </w:r>
      <w:r>
        <w:t xml:space="preserve">  </w:t>
      </w:r>
    </w:p>
  </w:footnote>
  <w:footnote w:id="14">
    <w:p w:rsidR="004E42D3" w:rsidRDefault="004E42D3" w:rsidP="00D96560">
      <w:pPr>
        <w:pStyle w:val="FootnoteText"/>
      </w:pPr>
      <w:r>
        <w:rPr>
          <w:rStyle w:val="FootnoteReference"/>
        </w:rPr>
        <w:footnoteRef/>
      </w:r>
      <w:r>
        <w:t xml:space="preserve"> </w:t>
      </w:r>
      <w:proofErr w:type="gramStart"/>
      <w:r>
        <w:t>Order No.</w:t>
      </w:r>
      <w:proofErr w:type="gramEnd"/>
      <w:r>
        <w:t xml:space="preserve"> </w:t>
      </w:r>
      <w:proofErr w:type="gramStart"/>
      <w:r>
        <w:t>PSC-13-0174-PAA-GU.</w:t>
      </w:r>
      <w:proofErr w:type="gramEnd"/>
    </w:p>
  </w:footnote>
  <w:footnote w:id="15">
    <w:p w:rsidR="004E42D3" w:rsidRDefault="004E42D3" w:rsidP="00D96560">
      <w:pPr>
        <w:pStyle w:val="FootnoteText"/>
      </w:pPr>
      <w:r>
        <w:rPr>
          <w:rStyle w:val="FootnoteReference"/>
        </w:rPr>
        <w:footnoteRef/>
      </w:r>
      <w:r>
        <w:t xml:space="preserve"> </w:t>
      </w:r>
      <w:proofErr w:type="gramStart"/>
      <w:r>
        <w:t xml:space="preserve">See </w:t>
      </w:r>
      <w:r w:rsidRPr="00160E9A">
        <w:t>St. Joe’s 2017 Depreciation Study</w:t>
      </w:r>
      <w:r>
        <w:t>,</w:t>
      </w:r>
      <w:r w:rsidRPr="00160E9A">
        <w:t xml:space="preserve"> </w:t>
      </w:r>
      <w:r>
        <w:t>Filing Requirements 6(f), and St. Joe’s response to Staff’s First Data Request, No. 10.</w:t>
      </w:r>
      <w:proofErr w:type="gramEnd"/>
    </w:p>
  </w:footnote>
  <w:footnote w:id="16">
    <w:p w:rsidR="004E42D3" w:rsidRDefault="004E42D3">
      <w:pPr>
        <w:pStyle w:val="FootnoteText"/>
      </w:pPr>
      <w:r>
        <w:rPr>
          <w:rStyle w:val="FootnoteReference"/>
        </w:rPr>
        <w:footnoteRef/>
      </w:r>
      <w:r>
        <w:t xml:space="preserve"> </w:t>
      </w:r>
      <w:proofErr w:type="gramStart"/>
      <w:r w:rsidRPr="00B52DDF">
        <w:t>Order No.</w:t>
      </w:r>
      <w:proofErr w:type="gramEnd"/>
      <w:r w:rsidRPr="00B52DDF">
        <w:t xml:space="preserve"> </w:t>
      </w:r>
      <w:proofErr w:type="gramStart"/>
      <w:r w:rsidRPr="00B52DDF">
        <w:t>PSC-13-0174-PAA-GU.</w:t>
      </w:r>
      <w:proofErr w:type="gramEnd"/>
    </w:p>
  </w:footnote>
  <w:footnote w:id="17">
    <w:p w:rsidR="004E42D3" w:rsidRDefault="004E42D3">
      <w:pPr>
        <w:pStyle w:val="FootnoteText"/>
      </w:pPr>
      <w:r>
        <w:rPr>
          <w:rStyle w:val="FootnoteReference"/>
        </w:rPr>
        <w:footnoteRef/>
      </w:r>
      <w:r>
        <w:t xml:space="preserve"> </w:t>
      </w:r>
      <w:proofErr w:type="gramStart"/>
      <w:r w:rsidRPr="00D47ABD">
        <w:t>Approved</w:t>
      </w:r>
      <w:r>
        <w:t xml:space="preserve"> </w:t>
      </w:r>
      <w:r w:rsidRPr="00D47ABD">
        <w:t xml:space="preserve">ASLs </w:t>
      </w:r>
      <w:r w:rsidRPr="00A25587">
        <w:t xml:space="preserve">(Account 387 – Other Equipment) </w:t>
      </w:r>
      <w:r w:rsidRPr="00D47ABD">
        <w:t>for Florida’s gas utilities range from 10 to 30 years, with an arithmetic mean of 21.2 years.</w:t>
      </w:r>
      <w:proofErr w:type="gramEnd"/>
      <w:r>
        <w:t xml:space="preserve"> See </w:t>
      </w:r>
      <w:r w:rsidRPr="005F0E6F">
        <w:t xml:space="preserve">Order No. </w:t>
      </w:r>
      <w:proofErr w:type="gramStart"/>
      <w:r w:rsidRPr="005F0E6F">
        <w:t>PSC-14-0698-PAA-GU</w:t>
      </w:r>
      <w:r>
        <w:t>, Order No.</w:t>
      </w:r>
      <w:proofErr w:type="gramEnd"/>
      <w:r>
        <w:t xml:space="preserve"> </w:t>
      </w:r>
      <w:proofErr w:type="gramStart"/>
      <w:r>
        <w:t xml:space="preserve">PSC-17-0066-AS-GU, </w:t>
      </w:r>
      <w:r w:rsidRPr="005F0E6F">
        <w:t>Order No.</w:t>
      </w:r>
      <w:proofErr w:type="gramEnd"/>
      <w:r w:rsidRPr="005F0E6F">
        <w:t xml:space="preserve"> </w:t>
      </w:r>
      <w:proofErr w:type="gramStart"/>
      <w:r w:rsidRPr="005F0E6F">
        <w:t>PSC-16-0574-PAA-GU,</w:t>
      </w:r>
      <w:r>
        <w:t xml:space="preserve"> and</w:t>
      </w:r>
      <w:r w:rsidRPr="005F0E6F">
        <w:t xml:space="preserve"> </w:t>
      </w:r>
      <w:r>
        <w:t>Order No.</w:t>
      </w:r>
      <w:proofErr w:type="gramEnd"/>
      <w:r>
        <w:t xml:space="preserve"> </w:t>
      </w:r>
      <w:proofErr w:type="gramStart"/>
      <w:r>
        <w:t>PSC-2018-0190-FOF-GU</w:t>
      </w:r>
      <w:r w:rsidRPr="00D4435D">
        <w:t>.</w:t>
      </w:r>
      <w:proofErr w:type="gramEnd"/>
    </w:p>
  </w:footnote>
  <w:footnote w:id="18">
    <w:p w:rsidR="004E42D3" w:rsidRDefault="004E42D3" w:rsidP="00360DD6">
      <w:pPr>
        <w:pStyle w:val="FootnoteText"/>
      </w:pPr>
      <w:r>
        <w:rPr>
          <w:rStyle w:val="FootnoteReference"/>
        </w:rPr>
        <w:footnoteRef/>
      </w:r>
      <w:r>
        <w:t xml:space="preserve"> 26 USC §§168(f</w:t>
      </w:r>
      <w:proofErr w:type="gramStart"/>
      <w:r>
        <w:t>)(</w:t>
      </w:r>
      <w:proofErr w:type="gramEnd"/>
      <w:r>
        <w:t>2) and (i)(9).</w:t>
      </w:r>
    </w:p>
  </w:footnote>
  <w:footnote w:id="19">
    <w:p w:rsidR="004E42D3" w:rsidRDefault="004E42D3" w:rsidP="00360DD6">
      <w:pPr>
        <w:pStyle w:val="FootnoteText"/>
      </w:pPr>
      <w:r>
        <w:rPr>
          <w:rStyle w:val="FootnoteReference"/>
        </w:rPr>
        <w:footnoteRef/>
      </w:r>
      <w:r>
        <w:t xml:space="preserve"> </w:t>
      </w:r>
      <w:proofErr w:type="gramStart"/>
      <w:r>
        <w:t xml:space="preserve">Former </w:t>
      </w:r>
      <w:r w:rsidRPr="008D7C15">
        <w:t>26 USC §167(l)</w:t>
      </w:r>
      <w:r>
        <w:t>, repealed by Revenue Reconciliation Act of 1990, Pub.</w:t>
      </w:r>
      <w:proofErr w:type="gramEnd"/>
      <w:r>
        <w:t xml:space="preserve"> L. No</w:t>
      </w:r>
      <w:r w:rsidRPr="008D7C15">
        <w:t>.</w:t>
      </w:r>
      <w:r>
        <w:t xml:space="preserve"> 101-508, </w:t>
      </w:r>
      <w:r w:rsidRPr="008D7C15">
        <w:t>§</w:t>
      </w:r>
      <w:r>
        <w:t>11812(a</w:t>
      </w:r>
      <w:proofErr w:type="gramStart"/>
      <w:r>
        <w:t>)(</w:t>
      </w:r>
      <w:proofErr w:type="gramEnd"/>
      <w:r>
        <w:t>1-2)(1990).</w:t>
      </w:r>
    </w:p>
  </w:footnote>
  <w:footnote w:id="20">
    <w:p w:rsidR="004E42D3" w:rsidRDefault="004E42D3" w:rsidP="00360DD6">
      <w:pPr>
        <w:pStyle w:val="FootnoteText"/>
      </w:pPr>
      <w:r>
        <w:rPr>
          <w:rStyle w:val="FootnoteReference"/>
        </w:rPr>
        <w:footnoteRef/>
      </w:r>
      <w:r>
        <w:t xml:space="preserve"> Under IRC Section 50(d</w:t>
      </w:r>
      <w:proofErr w:type="gramStart"/>
      <w:r>
        <w:t>)(</w:t>
      </w:r>
      <w:proofErr w:type="gramEnd"/>
      <w:r>
        <w:t xml:space="preserve">2), the terms of former IRC </w:t>
      </w:r>
      <w:r w:rsidR="00ED5FB5">
        <w:t>S</w:t>
      </w:r>
      <w:r>
        <w:t xml:space="preserve">ection 167(l) remain applicable to public utility property for which a regulated utility previously claimed ITCs, which is the case here. (I.R.S. Priv. </w:t>
      </w:r>
      <w:proofErr w:type="spellStart"/>
      <w:r>
        <w:t>Ltr</w:t>
      </w:r>
      <w:proofErr w:type="spellEnd"/>
      <w:r>
        <w:t>. Rul. 200933023, 1n.1 (May 7, 2009)).</w:t>
      </w:r>
    </w:p>
  </w:footnote>
  <w:footnote w:id="21">
    <w:p w:rsidR="004E42D3" w:rsidRDefault="004E42D3" w:rsidP="00360DD6">
      <w:pPr>
        <w:pStyle w:val="FootnoteText"/>
      </w:pPr>
      <w:r>
        <w:rPr>
          <w:rStyle w:val="FootnoteReference"/>
        </w:rPr>
        <w:footnoteRef/>
      </w:r>
      <w:r>
        <w:t xml:space="preserve"> </w:t>
      </w:r>
      <w:proofErr w:type="gramStart"/>
      <w:r>
        <w:t xml:space="preserve">Former </w:t>
      </w:r>
      <w:r w:rsidRPr="008D7C15">
        <w:t>26 USC §46(f)</w:t>
      </w:r>
      <w:r>
        <w:t>, repealed by Revenue Reconciliation Act of 1990, Pub.</w:t>
      </w:r>
      <w:proofErr w:type="gramEnd"/>
      <w:r>
        <w:t xml:space="preserve"> </w:t>
      </w:r>
      <w:proofErr w:type="gramStart"/>
      <w:r>
        <w:t>L. No</w:t>
      </w:r>
      <w:r w:rsidRPr="008D7C15">
        <w:t>.</w:t>
      </w:r>
      <w:r>
        <w:t xml:space="preserve"> 101-508, </w:t>
      </w:r>
      <w:r w:rsidRPr="008D7C15">
        <w:t>§</w:t>
      </w:r>
      <w:r>
        <w:t>11813(1990).</w:t>
      </w:r>
      <w:proofErr w:type="gramEnd"/>
    </w:p>
  </w:footnote>
  <w:footnote w:id="22">
    <w:p w:rsidR="004E42D3" w:rsidRDefault="004E42D3" w:rsidP="00360DD6">
      <w:pPr>
        <w:pStyle w:val="FootnoteText"/>
      </w:pPr>
      <w:r>
        <w:rPr>
          <w:rStyle w:val="FootnoteReference"/>
        </w:rPr>
        <w:footnoteRef/>
      </w:r>
      <w:r>
        <w:t xml:space="preserve"> Under IRC Section 50(d)(2), the terms of former IRC </w:t>
      </w:r>
      <w:r w:rsidR="00ED5FB5">
        <w:t>S</w:t>
      </w:r>
      <w:r>
        <w:t xml:space="preserve">ection 46(f) remain applicable to public utility property for which a regulated utility previously claimed ITCs, which is the case here. (I.R.S. Priv. </w:t>
      </w:r>
      <w:proofErr w:type="spellStart"/>
      <w:r>
        <w:t>Ltr</w:t>
      </w:r>
      <w:proofErr w:type="spellEnd"/>
      <w:r>
        <w:t>. Rul. 200933023, 1n.1 (May 7, 2009)).</w:t>
      </w:r>
    </w:p>
  </w:footnote>
  <w:footnote w:id="23">
    <w:p w:rsidR="004E42D3" w:rsidRDefault="004E42D3" w:rsidP="00360DD6">
      <w:pPr>
        <w:pStyle w:val="FootnoteText"/>
      </w:pPr>
      <w:r>
        <w:rPr>
          <w:rStyle w:val="FootnoteReference"/>
        </w:rPr>
        <w:footnoteRef/>
      </w:r>
      <w:r>
        <w:t xml:space="preserve"> </w:t>
      </w:r>
      <w:proofErr w:type="gramStart"/>
      <w:r>
        <w:t>Treas. Reg. §1.168; Treas. Reg. §1.167; Treas. Reg. §1.46.</w:t>
      </w:r>
      <w:proofErr w:type="gramEnd"/>
    </w:p>
  </w:footnote>
  <w:footnote w:id="24">
    <w:p w:rsidR="004E42D3" w:rsidRDefault="004E42D3" w:rsidP="00360DD6">
      <w:pPr>
        <w:pStyle w:val="FootnoteText"/>
      </w:pPr>
      <w:r>
        <w:rPr>
          <w:rStyle w:val="FootnoteReference"/>
        </w:rPr>
        <w:footnoteRef/>
      </w:r>
      <w:r>
        <w:t xml:space="preserve"> Tax Reform Act of 1986, Pub. L. No. 99-514 (100 Stat. 2085, 2146</w:t>
      </w:r>
      <w:proofErr w:type="gramStart"/>
      <w:r>
        <w:t>)(</w:t>
      </w:r>
      <w:proofErr w:type="gramEnd"/>
      <w:r>
        <w:t>1986).</w:t>
      </w:r>
    </w:p>
  </w:footnote>
  <w:footnote w:id="25">
    <w:p w:rsidR="004E42D3" w:rsidRDefault="004E42D3" w:rsidP="00360DD6">
      <w:pPr>
        <w:pStyle w:val="FootnoteText"/>
      </w:pPr>
      <w:r>
        <w:rPr>
          <w:rStyle w:val="FootnoteReference"/>
        </w:rPr>
        <w:footnoteRef/>
      </w:r>
      <w:r>
        <w:t xml:space="preserve"> Former 26 USC §46(f</w:t>
      </w:r>
      <w:proofErr w:type="gramStart"/>
      <w:r>
        <w:t>)(</w:t>
      </w:r>
      <w:proofErr w:type="gramEnd"/>
      <w:r>
        <w:t>6) (establishing proper determination of ratable portion).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20170265-GU</w:t>
    </w:r>
    <w:bookmarkEnd w:id="15"/>
  </w:p>
  <w:p w:rsidR="004E42D3" w:rsidRDefault="004E42D3">
    <w:pPr>
      <w:pStyle w:val="Header"/>
    </w:pPr>
    <w:r>
      <w:t xml:space="preserve">Date: </w:t>
    </w:r>
    <w:r w:rsidR="00883597">
      <w:fldChar w:fldCharType="begin"/>
    </w:r>
    <w:r w:rsidR="00883597">
      <w:instrText xml:space="preserve"> REF FilingDate </w:instrText>
    </w:r>
    <w:r w:rsidR="00883597">
      <w:fldChar w:fldCharType="separate"/>
    </w:r>
    <w:r w:rsidR="00BD111B">
      <w:t>June 27, 2018</w:t>
    </w:r>
    <w:r w:rsidR="00883597">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rsidP="00220732">
    <w:pPr>
      <w:pStyle w:val="Header"/>
      <w:tabs>
        <w:tab w:val="clear" w:pos="4320"/>
        <w:tab w:val="clear" w:pos="8640"/>
        <w:tab w:val="right" w:pos="9360"/>
      </w:tabs>
    </w:pPr>
    <w:r>
      <w:fldChar w:fldCharType="begin"/>
    </w:r>
    <w:r>
      <w:instrText xml:space="preserve"> REF DocketLabel</w:instrText>
    </w:r>
    <w:r>
      <w:fldChar w:fldCharType="separate"/>
    </w:r>
    <w:r w:rsidR="00BD111B">
      <w:t>Docket No.</w:t>
    </w:r>
    <w:r>
      <w:fldChar w:fldCharType="end"/>
    </w:r>
    <w:r>
      <w:t xml:space="preserve"> </w:t>
    </w:r>
    <w:r>
      <w:fldChar w:fldCharType="begin"/>
    </w:r>
    <w:r>
      <w:instrText xml:space="preserve"> REF DocketList</w:instrText>
    </w:r>
    <w:r>
      <w:fldChar w:fldCharType="separate"/>
    </w:r>
    <w:r w:rsidR="00BD111B">
      <w:t>20170265-GU</w:t>
    </w:r>
    <w:r>
      <w:fldChar w:fldCharType="end"/>
    </w:r>
    <w:r>
      <w:tab/>
      <w:t xml:space="preserve">Issue </w:t>
    </w:r>
    <w:r w:rsidR="00883597">
      <w:fldChar w:fldCharType="begin"/>
    </w:r>
    <w:r w:rsidR="00883597">
      <w:instrText xml:space="preserve"> Seq Issue \c \* Arabic </w:instrText>
    </w:r>
    <w:r w:rsidR="00883597">
      <w:fldChar w:fldCharType="separate"/>
    </w:r>
    <w:r w:rsidR="001F7C11">
      <w:rPr>
        <w:noProof/>
      </w:rPr>
      <w:t>3</w:t>
    </w:r>
    <w:r w:rsidR="00883597">
      <w:rPr>
        <w:noProof/>
      </w:rPr>
      <w:fldChar w:fldCharType="end"/>
    </w:r>
  </w:p>
  <w:p w:rsidR="004E42D3" w:rsidRDefault="004E42D3">
    <w:pPr>
      <w:pStyle w:val="Header"/>
    </w:pPr>
    <w:r>
      <w:t xml:space="preserve">Date: </w:t>
    </w:r>
    <w:r w:rsidR="00883597">
      <w:fldChar w:fldCharType="begin"/>
    </w:r>
    <w:r w:rsidR="00883597">
      <w:instrText xml:space="preserve"> REF FilingDate </w:instrText>
    </w:r>
    <w:r w:rsidR="00883597">
      <w:fldChar w:fldCharType="separate"/>
    </w:r>
    <w:r w:rsidR="00BD111B">
      <w:t>June 27, 2018</w:t>
    </w:r>
    <w:r w:rsidR="00883597">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rsidP="00220732">
    <w:pPr>
      <w:pStyle w:val="Header"/>
      <w:tabs>
        <w:tab w:val="clear" w:pos="4320"/>
        <w:tab w:val="clear" w:pos="8640"/>
        <w:tab w:val="right" w:pos="9360"/>
      </w:tabs>
    </w:pPr>
    <w:r>
      <w:fldChar w:fldCharType="begin"/>
    </w:r>
    <w:r>
      <w:instrText xml:space="preserve"> REF DocketLabel</w:instrText>
    </w:r>
    <w:r>
      <w:fldChar w:fldCharType="separate"/>
    </w:r>
    <w:r w:rsidR="00BD111B">
      <w:t>Docket No.</w:t>
    </w:r>
    <w:r>
      <w:fldChar w:fldCharType="end"/>
    </w:r>
    <w:r>
      <w:t xml:space="preserve"> </w:t>
    </w:r>
    <w:r>
      <w:fldChar w:fldCharType="begin"/>
    </w:r>
    <w:r>
      <w:instrText xml:space="preserve"> REF DocketList</w:instrText>
    </w:r>
    <w:r>
      <w:fldChar w:fldCharType="separate"/>
    </w:r>
    <w:r w:rsidR="00BD111B">
      <w:t>20170265-GU</w:t>
    </w:r>
    <w:r>
      <w:fldChar w:fldCharType="end"/>
    </w:r>
    <w:r>
      <w:tab/>
      <w:t>Attachment A</w:t>
    </w:r>
  </w:p>
  <w:p w:rsidR="004E42D3" w:rsidRDefault="004E42D3">
    <w:pPr>
      <w:pStyle w:val="Header"/>
    </w:pPr>
    <w:r>
      <w:t xml:space="preserve">Date: </w:t>
    </w:r>
    <w:r w:rsidR="00883597">
      <w:fldChar w:fldCharType="begin"/>
    </w:r>
    <w:r w:rsidR="00883597">
      <w:instrText xml:space="preserve"> REF FilingDate </w:instrText>
    </w:r>
    <w:r w:rsidR="00883597">
      <w:fldChar w:fldCharType="separate"/>
    </w:r>
    <w:r w:rsidR="00BD111B">
      <w:t>June 27, 2018</w:t>
    </w:r>
    <w:r w:rsidR="00883597">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D3" w:rsidRDefault="004E42D3" w:rsidP="00220732">
    <w:pPr>
      <w:pStyle w:val="Header"/>
      <w:tabs>
        <w:tab w:val="clear" w:pos="4320"/>
        <w:tab w:val="clear" w:pos="8640"/>
        <w:tab w:val="right" w:pos="9360"/>
      </w:tabs>
    </w:pPr>
    <w:r>
      <w:fldChar w:fldCharType="begin"/>
    </w:r>
    <w:r>
      <w:instrText xml:space="preserve"> REF DocketLabel</w:instrText>
    </w:r>
    <w:r>
      <w:fldChar w:fldCharType="separate"/>
    </w:r>
    <w:r w:rsidR="00BD111B">
      <w:t>Docket No.</w:t>
    </w:r>
    <w:r>
      <w:fldChar w:fldCharType="end"/>
    </w:r>
    <w:r>
      <w:t xml:space="preserve"> </w:t>
    </w:r>
    <w:r>
      <w:fldChar w:fldCharType="begin"/>
    </w:r>
    <w:r>
      <w:instrText xml:space="preserve"> REF DocketList</w:instrText>
    </w:r>
    <w:r>
      <w:fldChar w:fldCharType="separate"/>
    </w:r>
    <w:r w:rsidR="00BD111B">
      <w:t>20170265-GU</w:t>
    </w:r>
    <w:r>
      <w:fldChar w:fldCharType="end"/>
    </w:r>
    <w:r>
      <w:tab/>
      <w:t>Attachment B</w:t>
    </w:r>
  </w:p>
  <w:p w:rsidR="004E42D3" w:rsidRDefault="004E42D3">
    <w:pPr>
      <w:pStyle w:val="Header"/>
    </w:pPr>
    <w:r>
      <w:t xml:space="preserve">Date: </w:t>
    </w:r>
    <w:r w:rsidR="00883597">
      <w:fldChar w:fldCharType="begin"/>
    </w:r>
    <w:r w:rsidR="00883597">
      <w:instrText xml:space="preserve"> REF FilingDate </w:instrText>
    </w:r>
    <w:r w:rsidR="00883597">
      <w:fldChar w:fldCharType="separate"/>
    </w:r>
    <w:r w:rsidR="00BD111B">
      <w:t>June 27, 2018</w:t>
    </w:r>
    <w:r w:rsidR="00883597">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04A63"/>
    <w:rsid w:val="000043D5"/>
    <w:rsid w:val="0000469F"/>
    <w:rsid w:val="00006170"/>
    <w:rsid w:val="00010E37"/>
    <w:rsid w:val="000172DA"/>
    <w:rsid w:val="00021E5E"/>
    <w:rsid w:val="000247C5"/>
    <w:rsid w:val="0002614C"/>
    <w:rsid w:val="000277C2"/>
    <w:rsid w:val="00035B48"/>
    <w:rsid w:val="00036CE2"/>
    <w:rsid w:val="000437FE"/>
    <w:rsid w:val="000513BE"/>
    <w:rsid w:val="00052337"/>
    <w:rsid w:val="00061BAE"/>
    <w:rsid w:val="00065A06"/>
    <w:rsid w:val="000666F3"/>
    <w:rsid w:val="00066C73"/>
    <w:rsid w:val="00070DCB"/>
    <w:rsid w:val="00073120"/>
    <w:rsid w:val="00075518"/>
    <w:rsid w:val="000764D0"/>
    <w:rsid w:val="000828D3"/>
    <w:rsid w:val="00083C83"/>
    <w:rsid w:val="000A2B57"/>
    <w:rsid w:val="000A418B"/>
    <w:rsid w:val="000C4431"/>
    <w:rsid w:val="000D1C06"/>
    <w:rsid w:val="000D4319"/>
    <w:rsid w:val="000D6CF9"/>
    <w:rsid w:val="000F374A"/>
    <w:rsid w:val="000F7D38"/>
    <w:rsid w:val="00103E21"/>
    <w:rsid w:val="001076AF"/>
    <w:rsid w:val="00117C8C"/>
    <w:rsid w:val="00120387"/>
    <w:rsid w:val="00124E2E"/>
    <w:rsid w:val="00125ED4"/>
    <w:rsid w:val="00127F21"/>
    <w:rsid w:val="00130075"/>
    <w:rsid w:val="001305E9"/>
    <w:rsid w:val="001307AF"/>
    <w:rsid w:val="00135687"/>
    <w:rsid w:val="00137DA6"/>
    <w:rsid w:val="00143534"/>
    <w:rsid w:val="0015506E"/>
    <w:rsid w:val="00160E9A"/>
    <w:rsid w:val="00163031"/>
    <w:rsid w:val="00171A90"/>
    <w:rsid w:val="00177921"/>
    <w:rsid w:val="00180254"/>
    <w:rsid w:val="001830D8"/>
    <w:rsid w:val="00183DD7"/>
    <w:rsid w:val="00191E1F"/>
    <w:rsid w:val="00192943"/>
    <w:rsid w:val="00197F8D"/>
    <w:rsid w:val="001A7406"/>
    <w:rsid w:val="001B4FEE"/>
    <w:rsid w:val="001B51C5"/>
    <w:rsid w:val="001B6F3F"/>
    <w:rsid w:val="001C52B5"/>
    <w:rsid w:val="001D0D3E"/>
    <w:rsid w:val="001D25E5"/>
    <w:rsid w:val="001D7729"/>
    <w:rsid w:val="001F2245"/>
    <w:rsid w:val="001F2C63"/>
    <w:rsid w:val="001F48C7"/>
    <w:rsid w:val="001F6DA1"/>
    <w:rsid w:val="001F7C11"/>
    <w:rsid w:val="002003DC"/>
    <w:rsid w:val="002044E6"/>
    <w:rsid w:val="00204A63"/>
    <w:rsid w:val="00205C82"/>
    <w:rsid w:val="00205DC2"/>
    <w:rsid w:val="00212B17"/>
    <w:rsid w:val="002163B6"/>
    <w:rsid w:val="00220732"/>
    <w:rsid w:val="00220DBD"/>
    <w:rsid w:val="00221D32"/>
    <w:rsid w:val="00225C3F"/>
    <w:rsid w:val="00263D44"/>
    <w:rsid w:val="0026696E"/>
    <w:rsid w:val="002702AD"/>
    <w:rsid w:val="00273CB6"/>
    <w:rsid w:val="00273ED0"/>
    <w:rsid w:val="002819C8"/>
    <w:rsid w:val="00292D82"/>
    <w:rsid w:val="002963CB"/>
    <w:rsid w:val="002B1506"/>
    <w:rsid w:val="002C041C"/>
    <w:rsid w:val="002D226D"/>
    <w:rsid w:val="002D7C44"/>
    <w:rsid w:val="002F6030"/>
    <w:rsid w:val="002F797E"/>
    <w:rsid w:val="003037E1"/>
    <w:rsid w:val="00304BD7"/>
    <w:rsid w:val="00307E51"/>
    <w:rsid w:val="003103EC"/>
    <w:rsid w:val="003144EF"/>
    <w:rsid w:val="00322F74"/>
    <w:rsid w:val="00336397"/>
    <w:rsid w:val="00340073"/>
    <w:rsid w:val="00360DD6"/>
    <w:rsid w:val="003632FD"/>
    <w:rsid w:val="00372805"/>
    <w:rsid w:val="00373180"/>
    <w:rsid w:val="0037534E"/>
    <w:rsid w:val="00375AB9"/>
    <w:rsid w:val="003768AD"/>
    <w:rsid w:val="003821A0"/>
    <w:rsid w:val="00384BD6"/>
    <w:rsid w:val="00385B04"/>
    <w:rsid w:val="003864CF"/>
    <w:rsid w:val="00386CE9"/>
    <w:rsid w:val="003A22A6"/>
    <w:rsid w:val="003A4514"/>
    <w:rsid w:val="003A5494"/>
    <w:rsid w:val="003B2510"/>
    <w:rsid w:val="003C2CC4"/>
    <w:rsid w:val="003C3710"/>
    <w:rsid w:val="003D2D4D"/>
    <w:rsid w:val="003E0EFC"/>
    <w:rsid w:val="003E4A2B"/>
    <w:rsid w:val="003E76C2"/>
    <w:rsid w:val="003F1679"/>
    <w:rsid w:val="003F21EB"/>
    <w:rsid w:val="003F4A35"/>
    <w:rsid w:val="003F7FDD"/>
    <w:rsid w:val="0040115C"/>
    <w:rsid w:val="00402481"/>
    <w:rsid w:val="004042B4"/>
    <w:rsid w:val="00405E68"/>
    <w:rsid w:val="00410DC4"/>
    <w:rsid w:val="00412DAE"/>
    <w:rsid w:val="004219F5"/>
    <w:rsid w:val="004242E6"/>
    <w:rsid w:val="004272AE"/>
    <w:rsid w:val="00431598"/>
    <w:rsid w:val="004319AD"/>
    <w:rsid w:val="004323E3"/>
    <w:rsid w:val="004426B8"/>
    <w:rsid w:val="00444432"/>
    <w:rsid w:val="00470403"/>
    <w:rsid w:val="00471860"/>
    <w:rsid w:val="00485CFB"/>
    <w:rsid w:val="004931CB"/>
    <w:rsid w:val="004A2E61"/>
    <w:rsid w:val="004A744D"/>
    <w:rsid w:val="004B60BD"/>
    <w:rsid w:val="004C3150"/>
    <w:rsid w:val="004C3641"/>
    <w:rsid w:val="004C4390"/>
    <w:rsid w:val="004C4AF7"/>
    <w:rsid w:val="004D2881"/>
    <w:rsid w:val="004D385F"/>
    <w:rsid w:val="004D5B39"/>
    <w:rsid w:val="004E330D"/>
    <w:rsid w:val="004E42D3"/>
    <w:rsid w:val="004E5147"/>
    <w:rsid w:val="004F5C43"/>
    <w:rsid w:val="0050232F"/>
    <w:rsid w:val="00504388"/>
    <w:rsid w:val="0050642F"/>
    <w:rsid w:val="0050652D"/>
    <w:rsid w:val="00506C03"/>
    <w:rsid w:val="00506FFE"/>
    <w:rsid w:val="00511A11"/>
    <w:rsid w:val="00516496"/>
    <w:rsid w:val="00523B11"/>
    <w:rsid w:val="0052572A"/>
    <w:rsid w:val="0053471A"/>
    <w:rsid w:val="0053483D"/>
    <w:rsid w:val="005370BB"/>
    <w:rsid w:val="00543CB3"/>
    <w:rsid w:val="005442E4"/>
    <w:rsid w:val="00560FF0"/>
    <w:rsid w:val="005614BD"/>
    <w:rsid w:val="00561EEE"/>
    <w:rsid w:val="0056636E"/>
    <w:rsid w:val="0057154F"/>
    <w:rsid w:val="00580F69"/>
    <w:rsid w:val="00581536"/>
    <w:rsid w:val="00581CA3"/>
    <w:rsid w:val="00587A44"/>
    <w:rsid w:val="00590CBD"/>
    <w:rsid w:val="00597689"/>
    <w:rsid w:val="00597730"/>
    <w:rsid w:val="005977EC"/>
    <w:rsid w:val="00597DE7"/>
    <w:rsid w:val="005A4AA2"/>
    <w:rsid w:val="005A5F4A"/>
    <w:rsid w:val="005B34B6"/>
    <w:rsid w:val="005B6C8F"/>
    <w:rsid w:val="005B6EC3"/>
    <w:rsid w:val="005C0EB4"/>
    <w:rsid w:val="005D0F74"/>
    <w:rsid w:val="005D2E7D"/>
    <w:rsid w:val="005D4A8F"/>
    <w:rsid w:val="005D561B"/>
    <w:rsid w:val="005D5ECF"/>
    <w:rsid w:val="005F2194"/>
    <w:rsid w:val="005F2756"/>
    <w:rsid w:val="005F3602"/>
    <w:rsid w:val="005F468D"/>
    <w:rsid w:val="005F69A3"/>
    <w:rsid w:val="00604CC7"/>
    <w:rsid w:val="00615206"/>
    <w:rsid w:val="00615423"/>
    <w:rsid w:val="006165B2"/>
    <w:rsid w:val="00617276"/>
    <w:rsid w:val="0062527B"/>
    <w:rsid w:val="00625D97"/>
    <w:rsid w:val="00625F1C"/>
    <w:rsid w:val="006279E1"/>
    <w:rsid w:val="00630CEB"/>
    <w:rsid w:val="00632264"/>
    <w:rsid w:val="00637354"/>
    <w:rsid w:val="006470BC"/>
    <w:rsid w:val="00651F7E"/>
    <w:rsid w:val="006554D3"/>
    <w:rsid w:val="006601CC"/>
    <w:rsid w:val="00667036"/>
    <w:rsid w:val="006700E8"/>
    <w:rsid w:val="00673BDB"/>
    <w:rsid w:val="00673E6C"/>
    <w:rsid w:val="00674341"/>
    <w:rsid w:val="006768C7"/>
    <w:rsid w:val="00676E08"/>
    <w:rsid w:val="006771B8"/>
    <w:rsid w:val="006843B6"/>
    <w:rsid w:val="0068481F"/>
    <w:rsid w:val="00696F5D"/>
    <w:rsid w:val="00697249"/>
    <w:rsid w:val="006B3947"/>
    <w:rsid w:val="006B4293"/>
    <w:rsid w:val="006B624F"/>
    <w:rsid w:val="006C0C95"/>
    <w:rsid w:val="006C31E3"/>
    <w:rsid w:val="006D18D3"/>
    <w:rsid w:val="006E08CB"/>
    <w:rsid w:val="006E598D"/>
    <w:rsid w:val="006F09CB"/>
    <w:rsid w:val="0070437D"/>
    <w:rsid w:val="00704CF1"/>
    <w:rsid w:val="00705B04"/>
    <w:rsid w:val="00712685"/>
    <w:rsid w:val="00715871"/>
    <w:rsid w:val="0072126F"/>
    <w:rsid w:val="00724992"/>
    <w:rsid w:val="00734820"/>
    <w:rsid w:val="007349DC"/>
    <w:rsid w:val="0074365E"/>
    <w:rsid w:val="00744B55"/>
    <w:rsid w:val="007515FD"/>
    <w:rsid w:val="00760D80"/>
    <w:rsid w:val="00763C35"/>
    <w:rsid w:val="00780C09"/>
    <w:rsid w:val="00780DDF"/>
    <w:rsid w:val="007834E9"/>
    <w:rsid w:val="00787DBC"/>
    <w:rsid w:val="0079019A"/>
    <w:rsid w:val="00792935"/>
    <w:rsid w:val="007A04A1"/>
    <w:rsid w:val="007A1840"/>
    <w:rsid w:val="007C0528"/>
    <w:rsid w:val="007C3D38"/>
    <w:rsid w:val="007C5357"/>
    <w:rsid w:val="007D0F35"/>
    <w:rsid w:val="007D26C0"/>
    <w:rsid w:val="007D4FEB"/>
    <w:rsid w:val="007D6146"/>
    <w:rsid w:val="007E0CE7"/>
    <w:rsid w:val="007F0798"/>
    <w:rsid w:val="007F1193"/>
    <w:rsid w:val="007F417F"/>
    <w:rsid w:val="007F7644"/>
    <w:rsid w:val="008042BD"/>
    <w:rsid w:val="00811414"/>
    <w:rsid w:val="00813B4B"/>
    <w:rsid w:val="00816624"/>
    <w:rsid w:val="008221E6"/>
    <w:rsid w:val="00822427"/>
    <w:rsid w:val="00822562"/>
    <w:rsid w:val="00823663"/>
    <w:rsid w:val="0083040A"/>
    <w:rsid w:val="0083045B"/>
    <w:rsid w:val="00832DDC"/>
    <w:rsid w:val="008377DC"/>
    <w:rsid w:val="00850852"/>
    <w:rsid w:val="00850BAC"/>
    <w:rsid w:val="00854A3E"/>
    <w:rsid w:val="008558EA"/>
    <w:rsid w:val="00855D08"/>
    <w:rsid w:val="008619E5"/>
    <w:rsid w:val="00867E8F"/>
    <w:rsid w:val="00874344"/>
    <w:rsid w:val="00882155"/>
    <w:rsid w:val="0088233B"/>
    <w:rsid w:val="0088599E"/>
    <w:rsid w:val="00886C37"/>
    <w:rsid w:val="00892D99"/>
    <w:rsid w:val="00893315"/>
    <w:rsid w:val="008A3023"/>
    <w:rsid w:val="008A7FCA"/>
    <w:rsid w:val="008B5500"/>
    <w:rsid w:val="008B62AE"/>
    <w:rsid w:val="008C04B5"/>
    <w:rsid w:val="008C0A97"/>
    <w:rsid w:val="008C14FA"/>
    <w:rsid w:val="008C7B0B"/>
    <w:rsid w:val="008D4057"/>
    <w:rsid w:val="008D7F29"/>
    <w:rsid w:val="008E1F19"/>
    <w:rsid w:val="008F2262"/>
    <w:rsid w:val="008F4D2B"/>
    <w:rsid w:val="008F7736"/>
    <w:rsid w:val="0090019E"/>
    <w:rsid w:val="00901086"/>
    <w:rsid w:val="009017B0"/>
    <w:rsid w:val="00901C8A"/>
    <w:rsid w:val="009037B8"/>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01E0"/>
    <w:rsid w:val="00951C45"/>
    <w:rsid w:val="009521A9"/>
    <w:rsid w:val="009656F2"/>
    <w:rsid w:val="00966A08"/>
    <w:rsid w:val="00971207"/>
    <w:rsid w:val="00974E6F"/>
    <w:rsid w:val="00975CB4"/>
    <w:rsid w:val="009863B0"/>
    <w:rsid w:val="00987DE1"/>
    <w:rsid w:val="00990571"/>
    <w:rsid w:val="0099673A"/>
    <w:rsid w:val="009A07E2"/>
    <w:rsid w:val="009A2DA7"/>
    <w:rsid w:val="009A3330"/>
    <w:rsid w:val="009A7C96"/>
    <w:rsid w:val="009B7B00"/>
    <w:rsid w:val="009C1BCA"/>
    <w:rsid w:val="009C3DB9"/>
    <w:rsid w:val="009D46E5"/>
    <w:rsid w:val="009D568A"/>
    <w:rsid w:val="009D6D8B"/>
    <w:rsid w:val="009F04EC"/>
    <w:rsid w:val="009F2A7C"/>
    <w:rsid w:val="009F3B36"/>
    <w:rsid w:val="009F5B2F"/>
    <w:rsid w:val="00A019B9"/>
    <w:rsid w:val="00A066A1"/>
    <w:rsid w:val="00A12508"/>
    <w:rsid w:val="00A127F3"/>
    <w:rsid w:val="00A1282B"/>
    <w:rsid w:val="00A13A27"/>
    <w:rsid w:val="00A175B6"/>
    <w:rsid w:val="00A21835"/>
    <w:rsid w:val="00A2374B"/>
    <w:rsid w:val="00A25587"/>
    <w:rsid w:val="00A27D6E"/>
    <w:rsid w:val="00A328EC"/>
    <w:rsid w:val="00A33A51"/>
    <w:rsid w:val="00A41CA6"/>
    <w:rsid w:val="00A47927"/>
    <w:rsid w:val="00A47FFC"/>
    <w:rsid w:val="00A5442F"/>
    <w:rsid w:val="00A54FF9"/>
    <w:rsid w:val="00A56765"/>
    <w:rsid w:val="00A675AC"/>
    <w:rsid w:val="00A7581F"/>
    <w:rsid w:val="00A92FB1"/>
    <w:rsid w:val="00A9430C"/>
    <w:rsid w:val="00A95A0C"/>
    <w:rsid w:val="00AA1514"/>
    <w:rsid w:val="00AA2765"/>
    <w:rsid w:val="00AA77B5"/>
    <w:rsid w:val="00AB645D"/>
    <w:rsid w:val="00AB6C5D"/>
    <w:rsid w:val="00AC2BA7"/>
    <w:rsid w:val="00AC3401"/>
    <w:rsid w:val="00AC51A7"/>
    <w:rsid w:val="00AD444B"/>
    <w:rsid w:val="00AD6C78"/>
    <w:rsid w:val="00AE2EAB"/>
    <w:rsid w:val="00AF5540"/>
    <w:rsid w:val="00AF5F89"/>
    <w:rsid w:val="00AF70C0"/>
    <w:rsid w:val="00AF73CB"/>
    <w:rsid w:val="00B002D6"/>
    <w:rsid w:val="00B00330"/>
    <w:rsid w:val="00B03379"/>
    <w:rsid w:val="00B05B51"/>
    <w:rsid w:val="00B14E5A"/>
    <w:rsid w:val="00B15370"/>
    <w:rsid w:val="00B16DA4"/>
    <w:rsid w:val="00B17BEB"/>
    <w:rsid w:val="00B21A3C"/>
    <w:rsid w:val="00B223C0"/>
    <w:rsid w:val="00B234ED"/>
    <w:rsid w:val="00B249B2"/>
    <w:rsid w:val="00B25CA3"/>
    <w:rsid w:val="00B2765A"/>
    <w:rsid w:val="00B3109A"/>
    <w:rsid w:val="00B47778"/>
    <w:rsid w:val="00B516ED"/>
    <w:rsid w:val="00B52DDF"/>
    <w:rsid w:val="00B57A6A"/>
    <w:rsid w:val="00B62AC4"/>
    <w:rsid w:val="00B760F1"/>
    <w:rsid w:val="00B7669E"/>
    <w:rsid w:val="00B77666"/>
    <w:rsid w:val="00B77DA1"/>
    <w:rsid w:val="00B822A0"/>
    <w:rsid w:val="00B858AE"/>
    <w:rsid w:val="00B85964"/>
    <w:rsid w:val="00B86AFF"/>
    <w:rsid w:val="00B96250"/>
    <w:rsid w:val="00BA0D55"/>
    <w:rsid w:val="00BA37B3"/>
    <w:rsid w:val="00BA4CC6"/>
    <w:rsid w:val="00BA5EB7"/>
    <w:rsid w:val="00BB3493"/>
    <w:rsid w:val="00BB7468"/>
    <w:rsid w:val="00BC0C3E"/>
    <w:rsid w:val="00BC188A"/>
    <w:rsid w:val="00BC402E"/>
    <w:rsid w:val="00BD0F48"/>
    <w:rsid w:val="00BD111B"/>
    <w:rsid w:val="00BE3102"/>
    <w:rsid w:val="00BE3805"/>
    <w:rsid w:val="00BF5010"/>
    <w:rsid w:val="00C03D5F"/>
    <w:rsid w:val="00C13791"/>
    <w:rsid w:val="00C31BB3"/>
    <w:rsid w:val="00C36977"/>
    <w:rsid w:val="00C467DA"/>
    <w:rsid w:val="00C477D9"/>
    <w:rsid w:val="00C6022A"/>
    <w:rsid w:val="00C608D5"/>
    <w:rsid w:val="00C60BA3"/>
    <w:rsid w:val="00C623F7"/>
    <w:rsid w:val="00C632DC"/>
    <w:rsid w:val="00C73DF0"/>
    <w:rsid w:val="00C75BC5"/>
    <w:rsid w:val="00C77E1E"/>
    <w:rsid w:val="00C81670"/>
    <w:rsid w:val="00C81773"/>
    <w:rsid w:val="00C82861"/>
    <w:rsid w:val="00C86896"/>
    <w:rsid w:val="00C8723E"/>
    <w:rsid w:val="00C90186"/>
    <w:rsid w:val="00C907A8"/>
    <w:rsid w:val="00C911C6"/>
    <w:rsid w:val="00C93211"/>
    <w:rsid w:val="00C93959"/>
    <w:rsid w:val="00C942EC"/>
    <w:rsid w:val="00C96047"/>
    <w:rsid w:val="00C979D0"/>
    <w:rsid w:val="00CA0818"/>
    <w:rsid w:val="00CA0E71"/>
    <w:rsid w:val="00CA15C8"/>
    <w:rsid w:val="00CA245C"/>
    <w:rsid w:val="00CA2C8F"/>
    <w:rsid w:val="00CA30DA"/>
    <w:rsid w:val="00CA3A24"/>
    <w:rsid w:val="00CA5B85"/>
    <w:rsid w:val="00CB1777"/>
    <w:rsid w:val="00CB318D"/>
    <w:rsid w:val="00CB33E9"/>
    <w:rsid w:val="00CC10A9"/>
    <w:rsid w:val="00CC4407"/>
    <w:rsid w:val="00CD0F21"/>
    <w:rsid w:val="00CD3024"/>
    <w:rsid w:val="00CE2BF8"/>
    <w:rsid w:val="00CE484E"/>
    <w:rsid w:val="00CE656F"/>
    <w:rsid w:val="00CF0DA8"/>
    <w:rsid w:val="00CF2E25"/>
    <w:rsid w:val="00CF4453"/>
    <w:rsid w:val="00CF5D94"/>
    <w:rsid w:val="00CF7E0F"/>
    <w:rsid w:val="00D034D7"/>
    <w:rsid w:val="00D04BE4"/>
    <w:rsid w:val="00D065D2"/>
    <w:rsid w:val="00D06FC7"/>
    <w:rsid w:val="00D12565"/>
    <w:rsid w:val="00D12E81"/>
    <w:rsid w:val="00D14127"/>
    <w:rsid w:val="00D312AB"/>
    <w:rsid w:val="00D47ABD"/>
    <w:rsid w:val="00D60B16"/>
    <w:rsid w:val="00D60F02"/>
    <w:rsid w:val="00D62B89"/>
    <w:rsid w:val="00D64466"/>
    <w:rsid w:val="00D66E49"/>
    <w:rsid w:val="00D70D71"/>
    <w:rsid w:val="00D728CC"/>
    <w:rsid w:val="00D72F74"/>
    <w:rsid w:val="00D81563"/>
    <w:rsid w:val="00D85907"/>
    <w:rsid w:val="00D9073E"/>
    <w:rsid w:val="00D9221D"/>
    <w:rsid w:val="00D958DF"/>
    <w:rsid w:val="00D96560"/>
    <w:rsid w:val="00D96DA1"/>
    <w:rsid w:val="00DA1D83"/>
    <w:rsid w:val="00DA51E7"/>
    <w:rsid w:val="00DB0260"/>
    <w:rsid w:val="00DB1426"/>
    <w:rsid w:val="00DB1C78"/>
    <w:rsid w:val="00DB7D96"/>
    <w:rsid w:val="00DC1C31"/>
    <w:rsid w:val="00DC23FE"/>
    <w:rsid w:val="00DC59E6"/>
    <w:rsid w:val="00DC5D79"/>
    <w:rsid w:val="00DD150B"/>
    <w:rsid w:val="00DD5025"/>
    <w:rsid w:val="00DD5509"/>
    <w:rsid w:val="00DD5A51"/>
    <w:rsid w:val="00DF1510"/>
    <w:rsid w:val="00DF257F"/>
    <w:rsid w:val="00DF5324"/>
    <w:rsid w:val="00E01033"/>
    <w:rsid w:val="00E01119"/>
    <w:rsid w:val="00E02F1F"/>
    <w:rsid w:val="00E06484"/>
    <w:rsid w:val="00E20A7D"/>
    <w:rsid w:val="00E275D8"/>
    <w:rsid w:val="00E30F6A"/>
    <w:rsid w:val="00E3117C"/>
    <w:rsid w:val="00E365D1"/>
    <w:rsid w:val="00E375CA"/>
    <w:rsid w:val="00E567E8"/>
    <w:rsid w:val="00E64679"/>
    <w:rsid w:val="00E65EBC"/>
    <w:rsid w:val="00E677FE"/>
    <w:rsid w:val="00E73432"/>
    <w:rsid w:val="00E73473"/>
    <w:rsid w:val="00E77B0C"/>
    <w:rsid w:val="00E77FB8"/>
    <w:rsid w:val="00E838B0"/>
    <w:rsid w:val="00E86A7C"/>
    <w:rsid w:val="00E878E1"/>
    <w:rsid w:val="00E87F2C"/>
    <w:rsid w:val="00E95278"/>
    <w:rsid w:val="00E962F9"/>
    <w:rsid w:val="00EA2273"/>
    <w:rsid w:val="00EA23B0"/>
    <w:rsid w:val="00EA478B"/>
    <w:rsid w:val="00EA7C3C"/>
    <w:rsid w:val="00EB2DB3"/>
    <w:rsid w:val="00EC3FBB"/>
    <w:rsid w:val="00EC6B7A"/>
    <w:rsid w:val="00ED3A87"/>
    <w:rsid w:val="00ED5B67"/>
    <w:rsid w:val="00ED5FB5"/>
    <w:rsid w:val="00ED650E"/>
    <w:rsid w:val="00EF264C"/>
    <w:rsid w:val="00EF3A70"/>
    <w:rsid w:val="00EF3FEE"/>
    <w:rsid w:val="00EF46F1"/>
    <w:rsid w:val="00F04B59"/>
    <w:rsid w:val="00F11741"/>
    <w:rsid w:val="00F12B1C"/>
    <w:rsid w:val="00F13CF8"/>
    <w:rsid w:val="00F15855"/>
    <w:rsid w:val="00F20FC5"/>
    <w:rsid w:val="00F2298B"/>
    <w:rsid w:val="00F32978"/>
    <w:rsid w:val="00F42808"/>
    <w:rsid w:val="00F45CB2"/>
    <w:rsid w:val="00F544C0"/>
    <w:rsid w:val="00F55332"/>
    <w:rsid w:val="00F6504A"/>
    <w:rsid w:val="00F65519"/>
    <w:rsid w:val="00F65529"/>
    <w:rsid w:val="00F713C0"/>
    <w:rsid w:val="00F75DDC"/>
    <w:rsid w:val="00F76949"/>
    <w:rsid w:val="00F7792F"/>
    <w:rsid w:val="00F842AA"/>
    <w:rsid w:val="00F8476F"/>
    <w:rsid w:val="00F853E1"/>
    <w:rsid w:val="00F85604"/>
    <w:rsid w:val="00F85B0D"/>
    <w:rsid w:val="00F869CA"/>
    <w:rsid w:val="00F94B7A"/>
    <w:rsid w:val="00FA17AC"/>
    <w:rsid w:val="00FA2BBB"/>
    <w:rsid w:val="00FA32DE"/>
    <w:rsid w:val="00FA3382"/>
    <w:rsid w:val="00FA59CD"/>
    <w:rsid w:val="00FB1740"/>
    <w:rsid w:val="00FC3685"/>
    <w:rsid w:val="00FC5469"/>
    <w:rsid w:val="00FC6D7D"/>
    <w:rsid w:val="00FD16B0"/>
    <w:rsid w:val="00FD4FED"/>
    <w:rsid w:val="00FE0577"/>
    <w:rsid w:val="00FE59EC"/>
    <w:rsid w:val="00FE5B67"/>
    <w:rsid w:val="00FE60D6"/>
    <w:rsid w:val="00FF2F2F"/>
    <w:rsid w:val="00FF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204A63"/>
    <w:rPr>
      <w:vertAlign w:val="superscript"/>
    </w:rPr>
  </w:style>
  <w:style w:type="character" w:customStyle="1" w:styleId="FootnoteTextChar">
    <w:name w:val="Footnote Text Char"/>
    <w:link w:val="FootnoteText"/>
    <w:rsid w:val="00204A63"/>
  </w:style>
  <w:style w:type="paragraph" w:customStyle="1" w:styleId="InsideAddress">
    <w:name w:val="Inside Address"/>
    <w:basedOn w:val="Normal"/>
    <w:rsid w:val="00273ED0"/>
    <w:pPr>
      <w:spacing w:line="220" w:lineRule="atLeas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204A63"/>
    <w:rPr>
      <w:vertAlign w:val="superscript"/>
    </w:rPr>
  </w:style>
  <w:style w:type="character" w:customStyle="1" w:styleId="FootnoteTextChar">
    <w:name w:val="Footnote Text Char"/>
    <w:link w:val="FootnoteText"/>
    <w:rsid w:val="00204A63"/>
  </w:style>
  <w:style w:type="paragraph" w:customStyle="1" w:styleId="InsideAddress">
    <w:name w:val="Inside Address"/>
    <w:basedOn w:val="Normal"/>
    <w:rsid w:val="00273ED0"/>
    <w:pPr>
      <w:spacing w:line="22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22">
      <w:bodyDiv w:val="1"/>
      <w:marLeft w:val="0"/>
      <w:marRight w:val="0"/>
      <w:marTop w:val="0"/>
      <w:marBottom w:val="0"/>
      <w:divBdr>
        <w:top w:val="none" w:sz="0" w:space="0" w:color="auto"/>
        <w:left w:val="none" w:sz="0" w:space="0" w:color="auto"/>
        <w:bottom w:val="none" w:sz="0" w:space="0" w:color="auto"/>
        <w:right w:val="none" w:sz="0" w:space="0" w:color="auto"/>
      </w:divBdr>
    </w:div>
    <w:div w:id="250311183">
      <w:bodyDiv w:val="1"/>
      <w:marLeft w:val="0"/>
      <w:marRight w:val="0"/>
      <w:marTop w:val="0"/>
      <w:marBottom w:val="0"/>
      <w:divBdr>
        <w:top w:val="none" w:sz="0" w:space="0" w:color="auto"/>
        <w:left w:val="none" w:sz="0" w:space="0" w:color="auto"/>
        <w:bottom w:val="none" w:sz="0" w:space="0" w:color="auto"/>
        <w:right w:val="none" w:sz="0" w:space="0" w:color="auto"/>
      </w:divBdr>
    </w:div>
    <w:div w:id="708802638">
      <w:bodyDiv w:val="1"/>
      <w:marLeft w:val="0"/>
      <w:marRight w:val="0"/>
      <w:marTop w:val="0"/>
      <w:marBottom w:val="0"/>
      <w:divBdr>
        <w:top w:val="none" w:sz="0" w:space="0" w:color="auto"/>
        <w:left w:val="none" w:sz="0" w:space="0" w:color="auto"/>
        <w:bottom w:val="none" w:sz="0" w:space="0" w:color="auto"/>
        <w:right w:val="none" w:sz="0" w:space="0" w:color="auto"/>
      </w:divBdr>
      <w:divsChild>
        <w:div w:id="1006051932">
          <w:marLeft w:val="576"/>
          <w:marRight w:val="0"/>
          <w:marTop w:val="80"/>
          <w:marBottom w:val="0"/>
          <w:divBdr>
            <w:top w:val="none" w:sz="0" w:space="0" w:color="auto"/>
            <w:left w:val="none" w:sz="0" w:space="0" w:color="auto"/>
            <w:bottom w:val="none" w:sz="0" w:space="0" w:color="auto"/>
            <w:right w:val="none" w:sz="0" w:space="0" w:color="auto"/>
          </w:divBdr>
        </w:div>
      </w:divsChild>
    </w:div>
    <w:div w:id="1029064636">
      <w:bodyDiv w:val="1"/>
      <w:marLeft w:val="0"/>
      <w:marRight w:val="0"/>
      <w:marTop w:val="0"/>
      <w:marBottom w:val="0"/>
      <w:divBdr>
        <w:top w:val="none" w:sz="0" w:space="0" w:color="auto"/>
        <w:left w:val="none" w:sz="0" w:space="0" w:color="auto"/>
        <w:bottom w:val="none" w:sz="0" w:space="0" w:color="auto"/>
        <w:right w:val="none" w:sz="0" w:space="0" w:color="auto"/>
      </w:divBdr>
    </w:div>
    <w:div w:id="1949389148">
      <w:bodyDiv w:val="1"/>
      <w:marLeft w:val="0"/>
      <w:marRight w:val="0"/>
      <w:marTop w:val="0"/>
      <w:marBottom w:val="0"/>
      <w:divBdr>
        <w:top w:val="none" w:sz="0" w:space="0" w:color="auto"/>
        <w:left w:val="none" w:sz="0" w:space="0" w:color="auto"/>
        <w:bottom w:val="none" w:sz="0" w:space="0" w:color="auto"/>
        <w:right w:val="none" w:sz="0" w:space="0" w:color="auto"/>
      </w:divBdr>
      <w:divsChild>
        <w:div w:id="107905792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41EC-4E09-4AE5-9950-41DBDA2A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3599</Words>
  <Characters>20358</Characters>
  <Application>Microsoft Office Word</Application>
  <DocSecurity>0</DocSecurity>
  <Lines>377</Lines>
  <Paragraphs>151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Patricia Zellner</cp:lastModifiedBy>
  <cp:revision>2</cp:revision>
  <cp:lastPrinted>2018-06-27T13:48:00Z</cp:lastPrinted>
  <dcterms:created xsi:type="dcterms:W3CDTF">2018-06-27T13:59:00Z</dcterms:created>
  <dcterms:modified xsi:type="dcterms:W3CDTF">2018-06-27T13:59:00Z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20170265-GU</vt:lpwstr>
  </property>
  <property fmtid="{D5CDD505-2E9C-101B-9397-08002B2CF9AE}" pid="3" name="MasterDocument">
    <vt:bool>false</vt:bool>
  </property>
</Properties>
</file>