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8478A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478A7" w:rsidP="008478A7">
            <w:pPr>
              <w:pStyle w:val="MemoHeading"/>
            </w:pPr>
            <w:bookmarkStart w:id="1" w:name="FilingDate"/>
            <w:r>
              <w:t>June 27,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478A7" w:rsidRDefault="008478A7">
            <w:pPr>
              <w:pStyle w:val="MemoHeading"/>
            </w:pPr>
            <w:bookmarkStart w:id="2" w:name="From"/>
            <w:r>
              <w:t>Division of Economics (Doherty)</w:t>
            </w:r>
          </w:p>
          <w:p w:rsidR="007C0528" w:rsidRDefault="008478A7">
            <w:pPr>
              <w:pStyle w:val="MemoHeading"/>
            </w:pPr>
            <w:r>
              <w:t>Office of the General Counsel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478A7">
            <w:pPr>
              <w:pStyle w:val="MemoHeadingRe"/>
            </w:pPr>
            <w:bookmarkStart w:id="3" w:name="Re"/>
            <w:r>
              <w:t>Docket No. 20180123-EI – Petition for approval of modifications to Section No. IV, general rules and regulations governing electric service, Part VIII billing, residential and non-residential budget billing,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478A7">
            <w:pPr>
              <w:pStyle w:val="MemoHeading"/>
            </w:pPr>
            <w:bookmarkStart w:id="4" w:name="AgendaDate"/>
            <w:r>
              <w:t>07/10/18</w:t>
            </w:r>
            <w:bookmarkEnd w:id="4"/>
            <w:r>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478A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478A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20032" w:rsidP="00620032">
            <w:pPr>
              <w:pStyle w:val="MemoHeading"/>
            </w:pPr>
            <w:bookmarkStart w:id="9" w:name="CriticalDates"/>
            <w:r>
              <w:t>07</w:t>
            </w:r>
            <w:r w:rsidRPr="005C2610">
              <w:t>/2</w:t>
            </w:r>
            <w:r>
              <w:t>3</w:t>
            </w:r>
            <w:r w:rsidRPr="005C2610">
              <w:t>/18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8478A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478A7" w:rsidRDefault="008478A7" w:rsidP="008478A7">
      <w:pPr>
        <w:pStyle w:val="BodyText"/>
      </w:pPr>
      <w:r>
        <w:t>On May 23, 2018, Duke Energy Florida, LLC (</w:t>
      </w:r>
      <w:r w:rsidR="00131E80">
        <w:t>DEF</w:t>
      </w:r>
      <w:r>
        <w:t xml:space="preserve">) filed a petition to offer budget billing to commercial customers. The proposed budget billing tariff sheets Nos. 4.086 and 4.087 </w:t>
      </w:r>
      <w:r w:rsidR="00131E80">
        <w:t>are shown in Attachment A to this</w:t>
      </w:r>
      <w:r>
        <w:t xml:space="preserve"> recommendation.</w:t>
      </w:r>
      <w:r>
        <w:rPr>
          <w:rStyle w:val="FootnoteReference"/>
        </w:rPr>
        <w:footnoteReference w:id="1"/>
      </w:r>
    </w:p>
    <w:p w:rsidR="0068481F" w:rsidRDefault="008478A7" w:rsidP="008478A7">
      <w:pPr>
        <w:pStyle w:val="BodyText"/>
      </w:pPr>
      <w:r>
        <w:t xml:space="preserve">Currently, the five Florida investor-owned electric utilities offer optional budget billing for residential customers. The Commission has approved budget billing for commercial customers </w:t>
      </w:r>
      <w:r>
        <w:lastRenderedPageBreak/>
        <w:t>for Florida Power &amp; Light Company</w:t>
      </w:r>
      <w:r>
        <w:rPr>
          <w:rStyle w:val="FootnoteReference"/>
        </w:rPr>
        <w:footnoteReference w:id="2"/>
      </w:r>
      <w:r>
        <w:t xml:space="preserve"> and Gulf Power Company.</w:t>
      </w:r>
      <w:r>
        <w:rPr>
          <w:rStyle w:val="FootnoteReference"/>
        </w:rPr>
        <w:footnoteReference w:id="3"/>
      </w:r>
      <w:r>
        <w:t xml:space="preserve"> The Commission has jurisdiction under Sections 366.04, 366.05, and 366.06, Florida Statutes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8478A7" w:rsidRDefault="008478A7">
      <w:pPr>
        <w:pStyle w:val="IssueHeading"/>
        <w:rPr>
          <w:vanish/>
          <w:specVanish/>
        </w:rPr>
      </w:pPr>
      <w:r w:rsidRPr="004C3641">
        <w:t xml:space="preserve">Issue </w:t>
      </w:r>
      <w:fldSimple w:instr=" SEQ Issue \* MERGEFORMAT ">
        <w:r w:rsidR="00675F9A">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75F9A">
        <w:rPr>
          <w:noProof/>
        </w:rPr>
        <w:instrText>1</w:instrText>
      </w:r>
      <w:r>
        <w:fldChar w:fldCharType="end"/>
      </w:r>
      <w:r>
        <w:tab/>
        <w:instrText xml:space="preserve">(Doherty)" \l 1 </w:instrText>
      </w:r>
      <w:r>
        <w:fldChar w:fldCharType="end"/>
      </w:r>
      <w:r>
        <w:t> </w:t>
      </w:r>
    </w:p>
    <w:p w:rsidR="008478A7" w:rsidRDefault="008478A7">
      <w:pPr>
        <w:pStyle w:val="BodyText"/>
      </w:pPr>
      <w:r>
        <w:t xml:space="preserve"> Should the Commission approve </w:t>
      </w:r>
      <w:r w:rsidR="00131E80">
        <w:t>DEF</w:t>
      </w:r>
      <w:r w:rsidR="00700934">
        <w:t>’</w:t>
      </w:r>
      <w:r>
        <w:t>s petition for approval of budget billing for commercial customers?</w:t>
      </w:r>
    </w:p>
    <w:p w:rsidR="008478A7" w:rsidRPr="004C3641" w:rsidRDefault="008478A7">
      <w:pPr>
        <w:pStyle w:val="IssueSubsectionHeading"/>
        <w:rPr>
          <w:vanish/>
          <w:specVanish/>
        </w:rPr>
      </w:pPr>
      <w:r w:rsidRPr="004C3641">
        <w:t>Recommendation: </w:t>
      </w:r>
    </w:p>
    <w:p w:rsidR="008478A7" w:rsidRDefault="008478A7">
      <w:pPr>
        <w:pStyle w:val="BodyText"/>
      </w:pPr>
      <w:r>
        <w:t xml:space="preserve"> Yes. The Commission should approve </w:t>
      </w:r>
      <w:r w:rsidR="00131E80">
        <w:t>DEF</w:t>
      </w:r>
      <w:r w:rsidRPr="005045BA">
        <w:t xml:space="preserve">’s </w:t>
      </w:r>
      <w:r>
        <w:t xml:space="preserve">petition for approval of budget billing for commercial customers. </w:t>
      </w:r>
      <w:r w:rsidR="00131E80">
        <w:t>DEF</w:t>
      </w:r>
      <w:r>
        <w:t>’s proposed</w:t>
      </w:r>
      <w:r w:rsidRPr="005045BA">
        <w:t xml:space="preserve"> tariffs</w:t>
      </w:r>
      <w:r>
        <w:t xml:space="preserve"> should become</w:t>
      </w:r>
      <w:r w:rsidRPr="005045BA">
        <w:t xml:space="preserve"> effective </w:t>
      </w:r>
      <w:r>
        <w:t>on</w:t>
      </w:r>
      <w:r w:rsidRPr="005045BA">
        <w:t xml:space="preserve"> July 10, 2018.</w:t>
      </w:r>
      <w:r>
        <w:t xml:space="preserve"> (Doherty)</w:t>
      </w:r>
    </w:p>
    <w:p w:rsidR="008478A7" w:rsidRPr="004C3641" w:rsidRDefault="008478A7">
      <w:pPr>
        <w:pStyle w:val="IssueSubsectionHeading"/>
        <w:rPr>
          <w:vanish/>
          <w:specVanish/>
        </w:rPr>
      </w:pPr>
      <w:r w:rsidRPr="004C3641">
        <w:t>Staff Analysis: </w:t>
      </w:r>
    </w:p>
    <w:p w:rsidR="008478A7" w:rsidRDefault="008478A7" w:rsidP="008478A7">
      <w:pPr>
        <w:pStyle w:val="BodyText"/>
      </w:pPr>
      <w:r>
        <w:t xml:space="preserve"> Currently, budget billing is only offered to residential customers. </w:t>
      </w:r>
      <w:r w:rsidR="00131E80">
        <w:t>DEF</w:t>
      </w:r>
      <w:r>
        <w:t xml:space="preserve"> has proposed to extend the budget billing option to the commercial General Service – 1 (GS-1) and General Service Demand – 1 (GSD-1) class customers. </w:t>
      </w:r>
      <w:r w:rsidR="00131E80">
        <w:t>DEF</w:t>
      </w:r>
      <w:r>
        <w:t xml:space="preserve"> states in its petition that it can provide better customer service by extending the budget billing to commercial customers without affecting the general body of ratepayers. </w:t>
      </w:r>
    </w:p>
    <w:p w:rsidR="008478A7" w:rsidRDefault="008478A7" w:rsidP="008478A7">
      <w:pPr>
        <w:pStyle w:val="BodyText"/>
      </w:pPr>
      <w:r>
        <w:t xml:space="preserve">Budget billing is an optional program that allows customers to reduce the variations in monthly bills that result from seasonal fluctuations in the usage of electricity. This leveling of the bill allows customers to more easily budget their electricity expenses. The methodology for determining the monthly budget bill for commercial customers will be the same as the methodology for determining the monthly budget bill for residential customers. The customer is billed based upon an average of their last 12 months’ kilowatt-hour (kWh) usage, rather than for their actual monthly usage. </w:t>
      </w:r>
    </w:p>
    <w:p w:rsidR="008478A7" w:rsidRDefault="008478A7" w:rsidP="008478A7">
      <w:pPr>
        <w:pStyle w:val="BodyText"/>
      </w:pPr>
      <w:r>
        <w:t xml:space="preserve">The amount billed using the average method is subtracted from the amount which would have been billed based on actual usage. This difference is credited to a deferred balance account which maintains a running total of over- and under-collection. </w:t>
      </w:r>
      <w:r w:rsidR="00700934">
        <w:t>DEF</w:t>
      </w:r>
      <w:r>
        <w:t xml:space="preserve"> recalculates the monthly budget billing amount every third month using the most recent </w:t>
      </w:r>
      <w:r w:rsidR="00700934">
        <w:t>12</w:t>
      </w:r>
      <w:r>
        <w:t xml:space="preserve"> months’ billings plus any deferred balances. If the difference between the current and the newly calculated monthly budget billing amount is greater than </w:t>
      </w:r>
      <w:r w:rsidR="00700934">
        <w:t>10</w:t>
      </w:r>
      <w:r>
        <w:t xml:space="preserve"> percent, the monthly budget billing amount will be re-established.</w:t>
      </w:r>
    </w:p>
    <w:p w:rsidR="008478A7" w:rsidRDefault="008478A7" w:rsidP="008478A7">
      <w:pPr>
        <w:pStyle w:val="BodyText"/>
      </w:pPr>
      <w:r>
        <w:t xml:space="preserve">Customers may request termination of the budget billing at any time. Upon termination of the plan or disconnection of service, the customer must settle the account in full. Once the customer has been terminated, the customer may not rejoin the plan for </w:t>
      </w:r>
      <w:r w:rsidR="00700934">
        <w:t>12</w:t>
      </w:r>
      <w:r>
        <w:t xml:space="preserve"> months. </w:t>
      </w:r>
    </w:p>
    <w:p w:rsidR="008478A7" w:rsidRDefault="008478A7" w:rsidP="008478A7">
      <w:pPr>
        <w:pStyle w:val="BodyText"/>
      </w:pPr>
      <w:r>
        <w:t xml:space="preserve">The residential budget billing tariff provision is currently included on residential tariff sheet No. 6.121. </w:t>
      </w:r>
      <w:r w:rsidR="00131E80">
        <w:t>DEF</w:t>
      </w:r>
      <w:r>
        <w:t xml:space="preserve"> proposed to include the residential budget billing tariff provision, together with the proposed commercial budget billing provision, in its general rules and regulations section of its tariff, as shown in Attachment A. </w:t>
      </w:r>
    </w:p>
    <w:p w:rsidR="008478A7" w:rsidRDefault="008478A7" w:rsidP="008478A7">
      <w:pPr>
        <w:pStyle w:val="First-LevelSubheading"/>
      </w:pPr>
      <w:r>
        <w:t>Conclusion</w:t>
      </w:r>
    </w:p>
    <w:p w:rsidR="008478A7" w:rsidRDefault="008478A7" w:rsidP="008478A7">
      <w:pPr>
        <w:pStyle w:val="BodyText"/>
      </w:pPr>
      <w:r w:rsidRPr="005045BA">
        <w:t>Staff</w:t>
      </w:r>
      <w:r>
        <w:t xml:space="preserve"> has</w:t>
      </w:r>
      <w:r w:rsidRPr="005045BA">
        <w:t xml:space="preserve"> reviewed </w:t>
      </w:r>
      <w:r w:rsidR="00131E80">
        <w:t>DEF</w:t>
      </w:r>
      <w:r w:rsidRPr="005045BA">
        <w:t xml:space="preserve">’s </w:t>
      </w:r>
      <w:r>
        <w:t xml:space="preserve">petition for approval of its budget billing for its commercial customers. </w:t>
      </w:r>
      <w:r w:rsidRPr="005045BA">
        <w:t xml:space="preserve">Participation in the program is optional and will provide </w:t>
      </w:r>
      <w:r w:rsidR="00131E80">
        <w:t>DEF</w:t>
      </w:r>
      <w:r w:rsidRPr="005045BA">
        <w:t xml:space="preserve">’s </w:t>
      </w:r>
      <w:r>
        <w:t xml:space="preserve">commercial </w:t>
      </w:r>
      <w:r w:rsidRPr="005045BA">
        <w:t xml:space="preserve">customers with benefits of budget billing that are currently </w:t>
      </w:r>
      <w:r>
        <w:t>available to</w:t>
      </w:r>
      <w:r w:rsidRPr="005045BA">
        <w:t xml:space="preserve"> its residential customers. </w:t>
      </w:r>
      <w:r>
        <w:t xml:space="preserve">Therefore, </w:t>
      </w:r>
      <w:r w:rsidR="00122D69">
        <w:t xml:space="preserve">staff recommends that </w:t>
      </w:r>
      <w:r>
        <w:t xml:space="preserve">the Commission approve </w:t>
      </w:r>
      <w:r w:rsidR="00131E80">
        <w:t>DEF</w:t>
      </w:r>
      <w:r w:rsidRPr="005045BA">
        <w:t xml:space="preserve">’s </w:t>
      </w:r>
      <w:r>
        <w:t xml:space="preserve">petition for approval of budget billing for commercial customers. </w:t>
      </w:r>
      <w:r w:rsidR="00131E80">
        <w:t>DEF</w:t>
      </w:r>
      <w:r>
        <w:t>’s proposed</w:t>
      </w:r>
      <w:r w:rsidRPr="005045BA">
        <w:t xml:space="preserve"> tariffs</w:t>
      </w:r>
      <w:r>
        <w:t xml:space="preserve"> should become</w:t>
      </w:r>
      <w:r w:rsidRPr="005045BA">
        <w:t xml:space="preserve"> effective </w:t>
      </w:r>
      <w:r>
        <w:t>on</w:t>
      </w:r>
      <w:r w:rsidRPr="005045BA">
        <w:t xml:space="preserve"> July 10, 2018.</w:t>
      </w:r>
    </w:p>
    <w:p w:rsidR="008478A7" w:rsidRDefault="008478A7">
      <w:pPr>
        <w:pStyle w:val="IssueHeading"/>
        <w:rPr>
          <w:vanish/>
          <w:specVanish/>
        </w:rPr>
      </w:pPr>
      <w:r w:rsidRPr="004C3641">
        <w:rPr>
          <w:b w:val="0"/>
          <w:i w:val="0"/>
        </w:rPr>
        <w:br w:type="page"/>
      </w:r>
      <w:r w:rsidRPr="004C3641">
        <w:lastRenderedPageBreak/>
        <w:t xml:space="preserve">Issue </w:t>
      </w:r>
      <w:fldSimple w:instr=" SEQ Issue \* MERGEFORMAT ">
        <w:r w:rsidR="00675F9A">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675F9A">
        <w:rPr>
          <w:noProof/>
        </w:rPr>
        <w:instrText>2</w:instrText>
      </w:r>
      <w:r>
        <w:fldChar w:fldCharType="end"/>
      </w:r>
      <w:r>
        <w:tab/>
        <w:instrText xml:space="preserve">" \l 1 </w:instrText>
      </w:r>
      <w:r>
        <w:fldChar w:fldCharType="end"/>
      </w:r>
      <w:r>
        <w:t> </w:t>
      </w:r>
    </w:p>
    <w:p w:rsidR="008478A7" w:rsidRDefault="008478A7">
      <w:pPr>
        <w:pStyle w:val="BodyText"/>
      </w:pPr>
      <w:r>
        <w:t> Should this docket be closed?</w:t>
      </w:r>
    </w:p>
    <w:p w:rsidR="008478A7" w:rsidRPr="004C3641" w:rsidRDefault="008478A7">
      <w:pPr>
        <w:pStyle w:val="IssueSubsectionHeading"/>
        <w:rPr>
          <w:vanish/>
          <w:specVanish/>
        </w:rPr>
      </w:pPr>
      <w:r w:rsidRPr="004C3641">
        <w:t>Recommendation: </w:t>
      </w:r>
    </w:p>
    <w:p w:rsidR="008478A7" w:rsidRDefault="008478A7">
      <w:pPr>
        <w:pStyle w:val="BodyText"/>
      </w:pPr>
      <w:r>
        <w:t> Yes. If a protest is filed within 21 days of the issuance of the order, these tariffs should remain in effect with any increase held subject to refund pending resolution of the protest. If no timely protest is filed, this docket should be closed upon the issuance of a consummating order. (Trierweiler)</w:t>
      </w:r>
    </w:p>
    <w:p w:rsidR="008478A7" w:rsidRPr="004C3641" w:rsidRDefault="008478A7">
      <w:pPr>
        <w:pStyle w:val="IssueSubsectionHeading"/>
        <w:rPr>
          <w:vanish/>
          <w:specVanish/>
        </w:rPr>
      </w:pPr>
      <w:r w:rsidRPr="004C3641">
        <w:t>Staff Analysis: </w:t>
      </w:r>
    </w:p>
    <w:p w:rsidR="008478A7" w:rsidRDefault="008478A7">
      <w:pPr>
        <w:pStyle w:val="BodyText"/>
        <w:sectPr w:rsidR="008478A7"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If a protest is filed within 21 days of the issuance of the order, these tariffs should remain in effect with any increase held subject to refund pending resolution of the protest. If no timely protest is filed, this docket should be closed upon the issuance of a consummating order.</w:t>
      </w:r>
    </w:p>
    <w:p w:rsidR="008478A7" w:rsidRDefault="008478A7">
      <w:pPr>
        <w:pStyle w:val="BodyText"/>
      </w:pPr>
    </w:p>
    <w:p w:rsidR="00E06484" w:rsidRDefault="008478A7" w:rsidP="00E275D8">
      <w:pPr>
        <w:pStyle w:val="BodyText"/>
      </w:pPr>
      <w:r>
        <w:rPr>
          <w:noProof/>
        </w:rPr>
        <w:drawing>
          <wp:inline distT="0" distB="0" distL="0" distR="0">
            <wp:extent cx="5934075" cy="7686675"/>
            <wp:effectExtent l="0" t="0" r="9525" b="9525"/>
            <wp:docPr id="2" name="Picture 2" descr="I:\00MASTER FOLDER\TEMPORARY STAFF WORKFILES\Technical Staff\Riley\2018\180123 DEF Budget Billing\Clean Tariffs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00MASTER FOLDER\TEMPORARY STAFF WORKFILES\Technical Staff\Riley\2018\180123 DEF Budget Billing\Clean Tariffs_Page_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p w:rsidR="008478A7" w:rsidRDefault="008478A7" w:rsidP="00E275D8">
      <w:pPr>
        <w:pStyle w:val="BodyText"/>
      </w:pPr>
    </w:p>
    <w:p w:rsidR="008478A7" w:rsidRDefault="008478A7" w:rsidP="00E275D8">
      <w:pPr>
        <w:pStyle w:val="BodyText"/>
      </w:pPr>
      <w:r>
        <w:rPr>
          <w:noProof/>
        </w:rPr>
        <w:drawing>
          <wp:inline distT="0" distB="0" distL="0" distR="0">
            <wp:extent cx="5934075" cy="7686675"/>
            <wp:effectExtent l="0" t="0" r="9525" b="9525"/>
            <wp:docPr id="3" name="Picture 3" descr="I:\00MASTER FOLDER\TEMPORARY STAFF WORKFILES\Technical Staff\Riley\2018\180123 DEF Budget Billing\Clean Tariffs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00MASTER FOLDER\TEMPORARY STAFF WORKFILES\Technical Staff\Riley\2018\180123 DEF Budget Billing\Clean Tariffs_Page_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34075" cy="7686675"/>
                    </a:xfrm>
                    <a:prstGeom prst="rect">
                      <a:avLst/>
                    </a:prstGeom>
                    <a:noFill/>
                    <a:ln>
                      <a:noFill/>
                    </a:ln>
                  </pic:spPr>
                </pic:pic>
              </a:graphicData>
            </a:graphic>
          </wp:inline>
        </w:drawing>
      </w:r>
    </w:p>
    <w:sectPr w:rsidR="008478A7"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8A7" w:rsidRDefault="008478A7">
      <w:r>
        <w:separator/>
      </w:r>
    </w:p>
  </w:endnote>
  <w:endnote w:type="continuationSeparator" w:id="0">
    <w:p w:rsidR="008478A7" w:rsidRDefault="0084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75F9A">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8A7" w:rsidRDefault="008478A7">
      <w:r>
        <w:separator/>
      </w:r>
    </w:p>
  </w:footnote>
  <w:footnote w:type="continuationSeparator" w:id="0">
    <w:p w:rsidR="008478A7" w:rsidRDefault="008478A7">
      <w:r>
        <w:continuationSeparator/>
      </w:r>
    </w:p>
  </w:footnote>
  <w:footnote w:id="1">
    <w:p w:rsidR="008478A7" w:rsidRPr="00DA4F75" w:rsidRDefault="008478A7" w:rsidP="008478A7">
      <w:pPr>
        <w:pStyle w:val="BodyText"/>
        <w:rPr>
          <w:sz w:val="20"/>
          <w:szCs w:val="20"/>
        </w:rPr>
      </w:pPr>
      <w:r>
        <w:rPr>
          <w:rStyle w:val="FootnoteReference"/>
        </w:rPr>
        <w:footnoteRef/>
      </w:r>
      <w:r w:rsidRPr="00DA4F75">
        <w:rPr>
          <w:sz w:val="20"/>
          <w:szCs w:val="20"/>
        </w:rPr>
        <w:t xml:space="preserve"> </w:t>
      </w:r>
      <w:r w:rsidR="00131E80">
        <w:rPr>
          <w:sz w:val="20"/>
          <w:szCs w:val="20"/>
        </w:rPr>
        <w:t>DEF</w:t>
      </w:r>
      <w:r w:rsidRPr="00DA4F75">
        <w:rPr>
          <w:sz w:val="20"/>
          <w:szCs w:val="20"/>
        </w:rPr>
        <w:t>’s petition included certain other non-substantive tariff changes (i.e., revision to index sheet) that have not been attached to the recommendation.</w:t>
      </w:r>
    </w:p>
    <w:p w:rsidR="008478A7" w:rsidRDefault="008478A7" w:rsidP="008478A7">
      <w:pPr>
        <w:pStyle w:val="FootnoteText"/>
      </w:pPr>
    </w:p>
  </w:footnote>
  <w:footnote w:id="2">
    <w:p w:rsidR="008478A7" w:rsidRDefault="008478A7" w:rsidP="008478A7">
      <w:pPr>
        <w:pStyle w:val="FootnoteText"/>
      </w:pPr>
      <w:r>
        <w:rPr>
          <w:rStyle w:val="FootnoteReference"/>
        </w:rPr>
        <w:footnoteRef/>
      </w:r>
      <w:r>
        <w:t xml:space="preserve"> </w:t>
      </w:r>
      <w:proofErr w:type="gramStart"/>
      <w:r>
        <w:t>Order No.</w:t>
      </w:r>
      <w:proofErr w:type="gramEnd"/>
      <w:r>
        <w:t xml:space="preserve"> PSC</w:t>
      </w:r>
      <w:r w:rsidRPr="00D036C3">
        <w:t>-05-0951-TRF-EI,</w:t>
      </w:r>
      <w:r>
        <w:t xml:space="preserve"> issued October 6, 2005, in Docket No. </w:t>
      </w:r>
      <w:r w:rsidR="00131E80">
        <w:t>20</w:t>
      </w:r>
      <w:r>
        <w:t xml:space="preserve">050486-EI, </w:t>
      </w:r>
      <w:r>
        <w:rPr>
          <w:i/>
        </w:rPr>
        <w:t>In re: Petition for approval of optional budget billing program for GS-1 rate customers by Florida Power &amp; Light Company.</w:t>
      </w:r>
    </w:p>
  </w:footnote>
  <w:footnote w:id="3">
    <w:p w:rsidR="008478A7" w:rsidRDefault="008478A7" w:rsidP="008478A7">
      <w:pPr>
        <w:pStyle w:val="FootnoteText"/>
      </w:pPr>
      <w:r>
        <w:rPr>
          <w:rStyle w:val="FootnoteReference"/>
        </w:rPr>
        <w:footnoteRef/>
      </w:r>
      <w:r>
        <w:t xml:space="preserve"> </w:t>
      </w:r>
      <w:proofErr w:type="gramStart"/>
      <w:r>
        <w:t>Order No.</w:t>
      </w:r>
      <w:proofErr w:type="gramEnd"/>
      <w:r>
        <w:t xml:space="preserve"> PSC-98-0747-FOF-EI, issued May 29, 1998, in Docket No. </w:t>
      </w:r>
      <w:r w:rsidR="00131E80">
        <w:t>19</w:t>
      </w:r>
      <w:r>
        <w:t xml:space="preserve">980530-EI, </w:t>
      </w:r>
      <w:r>
        <w:rPr>
          <w:i/>
        </w:rPr>
        <w:t>In re: Request for approval of Budget Billing tariff revisions by Gulf Power Company.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8478A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20180123-EI</w:t>
    </w:r>
    <w:bookmarkEnd w:id="15"/>
  </w:p>
  <w:p w:rsidR="00BC402E" w:rsidRDefault="00BC402E">
    <w:pPr>
      <w:pStyle w:val="Header"/>
    </w:pPr>
    <w:r>
      <w:t xml:space="preserve">Date: </w:t>
    </w:r>
    <w:fldSimple w:instr=" REF FilingDate ">
      <w:r w:rsidR="00675F9A">
        <w:t>June 27,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75F9A">
      <w:t>Docket No.</w:t>
    </w:r>
    <w:r>
      <w:fldChar w:fldCharType="end"/>
    </w:r>
    <w:r>
      <w:t xml:space="preserve"> </w:t>
    </w:r>
    <w:r>
      <w:fldChar w:fldCharType="begin"/>
    </w:r>
    <w:r>
      <w:instrText xml:space="preserve"> REF DocketList</w:instrText>
    </w:r>
    <w:r>
      <w:fldChar w:fldCharType="separate"/>
    </w:r>
    <w:r w:rsidR="00675F9A">
      <w:t>20180123-EI</w:t>
    </w:r>
    <w:r>
      <w:fldChar w:fldCharType="end"/>
    </w:r>
    <w:r>
      <w:tab/>
      <w:t xml:space="preserve">Issue </w:t>
    </w:r>
    <w:fldSimple w:instr=" Seq Issue \c \* Arabic ">
      <w:r w:rsidR="00675F9A">
        <w:rPr>
          <w:noProof/>
        </w:rPr>
        <w:t>0</w:t>
      </w:r>
    </w:fldSimple>
  </w:p>
  <w:p w:rsidR="00BC402E" w:rsidRDefault="00BC402E">
    <w:pPr>
      <w:pStyle w:val="Header"/>
    </w:pPr>
    <w:r>
      <w:t xml:space="preserve">Date: </w:t>
    </w:r>
    <w:fldSimple w:instr=" REF FilingDate ">
      <w:r w:rsidR="00675F9A">
        <w:t>June 27,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8A7" w:rsidRDefault="008478A7" w:rsidP="00220732">
    <w:pPr>
      <w:pStyle w:val="Header"/>
      <w:tabs>
        <w:tab w:val="clear" w:pos="4320"/>
        <w:tab w:val="clear" w:pos="8640"/>
        <w:tab w:val="right" w:pos="9360"/>
      </w:tabs>
    </w:pPr>
    <w:r>
      <w:fldChar w:fldCharType="begin"/>
    </w:r>
    <w:r>
      <w:instrText xml:space="preserve"> REF DocketLabel</w:instrText>
    </w:r>
    <w:r>
      <w:fldChar w:fldCharType="separate"/>
    </w:r>
    <w:r w:rsidR="00675F9A">
      <w:t>Docket No.</w:t>
    </w:r>
    <w:r>
      <w:fldChar w:fldCharType="end"/>
    </w:r>
    <w:r>
      <w:t xml:space="preserve"> </w:t>
    </w:r>
    <w:r>
      <w:fldChar w:fldCharType="begin"/>
    </w:r>
    <w:r>
      <w:instrText xml:space="preserve"> REF DocketList</w:instrText>
    </w:r>
    <w:r>
      <w:fldChar w:fldCharType="separate"/>
    </w:r>
    <w:r w:rsidR="00675F9A">
      <w:t>20180123-EI</w:t>
    </w:r>
    <w:r>
      <w:fldChar w:fldCharType="end"/>
    </w:r>
    <w:r>
      <w:tab/>
      <w:t>Attachment A</w:t>
    </w:r>
  </w:p>
  <w:p w:rsidR="008478A7" w:rsidRDefault="008478A7" w:rsidP="008478A7">
    <w:pPr>
      <w:pStyle w:val="Header"/>
      <w:tabs>
        <w:tab w:val="clear" w:pos="4320"/>
        <w:tab w:val="clear" w:pos="8640"/>
        <w:tab w:val="right" w:pos="9360"/>
      </w:tabs>
    </w:pPr>
    <w:r>
      <w:t xml:space="preserve">Date: </w:t>
    </w:r>
    <w:fldSimple w:instr=" REF FilingDate ">
      <w:r w:rsidR="00675F9A">
        <w:t>June 27, 2018</w:t>
      </w:r>
    </w:fldSimple>
    <w:r>
      <w:tab/>
      <w:t xml:space="preserve">Page </w:t>
    </w:r>
    <w:r>
      <w:fldChar w:fldCharType="begin"/>
    </w:r>
    <w:r>
      <w:instrText xml:space="preserve">= </w:instrText>
    </w:r>
    <w:r>
      <w:fldChar w:fldCharType="begin"/>
    </w:r>
    <w:r>
      <w:instrText xml:space="preserve">page </w:instrText>
    </w:r>
    <w:r>
      <w:fldChar w:fldCharType="separate"/>
    </w:r>
    <w:r w:rsidR="00675F9A">
      <w:rPr>
        <w:noProof/>
      </w:rPr>
      <w:instrText>5</w:instrText>
    </w:r>
    <w:r>
      <w:fldChar w:fldCharType="end"/>
    </w:r>
    <w:r>
      <w:instrText xml:space="preserve">-4 </w:instrText>
    </w:r>
    <w:r>
      <w:fldChar w:fldCharType="separate"/>
    </w:r>
    <w:r w:rsidR="00675F9A">
      <w:rPr>
        <w:noProof/>
      </w:rPr>
      <w:t>1</w:t>
    </w:r>
    <w:r>
      <w:fldChar w:fldCharType="end"/>
    </w:r>
    <w:r>
      <w:t xml:space="preserve">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478A7"/>
    <w:rsid w:val="000043D5"/>
    <w:rsid w:val="00006170"/>
    <w:rsid w:val="00010E37"/>
    <w:rsid w:val="000172DA"/>
    <w:rsid w:val="000247C5"/>
    <w:rsid w:val="000277C2"/>
    <w:rsid w:val="00035B48"/>
    <w:rsid w:val="00036CE2"/>
    <w:rsid w:val="000437FE"/>
    <w:rsid w:val="000513BE"/>
    <w:rsid w:val="00063EFF"/>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2D69"/>
    <w:rsid w:val="00124E2E"/>
    <w:rsid w:val="00125ED4"/>
    <w:rsid w:val="001305E9"/>
    <w:rsid w:val="001307AF"/>
    <w:rsid w:val="00131E80"/>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0032"/>
    <w:rsid w:val="0062527B"/>
    <w:rsid w:val="00625D97"/>
    <w:rsid w:val="00625F1C"/>
    <w:rsid w:val="006279E1"/>
    <w:rsid w:val="00630CEB"/>
    <w:rsid w:val="00632264"/>
    <w:rsid w:val="006470BC"/>
    <w:rsid w:val="006554D3"/>
    <w:rsid w:val="00667036"/>
    <w:rsid w:val="00673BDB"/>
    <w:rsid w:val="00674341"/>
    <w:rsid w:val="00675F9A"/>
    <w:rsid w:val="006771B8"/>
    <w:rsid w:val="006843B6"/>
    <w:rsid w:val="0068481F"/>
    <w:rsid w:val="00696F5D"/>
    <w:rsid w:val="00697249"/>
    <w:rsid w:val="006B3947"/>
    <w:rsid w:val="006B4293"/>
    <w:rsid w:val="006B624F"/>
    <w:rsid w:val="006C0C95"/>
    <w:rsid w:val="006C31E3"/>
    <w:rsid w:val="006D18D3"/>
    <w:rsid w:val="006E08CB"/>
    <w:rsid w:val="006E598D"/>
    <w:rsid w:val="00700934"/>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478A7"/>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F80"/>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4AF8"/>
    <w:rsid w:val="00DC59E6"/>
    <w:rsid w:val="00DD150B"/>
    <w:rsid w:val="00DD5025"/>
    <w:rsid w:val="00DF1510"/>
    <w:rsid w:val="00E02F1F"/>
    <w:rsid w:val="00E06484"/>
    <w:rsid w:val="00E141E7"/>
    <w:rsid w:val="00E20A7D"/>
    <w:rsid w:val="00E275D8"/>
    <w:rsid w:val="00E30F6A"/>
    <w:rsid w:val="00E3117C"/>
    <w:rsid w:val="00E375CA"/>
    <w:rsid w:val="00E52E6B"/>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43F0"/>
    <w:rsid w:val="00EC6B7A"/>
    <w:rsid w:val="00ED3A87"/>
    <w:rsid w:val="00ED5B6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1CFC"/>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8478A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8478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741</Words>
  <Characters>4466</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Riley Doherty</dc:creator>
  <cp:lastModifiedBy>Patricia Zellner</cp:lastModifiedBy>
  <cp:revision>2</cp:revision>
  <cp:lastPrinted>2018-06-27T14:40:00Z</cp:lastPrinted>
  <dcterms:created xsi:type="dcterms:W3CDTF">2018-06-27T14:46:00Z</dcterms:created>
  <dcterms:modified xsi:type="dcterms:W3CDTF">2018-06-27T14:46:00Z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20180123-EI</vt:lpwstr>
  </property>
  <property fmtid="{D5CDD505-2E9C-101B-9397-08002B2CF9AE}" pid="3" name="MasterDocument">
    <vt:bool>false</vt:bool>
  </property>
</Properties>
</file>