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D77C2B" w:rsidP="00D77C2B">
            <w:pPr>
              <w:pStyle w:val="MastHeadState"/>
              <w:jc w:val="left"/>
            </w:pPr>
            <w:bookmarkStart w:id="0" w:name="_GoBack"/>
            <w:bookmarkEnd w:id="0"/>
            <w:r>
              <w:t xml:space="preserve"> </w:t>
            </w:r>
            <w:r w:rsidR="007C0528">
              <w:t>State of Florida</w:t>
            </w:r>
          </w:p>
          <w:p w:rsidR="007C0528" w:rsidRDefault="002B63D2">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C4FBC">
            <w:pPr>
              <w:pStyle w:val="MemoHeading"/>
            </w:pPr>
            <w:bookmarkStart w:id="1" w:name="FilingDate"/>
            <w:r>
              <w:t>July 26</w:t>
            </w:r>
            <w:r w:rsidR="005F11B0">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F11B0" w:rsidRDefault="005F11B0">
            <w:pPr>
              <w:pStyle w:val="MemoHeading"/>
            </w:pPr>
            <w:bookmarkStart w:id="2" w:name="From"/>
            <w:r>
              <w:t>Division of Economics (Merryday, Draper)</w:t>
            </w:r>
          </w:p>
          <w:p w:rsidR="007C0528" w:rsidRDefault="005F11B0">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F11B0">
            <w:pPr>
              <w:pStyle w:val="MemoHeadingRe"/>
            </w:pPr>
            <w:bookmarkStart w:id="3" w:name="Re"/>
            <w:r>
              <w:t>Docket No. 20180088-EI – Petition for limited proceeding for approval of a smart meter opt-out tariff,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F11B0">
            <w:pPr>
              <w:pStyle w:val="MemoHeading"/>
            </w:pPr>
            <w:bookmarkStart w:id="4" w:name="AgendaDate"/>
            <w:r>
              <w:t>08/07/18</w:t>
            </w:r>
            <w:bookmarkEnd w:id="4"/>
            <w:r w:rsidR="007C0528">
              <w:t xml:space="preserve"> – </w:t>
            </w:r>
            <w:bookmarkStart w:id="5" w:name="PermittedStatus"/>
            <w:r>
              <w:t>Regular Agenda –</w:t>
            </w:r>
            <w:r w:rsidR="00795DC8">
              <w:t xml:space="preserve"> Tariff Filing –</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F11B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F11B0">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77454" w:rsidP="003156CA">
            <w:pPr>
              <w:pStyle w:val="MemoHeading"/>
            </w:pPr>
            <w:r>
              <w:t>12/</w:t>
            </w:r>
            <w:r w:rsidR="003156CA">
              <w:t>04</w:t>
            </w:r>
            <w:r>
              <w:t>/18 (8-Month Effective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F11B0">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84761" w:rsidRDefault="005F11B0">
      <w:pPr>
        <w:pStyle w:val="BodyText"/>
      </w:pPr>
      <w:r>
        <w:t>On April 4, 2018, Duke Energy Florida, LLC (</w:t>
      </w:r>
      <w:r w:rsidR="00021A82">
        <w:t>Duke</w:t>
      </w:r>
      <w:r w:rsidR="0098448D">
        <w:t xml:space="preserve"> or </w:t>
      </w:r>
      <w:r w:rsidR="00795DC8">
        <w:t>utility</w:t>
      </w:r>
      <w:r>
        <w:t xml:space="preserve">) filed a </w:t>
      </w:r>
      <w:r w:rsidR="00FC0FC0">
        <w:t>petition for</w:t>
      </w:r>
      <w:r w:rsidR="00B21CF0">
        <w:t xml:space="preserve"> a</w:t>
      </w:r>
      <w:r w:rsidR="00FC0FC0">
        <w:t xml:space="preserve"> limited proceeding for approval of a smart meter opt-out tariff (opt-out tariff)</w:t>
      </w:r>
      <w:r>
        <w:t>. The</w:t>
      </w:r>
      <w:r w:rsidR="00FC0FC0">
        <w:t xml:space="preserve"> proposed</w:t>
      </w:r>
      <w:r>
        <w:t xml:space="preserve"> tariff would be available to customers who elect to </w:t>
      </w:r>
      <w:r w:rsidR="007D1215">
        <w:t>receive</w:t>
      </w:r>
      <w:r>
        <w:t xml:space="preserve"> a non-communicating meter in lieu of the standard </w:t>
      </w:r>
      <w:r w:rsidR="00E45DFC">
        <w:t xml:space="preserve">smart meter, or </w:t>
      </w:r>
      <w:r>
        <w:t xml:space="preserve">Automated Meter Infrastructure (AMI) </w:t>
      </w:r>
      <w:r w:rsidR="00DA696B">
        <w:t xml:space="preserve">smart </w:t>
      </w:r>
      <w:r>
        <w:t>meter.</w:t>
      </w:r>
    </w:p>
    <w:p w:rsidR="006148AC" w:rsidRDefault="003F1A46">
      <w:pPr>
        <w:pStyle w:val="BodyText"/>
      </w:pPr>
      <w:r>
        <w:t>On November 11, 2017, t</w:t>
      </w:r>
      <w:r w:rsidR="00C03C8B">
        <w:t xml:space="preserve">he Commission approved Duke’s </w:t>
      </w:r>
      <w:r w:rsidR="00461E06">
        <w:t>2017 Second Revised and Restated Settlement Agreement</w:t>
      </w:r>
      <w:r w:rsidR="001C1D0B">
        <w:t xml:space="preserve"> (2017 Settlement)</w:t>
      </w:r>
      <w:r w:rsidR="00C03C8B">
        <w:t>, which include</w:t>
      </w:r>
      <w:r w:rsidR="005A64E0">
        <w:t>s</w:t>
      </w:r>
      <w:r w:rsidR="00C03C8B">
        <w:t xml:space="preserve"> a </w:t>
      </w:r>
      <w:r w:rsidR="006148AC">
        <w:t xml:space="preserve">provision for a </w:t>
      </w:r>
      <w:r w:rsidR="009948BB">
        <w:t>15-year depreciable life for new</w:t>
      </w:r>
      <w:r w:rsidR="00C03C8B">
        <w:t xml:space="preserve"> AMI </w:t>
      </w:r>
      <w:r w:rsidR="009948BB">
        <w:t>assets</w:t>
      </w:r>
      <w:r w:rsidR="00C03C8B">
        <w:t>.</w:t>
      </w:r>
      <w:r w:rsidR="00C03C8B">
        <w:rPr>
          <w:rStyle w:val="FootnoteReference"/>
        </w:rPr>
        <w:footnoteReference w:id="1"/>
      </w:r>
      <w:r w:rsidR="00C03C8B">
        <w:t xml:space="preserve"> </w:t>
      </w:r>
      <w:r w:rsidR="001C1D0B">
        <w:t xml:space="preserve">On October 25, 2017, the Commission held a hearing to consider the 2017 Settlement. At the hearing, Duke </w:t>
      </w:r>
      <w:proofErr w:type="gramStart"/>
      <w:r w:rsidR="001C1D0B">
        <w:t>witness</w:t>
      </w:r>
      <w:proofErr w:type="gramEnd"/>
      <w:r w:rsidR="001C1D0B">
        <w:t xml:space="preserve"> </w:t>
      </w:r>
      <w:proofErr w:type="spellStart"/>
      <w:r w:rsidR="001C1D0B">
        <w:t>Portuondo</w:t>
      </w:r>
      <w:proofErr w:type="spellEnd"/>
      <w:r w:rsidR="001C1D0B">
        <w:t xml:space="preserve"> testified that the base rate adjustments </w:t>
      </w:r>
      <w:r w:rsidR="005A4D5B">
        <w:t>contained</w:t>
      </w:r>
      <w:r w:rsidR="001C1D0B">
        <w:t xml:space="preserve"> in the 2017 Settlement </w:t>
      </w:r>
      <w:r w:rsidR="005A4D5B">
        <w:t xml:space="preserve">include </w:t>
      </w:r>
      <w:r w:rsidR="001C1D0B">
        <w:t xml:space="preserve">AMI </w:t>
      </w:r>
      <w:r w:rsidR="00D559DD">
        <w:t xml:space="preserve">smart </w:t>
      </w:r>
      <w:r w:rsidR="001C1D0B">
        <w:t xml:space="preserve">meters </w:t>
      </w:r>
      <w:r w:rsidR="00292FD5">
        <w:t>to be deployed by 20</w:t>
      </w:r>
      <w:r w:rsidR="00106B96">
        <w:t>21</w:t>
      </w:r>
      <w:r w:rsidR="00292FD5">
        <w:t xml:space="preserve"> </w:t>
      </w:r>
      <w:r w:rsidR="001C1D0B">
        <w:t xml:space="preserve">and a </w:t>
      </w:r>
      <w:r w:rsidR="001C1D0B">
        <w:lastRenderedPageBreak/>
        <w:t>replacement of Duke’</w:t>
      </w:r>
      <w:r w:rsidR="005A4D5B">
        <w:t>s customer information system, or billing system, to m</w:t>
      </w:r>
      <w:r w:rsidR="00D559DD">
        <w:t xml:space="preserve">aximize the benefits of the AMI smart </w:t>
      </w:r>
      <w:r w:rsidR="005A4D5B">
        <w:t xml:space="preserve">meters and provide customers with better tools to manage their consumption. At the hearing, witness </w:t>
      </w:r>
      <w:proofErr w:type="spellStart"/>
      <w:r w:rsidR="005A4D5B">
        <w:t>Portuondo</w:t>
      </w:r>
      <w:proofErr w:type="spellEnd"/>
      <w:r w:rsidR="005A4D5B">
        <w:t xml:space="preserve"> also stated that Duke will file an opt-out tariff, which Duke has done with the instant petition.</w:t>
      </w:r>
      <w:r w:rsidR="00292FD5">
        <w:rPr>
          <w:rStyle w:val="FootnoteReference"/>
        </w:rPr>
        <w:footnoteReference w:id="2"/>
      </w:r>
    </w:p>
    <w:p w:rsidR="00B668CA" w:rsidRDefault="00292FD5">
      <w:pPr>
        <w:pStyle w:val="BodyText"/>
      </w:pPr>
      <w:r>
        <w:t>Consistent with the testimony provided during the 2017 Settlement hearing, t</w:t>
      </w:r>
      <w:r w:rsidR="0004269A">
        <w:t xml:space="preserve">he </w:t>
      </w:r>
      <w:r w:rsidR="009A15DF">
        <w:t>utility</w:t>
      </w:r>
      <w:r w:rsidR="00E45DFC">
        <w:t xml:space="preserve"> states</w:t>
      </w:r>
      <w:r>
        <w:t xml:space="preserve"> in the instant petition</w:t>
      </w:r>
      <w:r w:rsidR="00E45DFC">
        <w:t xml:space="preserve"> that smart meter deployment</w:t>
      </w:r>
      <w:r w:rsidR="00E84D5A">
        <w:t xml:space="preserve"> for residential and general service (small commercial) customers</w:t>
      </w:r>
      <w:r w:rsidR="0004269A">
        <w:t xml:space="preserve"> is set to begin </w:t>
      </w:r>
      <w:r w:rsidR="00565BFB">
        <w:t xml:space="preserve">in </w:t>
      </w:r>
      <w:r w:rsidR="0004269A">
        <w:t>November 2018</w:t>
      </w:r>
      <w:r w:rsidR="00FC0FC0">
        <w:t xml:space="preserve">. Upon completion of </w:t>
      </w:r>
      <w:r w:rsidR="00E45DFC">
        <w:t>the</w:t>
      </w:r>
      <w:r w:rsidR="00FC0FC0">
        <w:t xml:space="preserve"> deployment</w:t>
      </w:r>
      <w:r w:rsidR="00ED3929">
        <w:t>, expected by December 2021</w:t>
      </w:r>
      <w:r w:rsidR="00FC0FC0">
        <w:t xml:space="preserve">, </w:t>
      </w:r>
      <w:r w:rsidR="00E45DFC">
        <w:t>smart</w:t>
      </w:r>
      <w:r w:rsidR="00FC0FC0">
        <w:t xml:space="preserve"> meters</w:t>
      </w:r>
      <w:r w:rsidR="0028428F">
        <w:t xml:space="preserve"> will become </w:t>
      </w:r>
      <w:r w:rsidR="00021A82">
        <w:t>Duke</w:t>
      </w:r>
      <w:r w:rsidR="00EF2017">
        <w:t>’s</w:t>
      </w:r>
      <w:r w:rsidR="0028428F">
        <w:t xml:space="preserve"> standard meter</w:t>
      </w:r>
      <w:r w:rsidR="0004269A">
        <w:t xml:space="preserve">. </w:t>
      </w:r>
      <w:r>
        <w:t xml:space="preserve">Associated with the AMI project is meter communication infrastructure needed to enable communication with the meters and Duke’s information technology system. </w:t>
      </w:r>
    </w:p>
    <w:p w:rsidR="00B668CA" w:rsidRDefault="00B668CA">
      <w:pPr>
        <w:pStyle w:val="BodyText"/>
      </w:pPr>
      <w:r>
        <w:t xml:space="preserve">Duke’s current meters are Automated Meter Reading (AMR) meters that emit a radio frequency signal. That signal is picked up once a month by a meter reading vehicle driving by the neighborhood. Duke installed </w:t>
      </w:r>
      <w:r w:rsidR="00D0010D">
        <w:t>the</w:t>
      </w:r>
      <w:r>
        <w:t xml:space="preserve"> AMR meters in 2005 and 2006 and states that at the time there was no public opposition to the AMR meter deployment. In the last five years, Duke received a small number of complaints regarding radio frequency</w:t>
      </w:r>
      <w:r w:rsidR="00D0010D">
        <w:t xml:space="preserve"> </w:t>
      </w:r>
      <w:r w:rsidR="00DD106D">
        <w:t>transmission</w:t>
      </w:r>
      <w:r>
        <w:t>, which is similar between the AMR and AMI</w:t>
      </w:r>
      <w:r w:rsidR="00D559DD">
        <w:t xml:space="preserve"> smart</w:t>
      </w:r>
      <w:r>
        <w:t xml:space="preserve"> meters. In all complaints so far, the AMR meter was retained</w:t>
      </w:r>
      <w:r w:rsidR="00F65D58">
        <w:t xml:space="preserve"> as Duke does not have an opt-out tariff. However, Duke stated some customers specifically requested an opt-out option and</w:t>
      </w:r>
      <w:r w:rsidR="00DD106D">
        <w:t xml:space="preserve"> a meter that emits</w:t>
      </w:r>
      <w:r w:rsidR="00D0010D">
        <w:t xml:space="preserve"> no radio </w:t>
      </w:r>
      <w:r w:rsidR="00F65D58">
        <w:t>frequency</w:t>
      </w:r>
      <w:r w:rsidR="00D0010D">
        <w:t xml:space="preserve"> </w:t>
      </w:r>
      <w:r w:rsidR="00DD106D">
        <w:t>signal</w:t>
      </w:r>
      <w:r w:rsidR="00F65D58">
        <w:t>.</w:t>
      </w:r>
    </w:p>
    <w:p w:rsidR="0020086E" w:rsidRDefault="00EF2017">
      <w:pPr>
        <w:pStyle w:val="BodyText"/>
      </w:pPr>
      <w:r>
        <w:t>The utility</w:t>
      </w:r>
      <w:r w:rsidR="00521D6E">
        <w:t xml:space="preserve"> anticipates </w:t>
      </w:r>
      <w:r w:rsidR="004F6321">
        <w:t xml:space="preserve">that </w:t>
      </w:r>
      <w:r w:rsidR="000D2302">
        <w:t>some</w:t>
      </w:r>
      <w:r w:rsidR="00521D6E">
        <w:t xml:space="preserve"> customers will</w:t>
      </w:r>
      <w:r w:rsidR="003D4E07">
        <w:t xml:space="preserve"> </w:t>
      </w:r>
      <w:r w:rsidR="00AF52A6">
        <w:t>elect</w:t>
      </w:r>
      <w:r w:rsidR="003D4E07">
        <w:t xml:space="preserve"> to for</w:t>
      </w:r>
      <w:r w:rsidR="004541F8">
        <w:t>e</w:t>
      </w:r>
      <w:r w:rsidR="003D4E07">
        <w:t xml:space="preserve">go the </w:t>
      </w:r>
      <w:r w:rsidR="00F65D58">
        <w:t xml:space="preserve">new AMI </w:t>
      </w:r>
      <w:r w:rsidR="00E45DFC">
        <w:t>smart</w:t>
      </w:r>
      <w:r w:rsidR="003D4E07">
        <w:t xml:space="preserve"> meters</w:t>
      </w:r>
      <w:r w:rsidR="00565BFB">
        <w:t xml:space="preserve"> and request a non-communicating meter</w:t>
      </w:r>
      <w:r w:rsidR="005D3977">
        <w:t>;</w:t>
      </w:r>
      <w:r w:rsidR="00EE111E">
        <w:t xml:space="preserve"> therefore</w:t>
      </w:r>
      <w:r w:rsidR="005D3977">
        <w:t>,</w:t>
      </w:r>
      <w:r w:rsidR="00EE111E">
        <w:t xml:space="preserve"> </w:t>
      </w:r>
      <w:r w:rsidR="00E45DFC">
        <w:t>Duke</w:t>
      </w:r>
      <w:r w:rsidR="00EE111E">
        <w:t xml:space="preserve"> filed the instant petition and </w:t>
      </w:r>
      <w:r w:rsidR="005D3977">
        <w:t>associated</w:t>
      </w:r>
      <w:r w:rsidR="00EE111E">
        <w:t xml:space="preserve"> opt-out tariff</w:t>
      </w:r>
      <w:r w:rsidR="003D4E07">
        <w:t>.</w:t>
      </w:r>
      <w:r w:rsidR="00EA42C1">
        <w:t xml:space="preserve"> The</w:t>
      </w:r>
      <w:r w:rsidR="00587EB9">
        <w:t xml:space="preserve"> </w:t>
      </w:r>
      <w:r w:rsidR="00FC0FC0">
        <w:t>opt-out</w:t>
      </w:r>
      <w:r w:rsidR="00587EB9">
        <w:t xml:space="preserve"> tariff</w:t>
      </w:r>
      <w:r w:rsidR="00C314BA">
        <w:t xml:space="preserve"> </w:t>
      </w:r>
      <w:r w:rsidR="00B21CF0">
        <w:t>would be</w:t>
      </w:r>
      <w:r w:rsidR="00C314BA">
        <w:t xml:space="preserve"> applicable to customers </w:t>
      </w:r>
      <w:r w:rsidR="007D1215">
        <w:t>that</w:t>
      </w:r>
      <w:r w:rsidR="00C314BA">
        <w:t xml:space="preserve"> request a non-</w:t>
      </w:r>
      <w:r w:rsidR="001356FD">
        <w:t>communicating</w:t>
      </w:r>
      <w:r w:rsidR="00DA0BC9">
        <w:t>, i.e., non-standard,</w:t>
      </w:r>
      <w:r w:rsidR="00C314BA">
        <w:t xml:space="preserve"> meter and</w:t>
      </w:r>
      <w:r w:rsidR="00587EB9">
        <w:t xml:space="preserve"> </w:t>
      </w:r>
      <w:r w:rsidR="00C314BA">
        <w:t>includes</w:t>
      </w:r>
      <w:r w:rsidR="00587EB9">
        <w:t xml:space="preserve"> an initial </w:t>
      </w:r>
      <w:r w:rsidR="005D3977">
        <w:t xml:space="preserve">one-time </w:t>
      </w:r>
      <w:r w:rsidR="00587EB9">
        <w:t xml:space="preserve">set-up </w:t>
      </w:r>
      <w:r w:rsidR="00022282">
        <w:t>fee</w:t>
      </w:r>
      <w:r w:rsidR="00795DC8">
        <w:t xml:space="preserve"> of $96.34</w:t>
      </w:r>
      <w:r w:rsidR="00587EB9">
        <w:t xml:space="preserve"> and a monthly surcharge </w:t>
      </w:r>
      <w:r w:rsidR="00795DC8">
        <w:t>of $15.60</w:t>
      </w:r>
      <w:r w:rsidR="00587EB9">
        <w:t>.</w:t>
      </w:r>
      <w:r w:rsidR="00140ED4">
        <w:t xml:space="preserve"> </w:t>
      </w:r>
      <w:r w:rsidR="00B21CF0">
        <w:t xml:space="preserve">The proposed charges are based on Duke’s incremental costs to provide the opt-out tariff. </w:t>
      </w:r>
    </w:p>
    <w:p w:rsidR="0028428F" w:rsidRDefault="007D6191">
      <w:pPr>
        <w:pStyle w:val="BodyText"/>
      </w:pPr>
      <w:r>
        <w:t>The Commission approved a</w:t>
      </w:r>
      <w:r w:rsidR="0028428F">
        <w:t xml:space="preserve"> similar </w:t>
      </w:r>
      <w:r w:rsidR="00C314BA">
        <w:t xml:space="preserve">opt-out </w:t>
      </w:r>
      <w:r w:rsidR="0028428F">
        <w:t xml:space="preserve">tariff and charges </w:t>
      </w:r>
      <w:r w:rsidR="00C314BA">
        <w:t>($89</w:t>
      </w:r>
      <w:r w:rsidR="00021A82">
        <w:t>.00</w:t>
      </w:r>
      <w:r w:rsidR="0020086E">
        <w:t xml:space="preserve"> one-time</w:t>
      </w:r>
      <w:r w:rsidR="00C314BA">
        <w:t xml:space="preserve"> </w:t>
      </w:r>
      <w:r w:rsidR="009F2083">
        <w:t>set-up</w:t>
      </w:r>
      <w:r w:rsidR="0020086E">
        <w:t xml:space="preserve"> fee</w:t>
      </w:r>
      <w:r w:rsidR="005679AA">
        <w:t>,</w:t>
      </w:r>
      <w:r w:rsidR="00C314BA">
        <w:t xml:space="preserve"> $13</w:t>
      </w:r>
      <w:r w:rsidR="00021A82">
        <w:t>.00</w:t>
      </w:r>
      <w:r w:rsidR="005679AA">
        <w:t xml:space="preserve"> monthly</w:t>
      </w:r>
      <w:r w:rsidR="0020086E">
        <w:t xml:space="preserve"> surcharge</w:t>
      </w:r>
      <w:r w:rsidR="00C314BA">
        <w:t xml:space="preserve">) </w:t>
      </w:r>
      <w:r>
        <w:t>for</w:t>
      </w:r>
      <w:r w:rsidR="0028428F">
        <w:t xml:space="preserve"> Florida Power &amp; Light Company</w:t>
      </w:r>
      <w:r w:rsidR="005D3977">
        <w:t xml:space="preserve"> (FPL)</w:t>
      </w:r>
      <w:r w:rsidR="0028428F">
        <w:t xml:space="preserve"> in 2015.</w:t>
      </w:r>
      <w:r w:rsidR="0028428F">
        <w:rPr>
          <w:rStyle w:val="FootnoteReference"/>
        </w:rPr>
        <w:footnoteReference w:id="3"/>
      </w:r>
      <w:r w:rsidR="0020086E">
        <w:t xml:space="preserve"> Several municipal electric utilities (City of Lakeland and Orlando Utilities Commission) and rural electric cooperatives (Sumter Electric, </w:t>
      </w:r>
      <w:proofErr w:type="spellStart"/>
      <w:r w:rsidR="0020086E">
        <w:t>Talquin</w:t>
      </w:r>
      <w:proofErr w:type="spellEnd"/>
      <w:r w:rsidR="0020086E">
        <w:t xml:space="preserve"> Electric, Tri-County Electric, and Peace River) </w:t>
      </w:r>
      <w:r w:rsidR="000B358B">
        <w:t xml:space="preserve">also </w:t>
      </w:r>
      <w:r w:rsidR="0020086E">
        <w:t xml:space="preserve">provide optional opt-out tariffs. </w:t>
      </w:r>
    </w:p>
    <w:p w:rsidR="005F11B0" w:rsidRDefault="00A77454">
      <w:pPr>
        <w:pStyle w:val="BodyText"/>
      </w:pPr>
      <w:r>
        <w:t xml:space="preserve">On April 18, 2018, </w:t>
      </w:r>
      <w:r w:rsidR="00E45DFC">
        <w:t>Duke</w:t>
      </w:r>
      <w:r>
        <w:t xml:space="preserve"> waived the 60-day file and suspend provision per Section 366.06(3), Florida Statutes (F.S.) </w:t>
      </w:r>
      <w:r w:rsidR="004F6321">
        <w:t>On May 3, June 4, June 20,</w:t>
      </w:r>
      <w:r w:rsidR="00F65D58">
        <w:t xml:space="preserve"> and July 17,</w:t>
      </w:r>
      <w:r w:rsidR="004F6321">
        <w:t xml:space="preserve"> 2018,</w:t>
      </w:r>
      <w:r w:rsidR="0004269A">
        <w:t xml:space="preserve"> </w:t>
      </w:r>
      <w:r w:rsidR="00E45DFC">
        <w:t>Duke</w:t>
      </w:r>
      <w:r w:rsidR="0004269A">
        <w:t xml:space="preserve"> responded to </w:t>
      </w:r>
      <w:r w:rsidR="004F6321">
        <w:t>staff’s data requests.</w:t>
      </w:r>
      <w:r w:rsidR="002C42E0">
        <w:t xml:space="preserve"> On May 23, 2018, Duke provided revised tariff sheets reflecting a minor correction.</w:t>
      </w:r>
      <w:r w:rsidR="00C86A31">
        <w:t xml:space="preserve"> </w:t>
      </w:r>
      <w:r w:rsidR="00F65D58">
        <w:t xml:space="preserve">On July </w:t>
      </w:r>
      <w:r w:rsidR="003644BD">
        <w:t>23</w:t>
      </w:r>
      <w:r w:rsidR="00F65D58">
        <w:t xml:space="preserve">, 2018, Duke provided revised tariff sheet No. 6.400 to include language that an opt-out customer who already has a non-communicating meter installed would not be required to pay the $96.34 one-time set up fee. </w:t>
      </w:r>
      <w:r w:rsidR="00CE6EA7">
        <w:t xml:space="preserve">The legislative version of the revised opt-out </w:t>
      </w:r>
      <w:r w:rsidR="00CE6EA7">
        <w:lastRenderedPageBreak/>
        <w:t>tariff sheet No. 6.400 is shown in Attachment A to the recommendation.</w:t>
      </w:r>
      <w:r w:rsidR="00CE6EA7">
        <w:rPr>
          <w:rStyle w:val="FootnoteReference"/>
        </w:rPr>
        <w:footnoteReference w:id="4"/>
      </w:r>
      <w:r w:rsidR="00CE6EA7">
        <w:t xml:space="preserve"> </w:t>
      </w:r>
      <w:r w:rsidR="00C86A31">
        <w:t>The Commission has jurisdiction pursuant to</w:t>
      </w:r>
      <w:r w:rsidR="00140ED4">
        <w:t xml:space="preserve"> Sections 366.03, 366.04, 366.05, and 366.06, </w:t>
      </w:r>
      <w:r>
        <w:t>F.S</w:t>
      </w:r>
      <w:r w:rsidR="00C86A31">
        <w:t>.</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2B63D2" w:rsidRDefault="002B63D2">
      <w:pPr>
        <w:pStyle w:val="IssueHeading"/>
        <w:rPr>
          <w:vanish/>
          <w:specVanish/>
        </w:rPr>
      </w:pPr>
      <w:r w:rsidRPr="004C3641">
        <w:t xml:space="preserve">Issue </w:t>
      </w:r>
      <w:r w:rsidR="00A902FB">
        <w:fldChar w:fldCharType="begin"/>
      </w:r>
      <w:r w:rsidR="00A902FB">
        <w:instrText xml:space="preserve"> SEQ Issue \* MERGEFORMAT </w:instrText>
      </w:r>
      <w:r w:rsidR="00A902FB">
        <w:fldChar w:fldCharType="separate"/>
      </w:r>
      <w:r w:rsidR="00686737">
        <w:rPr>
          <w:noProof/>
        </w:rPr>
        <w:t>1</w:t>
      </w:r>
      <w:r w:rsidR="00A902F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86737">
        <w:rPr>
          <w:noProof/>
        </w:rPr>
        <w:instrText>1</w:instrText>
      </w:r>
      <w:r>
        <w:fldChar w:fldCharType="end"/>
      </w:r>
      <w:r>
        <w:tab/>
        <w:instrText xml:space="preserve">" \l 1 </w:instrText>
      </w:r>
      <w:r>
        <w:fldChar w:fldCharType="end"/>
      </w:r>
      <w:r>
        <w:t> </w:t>
      </w:r>
    </w:p>
    <w:p w:rsidR="002B63D2" w:rsidRDefault="002B63D2">
      <w:pPr>
        <w:pStyle w:val="BodyText"/>
      </w:pPr>
      <w:r>
        <w:t xml:space="preserve"> Should the Commission approve </w:t>
      </w:r>
      <w:r w:rsidR="00905A22">
        <w:t>Duke’s</w:t>
      </w:r>
      <w:r>
        <w:t xml:space="preserve"> proposed </w:t>
      </w:r>
      <w:r w:rsidR="008C01CB">
        <w:t>opt-out</w:t>
      </w:r>
      <w:r>
        <w:t xml:space="preserve"> tariff?</w:t>
      </w:r>
    </w:p>
    <w:p w:rsidR="002B63D2" w:rsidRPr="004C3641" w:rsidRDefault="002B63D2">
      <w:pPr>
        <w:pStyle w:val="IssueSubsectionHeading"/>
        <w:rPr>
          <w:vanish/>
          <w:specVanish/>
        </w:rPr>
      </w:pPr>
      <w:r w:rsidRPr="004C3641">
        <w:t>Recommendation: </w:t>
      </w:r>
    </w:p>
    <w:p w:rsidR="002B63D2" w:rsidRDefault="002B63D2">
      <w:pPr>
        <w:pStyle w:val="BodyText"/>
      </w:pPr>
      <w:r>
        <w:t xml:space="preserve"> Yes, the Commission should approve </w:t>
      </w:r>
      <w:r w:rsidR="00905A22">
        <w:t>Duke’s</w:t>
      </w:r>
      <w:r>
        <w:t xml:space="preserve"> proposed </w:t>
      </w:r>
      <w:r w:rsidR="008C01CB">
        <w:t>opt-out</w:t>
      </w:r>
      <w:r>
        <w:t xml:space="preserve"> tar</w:t>
      </w:r>
      <w:r w:rsidR="007D6191">
        <w:t>i</w:t>
      </w:r>
      <w:r w:rsidR="005E2CF4">
        <w:t xml:space="preserve">ff. The effective date </w:t>
      </w:r>
      <w:r w:rsidR="00EF134B">
        <w:t>should</w:t>
      </w:r>
      <w:r w:rsidR="005E2CF4">
        <w:t xml:space="preserve"> be </w:t>
      </w:r>
      <w:r w:rsidR="00021A82">
        <w:t xml:space="preserve">on </w:t>
      </w:r>
      <w:r w:rsidR="005E2CF4">
        <w:t>the first billing cycle of December 2018.</w:t>
      </w:r>
      <w:r w:rsidR="00F06A3C">
        <w:t xml:space="preserve"> Within three months after the AMI </w:t>
      </w:r>
      <w:r w:rsidR="00D559DD">
        <w:t xml:space="preserve">smart </w:t>
      </w:r>
      <w:r w:rsidR="00F06A3C">
        <w:t>meter deployment is completed, Duke should report to the Commission (with a filing in this docket) on the costs of the program, revenues, and actual participation.</w:t>
      </w:r>
      <w:r w:rsidR="005E2CF4">
        <w:t xml:space="preserve"> </w:t>
      </w:r>
      <w:r>
        <w:t>(Merryday)</w:t>
      </w:r>
    </w:p>
    <w:p w:rsidR="00565BFB" w:rsidRDefault="002B63D2" w:rsidP="00453CAD">
      <w:pPr>
        <w:pStyle w:val="IssueSubsectionHeading"/>
        <w:rPr>
          <w:rFonts w:ascii="Times New Roman" w:hAnsi="Times New Roman" w:cs="Times New Roman"/>
          <w:b w:val="0"/>
          <w:i w:val="0"/>
        </w:rPr>
      </w:pPr>
      <w:r w:rsidRPr="004C3641">
        <w:t>Staff Analysis:</w:t>
      </w:r>
      <w:r w:rsidR="00453CAD">
        <w:rPr>
          <w:rFonts w:ascii="Times New Roman" w:hAnsi="Times New Roman" w:cs="Times New Roman"/>
          <w:b w:val="0"/>
          <w:i w:val="0"/>
        </w:rPr>
        <w:t xml:space="preserve"> </w:t>
      </w:r>
      <w:r w:rsidR="00021A82">
        <w:rPr>
          <w:rFonts w:ascii="Times New Roman" w:hAnsi="Times New Roman" w:cs="Times New Roman"/>
          <w:b w:val="0"/>
          <w:i w:val="0"/>
        </w:rPr>
        <w:t>Duke is offering this</w:t>
      </w:r>
      <w:r w:rsidR="008C01CB">
        <w:rPr>
          <w:rFonts w:ascii="Times New Roman" w:hAnsi="Times New Roman" w:cs="Times New Roman"/>
          <w:b w:val="0"/>
          <w:i w:val="0"/>
        </w:rPr>
        <w:t xml:space="preserve"> opt-out</w:t>
      </w:r>
      <w:r w:rsidR="00653097">
        <w:rPr>
          <w:rFonts w:ascii="Times New Roman" w:hAnsi="Times New Roman" w:cs="Times New Roman"/>
          <w:b w:val="0"/>
          <w:i w:val="0"/>
        </w:rPr>
        <w:t xml:space="preserve"> tariff ahead of </w:t>
      </w:r>
      <w:r w:rsidR="00E45DFC">
        <w:rPr>
          <w:rFonts w:ascii="Times New Roman" w:hAnsi="Times New Roman" w:cs="Times New Roman"/>
          <w:b w:val="0"/>
          <w:i w:val="0"/>
        </w:rPr>
        <w:t>AMI</w:t>
      </w:r>
      <w:r w:rsidR="00653097">
        <w:rPr>
          <w:rFonts w:ascii="Times New Roman" w:hAnsi="Times New Roman" w:cs="Times New Roman"/>
          <w:b w:val="0"/>
          <w:i w:val="0"/>
        </w:rPr>
        <w:t xml:space="preserve"> deployment after reviewing the experiences of other utilities</w:t>
      </w:r>
      <w:r w:rsidR="007D04C5">
        <w:rPr>
          <w:rFonts w:ascii="Times New Roman" w:hAnsi="Times New Roman" w:cs="Times New Roman"/>
          <w:b w:val="0"/>
          <w:i w:val="0"/>
        </w:rPr>
        <w:t xml:space="preserve"> with their customers and </w:t>
      </w:r>
      <w:r w:rsidR="00E45DFC">
        <w:rPr>
          <w:rFonts w:ascii="Times New Roman" w:hAnsi="Times New Roman" w:cs="Times New Roman"/>
          <w:b w:val="0"/>
          <w:i w:val="0"/>
        </w:rPr>
        <w:t>smart</w:t>
      </w:r>
      <w:r w:rsidR="007D04C5">
        <w:rPr>
          <w:rFonts w:ascii="Times New Roman" w:hAnsi="Times New Roman" w:cs="Times New Roman"/>
          <w:b w:val="0"/>
          <w:i w:val="0"/>
        </w:rPr>
        <w:t xml:space="preserve"> meters</w:t>
      </w:r>
      <w:r w:rsidR="00653097">
        <w:rPr>
          <w:rFonts w:ascii="Times New Roman" w:hAnsi="Times New Roman" w:cs="Times New Roman"/>
          <w:b w:val="0"/>
          <w:i w:val="0"/>
        </w:rPr>
        <w:t xml:space="preserve">. In its petition, </w:t>
      </w:r>
      <w:r w:rsidR="0031741A">
        <w:rPr>
          <w:rFonts w:ascii="Times New Roman" w:hAnsi="Times New Roman" w:cs="Times New Roman"/>
          <w:b w:val="0"/>
          <w:i w:val="0"/>
        </w:rPr>
        <w:t>the utility</w:t>
      </w:r>
      <w:r w:rsidR="00021A82">
        <w:rPr>
          <w:rFonts w:ascii="Times New Roman" w:hAnsi="Times New Roman" w:cs="Times New Roman"/>
          <w:b w:val="0"/>
          <w:i w:val="0"/>
        </w:rPr>
        <w:t xml:space="preserve"> </w:t>
      </w:r>
      <w:r w:rsidR="00653097">
        <w:rPr>
          <w:rFonts w:ascii="Times New Roman" w:hAnsi="Times New Roman" w:cs="Times New Roman"/>
          <w:b w:val="0"/>
          <w:i w:val="0"/>
        </w:rPr>
        <w:t xml:space="preserve">states that </w:t>
      </w:r>
      <w:r w:rsidR="005D3977">
        <w:rPr>
          <w:rFonts w:ascii="Times New Roman" w:hAnsi="Times New Roman" w:cs="Times New Roman"/>
          <w:b w:val="0"/>
          <w:i w:val="0"/>
        </w:rPr>
        <w:t>FPL</w:t>
      </w:r>
      <w:r w:rsidR="005E2CF4" w:rsidRPr="00453CAD">
        <w:rPr>
          <w:rFonts w:ascii="Times New Roman" w:hAnsi="Times New Roman" w:cs="Times New Roman"/>
          <w:b w:val="0"/>
          <w:i w:val="0"/>
        </w:rPr>
        <w:t xml:space="preserve"> began deploying smart meters in 2010, but </w:t>
      </w:r>
      <w:r w:rsidR="00272620" w:rsidRPr="00453CAD">
        <w:rPr>
          <w:rFonts w:ascii="Times New Roman" w:hAnsi="Times New Roman" w:cs="Times New Roman"/>
          <w:b w:val="0"/>
          <w:i w:val="0"/>
        </w:rPr>
        <w:t xml:space="preserve">received customer complaints </w:t>
      </w:r>
      <w:r w:rsidR="007D04C5">
        <w:rPr>
          <w:rFonts w:ascii="Times New Roman" w:hAnsi="Times New Roman" w:cs="Times New Roman"/>
          <w:b w:val="0"/>
          <w:i w:val="0"/>
        </w:rPr>
        <w:t>regarding</w:t>
      </w:r>
      <w:r w:rsidR="00272620" w:rsidRPr="00453CAD">
        <w:rPr>
          <w:rFonts w:ascii="Times New Roman" w:hAnsi="Times New Roman" w:cs="Times New Roman"/>
          <w:b w:val="0"/>
          <w:i w:val="0"/>
        </w:rPr>
        <w:t xml:space="preserve"> </w:t>
      </w:r>
      <w:r w:rsidR="0031741A">
        <w:rPr>
          <w:rFonts w:ascii="Times New Roman" w:hAnsi="Times New Roman" w:cs="Times New Roman"/>
          <w:b w:val="0"/>
          <w:i w:val="0"/>
        </w:rPr>
        <w:t>smart meters</w:t>
      </w:r>
      <w:r w:rsidR="008C01CB">
        <w:rPr>
          <w:rFonts w:ascii="Times New Roman" w:hAnsi="Times New Roman" w:cs="Times New Roman"/>
          <w:b w:val="0"/>
          <w:i w:val="0"/>
        </w:rPr>
        <w:t xml:space="preserve"> and subsequently</w:t>
      </w:r>
      <w:r w:rsidR="005E2CF4" w:rsidRPr="00453CAD">
        <w:rPr>
          <w:rFonts w:ascii="Times New Roman" w:hAnsi="Times New Roman" w:cs="Times New Roman"/>
          <w:b w:val="0"/>
          <w:i w:val="0"/>
        </w:rPr>
        <w:t xml:space="preserve"> </w:t>
      </w:r>
      <w:r w:rsidR="00AB6AC8">
        <w:rPr>
          <w:rFonts w:ascii="Times New Roman" w:hAnsi="Times New Roman" w:cs="Times New Roman"/>
          <w:b w:val="0"/>
          <w:i w:val="0"/>
        </w:rPr>
        <w:t>filed a petition for</w:t>
      </w:r>
      <w:r w:rsidR="00022282" w:rsidRPr="00453CAD">
        <w:rPr>
          <w:rFonts w:ascii="Times New Roman" w:hAnsi="Times New Roman" w:cs="Times New Roman"/>
          <w:b w:val="0"/>
          <w:i w:val="0"/>
        </w:rPr>
        <w:t xml:space="preserve"> </w:t>
      </w:r>
      <w:r w:rsidR="007D04C5">
        <w:rPr>
          <w:rFonts w:ascii="Times New Roman" w:hAnsi="Times New Roman" w:cs="Times New Roman"/>
          <w:b w:val="0"/>
          <w:i w:val="0"/>
        </w:rPr>
        <w:t xml:space="preserve">an </w:t>
      </w:r>
      <w:r w:rsidR="00022282" w:rsidRPr="00453CAD">
        <w:rPr>
          <w:rFonts w:ascii="Times New Roman" w:hAnsi="Times New Roman" w:cs="Times New Roman"/>
          <w:b w:val="0"/>
          <w:i w:val="0"/>
        </w:rPr>
        <w:t xml:space="preserve">opt-out </w:t>
      </w:r>
      <w:r w:rsidR="005E2CF4" w:rsidRPr="00453CAD">
        <w:rPr>
          <w:rFonts w:ascii="Times New Roman" w:hAnsi="Times New Roman" w:cs="Times New Roman"/>
          <w:b w:val="0"/>
          <w:i w:val="0"/>
        </w:rPr>
        <w:t>tariff</w:t>
      </w:r>
      <w:r w:rsidR="00DA0BC9">
        <w:rPr>
          <w:rFonts w:ascii="Times New Roman" w:hAnsi="Times New Roman" w:cs="Times New Roman"/>
          <w:b w:val="0"/>
          <w:i w:val="0"/>
        </w:rPr>
        <w:t xml:space="preserve"> in </w:t>
      </w:r>
      <w:r w:rsidR="00AB6AC8">
        <w:rPr>
          <w:rFonts w:ascii="Times New Roman" w:hAnsi="Times New Roman" w:cs="Times New Roman"/>
          <w:b w:val="0"/>
          <w:i w:val="0"/>
        </w:rPr>
        <w:t>August 2013</w:t>
      </w:r>
      <w:r w:rsidR="008C01CB">
        <w:rPr>
          <w:rFonts w:ascii="Times New Roman" w:hAnsi="Times New Roman" w:cs="Times New Roman"/>
          <w:b w:val="0"/>
          <w:i w:val="0"/>
        </w:rPr>
        <w:t>.</w:t>
      </w:r>
      <w:r w:rsidR="009A15DF" w:rsidRPr="00453CAD">
        <w:rPr>
          <w:rFonts w:ascii="Times New Roman" w:hAnsi="Times New Roman" w:cs="Times New Roman"/>
          <w:b w:val="0"/>
          <w:i w:val="0"/>
        </w:rPr>
        <w:t xml:space="preserve"> </w:t>
      </w:r>
      <w:r w:rsidR="0031741A">
        <w:rPr>
          <w:rFonts w:ascii="Times New Roman" w:hAnsi="Times New Roman" w:cs="Times New Roman"/>
          <w:b w:val="0"/>
          <w:i w:val="0"/>
        </w:rPr>
        <w:t>Duke</w:t>
      </w:r>
      <w:r w:rsidR="004F6321" w:rsidRPr="00453CAD">
        <w:rPr>
          <w:rFonts w:ascii="Times New Roman" w:hAnsi="Times New Roman" w:cs="Times New Roman"/>
          <w:b w:val="0"/>
          <w:i w:val="0"/>
        </w:rPr>
        <w:t xml:space="preserve"> notes that because it is not </w:t>
      </w:r>
      <w:r w:rsidR="00021A82">
        <w:rPr>
          <w:rFonts w:ascii="Times New Roman" w:hAnsi="Times New Roman" w:cs="Times New Roman"/>
          <w:b w:val="0"/>
          <w:i w:val="0"/>
        </w:rPr>
        <w:t>required to offer an alternative meter</w:t>
      </w:r>
      <w:r w:rsidR="00587336" w:rsidRPr="00453CAD">
        <w:rPr>
          <w:rFonts w:ascii="Times New Roman" w:hAnsi="Times New Roman" w:cs="Times New Roman"/>
          <w:b w:val="0"/>
          <w:i w:val="0"/>
        </w:rPr>
        <w:t>, all costs</w:t>
      </w:r>
      <w:r w:rsidR="00021A82">
        <w:rPr>
          <w:rFonts w:ascii="Times New Roman" w:hAnsi="Times New Roman" w:cs="Times New Roman"/>
          <w:b w:val="0"/>
          <w:i w:val="0"/>
        </w:rPr>
        <w:t xml:space="preserve"> </w:t>
      </w:r>
      <w:r w:rsidR="00DA696B">
        <w:rPr>
          <w:rFonts w:ascii="Times New Roman" w:hAnsi="Times New Roman" w:cs="Times New Roman"/>
          <w:b w:val="0"/>
          <w:i w:val="0"/>
        </w:rPr>
        <w:t>associated with the non-standard meters</w:t>
      </w:r>
      <w:r w:rsidR="0031741A">
        <w:rPr>
          <w:rFonts w:ascii="Times New Roman" w:hAnsi="Times New Roman" w:cs="Times New Roman"/>
          <w:b w:val="0"/>
          <w:i w:val="0"/>
        </w:rPr>
        <w:t xml:space="preserve"> </w:t>
      </w:r>
      <w:r w:rsidR="004F6321" w:rsidRPr="00453CAD">
        <w:rPr>
          <w:rFonts w:ascii="Times New Roman" w:hAnsi="Times New Roman" w:cs="Times New Roman"/>
          <w:b w:val="0"/>
          <w:i w:val="0"/>
        </w:rPr>
        <w:t xml:space="preserve">will be </w:t>
      </w:r>
      <w:r w:rsidR="00021A82">
        <w:rPr>
          <w:rFonts w:ascii="Times New Roman" w:hAnsi="Times New Roman" w:cs="Times New Roman"/>
          <w:b w:val="0"/>
          <w:i w:val="0"/>
        </w:rPr>
        <w:t>recovered from</w:t>
      </w:r>
      <w:r w:rsidR="004F6321" w:rsidRPr="00453CAD">
        <w:rPr>
          <w:rFonts w:ascii="Times New Roman" w:hAnsi="Times New Roman" w:cs="Times New Roman"/>
          <w:b w:val="0"/>
          <w:i w:val="0"/>
        </w:rPr>
        <w:t xml:space="preserve"> </w:t>
      </w:r>
      <w:r w:rsidR="00587336" w:rsidRPr="00453CAD">
        <w:rPr>
          <w:rFonts w:ascii="Times New Roman" w:hAnsi="Times New Roman" w:cs="Times New Roman"/>
          <w:b w:val="0"/>
          <w:i w:val="0"/>
        </w:rPr>
        <w:t xml:space="preserve">the </w:t>
      </w:r>
      <w:r w:rsidR="004F6321" w:rsidRPr="00453CAD">
        <w:rPr>
          <w:rFonts w:ascii="Times New Roman" w:hAnsi="Times New Roman" w:cs="Times New Roman"/>
          <w:b w:val="0"/>
          <w:i w:val="0"/>
        </w:rPr>
        <w:t>participating customers.</w:t>
      </w:r>
      <w:r w:rsidR="008C01CB">
        <w:rPr>
          <w:rFonts w:ascii="Times New Roman" w:hAnsi="Times New Roman" w:cs="Times New Roman"/>
          <w:b w:val="0"/>
          <w:i w:val="0"/>
        </w:rPr>
        <w:t xml:space="preserve"> </w:t>
      </w:r>
    </w:p>
    <w:p w:rsidR="005E2CF4" w:rsidRDefault="008C01CB" w:rsidP="00453CAD">
      <w:pPr>
        <w:pStyle w:val="IssueSubsectionHeading"/>
        <w:rPr>
          <w:rFonts w:ascii="Times New Roman" w:hAnsi="Times New Roman" w:cs="Times New Roman"/>
          <w:b w:val="0"/>
          <w:i w:val="0"/>
        </w:rPr>
      </w:pPr>
      <w:r>
        <w:rPr>
          <w:rFonts w:ascii="Times New Roman" w:hAnsi="Times New Roman" w:cs="Times New Roman"/>
          <w:b w:val="0"/>
          <w:i w:val="0"/>
        </w:rPr>
        <w:t xml:space="preserve">The </w:t>
      </w:r>
      <w:r w:rsidR="00565BFB">
        <w:rPr>
          <w:rFonts w:ascii="Times New Roman" w:hAnsi="Times New Roman" w:cs="Times New Roman"/>
          <w:b w:val="0"/>
          <w:i w:val="0"/>
        </w:rPr>
        <w:t xml:space="preserve">proposed </w:t>
      </w:r>
      <w:r>
        <w:rPr>
          <w:rFonts w:ascii="Times New Roman" w:hAnsi="Times New Roman" w:cs="Times New Roman"/>
          <w:b w:val="0"/>
          <w:i w:val="0"/>
        </w:rPr>
        <w:t>tariff</w:t>
      </w:r>
      <w:r w:rsidR="00021A82">
        <w:rPr>
          <w:rFonts w:ascii="Times New Roman" w:hAnsi="Times New Roman" w:cs="Times New Roman"/>
          <w:b w:val="0"/>
          <w:i w:val="0"/>
        </w:rPr>
        <w:t xml:space="preserve"> includes two separate fees: a one-time </w:t>
      </w:r>
      <w:r w:rsidR="008B0E59">
        <w:rPr>
          <w:rFonts w:ascii="Times New Roman" w:hAnsi="Times New Roman" w:cs="Times New Roman"/>
          <w:b w:val="0"/>
          <w:i w:val="0"/>
        </w:rPr>
        <w:t>set-up</w:t>
      </w:r>
      <w:r>
        <w:rPr>
          <w:rFonts w:ascii="Times New Roman" w:hAnsi="Times New Roman" w:cs="Times New Roman"/>
          <w:b w:val="0"/>
          <w:i w:val="0"/>
        </w:rPr>
        <w:t xml:space="preserve"> fee of $96.34 </w:t>
      </w:r>
      <w:r w:rsidR="00965918">
        <w:rPr>
          <w:rFonts w:ascii="Times New Roman" w:hAnsi="Times New Roman" w:cs="Times New Roman"/>
          <w:b w:val="0"/>
          <w:i w:val="0"/>
        </w:rPr>
        <w:t xml:space="preserve">(for </w:t>
      </w:r>
      <w:r w:rsidR="00DA0BC9">
        <w:rPr>
          <w:rFonts w:ascii="Times New Roman" w:hAnsi="Times New Roman" w:cs="Times New Roman"/>
          <w:b w:val="0"/>
          <w:i w:val="0"/>
        </w:rPr>
        <w:t xml:space="preserve">the </w:t>
      </w:r>
      <w:r w:rsidR="00965918">
        <w:rPr>
          <w:rFonts w:ascii="Times New Roman" w:hAnsi="Times New Roman" w:cs="Times New Roman"/>
          <w:b w:val="0"/>
          <w:i w:val="0"/>
        </w:rPr>
        <w:t>non-</w:t>
      </w:r>
      <w:r w:rsidR="00A42926">
        <w:rPr>
          <w:rFonts w:ascii="Times New Roman" w:hAnsi="Times New Roman" w:cs="Times New Roman"/>
          <w:b w:val="0"/>
          <w:i w:val="0"/>
        </w:rPr>
        <w:t>standard</w:t>
      </w:r>
      <w:r w:rsidR="00965918">
        <w:rPr>
          <w:rFonts w:ascii="Times New Roman" w:hAnsi="Times New Roman" w:cs="Times New Roman"/>
          <w:b w:val="0"/>
          <w:i w:val="0"/>
        </w:rPr>
        <w:t xml:space="preserve"> meter</w:t>
      </w:r>
      <w:r w:rsidR="00A42926">
        <w:rPr>
          <w:rFonts w:ascii="Times New Roman" w:hAnsi="Times New Roman" w:cs="Times New Roman"/>
          <w:b w:val="0"/>
          <w:i w:val="0"/>
        </w:rPr>
        <w:t xml:space="preserve"> installation</w:t>
      </w:r>
      <w:r w:rsidR="00965918">
        <w:rPr>
          <w:rFonts w:ascii="Times New Roman" w:hAnsi="Times New Roman" w:cs="Times New Roman"/>
          <w:b w:val="0"/>
          <w:i w:val="0"/>
        </w:rPr>
        <w:t xml:space="preserve">) </w:t>
      </w:r>
      <w:r>
        <w:rPr>
          <w:rFonts w:ascii="Times New Roman" w:hAnsi="Times New Roman" w:cs="Times New Roman"/>
          <w:b w:val="0"/>
          <w:i w:val="0"/>
        </w:rPr>
        <w:t>and a monthly surcharge of $15.60</w:t>
      </w:r>
      <w:r w:rsidR="00965918">
        <w:rPr>
          <w:rFonts w:ascii="Times New Roman" w:hAnsi="Times New Roman" w:cs="Times New Roman"/>
          <w:b w:val="0"/>
          <w:i w:val="0"/>
        </w:rPr>
        <w:t xml:space="preserve"> (for upfront IT costs and monthly meter readings)</w:t>
      </w:r>
      <w:r>
        <w:rPr>
          <w:rFonts w:ascii="Times New Roman" w:hAnsi="Times New Roman" w:cs="Times New Roman"/>
          <w:b w:val="0"/>
          <w:i w:val="0"/>
        </w:rPr>
        <w:t>.</w:t>
      </w:r>
      <w:r w:rsidR="00021A82">
        <w:rPr>
          <w:rFonts w:ascii="Times New Roman" w:hAnsi="Times New Roman" w:cs="Times New Roman"/>
          <w:b w:val="0"/>
          <w:i w:val="0"/>
        </w:rPr>
        <w:t xml:space="preserve"> </w:t>
      </w:r>
      <w:r w:rsidR="00565BFB">
        <w:rPr>
          <w:rFonts w:ascii="Times New Roman" w:hAnsi="Times New Roman" w:cs="Times New Roman"/>
          <w:b w:val="0"/>
          <w:i w:val="0"/>
        </w:rPr>
        <w:t xml:space="preserve">The set-up fee must be paid at the time the customer takes service under the opt-out tariff, regardless of the length of time the customer is enrolled. Customers can cancel service under the opt-out tariff at any time. </w:t>
      </w:r>
      <w:r w:rsidR="00021A82">
        <w:rPr>
          <w:rFonts w:ascii="Times New Roman" w:hAnsi="Times New Roman" w:cs="Times New Roman"/>
          <w:b w:val="0"/>
          <w:i w:val="0"/>
        </w:rPr>
        <w:t xml:space="preserve">These charges will be in addition to all other </w:t>
      </w:r>
      <w:r w:rsidR="0031741A">
        <w:rPr>
          <w:rFonts w:ascii="Times New Roman" w:hAnsi="Times New Roman" w:cs="Times New Roman"/>
          <w:b w:val="0"/>
          <w:i w:val="0"/>
        </w:rPr>
        <w:t xml:space="preserve">tariffed rates and charges </w:t>
      </w:r>
      <w:r w:rsidR="00021A82">
        <w:rPr>
          <w:rFonts w:ascii="Times New Roman" w:hAnsi="Times New Roman" w:cs="Times New Roman"/>
          <w:b w:val="0"/>
          <w:i w:val="0"/>
        </w:rPr>
        <w:t>applicable to an opt-out customer.</w:t>
      </w:r>
    </w:p>
    <w:p w:rsidR="00657FD6" w:rsidRDefault="00657FD6" w:rsidP="00657FD6">
      <w:pPr>
        <w:pStyle w:val="First-LevelSubheading"/>
      </w:pPr>
      <w:r>
        <w:t>Customer Participation</w:t>
      </w:r>
    </w:p>
    <w:p w:rsidR="00021A82" w:rsidRDefault="00DC545D" w:rsidP="00AF5865">
      <w:pPr>
        <w:pStyle w:val="BodyText"/>
      </w:pPr>
      <w:r>
        <w:t xml:space="preserve">Duke anticipates that approximately 0.15 percent of its AMI eligible customers will choose to opt out. </w:t>
      </w:r>
      <w:r w:rsidR="00021A82">
        <w:t xml:space="preserve">The utility examined FPL’s opt-out tariff participation rates </w:t>
      </w:r>
      <w:r w:rsidR="00DA696B">
        <w:t>as the basis for</w:t>
      </w:r>
      <w:r w:rsidR="00021A82">
        <w:t xml:space="preserve"> its own participation predictions. Duke </w:t>
      </w:r>
      <w:r w:rsidR="00BD15E9">
        <w:t xml:space="preserve">states </w:t>
      </w:r>
      <w:r w:rsidR="005923EA">
        <w:t xml:space="preserve">that FPL originally forecasted </w:t>
      </w:r>
      <w:r w:rsidR="00920354">
        <w:t xml:space="preserve">that </w:t>
      </w:r>
      <w:r w:rsidR="005923EA">
        <w:t>0.26</w:t>
      </w:r>
      <w:r w:rsidR="00BD15E9">
        <w:t xml:space="preserve"> percent </w:t>
      </w:r>
      <w:r w:rsidR="005D3977">
        <w:t xml:space="preserve">of its </w:t>
      </w:r>
      <w:r w:rsidR="005D3977" w:rsidRPr="00DC545D">
        <w:t>4.</w:t>
      </w:r>
      <w:r w:rsidR="00DA0BC9">
        <w:t>9</w:t>
      </w:r>
      <w:r w:rsidR="005923EA" w:rsidRPr="00DC545D">
        <w:t xml:space="preserve"> million</w:t>
      </w:r>
      <w:r w:rsidR="005923EA">
        <w:t xml:space="preserve"> customers </w:t>
      </w:r>
      <w:r w:rsidR="00920354">
        <w:t>would</w:t>
      </w:r>
      <w:r w:rsidR="005923EA">
        <w:t xml:space="preserve"> participate </w:t>
      </w:r>
      <w:r w:rsidR="00BD15E9">
        <w:t xml:space="preserve">when developing </w:t>
      </w:r>
      <w:r w:rsidR="00E45DFC">
        <w:t>an</w:t>
      </w:r>
      <w:r w:rsidR="00BD15E9">
        <w:t xml:space="preserve"> </w:t>
      </w:r>
      <w:r w:rsidR="00C905A2">
        <w:t>opt-out</w:t>
      </w:r>
      <w:r w:rsidR="00BD15E9">
        <w:t xml:space="preserve"> </w:t>
      </w:r>
      <w:r w:rsidR="00A1271F">
        <w:t>tariff</w:t>
      </w:r>
      <w:r w:rsidR="00E60C04">
        <w:t>; however,</w:t>
      </w:r>
      <w:r w:rsidR="00BD15E9">
        <w:t xml:space="preserve"> actual parti</w:t>
      </w:r>
      <w:r w:rsidR="00E60C04">
        <w:t>cipation</w:t>
      </w:r>
      <w:r w:rsidR="005D3977">
        <w:t xml:space="preserve"> for </w:t>
      </w:r>
      <w:r>
        <w:t xml:space="preserve">FPL in </w:t>
      </w:r>
      <w:r w:rsidR="005D3977">
        <w:t>2017 was</w:t>
      </w:r>
      <w:r w:rsidR="00E60C04">
        <w:t xml:space="preserve"> about 0.12 percent, or 5,966 customers</w:t>
      </w:r>
      <w:r w:rsidR="00BD15E9">
        <w:t xml:space="preserve">. </w:t>
      </w:r>
      <w:r w:rsidR="00021A82">
        <w:t>Duke</w:t>
      </w:r>
      <w:r w:rsidR="00BD15E9">
        <w:t xml:space="preserve"> rounded up </w:t>
      </w:r>
      <w:r w:rsidR="004F6321">
        <w:t>to</w:t>
      </w:r>
      <w:r w:rsidR="00920354">
        <w:t xml:space="preserve"> predict that 0.</w:t>
      </w:r>
      <w:r w:rsidR="005D3977">
        <w:t>15 percent</w:t>
      </w:r>
      <w:r w:rsidR="00034C0D">
        <w:t>—</w:t>
      </w:r>
      <w:r w:rsidR="005D3977">
        <w:t>about 2,700</w:t>
      </w:r>
      <w:r w:rsidR="00034C0D">
        <w:t>—</w:t>
      </w:r>
      <w:r w:rsidR="005734FB">
        <w:t xml:space="preserve"> </w:t>
      </w:r>
      <w:r w:rsidR="004F6321">
        <w:t xml:space="preserve">of its </w:t>
      </w:r>
      <w:r w:rsidR="005D3977">
        <w:t>1.8 million</w:t>
      </w:r>
      <w:r w:rsidR="00D0010D">
        <w:t xml:space="preserve"> eligible</w:t>
      </w:r>
      <w:r w:rsidR="005D3977">
        <w:t xml:space="preserve"> customers</w:t>
      </w:r>
      <w:r w:rsidR="00021A82">
        <w:t xml:space="preserve"> will opt-out. </w:t>
      </w:r>
      <w:r w:rsidR="00A64DCD">
        <w:t xml:space="preserve">The projected number of opt-out customers is used in developing the monthly surcharge. </w:t>
      </w:r>
    </w:p>
    <w:p w:rsidR="00657FD6" w:rsidRDefault="008B0E59" w:rsidP="00657FD6">
      <w:pPr>
        <w:pStyle w:val="First-LevelSubheading"/>
      </w:pPr>
      <w:r>
        <w:t>Set-up</w:t>
      </w:r>
      <w:r w:rsidR="000F6E51">
        <w:t xml:space="preserve"> Fee</w:t>
      </w:r>
    </w:p>
    <w:p w:rsidR="00BF116E" w:rsidRDefault="00354EC0" w:rsidP="00AF5865">
      <w:pPr>
        <w:pStyle w:val="BodyText"/>
      </w:pPr>
      <w:r>
        <w:t>The</w:t>
      </w:r>
      <w:r w:rsidR="00920354">
        <w:t xml:space="preserve"> one-time</w:t>
      </w:r>
      <w:r w:rsidR="006376BB">
        <w:t xml:space="preserve"> </w:t>
      </w:r>
      <w:r w:rsidR="008B0E59">
        <w:t>set-up</w:t>
      </w:r>
      <w:r>
        <w:t xml:space="preserve"> fee</w:t>
      </w:r>
      <w:r w:rsidR="006376BB">
        <w:t xml:space="preserve"> </w:t>
      </w:r>
      <w:r w:rsidR="00920354">
        <w:t xml:space="preserve">of $96.34 </w:t>
      </w:r>
      <w:r>
        <w:t xml:space="preserve">reflects the </w:t>
      </w:r>
      <w:r w:rsidR="00B940B9">
        <w:t xml:space="preserve">labor </w:t>
      </w:r>
      <w:r w:rsidR="00731F8B">
        <w:t xml:space="preserve">and vehicle </w:t>
      </w:r>
      <w:r>
        <w:t>cost</w:t>
      </w:r>
      <w:r w:rsidR="00B940B9">
        <w:t>s</w:t>
      </w:r>
      <w:r>
        <w:t xml:space="preserve"> to </w:t>
      </w:r>
      <w:r w:rsidR="00B940B9">
        <w:t xml:space="preserve">install </w:t>
      </w:r>
      <w:r w:rsidR="00202B01">
        <w:t xml:space="preserve">each non-standard meter. </w:t>
      </w:r>
      <w:r w:rsidR="00BF116E">
        <w:t xml:space="preserve">In response to staff’s data request, Duke stated that it is not creating any new positions to perform the incremental tasks associated with administering the opt-out tariff. However, Duke further stated that in the absence of the opt-out tariff, the current staffing of these positions may have been reduced. </w:t>
      </w:r>
    </w:p>
    <w:p w:rsidR="00E85927" w:rsidRDefault="00BF116E" w:rsidP="00AF5865">
      <w:pPr>
        <w:pStyle w:val="BodyText"/>
      </w:pPr>
      <w:r>
        <w:t xml:space="preserve">The set-up </w:t>
      </w:r>
      <w:r w:rsidR="00202B01">
        <w:t xml:space="preserve">fee is applicable to all </w:t>
      </w:r>
      <w:r w:rsidR="00C905A2">
        <w:t>opt-out</w:t>
      </w:r>
      <w:r w:rsidR="00202B01">
        <w:t xml:space="preserve"> tariff pa</w:t>
      </w:r>
      <w:r w:rsidR="00920354">
        <w:t>rticipants regardless of duration of service</w:t>
      </w:r>
      <w:r w:rsidR="00202B01">
        <w:t xml:space="preserve">. The breakdown of </w:t>
      </w:r>
      <w:r w:rsidR="00EB7169">
        <w:t>the</w:t>
      </w:r>
      <w:r w:rsidR="00126F06">
        <w:t xml:space="preserve"> </w:t>
      </w:r>
      <w:r w:rsidR="008B0E59">
        <w:t>set-up</w:t>
      </w:r>
      <w:r w:rsidR="00126F06">
        <w:t xml:space="preserve"> fee</w:t>
      </w:r>
      <w:r w:rsidR="00202B01">
        <w:t xml:space="preserve"> components </w:t>
      </w:r>
      <w:r w:rsidR="00920354">
        <w:t>is</w:t>
      </w:r>
      <w:r w:rsidR="00202B01">
        <w:t xml:space="preserve"> as follows:</w:t>
      </w:r>
    </w:p>
    <w:p w:rsidR="00B940B9" w:rsidRDefault="00E85927" w:rsidP="00E85927">
      <w:r>
        <w:br w:type="page"/>
      </w:r>
    </w:p>
    <w:p w:rsidR="00F4393A" w:rsidRDefault="00F4393A" w:rsidP="00F4393A">
      <w:pPr>
        <w:pStyle w:val="TableNumber"/>
        <w:keepNext/>
      </w:pPr>
      <w:r>
        <w:lastRenderedPageBreak/>
        <w:t xml:space="preserve">Table </w:t>
      </w:r>
      <w:r w:rsidR="00A902FB">
        <w:fldChar w:fldCharType="begin"/>
      </w:r>
      <w:r w:rsidR="00A902FB">
        <w:instrText xml:space="preserve"> SEQ Issue \c </w:instrText>
      </w:r>
      <w:r w:rsidR="00A902FB">
        <w:fldChar w:fldCharType="separate"/>
      </w:r>
      <w:r w:rsidR="00686737">
        <w:rPr>
          <w:noProof/>
        </w:rPr>
        <w:t>1</w:t>
      </w:r>
      <w:r w:rsidR="00A902FB">
        <w:rPr>
          <w:noProof/>
        </w:rPr>
        <w:fldChar w:fldCharType="end"/>
      </w:r>
      <w:r>
        <w:t>-1</w:t>
      </w:r>
    </w:p>
    <w:p w:rsidR="00F4393A" w:rsidRDefault="008B0E59" w:rsidP="00F4393A">
      <w:pPr>
        <w:pStyle w:val="TableTitle"/>
        <w:keepNext/>
      </w:pPr>
      <w:r>
        <w:t>Set-up Fee Cost Components</w:t>
      </w:r>
    </w:p>
    <w:tbl>
      <w:tblPr>
        <w:tblStyle w:val="TableGrid"/>
        <w:tblW w:w="0" w:type="auto"/>
        <w:tblLayout w:type="fixed"/>
        <w:tblLook w:val="04A0" w:firstRow="1" w:lastRow="0" w:firstColumn="1" w:lastColumn="0" w:noHBand="0" w:noVBand="1"/>
      </w:tblPr>
      <w:tblGrid>
        <w:gridCol w:w="2538"/>
        <w:gridCol w:w="1350"/>
        <w:gridCol w:w="1170"/>
        <w:gridCol w:w="4518"/>
      </w:tblGrid>
      <w:tr w:rsidR="008A56C1" w:rsidTr="00681217">
        <w:trPr>
          <w:trHeight w:val="701"/>
        </w:trPr>
        <w:tc>
          <w:tcPr>
            <w:tcW w:w="2538" w:type="dxa"/>
          </w:tcPr>
          <w:p w:rsidR="008A56C1" w:rsidRPr="00DA696B" w:rsidRDefault="00021A82" w:rsidP="008A56C1">
            <w:pPr>
              <w:pStyle w:val="BodyText"/>
              <w:jc w:val="center"/>
            </w:pPr>
            <w:r w:rsidRPr="00DA696B">
              <w:t>Task</w:t>
            </w:r>
          </w:p>
        </w:tc>
        <w:tc>
          <w:tcPr>
            <w:tcW w:w="1350" w:type="dxa"/>
          </w:tcPr>
          <w:p w:rsidR="008A56C1" w:rsidRPr="00DA696B" w:rsidRDefault="008A56C1" w:rsidP="004F6321">
            <w:pPr>
              <w:pStyle w:val="BodyText"/>
              <w:jc w:val="center"/>
            </w:pPr>
            <w:r w:rsidRPr="00DA696B">
              <w:t>Time Per Customer</w:t>
            </w:r>
          </w:p>
        </w:tc>
        <w:tc>
          <w:tcPr>
            <w:tcW w:w="1170" w:type="dxa"/>
          </w:tcPr>
          <w:p w:rsidR="008A56C1" w:rsidRPr="00DA696B" w:rsidRDefault="008A56C1" w:rsidP="008A56C1">
            <w:pPr>
              <w:pStyle w:val="BodyText"/>
              <w:jc w:val="center"/>
            </w:pPr>
            <w:r w:rsidRPr="00DA696B">
              <w:t>Cost</w:t>
            </w:r>
            <w:r w:rsidR="004F6321" w:rsidRPr="00DA696B">
              <w:t xml:space="preserve"> Per Customer</w:t>
            </w:r>
          </w:p>
        </w:tc>
        <w:tc>
          <w:tcPr>
            <w:tcW w:w="4518" w:type="dxa"/>
          </w:tcPr>
          <w:p w:rsidR="008A56C1" w:rsidRPr="00DA696B" w:rsidRDefault="008A56C1" w:rsidP="008A56C1">
            <w:pPr>
              <w:pStyle w:val="BodyText"/>
              <w:jc w:val="center"/>
            </w:pPr>
            <w:r w:rsidRPr="00DA696B">
              <w:t>Description</w:t>
            </w:r>
          </w:p>
        </w:tc>
      </w:tr>
      <w:tr w:rsidR="008A56C1" w:rsidTr="00202B01">
        <w:trPr>
          <w:trHeight w:val="809"/>
        </w:trPr>
        <w:tc>
          <w:tcPr>
            <w:tcW w:w="2538" w:type="dxa"/>
          </w:tcPr>
          <w:p w:rsidR="008A56C1" w:rsidRDefault="00DA696B" w:rsidP="008A56C1">
            <w:pPr>
              <w:pStyle w:val="BodyText"/>
              <w:jc w:val="left"/>
            </w:pPr>
            <w:r>
              <w:t>Customer s</w:t>
            </w:r>
            <w:r w:rsidR="008A56C1">
              <w:t>ervice</w:t>
            </w:r>
          </w:p>
        </w:tc>
        <w:tc>
          <w:tcPr>
            <w:tcW w:w="1350" w:type="dxa"/>
          </w:tcPr>
          <w:p w:rsidR="008A56C1" w:rsidRDefault="008A56C1" w:rsidP="00752367">
            <w:pPr>
              <w:pStyle w:val="BodyText"/>
            </w:pPr>
            <w:r>
              <w:t>3 minutes</w:t>
            </w:r>
          </w:p>
        </w:tc>
        <w:tc>
          <w:tcPr>
            <w:tcW w:w="1170" w:type="dxa"/>
          </w:tcPr>
          <w:p w:rsidR="008A56C1" w:rsidRDefault="008A56C1" w:rsidP="00752367">
            <w:pPr>
              <w:pStyle w:val="BodyText"/>
            </w:pPr>
            <w:r>
              <w:t>$1.40</w:t>
            </w:r>
          </w:p>
        </w:tc>
        <w:tc>
          <w:tcPr>
            <w:tcW w:w="4518" w:type="dxa"/>
          </w:tcPr>
          <w:p w:rsidR="008A56C1" w:rsidRDefault="008A56C1" w:rsidP="00402F8F">
            <w:pPr>
              <w:pStyle w:val="BodyText"/>
              <w:jc w:val="left"/>
            </w:pPr>
            <w:r>
              <w:t xml:space="preserve">Customer Care Specialist </w:t>
            </w:r>
            <w:r w:rsidR="004C4B2E">
              <w:t>to</w:t>
            </w:r>
            <w:r>
              <w:t xml:space="preserve"> </w:t>
            </w:r>
            <w:r w:rsidR="00402F8F">
              <w:t>handle</w:t>
            </w:r>
            <w:r>
              <w:t xml:space="preserve"> calls </w:t>
            </w:r>
            <w:r w:rsidR="00402F8F">
              <w:t>and enrollment in</w:t>
            </w:r>
            <w:r>
              <w:t xml:space="preserve"> opt-out </w:t>
            </w:r>
            <w:r w:rsidR="00402F8F">
              <w:t>tariff</w:t>
            </w:r>
            <w:r>
              <w:t xml:space="preserve">, explain tariff details, and set up </w:t>
            </w:r>
            <w:r w:rsidR="00402F8F">
              <w:t>customer’s account as an opt-out customer</w:t>
            </w:r>
            <w:r>
              <w:t>.</w:t>
            </w:r>
          </w:p>
        </w:tc>
      </w:tr>
      <w:tr w:rsidR="008A56C1" w:rsidTr="004F6321">
        <w:tc>
          <w:tcPr>
            <w:tcW w:w="2538" w:type="dxa"/>
          </w:tcPr>
          <w:p w:rsidR="008A56C1" w:rsidRDefault="008A56C1" w:rsidP="008A56C1">
            <w:pPr>
              <w:pStyle w:val="BodyText"/>
              <w:jc w:val="left"/>
            </w:pPr>
            <w:r>
              <w:t xml:space="preserve">Metering services work order management </w:t>
            </w:r>
          </w:p>
        </w:tc>
        <w:tc>
          <w:tcPr>
            <w:tcW w:w="1350" w:type="dxa"/>
          </w:tcPr>
          <w:p w:rsidR="008A56C1" w:rsidRDefault="008A56C1" w:rsidP="00752367">
            <w:pPr>
              <w:pStyle w:val="BodyText"/>
            </w:pPr>
            <w:r>
              <w:t>5 minutes</w:t>
            </w:r>
          </w:p>
        </w:tc>
        <w:tc>
          <w:tcPr>
            <w:tcW w:w="1170" w:type="dxa"/>
          </w:tcPr>
          <w:p w:rsidR="008A56C1" w:rsidRDefault="008A56C1" w:rsidP="00752367">
            <w:pPr>
              <w:pStyle w:val="BodyText"/>
            </w:pPr>
            <w:r>
              <w:t>$2.93</w:t>
            </w:r>
          </w:p>
        </w:tc>
        <w:tc>
          <w:tcPr>
            <w:tcW w:w="4518" w:type="dxa"/>
          </w:tcPr>
          <w:p w:rsidR="008A56C1" w:rsidRDefault="008A56C1" w:rsidP="005644BF">
            <w:pPr>
              <w:pStyle w:val="BodyText"/>
              <w:jc w:val="left"/>
            </w:pPr>
            <w:r>
              <w:t xml:space="preserve">Work Force </w:t>
            </w:r>
            <w:r w:rsidR="00E15436">
              <w:t xml:space="preserve">Management Specialist II </w:t>
            </w:r>
            <w:r w:rsidR="004C4B2E">
              <w:t>to</w:t>
            </w:r>
            <w:r w:rsidR="00E15436">
              <w:t xml:space="preserve"> </w:t>
            </w:r>
            <w:r>
              <w:t xml:space="preserve">create initial work orders for </w:t>
            </w:r>
            <w:r w:rsidR="005644BF">
              <w:t>opt-out</w:t>
            </w:r>
            <w:r w:rsidR="00402F8F">
              <w:t xml:space="preserve"> </w:t>
            </w:r>
            <w:r>
              <w:t>meter programming, meter exchange</w:t>
            </w:r>
            <w:r w:rsidR="008B0E59">
              <w:t>,</w:t>
            </w:r>
            <w:r>
              <w:t xml:space="preserve"> and manual meter routing.</w:t>
            </w:r>
          </w:p>
        </w:tc>
      </w:tr>
      <w:tr w:rsidR="008A56C1" w:rsidTr="004F6321">
        <w:tc>
          <w:tcPr>
            <w:tcW w:w="2538" w:type="dxa"/>
          </w:tcPr>
          <w:p w:rsidR="008A56C1" w:rsidRDefault="00BF6E9E" w:rsidP="008A56C1">
            <w:pPr>
              <w:pStyle w:val="BodyText"/>
              <w:jc w:val="left"/>
            </w:pPr>
            <w:r>
              <w:t>Meter programming and labelling</w:t>
            </w:r>
            <w:r w:rsidR="008A56C1">
              <w:t xml:space="preserve"> </w:t>
            </w:r>
          </w:p>
        </w:tc>
        <w:tc>
          <w:tcPr>
            <w:tcW w:w="1350" w:type="dxa"/>
          </w:tcPr>
          <w:p w:rsidR="008A56C1" w:rsidRDefault="008A56C1" w:rsidP="00752367">
            <w:pPr>
              <w:pStyle w:val="BodyText"/>
            </w:pPr>
            <w:r>
              <w:t>30 minutes</w:t>
            </w:r>
          </w:p>
        </w:tc>
        <w:tc>
          <w:tcPr>
            <w:tcW w:w="1170" w:type="dxa"/>
          </w:tcPr>
          <w:p w:rsidR="008A56C1" w:rsidRDefault="008A56C1" w:rsidP="00752367">
            <w:pPr>
              <w:pStyle w:val="BodyText"/>
            </w:pPr>
            <w:r>
              <w:t>$29.09</w:t>
            </w:r>
          </w:p>
        </w:tc>
        <w:tc>
          <w:tcPr>
            <w:tcW w:w="4518" w:type="dxa"/>
          </w:tcPr>
          <w:p w:rsidR="008A56C1" w:rsidRDefault="008A56C1" w:rsidP="00EF134B">
            <w:pPr>
              <w:pStyle w:val="BodyText"/>
              <w:jc w:val="left"/>
            </w:pPr>
            <w:r>
              <w:t xml:space="preserve">Field Meter Tech </w:t>
            </w:r>
            <w:r w:rsidR="00E15436">
              <w:t>to</w:t>
            </w:r>
            <w:r>
              <w:t xml:space="preserve"> program the opt-out meter and apply opt-out label to help ensure an opt-out meter is not replaced with a</w:t>
            </w:r>
            <w:r w:rsidR="00DA696B">
              <w:t xml:space="preserve">n </w:t>
            </w:r>
            <w:r>
              <w:t xml:space="preserve">AMI </w:t>
            </w:r>
            <w:r w:rsidR="00D559DD">
              <w:t xml:space="preserve">smart </w:t>
            </w:r>
            <w:r>
              <w:t>meter.</w:t>
            </w:r>
            <w:r w:rsidR="005644BF">
              <w:t xml:space="preserve"> This work is performed at a </w:t>
            </w:r>
            <w:r w:rsidR="00EF134B">
              <w:t>Duke</w:t>
            </w:r>
            <w:r w:rsidR="005644BF">
              <w:t xml:space="preserve"> lab.</w:t>
            </w:r>
          </w:p>
        </w:tc>
      </w:tr>
      <w:tr w:rsidR="008A56C1" w:rsidTr="004F6321">
        <w:tc>
          <w:tcPr>
            <w:tcW w:w="2538" w:type="dxa"/>
          </w:tcPr>
          <w:p w:rsidR="008A56C1" w:rsidRDefault="00BF6E9E" w:rsidP="005644BF">
            <w:pPr>
              <w:pStyle w:val="BodyText"/>
              <w:jc w:val="left"/>
            </w:pPr>
            <w:r>
              <w:t xml:space="preserve">Meter exchange </w:t>
            </w:r>
          </w:p>
        </w:tc>
        <w:tc>
          <w:tcPr>
            <w:tcW w:w="1350" w:type="dxa"/>
          </w:tcPr>
          <w:p w:rsidR="008A56C1" w:rsidRDefault="008A56C1" w:rsidP="00752367">
            <w:pPr>
              <w:pStyle w:val="BodyText"/>
            </w:pPr>
            <w:r>
              <w:t>45 minutes</w:t>
            </w:r>
          </w:p>
        </w:tc>
        <w:tc>
          <w:tcPr>
            <w:tcW w:w="1170" w:type="dxa"/>
          </w:tcPr>
          <w:p w:rsidR="008A56C1" w:rsidRDefault="008A56C1" w:rsidP="00752367">
            <w:pPr>
              <w:pStyle w:val="BodyText"/>
            </w:pPr>
            <w:r>
              <w:t>$43.63</w:t>
            </w:r>
          </w:p>
        </w:tc>
        <w:tc>
          <w:tcPr>
            <w:tcW w:w="4518" w:type="dxa"/>
          </w:tcPr>
          <w:p w:rsidR="008A56C1" w:rsidRDefault="008A56C1" w:rsidP="008B0E59">
            <w:pPr>
              <w:pStyle w:val="BodyText"/>
              <w:jc w:val="left"/>
            </w:pPr>
            <w:r>
              <w:t xml:space="preserve">Field Meter Tech </w:t>
            </w:r>
            <w:r w:rsidR="00E15436">
              <w:t>to</w:t>
            </w:r>
            <w:r>
              <w:t xml:space="preserve"> travel to customer premise</w:t>
            </w:r>
            <w:r w:rsidR="00AF52A6">
              <w:t>s</w:t>
            </w:r>
            <w:r>
              <w:t>, remove existing meter</w:t>
            </w:r>
            <w:r w:rsidR="008B0E59">
              <w:t>, replace</w:t>
            </w:r>
            <w:r>
              <w:t xml:space="preserve"> with opt-out meter, </w:t>
            </w:r>
            <w:r w:rsidR="008B0E59">
              <w:t xml:space="preserve">and </w:t>
            </w:r>
            <w:r>
              <w:t>close work orders.</w:t>
            </w:r>
          </w:p>
        </w:tc>
      </w:tr>
      <w:tr w:rsidR="008A56C1" w:rsidTr="00681217">
        <w:trPr>
          <w:trHeight w:val="1223"/>
        </w:trPr>
        <w:tc>
          <w:tcPr>
            <w:tcW w:w="2538" w:type="dxa"/>
          </w:tcPr>
          <w:p w:rsidR="008A56C1" w:rsidRDefault="00BF6E9E" w:rsidP="005644BF">
            <w:pPr>
              <w:pStyle w:val="BodyText"/>
              <w:jc w:val="left"/>
            </w:pPr>
            <w:r>
              <w:t xml:space="preserve">Meter exchange </w:t>
            </w:r>
            <w:r w:rsidR="005644BF">
              <w:t>-</w:t>
            </w:r>
            <w:r>
              <w:t>vehicle</w:t>
            </w:r>
          </w:p>
        </w:tc>
        <w:tc>
          <w:tcPr>
            <w:tcW w:w="1350" w:type="dxa"/>
          </w:tcPr>
          <w:p w:rsidR="008A56C1" w:rsidRDefault="008A56C1" w:rsidP="00752367">
            <w:pPr>
              <w:pStyle w:val="BodyText"/>
            </w:pPr>
            <w:r>
              <w:t>45 minutes</w:t>
            </w:r>
          </w:p>
        </w:tc>
        <w:tc>
          <w:tcPr>
            <w:tcW w:w="1170" w:type="dxa"/>
          </w:tcPr>
          <w:p w:rsidR="008A56C1" w:rsidRDefault="008A56C1" w:rsidP="00752367">
            <w:pPr>
              <w:pStyle w:val="BodyText"/>
            </w:pPr>
            <w:r>
              <w:t>$4.61</w:t>
            </w:r>
          </w:p>
        </w:tc>
        <w:tc>
          <w:tcPr>
            <w:tcW w:w="4518" w:type="dxa"/>
            <w:vAlign w:val="center"/>
          </w:tcPr>
          <w:p w:rsidR="008A56C1" w:rsidRDefault="008A56C1" w:rsidP="00EF134B">
            <w:pPr>
              <w:pStyle w:val="BodyText"/>
              <w:jc w:val="left"/>
            </w:pPr>
            <w:r w:rsidRPr="002C3061">
              <w:t>Vehicle</w:t>
            </w:r>
            <w:r w:rsidR="002C3061" w:rsidRPr="002C3061">
              <w:t xml:space="preserve"> </w:t>
            </w:r>
            <w:r w:rsidRPr="002C3061">
              <w:t xml:space="preserve">used by </w:t>
            </w:r>
            <w:r w:rsidR="00DA696B">
              <w:t>Field Meter Tech</w:t>
            </w:r>
            <w:r w:rsidRPr="002C3061">
              <w:t xml:space="preserve"> for meter exchange</w:t>
            </w:r>
            <w:r w:rsidR="005644BF">
              <w:t xml:space="preserve">. The cost is based on </w:t>
            </w:r>
            <w:r w:rsidR="00EF134B">
              <w:t>Duke’s</w:t>
            </w:r>
            <w:r w:rsidR="005644BF">
              <w:t xml:space="preserve"> cost to operate the vehicle used by field technicians.</w:t>
            </w:r>
          </w:p>
        </w:tc>
      </w:tr>
      <w:tr w:rsidR="008A56C1" w:rsidTr="00681217">
        <w:trPr>
          <w:trHeight w:val="1008"/>
        </w:trPr>
        <w:tc>
          <w:tcPr>
            <w:tcW w:w="2538" w:type="dxa"/>
          </w:tcPr>
          <w:p w:rsidR="008A56C1" w:rsidRDefault="008A56C1" w:rsidP="008A56C1">
            <w:pPr>
              <w:pStyle w:val="BodyText"/>
              <w:jc w:val="left"/>
            </w:pPr>
            <w:r>
              <w:t xml:space="preserve">Manual meter reading route analysis </w:t>
            </w:r>
          </w:p>
        </w:tc>
        <w:tc>
          <w:tcPr>
            <w:tcW w:w="1350" w:type="dxa"/>
          </w:tcPr>
          <w:p w:rsidR="008A56C1" w:rsidRDefault="008A56C1" w:rsidP="00752367">
            <w:pPr>
              <w:pStyle w:val="BodyText"/>
            </w:pPr>
            <w:r>
              <w:t>20 minutes</w:t>
            </w:r>
          </w:p>
        </w:tc>
        <w:tc>
          <w:tcPr>
            <w:tcW w:w="1170" w:type="dxa"/>
          </w:tcPr>
          <w:p w:rsidR="008A56C1" w:rsidRDefault="008A56C1" w:rsidP="00752367">
            <w:pPr>
              <w:pStyle w:val="BodyText"/>
            </w:pPr>
            <w:r>
              <w:t>$14.68</w:t>
            </w:r>
          </w:p>
        </w:tc>
        <w:tc>
          <w:tcPr>
            <w:tcW w:w="4518" w:type="dxa"/>
            <w:vAlign w:val="center"/>
          </w:tcPr>
          <w:p w:rsidR="008A56C1" w:rsidRDefault="008A56C1" w:rsidP="00681217">
            <w:pPr>
              <w:pStyle w:val="BodyText"/>
              <w:jc w:val="left"/>
            </w:pPr>
            <w:r>
              <w:t>Meter Route Analyst to determine location of opt-out participant and find efficient meter reading route.</w:t>
            </w:r>
          </w:p>
        </w:tc>
      </w:tr>
      <w:tr w:rsidR="00BF6E9E" w:rsidTr="004F6321">
        <w:trPr>
          <w:gridAfter w:val="1"/>
          <w:wAfter w:w="4518" w:type="dxa"/>
        </w:trPr>
        <w:tc>
          <w:tcPr>
            <w:tcW w:w="3888" w:type="dxa"/>
            <w:gridSpan w:val="2"/>
          </w:tcPr>
          <w:p w:rsidR="00BF6E9E" w:rsidRDefault="00BF6E9E" w:rsidP="00F4393A">
            <w:r>
              <w:t>Total one-time cost per customer</w:t>
            </w:r>
          </w:p>
        </w:tc>
        <w:tc>
          <w:tcPr>
            <w:tcW w:w="1170" w:type="dxa"/>
          </w:tcPr>
          <w:p w:rsidR="00BF6E9E" w:rsidRDefault="00BF6E9E" w:rsidP="00F4393A">
            <w:r>
              <w:t>$96.34</w:t>
            </w:r>
          </w:p>
        </w:tc>
      </w:tr>
    </w:tbl>
    <w:p w:rsidR="008B0E59" w:rsidRDefault="00F4393A" w:rsidP="008B0E59">
      <w:pPr>
        <w:pStyle w:val="TableSource"/>
      </w:pPr>
      <w:r>
        <w:t xml:space="preserve">Source: </w:t>
      </w:r>
      <w:r w:rsidR="002209C1">
        <w:t xml:space="preserve">Exhibit A to </w:t>
      </w:r>
      <w:r w:rsidR="00021A82">
        <w:t>D</w:t>
      </w:r>
      <w:r w:rsidR="00B21CF0">
        <w:t>uke</w:t>
      </w:r>
      <w:r w:rsidR="008B0E59">
        <w:t>’s Petition</w:t>
      </w:r>
    </w:p>
    <w:p w:rsidR="00BF116E" w:rsidRDefault="00BF116E" w:rsidP="00BF116E">
      <w:pPr>
        <w:pStyle w:val="BodyText"/>
      </w:pPr>
      <w:r>
        <w:t xml:space="preserve">Duke explained that the time per customer is based on a conservative average </w:t>
      </w:r>
      <w:r w:rsidR="007A12B6">
        <w:t xml:space="preserve">time </w:t>
      </w:r>
      <w:r>
        <w:t xml:space="preserve">estimate for the specific tasks to be performed. </w:t>
      </w:r>
      <w:r w:rsidR="00AB6AC8">
        <w:t xml:space="preserve">Staff believes the time estimates to be reasonable. </w:t>
      </w:r>
      <w:r>
        <w:t xml:space="preserve">The cost per customer is calculated by multiplying the time to complete the task by the hourly rate of the job performer. Duke provided </w:t>
      </w:r>
      <w:r w:rsidR="007A12B6">
        <w:t xml:space="preserve">cost support for </w:t>
      </w:r>
      <w:r>
        <w:t>its hourly rates</w:t>
      </w:r>
      <w:r w:rsidR="007A12B6">
        <w:t xml:space="preserve"> which include</w:t>
      </w:r>
      <w:r w:rsidR="00CE6EA7">
        <w:t>s</w:t>
      </w:r>
      <w:r w:rsidR="007A12B6">
        <w:t xml:space="preserve"> the </w:t>
      </w:r>
      <w:r w:rsidR="0076555D">
        <w:t xml:space="preserve">confidential </w:t>
      </w:r>
      <w:r w:rsidR="007A12B6">
        <w:t>annual salary, payroll tax, benefits, pension, a</w:t>
      </w:r>
      <w:r w:rsidR="00941529">
        <w:t xml:space="preserve">nd incentives (bonus payments). Staff </w:t>
      </w:r>
      <w:r w:rsidR="00AB6AC8">
        <w:t xml:space="preserve">reviewed hourly rate information provided by Duke in its 2009 rate case for customer service and field labor and believes the hourly rates included in this docket are reasonable. Furthermore, Duke’s salaries are </w:t>
      </w:r>
      <w:r w:rsidR="00941529">
        <w:t>comparable to those approved for FPL</w:t>
      </w:r>
      <w:r w:rsidR="00AB6AC8">
        <w:t>’s o</w:t>
      </w:r>
      <w:r w:rsidR="005734FB">
        <w:t>pt</w:t>
      </w:r>
      <w:r w:rsidR="00AB6AC8">
        <w:t>-out charges</w:t>
      </w:r>
      <w:r w:rsidR="00941529">
        <w:t>.</w:t>
      </w:r>
    </w:p>
    <w:p w:rsidR="00624CEF" w:rsidRPr="00F65D58" w:rsidRDefault="00624CEF" w:rsidP="00624CEF">
      <w:pPr>
        <w:pStyle w:val="BodyText"/>
      </w:pPr>
      <w:r>
        <w:lastRenderedPageBreak/>
        <w:t xml:space="preserve">In response to staff’s data request, Duke clarified that if an opt-out customer already has a non-communicating meter installed at the premises, the customer would not be required to pay the $96.34 one-time set up fee as Duke would not incur the cost for the non-standard meter installation. This provision was not reflected in the original </w:t>
      </w:r>
      <w:r w:rsidR="00DA0BC9">
        <w:t xml:space="preserve">opt-out </w:t>
      </w:r>
      <w:r w:rsidR="00EF134B">
        <w:t>tariff filed by Duke; therefore,</w:t>
      </w:r>
      <w:r>
        <w:t xml:space="preserve"> Duke filed a revised tariff to clearly state when the one-time </w:t>
      </w:r>
      <w:r w:rsidR="005734FB">
        <w:t xml:space="preserve">fee </w:t>
      </w:r>
      <w:r>
        <w:t xml:space="preserve">would not be assessed. </w:t>
      </w:r>
    </w:p>
    <w:p w:rsidR="006C101F" w:rsidRDefault="006C101F" w:rsidP="006C101F">
      <w:pPr>
        <w:pStyle w:val="First-LevelSubheading"/>
      </w:pPr>
      <w:r>
        <w:t xml:space="preserve">Monthly </w:t>
      </w:r>
      <w:r w:rsidR="007D04C5">
        <w:t>Surcharge</w:t>
      </w:r>
    </w:p>
    <w:p w:rsidR="005644BF" w:rsidRDefault="00F4393A" w:rsidP="00660152">
      <w:pPr>
        <w:pStyle w:val="BodyText"/>
        <w:spacing w:after="0"/>
      </w:pPr>
      <w:r>
        <w:t xml:space="preserve">The monthly </w:t>
      </w:r>
      <w:r w:rsidR="00126F06">
        <w:t>sur</w:t>
      </w:r>
      <w:r>
        <w:t xml:space="preserve">charge to take service under the </w:t>
      </w:r>
      <w:r w:rsidR="00C905A2">
        <w:t>opt-out</w:t>
      </w:r>
      <w:r>
        <w:t xml:space="preserve"> tariff is </w:t>
      </w:r>
      <w:r w:rsidR="008A56C1">
        <w:t xml:space="preserve">$15.60, which reflects </w:t>
      </w:r>
      <w:r>
        <w:t xml:space="preserve">a combination of upfront </w:t>
      </w:r>
      <w:r w:rsidR="004500E8">
        <w:t xml:space="preserve">(IT related) </w:t>
      </w:r>
      <w:r>
        <w:t>and ongoing</w:t>
      </w:r>
      <w:r w:rsidR="004500E8">
        <w:t xml:space="preserve"> (meter reading related)</w:t>
      </w:r>
      <w:r>
        <w:t xml:space="preserve"> service costs.</w:t>
      </w:r>
      <w:r w:rsidR="002209C1">
        <w:t xml:space="preserve"> </w:t>
      </w:r>
      <w:r w:rsidR="00920354">
        <w:t>Duke</w:t>
      </w:r>
      <w:r w:rsidR="007D1215">
        <w:t xml:space="preserve"> </w:t>
      </w:r>
      <w:r w:rsidR="002209C1">
        <w:t>states that its upfront IT costs are predicted to be $374,014</w:t>
      </w:r>
      <w:r w:rsidR="006C101F">
        <w:t>. This is the estimated cost</w:t>
      </w:r>
      <w:r w:rsidR="002209C1">
        <w:t xml:space="preserve"> to update the customer system</w:t>
      </w:r>
      <w:r w:rsidR="00CC6206">
        <w:t xml:space="preserve"> and change business processes</w:t>
      </w:r>
      <w:r w:rsidR="006C101F">
        <w:t xml:space="preserve"> to accommodate the </w:t>
      </w:r>
      <w:r w:rsidR="00C905A2">
        <w:t>opt-out</w:t>
      </w:r>
      <w:r w:rsidR="006C101F">
        <w:t xml:space="preserve"> </w:t>
      </w:r>
      <w:r w:rsidR="004500E8">
        <w:t>tariff</w:t>
      </w:r>
      <w:r w:rsidR="00126F06">
        <w:t xml:space="preserve"> program</w:t>
      </w:r>
      <w:r w:rsidR="00CC6206">
        <w:t>.</w:t>
      </w:r>
      <w:r w:rsidR="00AF52A6">
        <w:t xml:space="preserve"> </w:t>
      </w:r>
      <w:r w:rsidR="00D0010D">
        <w:t>Duke</w:t>
      </w:r>
      <w:r w:rsidR="005644BF">
        <w:t xml:space="preserve"> used a 5-year recovery period for its IT costs </w:t>
      </w:r>
      <w:r w:rsidR="00DA696B">
        <w:t>(</w:t>
      </w:r>
      <w:r w:rsidR="005644BF">
        <w:t>which is the same recovery period the Commission ap</w:t>
      </w:r>
      <w:r w:rsidR="00F3366B">
        <w:t>proved for FPL’s opt-out tariff</w:t>
      </w:r>
      <w:r w:rsidR="00DA696B">
        <w:t>)</w:t>
      </w:r>
      <w:r w:rsidR="00F3366B">
        <w:t xml:space="preserve"> </w:t>
      </w:r>
      <w:r w:rsidR="00DA696B">
        <w:t>to derive monthly IT related costs of $4.58</w:t>
      </w:r>
      <w:r w:rsidR="00034C0D">
        <w:t xml:space="preserve"> per customer</w:t>
      </w:r>
      <w:r w:rsidR="00DA696B">
        <w:t>.</w:t>
      </w:r>
    </w:p>
    <w:p w:rsidR="008B0E59" w:rsidRDefault="008B0E59" w:rsidP="00660152">
      <w:pPr>
        <w:pStyle w:val="BodyText"/>
        <w:spacing w:after="0"/>
      </w:pPr>
    </w:p>
    <w:p w:rsidR="00660152" w:rsidRDefault="00126F06" w:rsidP="00660152">
      <w:pPr>
        <w:pStyle w:val="BodyText"/>
        <w:spacing w:after="0"/>
      </w:pPr>
      <w:r>
        <w:t>After installation</w:t>
      </w:r>
      <w:r w:rsidR="00D744E2">
        <w:t xml:space="preserve"> of a non-standard meter</w:t>
      </w:r>
      <w:r>
        <w:t>, the only</w:t>
      </w:r>
      <w:r w:rsidR="006C101F">
        <w:t xml:space="preserve"> ongoing costs to the utility </w:t>
      </w:r>
      <w:r w:rsidR="004500E8">
        <w:t>will</w:t>
      </w:r>
      <w:r w:rsidR="006C101F">
        <w:t xml:space="preserve"> </w:t>
      </w:r>
      <w:r w:rsidR="004500E8">
        <w:t xml:space="preserve">be </w:t>
      </w:r>
      <w:r w:rsidR="006C101F">
        <w:t>the monthly meter readings</w:t>
      </w:r>
      <w:r w:rsidR="00F3366B">
        <w:t>, which the utility estimates to be $11.02 per customer</w:t>
      </w:r>
      <w:r w:rsidR="00B37333">
        <w:t>.</w:t>
      </w:r>
      <w:r w:rsidR="006C101F">
        <w:t xml:space="preserve"> </w:t>
      </w:r>
      <w:r w:rsidR="00D04729">
        <w:t>These costs reflect the meter reading position rates</w:t>
      </w:r>
      <w:r w:rsidR="006C101F">
        <w:t xml:space="preserve"> </w:t>
      </w:r>
      <w:r w:rsidR="00D04729">
        <w:t>and the vehicle rates</w:t>
      </w:r>
      <w:r w:rsidR="00E45DFC">
        <w:t>,</w:t>
      </w:r>
      <w:r w:rsidR="004500E8">
        <w:t xml:space="preserve"> both </w:t>
      </w:r>
      <w:r w:rsidR="006C101F">
        <w:t xml:space="preserve">for an estimated 20 minutes per </w:t>
      </w:r>
      <w:r w:rsidR="00A64DCD">
        <w:t xml:space="preserve">meter </w:t>
      </w:r>
      <w:r w:rsidR="006C101F">
        <w:t>reading.</w:t>
      </w:r>
      <w:r w:rsidR="008B0E59">
        <w:t xml:space="preserve"> </w:t>
      </w:r>
      <w:r w:rsidR="00AB6AC8">
        <w:t xml:space="preserve">In response to staff’s data </w:t>
      </w:r>
      <w:r w:rsidR="00E846D1">
        <w:t xml:space="preserve">request, Duke stated </w:t>
      </w:r>
      <w:r w:rsidR="005734FB">
        <w:t xml:space="preserve">that </w:t>
      </w:r>
      <w:r w:rsidR="00E846D1">
        <w:t xml:space="preserve">assuming that opt-out customers are spread across the utility’s service territory, it is estimated to take 20 minutes to travel to the customer premises, get out of the vehicle, read the meter, log the read, and return to the vehicle to continue on the route. </w:t>
      </w:r>
    </w:p>
    <w:p w:rsidR="009A15DF" w:rsidRDefault="009A15DF" w:rsidP="00660152">
      <w:pPr>
        <w:pStyle w:val="BodyText"/>
        <w:spacing w:after="0"/>
      </w:pPr>
    </w:p>
    <w:p w:rsidR="00F667B6" w:rsidRDefault="00F667B6" w:rsidP="00F667B6">
      <w:pPr>
        <w:pStyle w:val="First-LevelSubheading"/>
      </w:pPr>
      <w:r>
        <w:t>Customer Notice and Deployment</w:t>
      </w:r>
    </w:p>
    <w:p w:rsidR="009A15DF" w:rsidRDefault="00F667B6" w:rsidP="009A15DF">
      <w:pPr>
        <w:pStyle w:val="BodyText"/>
      </w:pPr>
      <w:r>
        <w:t>The utility states that</w:t>
      </w:r>
      <w:r w:rsidR="00B37333">
        <w:t xml:space="preserve"> AMI deployment is set to begin November 2018; therefore, Duke is requesting that the opt-out tariff be available the first billing cycle of December 2018. Two weeks prior to a customer receiving a smart meter, </w:t>
      </w:r>
      <w:r w:rsidR="00920354">
        <w:t>Duke</w:t>
      </w:r>
      <w:r>
        <w:t xml:space="preserve"> will mail a postcard to the customer informing them of the meter exchange and </w:t>
      </w:r>
      <w:r w:rsidR="00B37333">
        <w:t>providing</w:t>
      </w:r>
      <w:r>
        <w:t xml:space="preserve"> more information on smart meters. The postcard will include a toll-free number to call for questions regarding sma</w:t>
      </w:r>
      <w:r w:rsidR="00B37333">
        <w:t xml:space="preserve">rt meters and the option to opt </w:t>
      </w:r>
      <w:r>
        <w:t xml:space="preserve">out. Information regarding </w:t>
      </w:r>
      <w:r w:rsidR="00E45DFC">
        <w:t>smart meter</w:t>
      </w:r>
      <w:r>
        <w:t xml:space="preserve"> deployment and</w:t>
      </w:r>
      <w:r w:rsidR="00B37333">
        <w:t xml:space="preserve"> the opt-out tariff </w:t>
      </w:r>
      <w:r>
        <w:t>will al</w:t>
      </w:r>
      <w:r w:rsidR="00B37333">
        <w:t xml:space="preserve">so be on the utility’s website. </w:t>
      </w:r>
    </w:p>
    <w:p w:rsidR="00624CEF" w:rsidRDefault="00823730" w:rsidP="00823730">
      <w:pPr>
        <w:pStyle w:val="First-LevelSubheading"/>
      </w:pPr>
      <w:r>
        <w:t>Reporting</w:t>
      </w:r>
    </w:p>
    <w:p w:rsidR="00EF134B" w:rsidRDefault="00823730" w:rsidP="00823730">
      <w:pPr>
        <w:pStyle w:val="BodyText"/>
      </w:pPr>
      <w:r>
        <w:t>S</w:t>
      </w:r>
      <w:r w:rsidR="00700EA0">
        <w:t xml:space="preserve">taff recommends that within three months after the AMI </w:t>
      </w:r>
      <w:r w:rsidR="00D559DD">
        <w:t xml:space="preserve">smart </w:t>
      </w:r>
      <w:r w:rsidR="00700EA0">
        <w:t>meter deployment is completed</w:t>
      </w:r>
      <w:r w:rsidR="00EF134B">
        <w:t xml:space="preserve"> (December 2021)</w:t>
      </w:r>
      <w:r w:rsidR="00700EA0">
        <w:t xml:space="preserve">, Duke should report to the Commission on </w:t>
      </w:r>
      <w:r w:rsidR="00AA409A">
        <w:t xml:space="preserve">the </w:t>
      </w:r>
      <w:r w:rsidR="00700EA0">
        <w:t xml:space="preserve">costs of the program, revenues, and actual participation. </w:t>
      </w:r>
      <w:r w:rsidR="00F06A3C">
        <w:t>Staff believes three months is a reasonable time to allow Duke to prepare and file a report</w:t>
      </w:r>
      <w:r w:rsidR="00EF134B">
        <w:t xml:space="preserve"> in this docket, which should happen no later than March 31, 2022</w:t>
      </w:r>
      <w:r w:rsidR="00F06A3C">
        <w:t xml:space="preserve">. </w:t>
      </w:r>
      <w:r w:rsidR="00EF134B">
        <w:t xml:space="preserve">If AMI </w:t>
      </w:r>
      <w:r w:rsidR="00D559DD">
        <w:t xml:space="preserve">smart </w:t>
      </w:r>
      <w:r w:rsidR="00EF134B">
        <w:t xml:space="preserve">meter deployment is significantly delayed beyond the utility’s anticipated completion date, the utility should notify the Commission with a filing in this docket. </w:t>
      </w:r>
    </w:p>
    <w:p w:rsidR="00823730" w:rsidRDefault="00700EA0" w:rsidP="00EF134B">
      <w:pPr>
        <w:pStyle w:val="BodyText"/>
      </w:pPr>
      <w:r>
        <w:t>Staff notes that FPL is required to file annual smart meter progress repo</w:t>
      </w:r>
      <w:r w:rsidR="00EF134B">
        <w:t>rts. Duke, in response to staff’</w:t>
      </w:r>
      <w:r>
        <w:t xml:space="preserve">s data request, stated that it does not believe a formal process of tracking costs is necessary. However, staff believes </w:t>
      </w:r>
      <w:r w:rsidR="00AA409A">
        <w:t xml:space="preserve">that actual participation rates and costs may vary, and that a comparison of estimated costs presented in this petition and actual costs incurred is important to ensure the opt-out tariff remains cost-based or else be adjusted </w:t>
      </w:r>
      <w:r w:rsidR="00EF134B">
        <w:t>through a revised tariff filing.</w:t>
      </w:r>
    </w:p>
    <w:p w:rsidR="00565F80" w:rsidRDefault="00565F80" w:rsidP="00565F80">
      <w:pPr>
        <w:pStyle w:val="First-LevelSubheading"/>
      </w:pPr>
      <w:r>
        <w:lastRenderedPageBreak/>
        <w:t>Conclusion</w:t>
      </w:r>
    </w:p>
    <w:p w:rsidR="001C6522" w:rsidRDefault="00905A22" w:rsidP="009A15DF">
      <w:pPr>
        <w:pStyle w:val="BodyText"/>
      </w:pPr>
      <w:r>
        <w:t xml:space="preserve">Staff believes that the </w:t>
      </w:r>
      <w:r w:rsidR="00681217">
        <w:t xml:space="preserve">incremental </w:t>
      </w:r>
      <w:r>
        <w:t xml:space="preserve">costs </w:t>
      </w:r>
      <w:r w:rsidR="00504880">
        <w:t>to offer</w:t>
      </w:r>
      <w:r>
        <w:t xml:space="preserve"> the proposed opt-out tariff should be recovered by the participating customers. </w:t>
      </w:r>
      <w:r w:rsidR="00FB743D">
        <w:t xml:space="preserve">In </w:t>
      </w:r>
      <w:r w:rsidR="00504880">
        <w:t xml:space="preserve">the order </w:t>
      </w:r>
      <w:r w:rsidR="00FB743D">
        <w:t>approving FPL</w:t>
      </w:r>
      <w:r w:rsidR="0076555D">
        <w:t>’</w:t>
      </w:r>
      <w:r w:rsidR="00FB743D">
        <w:t xml:space="preserve">s opt-out tariff, </w:t>
      </w:r>
      <w:r w:rsidR="00504880">
        <w:t xml:space="preserve">the </w:t>
      </w:r>
      <w:r w:rsidR="00FB743D">
        <w:t xml:space="preserve">Commission noted that </w:t>
      </w:r>
      <w:r w:rsidR="00504880">
        <w:t>“</w:t>
      </w:r>
      <w:r w:rsidR="00FB743D">
        <w:t>since significant incremental costs would be incurred in providing [</w:t>
      </w:r>
      <w:r w:rsidR="00504880">
        <w:t>an opt-</w:t>
      </w:r>
      <w:r w:rsidR="00FB743D">
        <w:t>out tariff], it would be discriminatory to require standard meter customers to subsidize that service.</w:t>
      </w:r>
      <w:r w:rsidR="00504880">
        <w:t>”</w:t>
      </w:r>
      <w:r w:rsidR="00504880">
        <w:rPr>
          <w:rStyle w:val="FootnoteReference"/>
        </w:rPr>
        <w:footnoteReference w:id="5"/>
      </w:r>
      <w:r w:rsidR="00504880">
        <w:t xml:space="preserve"> </w:t>
      </w:r>
      <w:r w:rsidR="00262B4F">
        <w:t xml:space="preserve">Staff believes that </w:t>
      </w:r>
      <w:r w:rsidR="00BF116E">
        <w:t>Duke provided sufficient cost support in its petition and response</w:t>
      </w:r>
      <w:r w:rsidR="00B94EEC">
        <w:t>s</w:t>
      </w:r>
      <w:r w:rsidR="00BF116E">
        <w:t xml:space="preserve"> to staff’s data requests</w:t>
      </w:r>
      <w:r w:rsidR="00262B4F">
        <w:t xml:space="preserve"> to </w:t>
      </w:r>
      <w:r w:rsidR="00797FAA">
        <w:t>support its assertion that the proposed tariff is cost-based</w:t>
      </w:r>
      <w:r>
        <w:t>. Therefore, the Commission should approve</w:t>
      </w:r>
      <w:r w:rsidR="008B0E59">
        <w:t xml:space="preserve"> Duke’s proposed opt-out tariff</w:t>
      </w:r>
      <w:r w:rsidR="00B21CF0">
        <w:t>.</w:t>
      </w:r>
      <w:r w:rsidR="00B37333">
        <w:t xml:space="preserve"> </w:t>
      </w:r>
      <w:r w:rsidR="00B21CF0">
        <w:t xml:space="preserve">The effective date </w:t>
      </w:r>
      <w:r w:rsidR="00047DE6">
        <w:t>should</w:t>
      </w:r>
      <w:r w:rsidR="00B21CF0">
        <w:t xml:space="preserve"> be on the first billing cycle of December 2018.</w:t>
      </w:r>
      <w:r w:rsidR="00797FAA">
        <w:t xml:space="preserve"> Within three months after the AMI </w:t>
      </w:r>
      <w:r w:rsidR="00D559DD">
        <w:t xml:space="preserve">smart </w:t>
      </w:r>
      <w:r w:rsidR="00797FAA">
        <w:t>meter deployment is completed, Duke should report to the Commission (with a filing in this docket) on the costs of the program, revenues, and actual participation.</w:t>
      </w:r>
    </w:p>
    <w:p w:rsidR="0082017A" w:rsidRDefault="0082017A">
      <w:pPr>
        <w:pStyle w:val="IssueHeading"/>
        <w:rPr>
          <w:vanish/>
          <w:specVanish/>
        </w:rPr>
      </w:pPr>
      <w:r w:rsidRPr="004C3641">
        <w:rPr>
          <w:b w:val="0"/>
          <w:i w:val="0"/>
        </w:rPr>
        <w:br w:type="page"/>
      </w:r>
      <w:r w:rsidRPr="004C3641">
        <w:lastRenderedPageBreak/>
        <w:t xml:space="preserve">Issue </w:t>
      </w:r>
      <w:r w:rsidR="00A902FB">
        <w:fldChar w:fldCharType="begin"/>
      </w:r>
      <w:r w:rsidR="00A902FB">
        <w:instrText xml:space="preserve"> SEQ Issue \* MERGEFORM</w:instrText>
      </w:r>
      <w:r w:rsidR="00A902FB">
        <w:instrText xml:space="preserve">AT </w:instrText>
      </w:r>
      <w:r w:rsidR="00A902FB">
        <w:fldChar w:fldCharType="separate"/>
      </w:r>
      <w:r w:rsidR="00686737">
        <w:rPr>
          <w:noProof/>
        </w:rPr>
        <w:t>2</w:t>
      </w:r>
      <w:r w:rsidR="00A902F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86737">
        <w:rPr>
          <w:noProof/>
        </w:rPr>
        <w:instrText>2</w:instrText>
      </w:r>
      <w:r>
        <w:fldChar w:fldCharType="end"/>
      </w:r>
      <w:r>
        <w:tab/>
        <w:instrText xml:space="preserve">(Mapp)" \l 1 </w:instrText>
      </w:r>
      <w:r>
        <w:fldChar w:fldCharType="end"/>
      </w:r>
      <w:r>
        <w:t> </w:t>
      </w:r>
    </w:p>
    <w:p w:rsidR="0082017A" w:rsidRDefault="0082017A">
      <w:pPr>
        <w:pStyle w:val="BodyText"/>
      </w:pPr>
      <w:r>
        <w:t> Should this docket be closed?</w:t>
      </w:r>
    </w:p>
    <w:p w:rsidR="0082017A" w:rsidRPr="004C3641" w:rsidRDefault="0082017A">
      <w:pPr>
        <w:pStyle w:val="IssueSubsectionHeading"/>
        <w:rPr>
          <w:vanish/>
          <w:specVanish/>
        </w:rPr>
      </w:pPr>
      <w:r w:rsidRPr="004C3641">
        <w:t>Recommendation: </w:t>
      </w:r>
    </w:p>
    <w:p w:rsidR="0082017A" w:rsidRDefault="0082017A">
      <w:pPr>
        <w:pStyle w:val="BodyText"/>
      </w:pPr>
      <w:r>
        <w:t> </w:t>
      </w:r>
      <w:r w:rsidR="00920354">
        <w:t>Yes</w:t>
      </w:r>
      <w:r w:rsidR="006A1D27">
        <w:t>.</w:t>
      </w:r>
      <w:r w:rsidR="00067059">
        <w:t xml:space="preserve"> If a protest is filed within 21 days of the issuance of the order, these tariffs should remain in effect with any increase held subject to refund pending resolution of the protest. If no timely protest is filed, this docket </w:t>
      </w:r>
      <w:r w:rsidR="00047DE6">
        <w:t>should</w:t>
      </w:r>
      <w:r w:rsidR="00067059">
        <w:t xml:space="preserve"> be closed upon issuance of a consummating order.</w:t>
      </w:r>
      <w:r w:rsidR="006A1D27" w:rsidRPr="00AA1C11">
        <w:t xml:space="preserve"> </w:t>
      </w:r>
      <w:r>
        <w:t>(Mapp)</w:t>
      </w:r>
    </w:p>
    <w:p w:rsidR="0082017A" w:rsidRPr="004C3641" w:rsidRDefault="0082017A">
      <w:pPr>
        <w:pStyle w:val="IssueSubsectionHeading"/>
        <w:rPr>
          <w:vanish/>
          <w:specVanish/>
        </w:rPr>
      </w:pPr>
      <w:r w:rsidRPr="004C3641">
        <w:t>Staff Analysis: </w:t>
      </w:r>
    </w:p>
    <w:p w:rsidR="00095BD4" w:rsidRDefault="00920354" w:rsidP="00095BD4">
      <w:pPr>
        <w:pStyle w:val="BodyText"/>
        <w:sectPr w:rsidR="00095BD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xml:space="preserve"> </w:t>
      </w:r>
      <w:r w:rsidR="00067059">
        <w:t>If a protest is filed within 21 days of the issuance of the order, these tariffs should remain in effect with any increase held subject to refund pending resolution of the protest. If no timely protest is filed, this docket should be closed upon i</w:t>
      </w:r>
      <w:r w:rsidR="00F109E3">
        <w:t>ssuance of a consummating order.</w:t>
      </w:r>
    </w:p>
    <w:p w:rsidR="00095BD4" w:rsidRPr="00660152" w:rsidRDefault="000B54F4" w:rsidP="00095BD4">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088 DEF Updated Tariff Sheet 6.400_Page_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095BD4" w:rsidRPr="00660152"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1B0" w:rsidRDefault="005F11B0">
      <w:r>
        <w:separator/>
      </w:r>
    </w:p>
  </w:endnote>
  <w:endnote w:type="continuationSeparator" w:id="0">
    <w:p w:rsidR="005F11B0" w:rsidRDefault="005F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F7154">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1B0" w:rsidRDefault="005F11B0">
      <w:r>
        <w:separator/>
      </w:r>
    </w:p>
  </w:footnote>
  <w:footnote w:type="continuationSeparator" w:id="0">
    <w:p w:rsidR="005F11B0" w:rsidRDefault="005F11B0">
      <w:r>
        <w:continuationSeparator/>
      </w:r>
    </w:p>
  </w:footnote>
  <w:footnote w:id="1">
    <w:p w:rsidR="00C03C8B" w:rsidRDefault="00C03C8B" w:rsidP="00C03C8B">
      <w:pPr>
        <w:pStyle w:val="FootnoteText"/>
      </w:pPr>
      <w:r>
        <w:rPr>
          <w:rStyle w:val="FootnoteReference"/>
        </w:rPr>
        <w:footnoteRef/>
      </w:r>
      <w:r>
        <w:t xml:space="preserve"> </w:t>
      </w:r>
      <w:proofErr w:type="gramStart"/>
      <w:r w:rsidRPr="00E04C61">
        <w:t>Order No.</w:t>
      </w:r>
      <w:proofErr w:type="gramEnd"/>
      <w:r w:rsidRPr="00E04C61">
        <w:t xml:space="preserve"> PSC-2017-0451-AS-EU</w:t>
      </w:r>
      <w:r>
        <w:t>,</w:t>
      </w:r>
      <w:r w:rsidRPr="00E04C61">
        <w:t xml:space="preserve"> </w:t>
      </w:r>
      <w:r w:rsidR="003F1A46">
        <w:t xml:space="preserve">issued November 20, 2017, </w:t>
      </w:r>
      <w:r w:rsidRPr="00E04C61">
        <w:t>in Docket No. 20170183-EI;</w:t>
      </w:r>
      <w:r>
        <w:rPr>
          <w:i/>
        </w:rPr>
        <w:t xml:space="preserve"> In re: Application for limited proceeding to approve 2017 second revised and restated settlement agreement, including certain rate adjustments, by Duke Energy Florida, LLC.</w:t>
      </w:r>
    </w:p>
  </w:footnote>
  <w:footnote w:id="2">
    <w:p w:rsidR="00292FD5" w:rsidRDefault="00292FD5">
      <w:pPr>
        <w:pStyle w:val="FootnoteText"/>
      </w:pPr>
      <w:r>
        <w:rPr>
          <w:rStyle w:val="FootnoteReference"/>
        </w:rPr>
        <w:footnoteRef/>
      </w:r>
      <w:r>
        <w:t xml:space="preserve"> Document No. 09411-2017, filed on November 3, 2017, in Docket No. </w:t>
      </w:r>
      <w:r w:rsidRPr="00E04C61">
        <w:t>20170183-EI</w:t>
      </w:r>
      <w:r>
        <w:t>.</w:t>
      </w:r>
    </w:p>
  </w:footnote>
  <w:footnote w:id="3">
    <w:p w:rsidR="0028428F" w:rsidRPr="0028428F" w:rsidRDefault="0028428F">
      <w:pPr>
        <w:pStyle w:val="FootnoteText"/>
        <w:rPr>
          <w:i/>
        </w:rPr>
      </w:pPr>
      <w:r>
        <w:rPr>
          <w:rStyle w:val="FootnoteReference"/>
        </w:rPr>
        <w:footnoteRef/>
      </w:r>
      <w:r w:rsidR="00E04C61">
        <w:t xml:space="preserve"> </w:t>
      </w:r>
      <w:proofErr w:type="gramStart"/>
      <w:r w:rsidR="0020086E">
        <w:t>Order No.</w:t>
      </w:r>
      <w:proofErr w:type="gramEnd"/>
      <w:r w:rsidR="0020086E">
        <w:t xml:space="preserve"> PSC-15-0026-FOF-EI, issued on January 7, 2015,</w:t>
      </w:r>
      <w:r w:rsidRPr="00E04C61">
        <w:t xml:space="preserve"> in Docket No. 130223-EI</w:t>
      </w:r>
      <w:r w:rsidR="004500E8" w:rsidRPr="00E04C61">
        <w:t>;</w:t>
      </w:r>
      <w:r>
        <w:rPr>
          <w:i/>
        </w:rPr>
        <w:t xml:space="preserve"> In re: Petition for approval of optional non-standard meter rider, by Florida Power &amp; Light Company.</w:t>
      </w:r>
    </w:p>
  </w:footnote>
  <w:footnote w:id="4">
    <w:p w:rsidR="00CE6EA7" w:rsidRDefault="00CE6EA7" w:rsidP="00CE6EA7">
      <w:pPr>
        <w:pStyle w:val="FootnoteText"/>
      </w:pPr>
      <w:r>
        <w:rPr>
          <w:rStyle w:val="FootnoteReference"/>
        </w:rPr>
        <w:footnoteRef/>
      </w:r>
      <w:r>
        <w:t xml:space="preserve"> Duke’s petition included other non-substantive tariff changes that have not been attached to the recommendation.</w:t>
      </w:r>
    </w:p>
  </w:footnote>
  <w:footnote w:id="5">
    <w:p w:rsidR="00504880" w:rsidRPr="00504880" w:rsidRDefault="00504880">
      <w:pPr>
        <w:pStyle w:val="FootnoteText"/>
        <w:rPr>
          <w:i/>
        </w:rPr>
      </w:pPr>
      <w:r>
        <w:rPr>
          <w:rStyle w:val="FootnoteReference"/>
        </w:rPr>
        <w:footnoteRef/>
      </w:r>
      <w:r>
        <w:t xml:space="preserve"> </w:t>
      </w:r>
      <w:r>
        <w:rPr>
          <w:i/>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5F11B0"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20180088-EI</w:t>
    </w:r>
    <w:bookmarkEnd w:id="14"/>
  </w:p>
  <w:p w:rsidR="00BC402E" w:rsidRDefault="00BC402E">
    <w:pPr>
      <w:pStyle w:val="Header"/>
    </w:pPr>
    <w:r>
      <w:t xml:space="preserve">Date: </w:t>
    </w:r>
    <w:r w:rsidR="00A902FB">
      <w:fldChar w:fldCharType="begin"/>
    </w:r>
    <w:r w:rsidR="00A902FB">
      <w:instrText xml:space="preserve"> REF FilingDate </w:instrText>
    </w:r>
    <w:r w:rsidR="00A902FB">
      <w:fldChar w:fldCharType="separate"/>
    </w:r>
    <w:r w:rsidR="00686737">
      <w:t>July 26, 2018</w:t>
    </w:r>
    <w:r w:rsidR="00A902F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86737">
      <w:t>Docket No.</w:t>
    </w:r>
    <w:r>
      <w:fldChar w:fldCharType="end"/>
    </w:r>
    <w:r>
      <w:t xml:space="preserve"> </w:t>
    </w:r>
    <w:r>
      <w:fldChar w:fldCharType="begin"/>
    </w:r>
    <w:r>
      <w:instrText xml:space="preserve"> REF DocketList</w:instrText>
    </w:r>
    <w:r>
      <w:fldChar w:fldCharType="separate"/>
    </w:r>
    <w:r w:rsidR="00686737">
      <w:t>20180088-EI</w:t>
    </w:r>
    <w:r>
      <w:fldChar w:fldCharType="end"/>
    </w:r>
    <w:r>
      <w:tab/>
      <w:t xml:space="preserve">Issue </w:t>
    </w:r>
    <w:r w:rsidR="00A902FB">
      <w:fldChar w:fldCharType="begin"/>
    </w:r>
    <w:r w:rsidR="00A902FB">
      <w:instrText xml:space="preserve"> Seq Issue \c \* Arabic </w:instrText>
    </w:r>
    <w:r w:rsidR="00A902FB">
      <w:fldChar w:fldCharType="separate"/>
    </w:r>
    <w:r w:rsidR="004F7154">
      <w:rPr>
        <w:noProof/>
      </w:rPr>
      <w:t>2</w:t>
    </w:r>
    <w:r w:rsidR="00A902FB">
      <w:rPr>
        <w:noProof/>
      </w:rPr>
      <w:fldChar w:fldCharType="end"/>
    </w:r>
  </w:p>
  <w:p w:rsidR="00BC402E" w:rsidRDefault="00BC402E">
    <w:pPr>
      <w:pStyle w:val="Header"/>
    </w:pPr>
    <w:r>
      <w:t xml:space="preserve">Date: </w:t>
    </w:r>
    <w:r w:rsidR="00A902FB">
      <w:fldChar w:fldCharType="begin"/>
    </w:r>
    <w:r w:rsidR="00A902FB">
      <w:instrText xml:space="preserve"> REF FilingDate </w:instrText>
    </w:r>
    <w:r w:rsidR="00A902FB">
      <w:fldChar w:fldCharType="separate"/>
    </w:r>
    <w:r w:rsidR="00686737">
      <w:t>July 26, 2018</w:t>
    </w:r>
    <w:r w:rsidR="00A902F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8D0" w:rsidRDefault="00095BD4" w:rsidP="00220732">
    <w:pPr>
      <w:pStyle w:val="Header"/>
      <w:tabs>
        <w:tab w:val="clear" w:pos="4320"/>
        <w:tab w:val="clear" w:pos="8640"/>
        <w:tab w:val="right" w:pos="9360"/>
      </w:tabs>
    </w:pPr>
    <w:r>
      <w:fldChar w:fldCharType="begin"/>
    </w:r>
    <w:r>
      <w:instrText xml:space="preserve"> REF DocketLabel</w:instrText>
    </w:r>
    <w:r>
      <w:fldChar w:fldCharType="separate"/>
    </w:r>
    <w:r w:rsidR="00686737">
      <w:t>Docket No.</w:t>
    </w:r>
    <w:r>
      <w:fldChar w:fldCharType="end"/>
    </w:r>
    <w:r>
      <w:t xml:space="preserve"> </w:t>
    </w:r>
    <w:r>
      <w:fldChar w:fldCharType="begin"/>
    </w:r>
    <w:r>
      <w:instrText xml:space="preserve"> REF DocketList</w:instrText>
    </w:r>
    <w:r>
      <w:fldChar w:fldCharType="separate"/>
    </w:r>
    <w:r w:rsidR="00686737">
      <w:t>20180088-EI</w:t>
    </w:r>
    <w:r>
      <w:fldChar w:fldCharType="end"/>
    </w:r>
    <w:r>
      <w:tab/>
      <w:t>Attachment A</w:t>
    </w:r>
  </w:p>
  <w:p w:rsidR="000A0403" w:rsidRDefault="00095BD4" w:rsidP="00D468D0">
    <w:pPr>
      <w:pStyle w:val="Header"/>
      <w:tabs>
        <w:tab w:val="clear" w:pos="4320"/>
        <w:tab w:val="clear" w:pos="8640"/>
        <w:tab w:val="right" w:pos="9360"/>
      </w:tabs>
    </w:pPr>
    <w:r>
      <w:t xml:space="preserve">Date: </w:t>
    </w:r>
    <w:r w:rsidR="00A902FB">
      <w:fldChar w:fldCharType="begin"/>
    </w:r>
    <w:r w:rsidR="00A902FB">
      <w:instrText xml:space="preserve"> REF FilingDate </w:instrText>
    </w:r>
    <w:r w:rsidR="00A902FB">
      <w:fldChar w:fldCharType="separate"/>
    </w:r>
    <w:r w:rsidR="00686737">
      <w:t>July 26, 2018</w:t>
    </w:r>
    <w:r w:rsidR="00A902FB">
      <w:fldChar w:fldCharType="end"/>
    </w:r>
    <w:r w:rsidR="00D468D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7463B74"/>
    <w:multiLevelType w:val="hybridMultilevel"/>
    <w:tmpl w:val="0ADE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80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F11B0"/>
    <w:rsid w:val="000043D5"/>
    <w:rsid w:val="00006170"/>
    <w:rsid w:val="00010E37"/>
    <w:rsid w:val="000172DA"/>
    <w:rsid w:val="00021A82"/>
    <w:rsid w:val="00022282"/>
    <w:rsid w:val="000247C5"/>
    <w:rsid w:val="000277C2"/>
    <w:rsid w:val="00034C0D"/>
    <w:rsid w:val="00035B48"/>
    <w:rsid w:val="00036CE2"/>
    <w:rsid w:val="0004269A"/>
    <w:rsid w:val="000437FE"/>
    <w:rsid w:val="00047DE6"/>
    <w:rsid w:val="000513BE"/>
    <w:rsid w:val="00065A06"/>
    <w:rsid w:val="000666F3"/>
    <w:rsid w:val="00067059"/>
    <w:rsid w:val="00070DCB"/>
    <w:rsid w:val="00073120"/>
    <w:rsid w:val="000764D0"/>
    <w:rsid w:val="000828D3"/>
    <w:rsid w:val="00095BD4"/>
    <w:rsid w:val="000A0403"/>
    <w:rsid w:val="000A2B57"/>
    <w:rsid w:val="000A418B"/>
    <w:rsid w:val="000B29C7"/>
    <w:rsid w:val="000B358B"/>
    <w:rsid w:val="000B54F4"/>
    <w:rsid w:val="000C4431"/>
    <w:rsid w:val="000D1C06"/>
    <w:rsid w:val="000D2302"/>
    <w:rsid w:val="000D4319"/>
    <w:rsid w:val="000D5434"/>
    <w:rsid w:val="000E1868"/>
    <w:rsid w:val="000F1DF1"/>
    <w:rsid w:val="000F374A"/>
    <w:rsid w:val="000F6E51"/>
    <w:rsid w:val="00106B96"/>
    <w:rsid w:val="001076AF"/>
    <w:rsid w:val="00117C8C"/>
    <w:rsid w:val="00124E2E"/>
    <w:rsid w:val="00125ED4"/>
    <w:rsid w:val="00126F06"/>
    <w:rsid w:val="001305E9"/>
    <w:rsid w:val="001307AF"/>
    <w:rsid w:val="00135687"/>
    <w:rsid w:val="001356FD"/>
    <w:rsid w:val="0013622D"/>
    <w:rsid w:val="00140ED4"/>
    <w:rsid w:val="00142077"/>
    <w:rsid w:val="0015140A"/>
    <w:rsid w:val="00154FFE"/>
    <w:rsid w:val="0015506E"/>
    <w:rsid w:val="00161EE0"/>
    <w:rsid w:val="00163031"/>
    <w:rsid w:val="00171A90"/>
    <w:rsid w:val="00180254"/>
    <w:rsid w:val="00185892"/>
    <w:rsid w:val="00191E1F"/>
    <w:rsid w:val="00192943"/>
    <w:rsid w:val="001A7406"/>
    <w:rsid w:val="001B4FEE"/>
    <w:rsid w:val="001B51C5"/>
    <w:rsid w:val="001B6F3F"/>
    <w:rsid w:val="001C137B"/>
    <w:rsid w:val="001C1D0B"/>
    <w:rsid w:val="001C52B5"/>
    <w:rsid w:val="001C6522"/>
    <w:rsid w:val="001D0D3E"/>
    <w:rsid w:val="001D2678"/>
    <w:rsid w:val="001F2245"/>
    <w:rsid w:val="001F2C63"/>
    <w:rsid w:val="001F48C7"/>
    <w:rsid w:val="001F6335"/>
    <w:rsid w:val="001F6DA1"/>
    <w:rsid w:val="0020086E"/>
    <w:rsid w:val="00202B01"/>
    <w:rsid w:val="002044E6"/>
    <w:rsid w:val="00205C82"/>
    <w:rsid w:val="00205DC2"/>
    <w:rsid w:val="0020794E"/>
    <w:rsid w:val="002103D0"/>
    <w:rsid w:val="00212B17"/>
    <w:rsid w:val="002163B6"/>
    <w:rsid w:val="00217DF7"/>
    <w:rsid w:val="00220732"/>
    <w:rsid w:val="002209C1"/>
    <w:rsid w:val="00221D32"/>
    <w:rsid w:val="0022300D"/>
    <w:rsid w:val="00225C3F"/>
    <w:rsid w:val="00232E27"/>
    <w:rsid w:val="002533A7"/>
    <w:rsid w:val="00262B4F"/>
    <w:rsid w:val="00263D44"/>
    <w:rsid w:val="002702AD"/>
    <w:rsid w:val="00272620"/>
    <w:rsid w:val="0028428F"/>
    <w:rsid w:val="00292D82"/>
    <w:rsid w:val="00292FD5"/>
    <w:rsid w:val="002963CB"/>
    <w:rsid w:val="002A6443"/>
    <w:rsid w:val="002B287A"/>
    <w:rsid w:val="002B63D2"/>
    <w:rsid w:val="002C3061"/>
    <w:rsid w:val="002C42E0"/>
    <w:rsid w:val="002D226D"/>
    <w:rsid w:val="002F2444"/>
    <w:rsid w:val="002F5F7F"/>
    <w:rsid w:val="002F6030"/>
    <w:rsid w:val="003037E1"/>
    <w:rsid w:val="00307E51"/>
    <w:rsid w:val="003103EC"/>
    <w:rsid w:val="003144EF"/>
    <w:rsid w:val="003156CA"/>
    <w:rsid w:val="0031741A"/>
    <w:rsid w:val="00322F74"/>
    <w:rsid w:val="00340073"/>
    <w:rsid w:val="00354EC0"/>
    <w:rsid w:val="003566EE"/>
    <w:rsid w:val="00360F71"/>
    <w:rsid w:val="003632FD"/>
    <w:rsid w:val="003644BD"/>
    <w:rsid w:val="00372805"/>
    <w:rsid w:val="00373180"/>
    <w:rsid w:val="00375AB9"/>
    <w:rsid w:val="003821A0"/>
    <w:rsid w:val="00385B04"/>
    <w:rsid w:val="003864CF"/>
    <w:rsid w:val="003A22A6"/>
    <w:rsid w:val="003A5494"/>
    <w:rsid w:val="003B2510"/>
    <w:rsid w:val="003C2CC4"/>
    <w:rsid w:val="003C3710"/>
    <w:rsid w:val="003C61B1"/>
    <w:rsid w:val="003D4E07"/>
    <w:rsid w:val="003D7126"/>
    <w:rsid w:val="003E0EFC"/>
    <w:rsid w:val="003E4A2B"/>
    <w:rsid w:val="003E76C2"/>
    <w:rsid w:val="003F1679"/>
    <w:rsid w:val="003F1A46"/>
    <w:rsid w:val="003F21EB"/>
    <w:rsid w:val="003F4A35"/>
    <w:rsid w:val="003F7FDD"/>
    <w:rsid w:val="00402481"/>
    <w:rsid w:val="00402F8F"/>
    <w:rsid w:val="004042B4"/>
    <w:rsid w:val="00410DC4"/>
    <w:rsid w:val="00412DAE"/>
    <w:rsid w:val="00414F57"/>
    <w:rsid w:val="004242E6"/>
    <w:rsid w:val="00431598"/>
    <w:rsid w:val="004319AD"/>
    <w:rsid w:val="004364DA"/>
    <w:rsid w:val="004426B8"/>
    <w:rsid w:val="00443D6B"/>
    <w:rsid w:val="00444432"/>
    <w:rsid w:val="004475A7"/>
    <w:rsid w:val="004500E8"/>
    <w:rsid w:val="00453CAD"/>
    <w:rsid w:val="004541F8"/>
    <w:rsid w:val="00461E06"/>
    <w:rsid w:val="00471860"/>
    <w:rsid w:val="00472FB4"/>
    <w:rsid w:val="004956F5"/>
    <w:rsid w:val="004A44B2"/>
    <w:rsid w:val="004A744D"/>
    <w:rsid w:val="004B60BD"/>
    <w:rsid w:val="004C3150"/>
    <w:rsid w:val="004C3641"/>
    <w:rsid w:val="004C4390"/>
    <w:rsid w:val="004C4AF7"/>
    <w:rsid w:val="004C4B2E"/>
    <w:rsid w:val="004D1281"/>
    <w:rsid w:val="004D2881"/>
    <w:rsid w:val="004D385F"/>
    <w:rsid w:val="004D5B39"/>
    <w:rsid w:val="004E330D"/>
    <w:rsid w:val="004E5147"/>
    <w:rsid w:val="004F2789"/>
    <w:rsid w:val="004F5C43"/>
    <w:rsid w:val="004F6321"/>
    <w:rsid w:val="004F7154"/>
    <w:rsid w:val="00504880"/>
    <w:rsid w:val="0050652D"/>
    <w:rsid w:val="00506C03"/>
    <w:rsid w:val="00511A11"/>
    <w:rsid w:val="00516496"/>
    <w:rsid w:val="00520145"/>
    <w:rsid w:val="00521D6E"/>
    <w:rsid w:val="00523B11"/>
    <w:rsid w:val="005255A6"/>
    <w:rsid w:val="0052572A"/>
    <w:rsid w:val="00533171"/>
    <w:rsid w:val="00543CB3"/>
    <w:rsid w:val="005442E4"/>
    <w:rsid w:val="005514AF"/>
    <w:rsid w:val="00560FF0"/>
    <w:rsid w:val="005614BD"/>
    <w:rsid w:val="005644BF"/>
    <w:rsid w:val="00565BFB"/>
    <w:rsid w:val="00565F80"/>
    <w:rsid w:val="005679AA"/>
    <w:rsid w:val="0057154F"/>
    <w:rsid w:val="005734FB"/>
    <w:rsid w:val="00580F69"/>
    <w:rsid w:val="00581CA3"/>
    <w:rsid w:val="00587336"/>
    <w:rsid w:val="00587A44"/>
    <w:rsid w:val="00587EB9"/>
    <w:rsid w:val="005923EA"/>
    <w:rsid w:val="00597730"/>
    <w:rsid w:val="005977EC"/>
    <w:rsid w:val="00597DE7"/>
    <w:rsid w:val="005A4AA2"/>
    <w:rsid w:val="005A4D5B"/>
    <w:rsid w:val="005A576E"/>
    <w:rsid w:val="005A59E3"/>
    <w:rsid w:val="005A64E0"/>
    <w:rsid w:val="005B34B6"/>
    <w:rsid w:val="005B6C8F"/>
    <w:rsid w:val="005B6EC3"/>
    <w:rsid w:val="005C0ABD"/>
    <w:rsid w:val="005D0F74"/>
    <w:rsid w:val="005D2E7D"/>
    <w:rsid w:val="005D3977"/>
    <w:rsid w:val="005D4A8F"/>
    <w:rsid w:val="005D561B"/>
    <w:rsid w:val="005D5ECF"/>
    <w:rsid w:val="005E2CF4"/>
    <w:rsid w:val="005F11B0"/>
    <w:rsid w:val="005F468D"/>
    <w:rsid w:val="005F69A3"/>
    <w:rsid w:val="006028D4"/>
    <w:rsid w:val="00604CC7"/>
    <w:rsid w:val="006148AC"/>
    <w:rsid w:val="00615423"/>
    <w:rsid w:val="006165B2"/>
    <w:rsid w:val="00617276"/>
    <w:rsid w:val="00624CEF"/>
    <w:rsid w:val="0062527B"/>
    <w:rsid w:val="00625D97"/>
    <w:rsid w:val="00625F1C"/>
    <w:rsid w:val="006279E1"/>
    <w:rsid w:val="00630CEB"/>
    <w:rsid w:val="00632264"/>
    <w:rsid w:val="00635DCD"/>
    <w:rsid w:val="006376BB"/>
    <w:rsid w:val="006470BC"/>
    <w:rsid w:val="00653097"/>
    <w:rsid w:val="006554D3"/>
    <w:rsid w:val="00657FD6"/>
    <w:rsid w:val="00660152"/>
    <w:rsid w:val="00667036"/>
    <w:rsid w:val="00673BDB"/>
    <w:rsid w:val="00674341"/>
    <w:rsid w:val="006771B8"/>
    <w:rsid w:val="00681217"/>
    <w:rsid w:val="006843B6"/>
    <w:rsid w:val="0068481F"/>
    <w:rsid w:val="00686737"/>
    <w:rsid w:val="00686A74"/>
    <w:rsid w:val="00696457"/>
    <w:rsid w:val="00696F5D"/>
    <w:rsid w:val="00697249"/>
    <w:rsid w:val="006A1D27"/>
    <w:rsid w:val="006B3947"/>
    <w:rsid w:val="006B4293"/>
    <w:rsid w:val="006B624F"/>
    <w:rsid w:val="006B67F9"/>
    <w:rsid w:val="006C0C95"/>
    <w:rsid w:val="006C101F"/>
    <w:rsid w:val="006C31E3"/>
    <w:rsid w:val="006D18D3"/>
    <w:rsid w:val="006E08CB"/>
    <w:rsid w:val="006E598D"/>
    <w:rsid w:val="00700EA0"/>
    <w:rsid w:val="00701095"/>
    <w:rsid w:val="0070437D"/>
    <w:rsid w:val="00704CF1"/>
    <w:rsid w:val="00705B04"/>
    <w:rsid w:val="00724992"/>
    <w:rsid w:val="007312D6"/>
    <w:rsid w:val="00731F8B"/>
    <w:rsid w:val="00734820"/>
    <w:rsid w:val="007349DC"/>
    <w:rsid w:val="0074365E"/>
    <w:rsid w:val="00744B55"/>
    <w:rsid w:val="007462D0"/>
    <w:rsid w:val="007515FD"/>
    <w:rsid w:val="00760D80"/>
    <w:rsid w:val="0076555D"/>
    <w:rsid w:val="00780C09"/>
    <w:rsid w:val="00780DDF"/>
    <w:rsid w:val="007834E9"/>
    <w:rsid w:val="00787DBC"/>
    <w:rsid w:val="0079019A"/>
    <w:rsid w:val="00792935"/>
    <w:rsid w:val="00795DC8"/>
    <w:rsid w:val="00797FAA"/>
    <w:rsid w:val="007A04A1"/>
    <w:rsid w:val="007A12B6"/>
    <w:rsid w:val="007A1825"/>
    <w:rsid w:val="007A1840"/>
    <w:rsid w:val="007C0528"/>
    <w:rsid w:val="007C3D38"/>
    <w:rsid w:val="007C5DB2"/>
    <w:rsid w:val="007D04C5"/>
    <w:rsid w:val="007D0F35"/>
    <w:rsid w:val="007D1215"/>
    <w:rsid w:val="007D4FEB"/>
    <w:rsid w:val="007D6146"/>
    <w:rsid w:val="007D6191"/>
    <w:rsid w:val="007E0CE7"/>
    <w:rsid w:val="007F1193"/>
    <w:rsid w:val="007F417F"/>
    <w:rsid w:val="007F7644"/>
    <w:rsid w:val="008042BD"/>
    <w:rsid w:val="00816624"/>
    <w:rsid w:val="0082017A"/>
    <w:rsid w:val="00822427"/>
    <w:rsid w:val="00822562"/>
    <w:rsid w:val="00823663"/>
    <w:rsid w:val="00823730"/>
    <w:rsid w:val="00832DDC"/>
    <w:rsid w:val="00850BAC"/>
    <w:rsid w:val="00854A3E"/>
    <w:rsid w:val="00855D08"/>
    <w:rsid w:val="00856C1D"/>
    <w:rsid w:val="008647E1"/>
    <w:rsid w:val="00872448"/>
    <w:rsid w:val="00874344"/>
    <w:rsid w:val="00882155"/>
    <w:rsid w:val="0088233B"/>
    <w:rsid w:val="0088599E"/>
    <w:rsid w:val="00886C37"/>
    <w:rsid w:val="00892D99"/>
    <w:rsid w:val="00893315"/>
    <w:rsid w:val="00897082"/>
    <w:rsid w:val="008A56C1"/>
    <w:rsid w:val="008B0E59"/>
    <w:rsid w:val="008B470E"/>
    <w:rsid w:val="008B62AE"/>
    <w:rsid w:val="008C01CB"/>
    <w:rsid w:val="008C04B5"/>
    <w:rsid w:val="008C14FA"/>
    <w:rsid w:val="008C7B0B"/>
    <w:rsid w:val="008D4057"/>
    <w:rsid w:val="008E1F19"/>
    <w:rsid w:val="008F2262"/>
    <w:rsid w:val="008F4D2B"/>
    <w:rsid w:val="008F7736"/>
    <w:rsid w:val="0090019E"/>
    <w:rsid w:val="00901086"/>
    <w:rsid w:val="009013B7"/>
    <w:rsid w:val="00901C8A"/>
    <w:rsid w:val="00905886"/>
    <w:rsid w:val="00905A22"/>
    <w:rsid w:val="009070D6"/>
    <w:rsid w:val="009076C6"/>
    <w:rsid w:val="0091019E"/>
    <w:rsid w:val="009106F1"/>
    <w:rsid w:val="00910D44"/>
    <w:rsid w:val="00912404"/>
    <w:rsid w:val="009145D6"/>
    <w:rsid w:val="00920354"/>
    <w:rsid w:val="00920E64"/>
    <w:rsid w:val="00922002"/>
    <w:rsid w:val="00924020"/>
    <w:rsid w:val="009271A7"/>
    <w:rsid w:val="0093658B"/>
    <w:rsid w:val="00941529"/>
    <w:rsid w:val="009429FF"/>
    <w:rsid w:val="00945BD6"/>
    <w:rsid w:val="009479FB"/>
    <w:rsid w:val="00951C45"/>
    <w:rsid w:val="00963FED"/>
    <w:rsid w:val="009656F2"/>
    <w:rsid w:val="00965918"/>
    <w:rsid w:val="00966A08"/>
    <w:rsid w:val="0097010C"/>
    <w:rsid w:val="00971207"/>
    <w:rsid w:val="00975CB4"/>
    <w:rsid w:val="0098448D"/>
    <w:rsid w:val="009863B0"/>
    <w:rsid w:val="00987DE1"/>
    <w:rsid w:val="00990571"/>
    <w:rsid w:val="009948BB"/>
    <w:rsid w:val="0099673A"/>
    <w:rsid w:val="009A15DF"/>
    <w:rsid w:val="009A3330"/>
    <w:rsid w:val="009A7C96"/>
    <w:rsid w:val="009C1041"/>
    <w:rsid w:val="009C3DB9"/>
    <w:rsid w:val="009D46E5"/>
    <w:rsid w:val="009D568A"/>
    <w:rsid w:val="009E7191"/>
    <w:rsid w:val="009F04EC"/>
    <w:rsid w:val="009F2083"/>
    <w:rsid w:val="009F2A7C"/>
    <w:rsid w:val="009F3B36"/>
    <w:rsid w:val="00A019B9"/>
    <w:rsid w:val="00A12508"/>
    <w:rsid w:val="00A1271F"/>
    <w:rsid w:val="00A1282B"/>
    <w:rsid w:val="00A13A27"/>
    <w:rsid w:val="00A175B6"/>
    <w:rsid w:val="00A21835"/>
    <w:rsid w:val="00A2374B"/>
    <w:rsid w:val="00A27D6E"/>
    <w:rsid w:val="00A328EC"/>
    <w:rsid w:val="00A33A51"/>
    <w:rsid w:val="00A41CA6"/>
    <w:rsid w:val="00A42926"/>
    <w:rsid w:val="00A47927"/>
    <w:rsid w:val="00A47FFC"/>
    <w:rsid w:val="00A5442F"/>
    <w:rsid w:val="00A54FF9"/>
    <w:rsid w:val="00A5586E"/>
    <w:rsid w:val="00A56765"/>
    <w:rsid w:val="00A64DCD"/>
    <w:rsid w:val="00A675AC"/>
    <w:rsid w:val="00A7581F"/>
    <w:rsid w:val="00A77454"/>
    <w:rsid w:val="00A92FB1"/>
    <w:rsid w:val="00A95A0C"/>
    <w:rsid w:val="00AA2765"/>
    <w:rsid w:val="00AA409A"/>
    <w:rsid w:val="00AA77B5"/>
    <w:rsid w:val="00AA7BB7"/>
    <w:rsid w:val="00AB6AC8"/>
    <w:rsid w:val="00AB6C5D"/>
    <w:rsid w:val="00AC3401"/>
    <w:rsid w:val="00AC4075"/>
    <w:rsid w:val="00AC51A7"/>
    <w:rsid w:val="00AD444B"/>
    <w:rsid w:val="00AD5AE9"/>
    <w:rsid w:val="00AD6C78"/>
    <w:rsid w:val="00AE2EAB"/>
    <w:rsid w:val="00AE78E3"/>
    <w:rsid w:val="00AF52A6"/>
    <w:rsid w:val="00AF5865"/>
    <w:rsid w:val="00AF5F89"/>
    <w:rsid w:val="00AF73CB"/>
    <w:rsid w:val="00B002D6"/>
    <w:rsid w:val="00B03379"/>
    <w:rsid w:val="00B05B51"/>
    <w:rsid w:val="00B11A35"/>
    <w:rsid w:val="00B14E5A"/>
    <w:rsid w:val="00B15370"/>
    <w:rsid w:val="00B15468"/>
    <w:rsid w:val="00B16DA4"/>
    <w:rsid w:val="00B179F8"/>
    <w:rsid w:val="00B17BEB"/>
    <w:rsid w:val="00B21A3C"/>
    <w:rsid w:val="00B21CF0"/>
    <w:rsid w:val="00B223C0"/>
    <w:rsid w:val="00B234ED"/>
    <w:rsid w:val="00B249B2"/>
    <w:rsid w:val="00B25CA3"/>
    <w:rsid w:val="00B2765A"/>
    <w:rsid w:val="00B3109A"/>
    <w:rsid w:val="00B37333"/>
    <w:rsid w:val="00B43893"/>
    <w:rsid w:val="00B4598A"/>
    <w:rsid w:val="00B516ED"/>
    <w:rsid w:val="00B5217A"/>
    <w:rsid w:val="00B53385"/>
    <w:rsid w:val="00B57A6A"/>
    <w:rsid w:val="00B668CA"/>
    <w:rsid w:val="00B760F1"/>
    <w:rsid w:val="00B7669E"/>
    <w:rsid w:val="00B77DA1"/>
    <w:rsid w:val="00B822A0"/>
    <w:rsid w:val="00B84761"/>
    <w:rsid w:val="00B858AE"/>
    <w:rsid w:val="00B85964"/>
    <w:rsid w:val="00B940B9"/>
    <w:rsid w:val="00B94EEC"/>
    <w:rsid w:val="00B96250"/>
    <w:rsid w:val="00BA0D55"/>
    <w:rsid w:val="00BA2AA5"/>
    <w:rsid w:val="00BA37B3"/>
    <w:rsid w:val="00BA4CC6"/>
    <w:rsid w:val="00BB3493"/>
    <w:rsid w:val="00BB7468"/>
    <w:rsid w:val="00BC188A"/>
    <w:rsid w:val="00BC402E"/>
    <w:rsid w:val="00BC56B7"/>
    <w:rsid w:val="00BC7D92"/>
    <w:rsid w:val="00BD0F48"/>
    <w:rsid w:val="00BD15E9"/>
    <w:rsid w:val="00BF116E"/>
    <w:rsid w:val="00BF5010"/>
    <w:rsid w:val="00BF6E9E"/>
    <w:rsid w:val="00C03C8B"/>
    <w:rsid w:val="00C03D5F"/>
    <w:rsid w:val="00C11651"/>
    <w:rsid w:val="00C13791"/>
    <w:rsid w:val="00C314BA"/>
    <w:rsid w:val="00C31BB3"/>
    <w:rsid w:val="00C36977"/>
    <w:rsid w:val="00C467DA"/>
    <w:rsid w:val="00C477D9"/>
    <w:rsid w:val="00C60BA3"/>
    <w:rsid w:val="00C623F1"/>
    <w:rsid w:val="00C623F7"/>
    <w:rsid w:val="00C75BC5"/>
    <w:rsid w:val="00C81670"/>
    <w:rsid w:val="00C81773"/>
    <w:rsid w:val="00C82861"/>
    <w:rsid w:val="00C86896"/>
    <w:rsid w:val="00C86A31"/>
    <w:rsid w:val="00C905A2"/>
    <w:rsid w:val="00C907A8"/>
    <w:rsid w:val="00C93211"/>
    <w:rsid w:val="00C942EC"/>
    <w:rsid w:val="00C948B0"/>
    <w:rsid w:val="00C96047"/>
    <w:rsid w:val="00C979D0"/>
    <w:rsid w:val="00CA0818"/>
    <w:rsid w:val="00CA15C8"/>
    <w:rsid w:val="00CA2C8F"/>
    <w:rsid w:val="00CA30DA"/>
    <w:rsid w:val="00CA3A24"/>
    <w:rsid w:val="00CB08B6"/>
    <w:rsid w:val="00CB1777"/>
    <w:rsid w:val="00CB33E9"/>
    <w:rsid w:val="00CC10A9"/>
    <w:rsid w:val="00CC6206"/>
    <w:rsid w:val="00CE2BF8"/>
    <w:rsid w:val="00CE484E"/>
    <w:rsid w:val="00CE656F"/>
    <w:rsid w:val="00CE6EA7"/>
    <w:rsid w:val="00CF0DA8"/>
    <w:rsid w:val="00CF2E25"/>
    <w:rsid w:val="00CF4453"/>
    <w:rsid w:val="00CF5D94"/>
    <w:rsid w:val="00CF7E0F"/>
    <w:rsid w:val="00D0010D"/>
    <w:rsid w:val="00D034D7"/>
    <w:rsid w:val="00D04729"/>
    <w:rsid w:val="00D04BE4"/>
    <w:rsid w:val="00D06FC7"/>
    <w:rsid w:val="00D12565"/>
    <w:rsid w:val="00D14127"/>
    <w:rsid w:val="00D41B6B"/>
    <w:rsid w:val="00D468D0"/>
    <w:rsid w:val="00D559DD"/>
    <w:rsid w:val="00D60B16"/>
    <w:rsid w:val="00D60F02"/>
    <w:rsid w:val="00D629F9"/>
    <w:rsid w:val="00D66E49"/>
    <w:rsid w:val="00D70D71"/>
    <w:rsid w:val="00D72F74"/>
    <w:rsid w:val="00D744E2"/>
    <w:rsid w:val="00D77C2B"/>
    <w:rsid w:val="00D81563"/>
    <w:rsid w:val="00D85907"/>
    <w:rsid w:val="00D9073E"/>
    <w:rsid w:val="00D9221D"/>
    <w:rsid w:val="00D958DF"/>
    <w:rsid w:val="00D96DA1"/>
    <w:rsid w:val="00DA0BC9"/>
    <w:rsid w:val="00DA51E7"/>
    <w:rsid w:val="00DA696B"/>
    <w:rsid w:val="00DB0260"/>
    <w:rsid w:val="00DB1C78"/>
    <w:rsid w:val="00DB74CB"/>
    <w:rsid w:val="00DB7D96"/>
    <w:rsid w:val="00DC09E3"/>
    <w:rsid w:val="00DC23FE"/>
    <w:rsid w:val="00DC32AA"/>
    <w:rsid w:val="00DC4704"/>
    <w:rsid w:val="00DC545D"/>
    <w:rsid w:val="00DC59E6"/>
    <w:rsid w:val="00DD106D"/>
    <w:rsid w:val="00DD150B"/>
    <w:rsid w:val="00DD4710"/>
    <w:rsid w:val="00DD5025"/>
    <w:rsid w:val="00DF1510"/>
    <w:rsid w:val="00E02F1F"/>
    <w:rsid w:val="00E04C61"/>
    <w:rsid w:val="00E06484"/>
    <w:rsid w:val="00E15436"/>
    <w:rsid w:val="00E20A7D"/>
    <w:rsid w:val="00E275D8"/>
    <w:rsid w:val="00E30CBB"/>
    <w:rsid w:val="00E30F6A"/>
    <w:rsid w:val="00E3117C"/>
    <w:rsid w:val="00E375CA"/>
    <w:rsid w:val="00E45DFC"/>
    <w:rsid w:val="00E52A3A"/>
    <w:rsid w:val="00E567E8"/>
    <w:rsid w:val="00E60C04"/>
    <w:rsid w:val="00E64679"/>
    <w:rsid w:val="00E649ED"/>
    <w:rsid w:val="00E65EBC"/>
    <w:rsid w:val="00E677FE"/>
    <w:rsid w:val="00E73432"/>
    <w:rsid w:val="00E7605F"/>
    <w:rsid w:val="00E77B0C"/>
    <w:rsid w:val="00E77FB8"/>
    <w:rsid w:val="00E838B0"/>
    <w:rsid w:val="00E846D1"/>
    <w:rsid w:val="00E84D5A"/>
    <w:rsid w:val="00E85927"/>
    <w:rsid w:val="00E86A7C"/>
    <w:rsid w:val="00E878E1"/>
    <w:rsid w:val="00E87F2C"/>
    <w:rsid w:val="00E95278"/>
    <w:rsid w:val="00EA2273"/>
    <w:rsid w:val="00EA42C1"/>
    <w:rsid w:val="00EA7C3C"/>
    <w:rsid w:val="00EB2DB3"/>
    <w:rsid w:val="00EB30FA"/>
    <w:rsid w:val="00EB7169"/>
    <w:rsid w:val="00EC3FBB"/>
    <w:rsid w:val="00EC6B7A"/>
    <w:rsid w:val="00ED3929"/>
    <w:rsid w:val="00ED3A87"/>
    <w:rsid w:val="00ED5B67"/>
    <w:rsid w:val="00EE111E"/>
    <w:rsid w:val="00EF134B"/>
    <w:rsid w:val="00EF2017"/>
    <w:rsid w:val="00EF264C"/>
    <w:rsid w:val="00EF3FEE"/>
    <w:rsid w:val="00F04B59"/>
    <w:rsid w:val="00F06A3C"/>
    <w:rsid w:val="00F109E3"/>
    <w:rsid w:val="00F11741"/>
    <w:rsid w:val="00F12B1C"/>
    <w:rsid w:val="00F13CF8"/>
    <w:rsid w:val="00F15855"/>
    <w:rsid w:val="00F32978"/>
    <w:rsid w:val="00F3366B"/>
    <w:rsid w:val="00F4393A"/>
    <w:rsid w:val="00F45CB2"/>
    <w:rsid w:val="00F544C0"/>
    <w:rsid w:val="00F55332"/>
    <w:rsid w:val="00F562F1"/>
    <w:rsid w:val="00F645F9"/>
    <w:rsid w:val="00F6504A"/>
    <w:rsid w:val="00F65519"/>
    <w:rsid w:val="00F65D58"/>
    <w:rsid w:val="00F667B6"/>
    <w:rsid w:val="00F713C0"/>
    <w:rsid w:val="00F75DDC"/>
    <w:rsid w:val="00F7792F"/>
    <w:rsid w:val="00F842AA"/>
    <w:rsid w:val="00F8476F"/>
    <w:rsid w:val="00F853E1"/>
    <w:rsid w:val="00F85604"/>
    <w:rsid w:val="00F94B7A"/>
    <w:rsid w:val="00F96563"/>
    <w:rsid w:val="00FA17AC"/>
    <w:rsid w:val="00FA32DE"/>
    <w:rsid w:val="00FA3382"/>
    <w:rsid w:val="00FA59CD"/>
    <w:rsid w:val="00FB1740"/>
    <w:rsid w:val="00FB1F8A"/>
    <w:rsid w:val="00FB743D"/>
    <w:rsid w:val="00FC0FC0"/>
    <w:rsid w:val="00FC4FBC"/>
    <w:rsid w:val="00FC5469"/>
    <w:rsid w:val="00FC56D4"/>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61E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461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04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222E-439C-484A-A3EB-CAAF5968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2248</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Henry Merryday</dc:creator>
  <cp:lastModifiedBy>Jackie Colson</cp:lastModifiedBy>
  <cp:revision>2</cp:revision>
  <cp:lastPrinted>2018-07-25T18:02:00Z</cp:lastPrinted>
  <dcterms:created xsi:type="dcterms:W3CDTF">2018-07-26T14:39:00Z</dcterms:created>
  <dcterms:modified xsi:type="dcterms:W3CDTF">2018-07-26T14:39:00Z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20180088-EI</vt:lpwstr>
  </property>
  <property fmtid="{D5CDD505-2E9C-101B-9397-08002B2CF9AE}" pid="3" name="MasterDocument">
    <vt:bool>false</vt:bool>
  </property>
</Properties>
</file>