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D3972" w:rsidP="00FD3972">
      <w:pPr>
        <w:pStyle w:val="OrderHeading"/>
      </w:pPr>
      <w:r>
        <w:t>BEFORE THE FLORIDA PUBLIC SERVICE COMMISSION</w:t>
      </w:r>
    </w:p>
    <w:p w:rsidR="00FD3972" w:rsidRDefault="00FD3972" w:rsidP="00FD3972">
      <w:pPr>
        <w:pStyle w:val="OrderBody"/>
      </w:pPr>
    </w:p>
    <w:p w:rsidR="00FD3972" w:rsidRDefault="00FD3972" w:rsidP="00FD397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D3972" w:rsidRPr="00C63FCF" w:rsidTr="00C63FCF">
        <w:trPr>
          <w:trHeight w:val="828"/>
        </w:trPr>
        <w:tc>
          <w:tcPr>
            <w:tcW w:w="4788" w:type="dxa"/>
            <w:tcBorders>
              <w:bottom w:val="single" w:sz="8" w:space="0" w:color="auto"/>
              <w:right w:val="double" w:sz="6" w:space="0" w:color="auto"/>
            </w:tcBorders>
            <w:shd w:val="clear" w:color="auto" w:fill="auto"/>
          </w:tcPr>
          <w:p w:rsidR="00FD3972" w:rsidRDefault="00FD3972" w:rsidP="00C63FCF">
            <w:pPr>
              <w:pStyle w:val="OrderBody"/>
              <w:tabs>
                <w:tab w:val="center" w:pos="4320"/>
                <w:tab w:val="right" w:pos="8640"/>
              </w:tabs>
              <w:jc w:val="left"/>
            </w:pPr>
            <w:r>
              <w:t xml:space="preserve">In re: </w:t>
            </w:r>
            <w:bookmarkStart w:id="0" w:name="SSInRe"/>
            <w:bookmarkEnd w:id="0"/>
            <w:r>
              <w:t>Petition for limited proceeding to approve second solar base rate adjustment (SoBRA), effective January 1, 2019, by Tampa Electric Company.</w:t>
            </w:r>
          </w:p>
        </w:tc>
        <w:tc>
          <w:tcPr>
            <w:tcW w:w="4788" w:type="dxa"/>
            <w:tcBorders>
              <w:left w:val="double" w:sz="6" w:space="0" w:color="auto"/>
            </w:tcBorders>
            <w:shd w:val="clear" w:color="auto" w:fill="auto"/>
          </w:tcPr>
          <w:p w:rsidR="00FD3972" w:rsidRDefault="00FD3972" w:rsidP="00FD3972">
            <w:pPr>
              <w:pStyle w:val="OrderBody"/>
            </w:pPr>
            <w:r>
              <w:t xml:space="preserve">DOCKET NO. </w:t>
            </w:r>
            <w:bookmarkStart w:id="1" w:name="SSDocketNo"/>
            <w:bookmarkEnd w:id="1"/>
            <w:r>
              <w:t>20180133-EI</w:t>
            </w:r>
          </w:p>
          <w:p w:rsidR="00FD3972" w:rsidRDefault="00FD3972" w:rsidP="00C63FCF">
            <w:pPr>
              <w:pStyle w:val="OrderBody"/>
              <w:tabs>
                <w:tab w:val="center" w:pos="4320"/>
                <w:tab w:val="right" w:pos="8640"/>
              </w:tabs>
              <w:jc w:val="left"/>
            </w:pPr>
            <w:r>
              <w:t xml:space="preserve">ORDER NO. </w:t>
            </w:r>
            <w:bookmarkStart w:id="2" w:name="OrderNo0387"/>
            <w:r w:rsidR="007707A9">
              <w:t>PSC-2018-0387-PCO-EI</w:t>
            </w:r>
            <w:bookmarkEnd w:id="2"/>
          </w:p>
          <w:p w:rsidR="00FD3972" w:rsidRDefault="00FD3972" w:rsidP="00C63FCF">
            <w:pPr>
              <w:pStyle w:val="OrderBody"/>
              <w:tabs>
                <w:tab w:val="center" w:pos="4320"/>
                <w:tab w:val="right" w:pos="8640"/>
              </w:tabs>
              <w:jc w:val="left"/>
            </w:pPr>
            <w:r>
              <w:t xml:space="preserve">ISSUED: </w:t>
            </w:r>
            <w:r w:rsidR="007707A9">
              <w:t>August 2, 2018</w:t>
            </w:r>
          </w:p>
        </w:tc>
      </w:tr>
    </w:tbl>
    <w:p w:rsidR="00FD3972" w:rsidRDefault="00FD3972">
      <w:bookmarkStart w:id="3" w:name="Commissioners"/>
      <w:bookmarkEnd w:id="3"/>
    </w:p>
    <w:p w:rsidR="00CB5276" w:rsidRDefault="00CB5276">
      <w:pPr>
        <w:pStyle w:val="OrderBody"/>
      </w:pPr>
    </w:p>
    <w:p w:rsidR="004F7F38" w:rsidRDefault="00FD3972" w:rsidP="00FD3972">
      <w:pPr>
        <w:pStyle w:val="CenterUnderline"/>
      </w:pPr>
      <w:r>
        <w:t>ORDER</w:t>
      </w:r>
      <w:bookmarkStart w:id="4" w:name="OrderTitle"/>
      <w:r>
        <w:t xml:space="preserve"> GRANTING INTERVENTION</w:t>
      </w:r>
      <w:r w:rsidR="004F7F38">
        <w:t xml:space="preserve"> TO</w:t>
      </w:r>
    </w:p>
    <w:p w:rsidR="00FD3972" w:rsidRDefault="004F7F38" w:rsidP="00FD3972">
      <w:pPr>
        <w:pStyle w:val="CenterUnderline"/>
      </w:pPr>
      <w:r>
        <w:t>FLORIDA INDUSTRIAL POWER USERS GROUP</w:t>
      </w:r>
      <w:r w:rsidR="00FD3972">
        <w:t xml:space="preserve"> </w:t>
      </w:r>
      <w:bookmarkEnd w:id="4"/>
    </w:p>
    <w:p w:rsidR="00FD3972" w:rsidRDefault="00FD3972" w:rsidP="00FD3972">
      <w:pPr>
        <w:pStyle w:val="OrderBody"/>
      </w:pPr>
    </w:p>
    <w:p w:rsidR="00DD0E06" w:rsidRDefault="00DD0E06" w:rsidP="005C0EE6">
      <w:pPr>
        <w:ind w:firstLine="720"/>
        <w:jc w:val="both"/>
      </w:pPr>
      <w:bookmarkStart w:id="5" w:name="OrderText"/>
      <w:bookmarkEnd w:id="5"/>
      <w:r>
        <w:t>In 2017, the Commission approved Tampa Electric Company’s (TECO) 2017 Amended</w:t>
      </w:r>
    </w:p>
    <w:p w:rsidR="00DD0E06" w:rsidRDefault="00DD0E06" w:rsidP="005C0EE6">
      <w:pPr>
        <w:jc w:val="both"/>
      </w:pPr>
      <w:r>
        <w:t>and Restated Stipulation and Settlement Agreement (2017 Settlement Agreement) that included a</w:t>
      </w:r>
    </w:p>
    <w:p w:rsidR="00DD0E06" w:rsidRDefault="00DD0E06" w:rsidP="005C0EE6">
      <w:pPr>
        <w:jc w:val="both"/>
      </w:pPr>
      <w:r>
        <w:t>Solar Base Rate Adjustment (SoBRA) mechanism which provides for the recovery of costs</w:t>
      </w:r>
      <w:r w:rsidR="005C0EE6">
        <w:t xml:space="preserve"> </w:t>
      </w:r>
      <w:r>
        <w:t>associated with solar projects that meet the criteria laid out in the 2017 Settlement Agreement.</w:t>
      </w:r>
      <w:r>
        <w:rPr>
          <w:rStyle w:val="FootnoteReference"/>
        </w:rPr>
        <w:footnoteReference w:id="1"/>
      </w:r>
      <w:r>
        <w:t xml:space="preserve">  As contemplated in the 2017 Settlement Agreement, on June 29, 2018, TECO filed its Petition for Limited Proceeding to Approve Second SoBRA.</w:t>
      </w:r>
      <w:r w:rsidR="001A12BD" w:rsidRPr="001A12BD">
        <w:t xml:space="preserve"> </w:t>
      </w:r>
      <w:r w:rsidR="001A12BD">
        <w:t xml:space="preserve">By motion dated July 10, 2018, </w:t>
      </w:r>
      <w:r w:rsidR="001A12BD" w:rsidRPr="00EB5771">
        <w:t xml:space="preserve">the </w:t>
      </w:r>
      <w:r w:rsidR="001A12BD">
        <w:t>Florida Industrial Power Users Group</w:t>
      </w:r>
      <w:r w:rsidR="001A12BD" w:rsidRPr="00EB5771">
        <w:t xml:space="preserve"> (</w:t>
      </w:r>
      <w:r w:rsidR="001A12BD">
        <w:t>FIPUG</w:t>
      </w:r>
      <w:r w:rsidR="001A12BD" w:rsidRPr="00EB5771">
        <w:t>) requested permission to intervene in this proceeding.</w:t>
      </w:r>
      <w:r>
        <w:t xml:space="preserve"> This docket is scheduled for hearing on October 9, 2018.</w:t>
      </w:r>
    </w:p>
    <w:p w:rsidR="00F370AE" w:rsidRDefault="00F370AE" w:rsidP="0039319E">
      <w:pPr>
        <w:jc w:val="both"/>
      </w:pPr>
    </w:p>
    <w:p w:rsidR="0039319E" w:rsidRPr="00173CF1" w:rsidRDefault="0039319E" w:rsidP="0039319E">
      <w:pPr>
        <w:jc w:val="both"/>
        <w:rPr>
          <w:u w:val="single"/>
        </w:rPr>
      </w:pPr>
      <w:r w:rsidRPr="00173CF1">
        <w:rPr>
          <w:u w:val="single"/>
        </w:rPr>
        <w:t>Petition for Intervention</w:t>
      </w:r>
    </w:p>
    <w:p w:rsidR="0039319E" w:rsidRDefault="0039319E" w:rsidP="0039319E">
      <w:pPr>
        <w:jc w:val="both"/>
      </w:pPr>
    </w:p>
    <w:p w:rsidR="0039319E" w:rsidRPr="0013493E" w:rsidRDefault="0039319E" w:rsidP="00DD0E06">
      <w:pPr>
        <w:pStyle w:val="Default"/>
        <w:ind w:firstLine="720"/>
        <w:jc w:val="both"/>
        <w:rPr>
          <w:color w:val="FF0000"/>
        </w:rPr>
      </w:pPr>
      <w:r>
        <w:t xml:space="preserve">  </w:t>
      </w:r>
      <w:r w:rsidR="00BD3C3E">
        <w:rPr>
          <w:sz w:val="23"/>
          <w:szCs w:val="23"/>
        </w:rPr>
        <w:t xml:space="preserve">FIPUG </w:t>
      </w:r>
      <w:r w:rsidR="00395947">
        <w:rPr>
          <w:sz w:val="23"/>
          <w:szCs w:val="23"/>
        </w:rPr>
        <w:t xml:space="preserve">states that it is </w:t>
      </w:r>
      <w:r w:rsidR="00BD3C3E">
        <w:rPr>
          <w:sz w:val="23"/>
          <w:szCs w:val="23"/>
        </w:rPr>
        <w:t>an ad hoc association consisting of industrial users of electricity in Florida</w:t>
      </w:r>
      <w:r w:rsidR="00395947">
        <w:rPr>
          <w:sz w:val="23"/>
          <w:szCs w:val="23"/>
        </w:rPr>
        <w:t>, many of whom receive electricity from TECO</w:t>
      </w:r>
      <w:r w:rsidR="00BD3C3E">
        <w:rPr>
          <w:sz w:val="23"/>
          <w:szCs w:val="23"/>
        </w:rPr>
        <w:t>.</w:t>
      </w:r>
      <w:r w:rsidR="00166466">
        <w:rPr>
          <w:sz w:val="23"/>
          <w:szCs w:val="23"/>
        </w:rPr>
        <w:t xml:space="preserve"> </w:t>
      </w:r>
      <w:r w:rsidR="00395947">
        <w:rPr>
          <w:sz w:val="23"/>
          <w:szCs w:val="23"/>
        </w:rPr>
        <w:t xml:space="preserve">FIPUG asserts that the </w:t>
      </w:r>
      <w:r w:rsidR="00BD3C3E">
        <w:rPr>
          <w:sz w:val="23"/>
          <w:szCs w:val="23"/>
        </w:rPr>
        <w:t>cost of electricity constitutes a significant portion of FIPUG</w:t>
      </w:r>
      <w:r w:rsidR="00DD0E06">
        <w:rPr>
          <w:sz w:val="23"/>
          <w:szCs w:val="23"/>
        </w:rPr>
        <w:t>’s</w:t>
      </w:r>
      <w:r w:rsidR="00BD3C3E">
        <w:rPr>
          <w:sz w:val="23"/>
          <w:szCs w:val="23"/>
        </w:rPr>
        <w:t xml:space="preserve"> members' overall costs of production</w:t>
      </w:r>
      <w:r w:rsidR="00395947">
        <w:rPr>
          <w:sz w:val="23"/>
          <w:szCs w:val="23"/>
        </w:rPr>
        <w:t xml:space="preserve"> and that its</w:t>
      </w:r>
      <w:r w:rsidR="00BD3C3E">
        <w:rPr>
          <w:sz w:val="23"/>
          <w:szCs w:val="23"/>
        </w:rPr>
        <w:t xml:space="preserve"> members require adequate, reasonably-priced electricity in order to compete in their respective markets. In this case, the Commission will consider TECO’s request to recover </w:t>
      </w:r>
      <w:r w:rsidR="000B05A5">
        <w:rPr>
          <w:sz w:val="23"/>
          <w:szCs w:val="23"/>
        </w:rPr>
        <w:t>the costs</w:t>
      </w:r>
      <w:r w:rsidR="00BD3C3E">
        <w:rPr>
          <w:sz w:val="23"/>
          <w:szCs w:val="23"/>
        </w:rPr>
        <w:t xml:space="preserve"> for certain solar power facilities. These </w:t>
      </w:r>
      <w:r w:rsidR="001A12BD">
        <w:rPr>
          <w:sz w:val="23"/>
          <w:szCs w:val="23"/>
        </w:rPr>
        <w:t>cost recover</w:t>
      </w:r>
      <w:r w:rsidR="0089246B">
        <w:rPr>
          <w:sz w:val="23"/>
          <w:szCs w:val="23"/>
        </w:rPr>
        <w:t>ies</w:t>
      </w:r>
      <w:r w:rsidR="001A12BD">
        <w:rPr>
          <w:sz w:val="23"/>
          <w:szCs w:val="23"/>
        </w:rPr>
        <w:t xml:space="preserve"> </w:t>
      </w:r>
      <w:r w:rsidR="0089246B">
        <w:rPr>
          <w:sz w:val="23"/>
          <w:szCs w:val="23"/>
        </w:rPr>
        <w:t xml:space="preserve">sought </w:t>
      </w:r>
      <w:r w:rsidR="001A12BD">
        <w:rPr>
          <w:sz w:val="23"/>
          <w:szCs w:val="23"/>
        </w:rPr>
        <w:t>by TECO</w:t>
      </w:r>
      <w:r w:rsidR="00BD3C3E">
        <w:rPr>
          <w:sz w:val="23"/>
          <w:szCs w:val="23"/>
        </w:rPr>
        <w:t>, if approved, will be recovered from TECO’s customers, including FIPUG</w:t>
      </w:r>
      <w:r w:rsidR="00DD0E06">
        <w:rPr>
          <w:sz w:val="23"/>
          <w:szCs w:val="23"/>
        </w:rPr>
        <w:t>’s</w:t>
      </w:r>
      <w:r w:rsidR="00BD3C3E">
        <w:rPr>
          <w:sz w:val="23"/>
          <w:szCs w:val="23"/>
        </w:rPr>
        <w:t xml:space="preserve"> members. FIPUG,  </w:t>
      </w:r>
      <w:r w:rsidR="00BD3C3E" w:rsidRPr="0009541B">
        <w:t>citing</w:t>
      </w:r>
      <w:r w:rsidR="00BD3C3E" w:rsidRPr="0009541B">
        <w:rPr>
          <w:i/>
          <w:iCs/>
        </w:rPr>
        <w:t xml:space="preserve"> </w:t>
      </w:r>
      <w:r w:rsidR="00BD3C3E" w:rsidRPr="0009541B">
        <w:rPr>
          <w:iCs/>
          <w:u w:val="single"/>
        </w:rPr>
        <w:t>Agrico Chemical Company v. Department of Environmental Regulation (Agrico)</w:t>
      </w:r>
      <w:r w:rsidR="00BD3C3E" w:rsidRPr="0009541B">
        <w:rPr>
          <w:iCs/>
        </w:rPr>
        <w:t>,</w:t>
      </w:r>
      <w:r w:rsidR="00BD3C3E" w:rsidRPr="0009541B">
        <w:t xml:space="preserve"> 406 So. 2d 478 (Fla. 2d DCA 1981)</w:t>
      </w:r>
      <w:r w:rsidR="00BD3C3E">
        <w:t>, a</w:t>
      </w:r>
      <w:r w:rsidR="00BD3C3E">
        <w:rPr>
          <w:sz w:val="23"/>
          <w:szCs w:val="23"/>
        </w:rPr>
        <w:t xml:space="preserve">sserts that its interests are of the type that this proceeding is designed to protect. The purpose of the proceeding is to evaluate TECO’s request to recover </w:t>
      </w:r>
      <w:r w:rsidR="00916CBF">
        <w:rPr>
          <w:sz w:val="23"/>
          <w:szCs w:val="23"/>
        </w:rPr>
        <w:t>costs</w:t>
      </w:r>
      <w:r w:rsidR="00BD3C3E">
        <w:rPr>
          <w:sz w:val="23"/>
          <w:szCs w:val="23"/>
        </w:rPr>
        <w:t xml:space="preserve"> for certain solar power facilities. Thus, the purpose of the proceeding coincides with FIPUG's substantial interests, which is to ensure that its members are charged fair, just and reasonable rates for power. There are no objections raised or filed in opposition to FIPUG’s intervention.  </w:t>
      </w:r>
    </w:p>
    <w:p w:rsidR="0039319E" w:rsidRDefault="0039319E" w:rsidP="0039319E">
      <w:pPr>
        <w:jc w:val="both"/>
      </w:pPr>
    </w:p>
    <w:p w:rsidR="0039319E" w:rsidRPr="00173CF1" w:rsidRDefault="0039319E" w:rsidP="0039319E">
      <w:pPr>
        <w:jc w:val="both"/>
        <w:rPr>
          <w:u w:val="single"/>
        </w:rPr>
      </w:pPr>
      <w:r w:rsidRPr="00173CF1">
        <w:rPr>
          <w:u w:val="single"/>
        </w:rPr>
        <w:t>Standards for Intervention</w:t>
      </w:r>
    </w:p>
    <w:p w:rsidR="0039319E" w:rsidRDefault="0039319E" w:rsidP="0039319E">
      <w:pPr>
        <w:jc w:val="both"/>
      </w:pPr>
    </w:p>
    <w:p w:rsidR="0039319E" w:rsidRDefault="0039319E" w:rsidP="0039319E">
      <w:pPr>
        <w:ind w:firstLine="720"/>
        <w:jc w:val="both"/>
      </w:pPr>
      <w:r>
        <w:t xml:space="preserve">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w:t>
      </w:r>
      <w:r>
        <w:lastRenderedPageBreak/>
        <w:t>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DD0E06" w:rsidRDefault="00DD0E06" w:rsidP="0039319E">
      <w:pPr>
        <w:ind w:firstLine="720"/>
        <w:jc w:val="both"/>
      </w:pPr>
    </w:p>
    <w:p w:rsidR="0039319E" w:rsidRDefault="0039319E" w:rsidP="0039319E">
      <w:pPr>
        <w:ind w:firstLine="720"/>
        <w:jc w:val="both"/>
      </w:pPr>
      <w:r>
        <w:t xml:space="preserve">To have standing, </w:t>
      </w:r>
      <w:r w:rsidR="00916CBF">
        <w:t>an associational</w:t>
      </w:r>
      <w:r>
        <w:t xml:space="preserve"> intervenor must meet the three-prong standing test set forth in </w:t>
      </w:r>
      <w:r>
        <w:rPr>
          <w:u w:val="single"/>
        </w:rPr>
        <w:t>Florida Home Builders v. Dept. of Labor and Employment Security</w:t>
      </w:r>
      <w:r>
        <w:t xml:space="preserve">, 412 So. 2d 351 (Fla. 1982), and </w:t>
      </w:r>
      <w:r>
        <w:rPr>
          <w:u w:val="single"/>
        </w:rPr>
        <w:t>Farmworker Rights Organization, Inc. v. Dept. of Health and Rehabilitative Services</w:t>
      </w:r>
      <w:r>
        <w:t xml:space="preserve">, 417 So. 2d 753 (Fla. 1st DCA 1982), which is based on the basic standing principles established in </w:t>
      </w:r>
      <w:r>
        <w:rPr>
          <w:u w:val="single"/>
        </w:rPr>
        <w:t>Agrico Chemical Company v. Department of Environmental Regulation</w:t>
      </w:r>
      <w:r>
        <w:t>, 406 So. 2d 478 (Fla. 2d DCA 1981).</w:t>
      </w:r>
      <w:r>
        <w:rPr>
          <w:rStyle w:val="FootnoteReference"/>
        </w:rPr>
        <w:footnoteReference w:id="2"/>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796E97" w:rsidRDefault="00796E97" w:rsidP="00796E97">
      <w:pPr>
        <w:jc w:val="both"/>
      </w:pPr>
    </w:p>
    <w:p w:rsidR="00796E97" w:rsidRDefault="00796E97" w:rsidP="00796E97">
      <w:pPr>
        <w:jc w:val="both"/>
        <w:rPr>
          <w:u w:val="single"/>
        </w:rPr>
      </w:pPr>
      <w:r>
        <w:rPr>
          <w:u w:val="single"/>
        </w:rPr>
        <w:t>Conclusion</w:t>
      </w:r>
    </w:p>
    <w:p w:rsidR="00796E97" w:rsidRPr="00796E97" w:rsidRDefault="00796E97" w:rsidP="00796E97">
      <w:pPr>
        <w:jc w:val="both"/>
        <w:rPr>
          <w:u w:val="single"/>
        </w:rPr>
      </w:pPr>
    </w:p>
    <w:p w:rsidR="00DD0E06" w:rsidRDefault="00A12432" w:rsidP="0039319E">
      <w:pPr>
        <w:ind w:firstLine="720"/>
        <w:jc w:val="both"/>
      </w:pPr>
      <w:r>
        <w:t>I</w:t>
      </w:r>
      <w:r w:rsidR="00796E97">
        <w:t xml:space="preserve"> agree </w:t>
      </w:r>
      <w:r>
        <w:t>t</w:t>
      </w:r>
      <w:r w:rsidR="00796E97">
        <w:t xml:space="preserve">hat </w:t>
      </w:r>
      <w:r>
        <w:t xml:space="preserve">FIPUG’s </w:t>
      </w:r>
      <w:r w:rsidR="00796E97">
        <w:t xml:space="preserve">intervention in this docket to evaluate TECO’s request to recover </w:t>
      </w:r>
      <w:r w:rsidR="00916CBF">
        <w:t>costs</w:t>
      </w:r>
      <w:r w:rsidR="00796E97">
        <w:t xml:space="preserve"> for certain solar power facilities falls within the scope of interests that this proceeding is designed to protect and that the purpose </w:t>
      </w:r>
      <w:r>
        <w:t xml:space="preserve">of the proceeding </w:t>
      </w:r>
      <w:r w:rsidR="00796E97">
        <w:t>coincides with FIPUG’s substantial interests. FIPUG’s petition to intervene in this docket</w:t>
      </w:r>
      <w:r>
        <w:t xml:space="preserve"> is granted</w:t>
      </w:r>
      <w:r w:rsidR="00796E97">
        <w:t>.</w:t>
      </w:r>
    </w:p>
    <w:p w:rsidR="0039319E" w:rsidRDefault="0039319E" w:rsidP="0039319E">
      <w:pPr>
        <w:ind w:firstLine="720"/>
        <w:jc w:val="both"/>
      </w:pPr>
    </w:p>
    <w:p w:rsidR="0039319E" w:rsidRPr="00826D5E" w:rsidRDefault="0039319E" w:rsidP="0039319E">
      <w:pPr>
        <w:jc w:val="both"/>
      </w:pPr>
      <w:r w:rsidRPr="00826D5E">
        <w:tab/>
      </w:r>
      <w:r>
        <w:t>Based on the above representations,</w:t>
      </w:r>
      <w:r w:rsidRPr="00826D5E">
        <w:t xml:space="preserve"> it is</w:t>
      </w:r>
    </w:p>
    <w:p w:rsidR="0039319E" w:rsidRPr="00826D5E" w:rsidRDefault="0039319E" w:rsidP="0039319E">
      <w:pPr>
        <w:jc w:val="both"/>
      </w:pPr>
    </w:p>
    <w:p w:rsidR="0039319E" w:rsidRDefault="0039319E" w:rsidP="0039319E">
      <w:pPr>
        <w:ind w:firstLine="720"/>
        <w:jc w:val="both"/>
      </w:pPr>
      <w:r>
        <w:t>ORDERED by Commissioner D</w:t>
      </w:r>
      <w:r w:rsidR="005C0EE6">
        <w:t xml:space="preserve">onald </w:t>
      </w:r>
      <w:r>
        <w:t>J. P</w:t>
      </w:r>
      <w:r w:rsidR="005C0EE6">
        <w:t>o</w:t>
      </w:r>
      <w:r w:rsidR="00916CBF">
        <w:t>l</w:t>
      </w:r>
      <w:r w:rsidR="005C0EE6">
        <w:t>mann</w:t>
      </w:r>
      <w:r>
        <w:t xml:space="preserve">, as Prehearing Officer, that the </w:t>
      </w:r>
      <w:r w:rsidR="00FB1162">
        <w:t>Petition</w:t>
      </w:r>
      <w:r w:rsidR="00803426">
        <w:t xml:space="preserve"> to Intervene filed by </w:t>
      </w:r>
      <w:r w:rsidR="0013493E">
        <w:t>Florida Industrial Power Users Group</w:t>
      </w:r>
      <w:r>
        <w:t xml:space="preserve"> is hereby granted as set forth in the  body of this Order. It is further</w:t>
      </w:r>
    </w:p>
    <w:p w:rsidR="0039319E" w:rsidRDefault="0039319E" w:rsidP="0039319E">
      <w:pPr>
        <w:ind w:firstLine="720"/>
        <w:jc w:val="both"/>
      </w:pPr>
    </w:p>
    <w:p w:rsidR="0039319E" w:rsidRDefault="0039319E" w:rsidP="0039319E">
      <w:pPr>
        <w:ind w:firstLine="720"/>
        <w:jc w:val="both"/>
      </w:pPr>
      <w:r>
        <w:t xml:space="preserve">ORDERED that </w:t>
      </w:r>
      <w:r w:rsidR="00FB1162">
        <w:t>FIPUG</w:t>
      </w:r>
      <w:r>
        <w:t xml:space="preserve"> takes the case as it finds it. It is further </w:t>
      </w:r>
    </w:p>
    <w:p w:rsidR="0039319E" w:rsidRDefault="0039319E" w:rsidP="0039319E">
      <w:pPr>
        <w:ind w:firstLine="720"/>
        <w:jc w:val="both"/>
      </w:pPr>
    </w:p>
    <w:p w:rsidR="0039319E" w:rsidRDefault="0039319E" w:rsidP="0039319E">
      <w:pPr>
        <w:ind w:firstLine="720"/>
        <w:jc w:val="both"/>
      </w:pPr>
      <w:r>
        <w:t>ORDERED that all parties to this proceeding shall furnish copies of all testimony, exhibits, pleadings, and other documents which may hereinafter be filed in this proceeding to:</w:t>
      </w:r>
    </w:p>
    <w:p w:rsidR="0013493E" w:rsidRDefault="0013493E" w:rsidP="0039319E">
      <w:pPr>
        <w:ind w:firstLine="720"/>
        <w:jc w:val="both"/>
      </w:pPr>
    </w:p>
    <w:p w:rsidR="00796E97" w:rsidRDefault="00796E97" w:rsidP="0039319E">
      <w:pPr>
        <w:ind w:firstLine="720"/>
        <w:jc w:val="both"/>
      </w:pPr>
    </w:p>
    <w:p w:rsidR="00796E97" w:rsidRDefault="00796E97" w:rsidP="0039319E">
      <w:pPr>
        <w:ind w:firstLine="720"/>
        <w:jc w:val="both"/>
      </w:pPr>
    </w:p>
    <w:p w:rsidR="00796E97" w:rsidRDefault="00796E97" w:rsidP="0039319E">
      <w:pPr>
        <w:ind w:firstLine="720"/>
        <w:jc w:val="both"/>
      </w:pPr>
    </w:p>
    <w:p w:rsidR="0039319E" w:rsidRDefault="00803426" w:rsidP="0039319E">
      <w:pPr>
        <w:ind w:firstLine="720"/>
        <w:jc w:val="both"/>
      </w:pPr>
      <w:r>
        <w:lastRenderedPageBreak/>
        <w:t xml:space="preserve">Jon C. Moyle, Jr. </w:t>
      </w:r>
    </w:p>
    <w:p w:rsidR="00803426" w:rsidRDefault="00803426" w:rsidP="0039319E">
      <w:pPr>
        <w:ind w:firstLine="720"/>
        <w:jc w:val="both"/>
      </w:pPr>
      <w:r>
        <w:t xml:space="preserve">Karen A. Putnal </w:t>
      </w:r>
    </w:p>
    <w:p w:rsidR="00803426" w:rsidRDefault="00803426" w:rsidP="0039319E">
      <w:pPr>
        <w:ind w:firstLine="720"/>
        <w:jc w:val="both"/>
      </w:pPr>
      <w:r>
        <w:t>Moyle Law Firm, P.A.</w:t>
      </w:r>
      <w:r w:rsidR="005C0EE6">
        <w:t>,</w:t>
      </w:r>
      <w:r>
        <w:t xml:space="preserve"> </w:t>
      </w:r>
    </w:p>
    <w:p w:rsidR="00803426" w:rsidRDefault="00803426" w:rsidP="0039319E">
      <w:pPr>
        <w:ind w:firstLine="720"/>
        <w:jc w:val="both"/>
      </w:pPr>
      <w:r>
        <w:t>118 North Gadsden St.</w:t>
      </w:r>
      <w:r w:rsidR="005C0EE6">
        <w:t xml:space="preserve"> #100</w:t>
      </w:r>
      <w:r>
        <w:t xml:space="preserve"> </w:t>
      </w:r>
    </w:p>
    <w:p w:rsidR="00803426" w:rsidRDefault="00803426" w:rsidP="0039319E">
      <w:pPr>
        <w:ind w:firstLine="720"/>
        <w:jc w:val="both"/>
      </w:pPr>
      <w:r>
        <w:t>Tallahassee, FL 32301</w:t>
      </w:r>
    </w:p>
    <w:p w:rsidR="00803426" w:rsidRDefault="00803426" w:rsidP="0039319E">
      <w:pPr>
        <w:ind w:firstLine="720"/>
        <w:jc w:val="both"/>
      </w:pPr>
      <w:r>
        <w:t>Telephone: (850) 681-3828</w:t>
      </w:r>
    </w:p>
    <w:p w:rsidR="00803426" w:rsidRDefault="00803426" w:rsidP="0039319E">
      <w:pPr>
        <w:ind w:firstLine="720"/>
        <w:jc w:val="both"/>
      </w:pPr>
      <w:r>
        <w:t>Facsimile:  (850) 681-8788</w:t>
      </w:r>
    </w:p>
    <w:p w:rsidR="00803426" w:rsidRDefault="007707A9" w:rsidP="0039319E">
      <w:pPr>
        <w:ind w:firstLine="720"/>
        <w:jc w:val="both"/>
      </w:pPr>
      <w:hyperlink r:id="rId7" w:history="1">
        <w:r w:rsidR="00803426" w:rsidRPr="00AC613E">
          <w:rPr>
            <w:rStyle w:val="Hyperlink"/>
          </w:rPr>
          <w:t>jmoyle@moylelaw.com</w:t>
        </w:r>
      </w:hyperlink>
      <w:r w:rsidR="00803426">
        <w:t xml:space="preserve"> </w:t>
      </w:r>
    </w:p>
    <w:p w:rsidR="0013493E" w:rsidRDefault="007707A9" w:rsidP="0013493E">
      <w:pPr>
        <w:ind w:firstLine="720"/>
        <w:jc w:val="both"/>
      </w:pPr>
      <w:hyperlink r:id="rId8" w:history="1">
        <w:r w:rsidR="00803426" w:rsidRPr="00AC613E">
          <w:rPr>
            <w:rStyle w:val="Hyperlink"/>
          </w:rPr>
          <w:t>kputnal@moylelaw.com</w:t>
        </w:r>
      </w:hyperlink>
      <w:r w:rsidR="00803426">
        <w:t xml:space="preserve"> </w:t>
      </w:r>
    </w:p>
    <w:p w:rsidR="0013493E" w:rsidRDefault="0013493E" w:rsidP="0013493E">
      <w:pPr>
        <w:ind w:firstLine="720"/>
        <w:jc w:val="both"/>
      </w:pPr>
    </w:p>
    <w:p w:rsidR="00FB1162" w:rsidRDefault="00FB1162" w:rsidP="007707A9">
      <w:pPr>
        <w:ind w:firstLine="720"/>
        <w:jc w:val="both"/>
      </w:pPr>
      <w:r>
        <w:t xml:space="preserve">By ORDER of Commissioner Donald J. Polmann, as Prehearing Officer, this </w:t>
      </w:r>
      <w:bookmarkStart w:id="6" w:name="replaceDate"/>
      <w:bookmarkEnd w:id="6"/>
      <w:r w:rsidR="007707A9">
        <w:rPr>
          <w:u w:val="single"/>
        </w:rPr>
        <w:t>2nd</w:t>
      </w:r>
      <w:r w:rsidR="007707A9">
        <w:t xml:space="preserve"> day of </w:t>
      </w:r>
      <w:r w:rsidR="007707A9">
        <w:rPr>
          <w:u w:val="single"/>
        </w:rPr>
        <w:t>August</w:t>
      </w:r>
      <w:r w:rsidR="007707A9">
        <w:t xml:space="preserve">, </w:t>
      </w:r>
      <w:r w:rsidR="007707A9">
        <w:rPr>
          <w:u w:val="single"/>
        </w:rPr>
        <w:t>2018</w:t>
      </w:r>
      <w:r w:rsidR="007707A9">
        <w:t>.</w:t>
      </w:r>
    </w:p>
    <w:p w:rsidR="007707A9" w:rsidRPr="007707A9" w:rsidRDefault="007707A9" w:rsidP="007707A9">
      <w:pPr>
        <w:ind w:firstLine="720"/>
        <w:jc w:val="both"/>
      </w:pPr>
    </w:p>
    <w:p w:rsidR="0013493E" w:rsidRDefault="0013493E" w:rsidP="0013493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3493E" w:rsidTr="00FB3F20">
        <w:tc>
          <w:tcPr>
            <w:tcW w:w="720" w:type="dxa"/>
            <w:shd w:val="clear" w:color="auto" w:fill="auto"/>
          </w:tcPr>
          <w:p w:rsidR="0013493E" w:rsidRDefault="0013493E" w:rsidP="00FB3F20">
            <w:pPr>
              <w:keepNext/>
              <w:keepLines/>
              <w:jc w:val="both"/>
            </w:pPr>
            <w:bookmarkStart w:id="7" w:name="bkmrkSignature" w:colFirst="0" w:colLast="0"/>
          </w:p>
        </w:tc>
        <w:tc>
          <w:tcPr>
            <w:tcW w:w="4320" w:type="dxa"/>
            <w:tcBorders>
              <w:bottom w:val="single" w:sz="4" w:space="0" w:color="auto"/>
            </w:tcBorders>
            <w:shd w:val="clear" w:color="auto" w:fill="auto"/>
          </w:tcPr>
          <w:p w:rsidR="0013493E" w:rsidRDefault="007707A9" w:rsidP="00FB3F20">
            <w:pPr>
              <w:keepNext/>
              <w:keepLines/>
              <w:jc w:val="both"/>
            </w:pPr>
            <w:r>
              <w:t>/s/ Donald J. Polmann, Ph.D., P.E.</w:t>
            </w:r>
            <w:bookmarkStart w:id="8" w:name="_GoBack"/>
            <w:bookmarkEnd w:id="8"/>
          </w:p>
        </w:tc>
      </w:tr>
      <w:bookmarkEnd w:id="7"/>
      <w:tr w:rsidR="0013493E" w:rsidTr="00FB3F20">
        <w:tc>
          <w:tcPr>
            <w:tcW w:w="720" w:type="dxa"/>
            <w:shd w:val="clear" w:color="auto" w:fill="auto"/>
          </w:tcPr>
          <w:p w:rsidR="0013493E" w:rsidRDefault="0013493E" w:rsidP="00FB3F20">
            <w:pPr>
              <w:keepNext/>
              <w:keepLines/>
              <w:jc w:val="both"/>
            </w:pPr>
          </w:p>
        </w:tc>
        <w:tc>
          <w:tcPr>
            <w:tcW w:w="4320" w:type="dxa"/>
            <w:tcBorders>
              <w:top w:val="single" w:sz="4" w:space="0" w:color="auto"/>
            </w:tcBorders>
            <w:shd w:val="clear" w:color="auto" w:fill="auto"/>
          </w:tcPr>
          <w:p w:rsidR="0013493E" w:rsidRDefault="0013493E" w:rsidP="00FB3F20">
            <w:pPr>
              <w:keepNext/>
              <w:keepLines/>
              <w:jc w:val="both"/>
            </w:pPr>
            <w:r>
              <w:t>DONALD J. POLMANN, Ph.D., P.E.</w:t>
            </w:r>
          </w:p>
          <w:p w:rsidR="0013493E" w:rsidRDefault="0013493E" w:rsidP="00FB3F20">
            <w:pPr>
              <w:keepNext/>
              <w:keepLines/>
              <w:jc w:val="both"/>
            </w:pPr>
            <w:r>
              <w:t>Commissioner and Prehearing Officer</w:t>
            </w:r>
          </w:p>
        </w:tc>
      </w:tr>
    </w:tbl>
    <w:p w:rsidR="0013493E" w:rsidRDefault="0013493E" w:rsidP="0013493E">
      <w:pPr>
        <w:pStyle w:val="OrderSigInfo"/>
        <w:keepNext/>
        <w:keepLines/>
      </w:pPr>
      <w:r>
        <w:t>Florida Public Service Commission</w:t>
      </w:r>
    </w:p>
    <w:p w:rsidR="0013493E" w:rsidRDefault="0013493E" w:rsidP="0013493E">
      <w:pPr>
        <w:pStyle w:val="OrderSigInfo"/>
        <w:keepNext/>
        <w:keepLines/>
      </w:pPr>
      <w:r>
        <w:t>2540 Shumard Oak Boulevard</w:t>
      </w:r>
    </w:p>
    <w:p w:rsidR="0013493E" w:rsidRDefault="0013493E" w:rsidP="0013493E">
      <w:pPr>
        <w:pStyle w:val="OrderSigInfo"/>
        <w:keepNext/>
        <w:keepLines/>
      </w:pPr>
      <w:r>
        <w:t>Tallahassee, Florida 32399</w:t>
      </w:r>
    </w:p>
    <w:p w:rsidR="0013493E" w:rsidRDefault="0013493E" w:rsidP="0013493E">
      <w:pPr>
        <w:pStyle w:val="OrderSigInfo"/>
        <w:keepNext/>
        <w:keepLines/>
      </w:pPr>
      <w:r>
        <w:t>(850) 413</w:t>
      </w:r>
      <w:r>
        <w:noBreakHyphen/>
        <w:t>6770</w:t>
      </w:r>
    </w:p>
    <w:p w:rsidR="0013493E" w:rsidRDefault="0013493E" w:rsidP="0013493E">
      <w:pPr>
        <w:pStyle w:val="OrderSigInfo"/>
        <w:keepNext/>
        <w:keepLines/>
      </w:pPr>
      <w:r>
        <w:t>www.floridapsc.com</w:t>
      </w:r>
    </w:p>
    <w:p w:rsidR="0013493E" w:rsidRDefault="0013493E" w:rsidP="0013493E">
      <w:pPr>
        <w:pStyle w:val="OrderSigInfo"/>
        <w:keepNext/>
        <w:keepLines/>
      </w:pPr>
    </w:p>
    <w:p w:rsidR="0013493E" w:rsidRDefault="0013493E" w:rsidP="0013493E">
      <w:pPr>
        <w:pStyle w:val="OrderSigInfo"/>
        <w:keepNext/>
        <w:keepLines/>
      </w:pPr>
      <w:r>
        <w:t>Copies furnished:  A copy of this document is provided to the parties of record at the time of issuance and, if applicable, interested persons.</w:t>
      </w:r>
    </w:p>
    <w:p w:rsidR="0013493E" w:rsidRDefault="0013493E" w:rsidP="0013493E">
      <w:pPr>
        <w:pStyle w:val="OrderBody"/>
        <w:keepNext/>
        <w:keepLines/>
      </w:pPr>
    </w:p>
    <w:p w:rsidR="0013493E" w:rsidRDefault="0013493E" w:rsidP="0013493E">
      <w:pPr>
        <w:keepNext/>
        <w:keepLines/>
        <w:jc w:val="both"/>
      </w:pPr>
    </w:p>
    <w:p w:rsidR="0013493E" w:rsidRDefault="0013493E" w:rsidP="0013493E">
      <w:pPr>
        <w:keepNext/>
        <w:keepLines/>
        <w:jc w:val="both"/>
      </w:pPr>
      <w:r>
        <w:t>WLT</w:t>
      </w:r>
    </w:p>
    <w:p w:rsidR="0013493E" w:rsidRDefault="0013493E" w:rsidP="0013493E">
      <w:pPr>
        <w:keepNext/>
        <w:keepLines/>
        <w:jc w:val="both"/>
      </w:pPr>
    </w:p>
    <w:p w:rsidR="00796E97" w:rsidRDefault="00796E97" w:rsidP="00FB1162">
      <w:pPr>
        <w:pStyle w:val="CenterUnderline"/>
        <w:ind w:left="720" w:firstLine="720"/>
        <w:jc w:val="left"/>
      </w:pPr>
    </w:p>
    <w:p w:rsidR="00796E97" w:rsidRDefault="00796E97" w:rsidP="00FB1162">
      <w:pPr>
        <w:pStyle w:val="CenterUnderline"/>
        <w:ind w:left="720" w:firstLine="720"/>
        <w:jc w:val="left"/>
      </w:pPr>
    </w:p>
    <w:p w:rsidR="00796E97" w:rsidRDefault="00796E97" w:rsidP="00FB1162">
      <w:pPr>
        <w:pStyle w:val="CenterUnderline"/>
        <w:ind w:left="720" w:firstLine="720"/>
        <w:jc w:val="left"/>
      </w:pPr>
    </w:p>
    <w:p w:rsidR="00796E97" w:rsidRDefault="00796E97" w:rsidP="00FB1162">
      <w:pPr>
        <w:pStyle w:val="CenterUnderline"/>
        <w:ind w:left="720" w:firstLine="720"/>
        <w:jc w:val="left"/>
      </w:pPr>
    </w:p>
    <w:p w:rsidR="00796E97" w:rsidRDefault="00796E97" w:rsidP="00FB1162">
      <w:pPr>
        <w:pStyle w:val="CenterUnderline"/>
        <w:ind w:left="720" w:firstLine="720"/>
        <w:jc w:val="left"/>
      </w:pPr>
    </w:p>
    <w:p w:rsidR="00796E97" w:rsidRDefault="00796E97" w:rsidP="00FB1162">
      <w:pPr>
        <w:pStyle w:val="CenterUnderline"/>
        <w:ind w:left="720" w:firstLine="720"/>
        <w:jc w:val="left"/>
      </w:pPr>
    </w:p>
    <w:p w:rsidR="00796E97" w:rsidRDefault="00796E97" w:rsidP="00FB1162">
      <w:pPr>
        <w:pStyle w:val="CenterUnderline"/>
        <w:ind w:left="720" w:firstLine="720"/>
        <w:jc w:val="left"/>
      </w:pPr>
    </w:p>
    <w:p w:rsidR="00796E97" w:rsidRDefault="00796E97" w:rsidP="00FB1162">
      <w:pPr>
        <w:pStyle w:val="CenterUnderline"/>
        <w:ind w:left="720" w:firstLine="720"/>
        <w:jc w:val="left"/>
      </w:pPr>
    </w:p>
    <w:p w:rsidR="00796E97" w:rsidRDefault="00796E97" w:rsidP="00FB1162">
      <w:pPr>
        <w:pStyle w:val="CenterUnderline"/>
        <w:ind w:left="720" w:firstLine="720"/>
        <w:jc w:val="left"/>
      </w:pPr>
    </w:p>
    <w:p w:rsidR="00796E97" w:rsidRDefault="00796E97" w:rsidP="00FB1162">
      <w:pPr>
        <w:pStyle w:val="CenterUnderline"/>
        <w:ind w:left="720" w:firstLine="720"/>
        <w:jc w:val="left"/>
      </w:pPr>
    </w:p>
    <w:p w:rsidR="00796E97" w:rsidRDefault="00796E97" w:rsidP="00FB1162">
      <w:pPr>
        <w:pStyle w:val="CenterUnderline"/>
        <w:ind w:left="720" w:firstLine="720"/>
        <w:jc w:val="left"/>
      </w:pPr>
    </w:p>
    <w:p w:rsidR="00796E97" w:rsidRDefault="00796E97" w:rsidP="00FB1162">
      <w:pPr>
        <w:pStyle w:val="CenterUnderline"/>
        <w:ind w:left="720" w:firstLine="720"/>
        <w:jc w:val="left"/>
      </w:pPr>
    </w:p>
    <w:p w:rsidR="00796E97" w:rsidRDefault="00796E97" w:rsidP="00FB1162">
      <w:pPr>
        <w:pStyle w:val="CenterUnderline"/>
        <w:ind w:left="720" w:firstLine="720"/>
        <w:jc w:val="left"/>
      </w:pPr>
    </w:p>
    <w:p w:rsidR="00796E97" w:rsidRDefault="00796E97" w:rsidP="00FB1162">
      <w:pPr>
        <w:pStyle w:val="CenterUnderline"/>
        <w:ind w:left="720" w:firstLine="720"/>
        <w:jc w:val="left"/>
      </w:pPr>
    </w:p>
    <w:p w:rsidR="00796E97" w:rsidRDefault="00796E97" w:rsidP="00FB1162">
      <w:pPr>
        <w:pStyle w:val="CenterUnderline"/>
        <w:ind w:left="720" w:firstLine="720"/>
        <w:jc w:val="left"/>
      </w:pPr>
    </w:p>
    <w:p w:rsidR="0039319E" w:rsidRDefault="0039319E" w:rsidP="00FB1162">
      <w:pPr>
        <w:pStyle w:val="CenterUnderline"/>
        <w:ind w:left="720" w:firstLine="720"/>
        <w:jc w:val="left"/>
      </w:pPr>
      <w:r>
        <w:lastRenderedPageBreak/>
        <w:t>NOTICE OF FURTHER PROCEEDINGS OR JUDICIAL REVIEW</w:t>
      </w:r>
    </w:p>
    <w:p w:rsidR="0039319E" w:rsidRDefault="0039319E" w:rsidP="0039319E">
      <w:pPr>
        <w:pStyle w:val="CenterUnderline"/>
      </w:pPr>
    </w:p>
    <w:p w:rsidR="0039319E" w:rsidRDefault="0039319E" w:rsidP="0039319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9319E" w:rsidRDefault="0039319E" w:rsidP="0039319E">
      <w:pPr>
        <w:pStyle w:val="OrderBody"/>
      </w:pPr>
    </w:p>
    <w:p w:rsidR="0039319E" w:rsidRDefault="0039319E" w:rsidP="0039319E">
      <w:pPr>
        <w:pStyle w:val="OrderBody"/>
      </w:pPr>
      <w:r>
        <w:tab/>
        <w:t>Mediation may be available on a case-by-case basis.  If mediation is conducted, it does not affect a substantially interested person's right to a hearing.</w:t>
      </w:r>
    </w:p>
    <w:p w:rsidR="0039319E" w:rsidRDefault="0039319E" w:rsidP="0039319E">
      <w:pPr>
        <w:pStyle w:val="OrderBody"/>
      </w:pPr>
    </w:p>
    <w:p w:rsidR="00B41039" w:rsidRDefault="0039319E" w:rsidP="008A3CE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41039">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972" w:rsidRDefault="00FD3972">
      <w:r>
        <w:separator/>
      </w:r>
    </w:p>
  </w:endnote>
  <w:endnote w:type="continuationSeparator" w:id="0">
    <w:p w:rsidR="00FD3972" w:rsidRDefault="00FD3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972" w:rsidRDefault="00FD3972">
      <w:r>
        <w:separator/>
      </w:r>
    </w:p>
  </w:footnote>
  <w:footnote w:type="continuationSeparator" w:id="0">
    <w:p w:rsidR="00FD3972" w:rsidRDefault="00FD3972">
      <w:r>
        <w:continuationSeparator/>
      </w:r>
    </w:p>
  </w:footnote>
  <w:footnote w:id="1">
    <w:p w:rsidR="00DD0E06" w:rsidRDefault="00DD0E06" w:rsidP="00DD0E06">
      <w:pPr>
        <w:autoSpaceDE w:val="0"/>
        <w:autoSpaceDN w:val="0"/>
        <w:adjustRightInd w:val="0"/>
        <w:rPr>
          <w:i/>
          <w:iCs/>
          <w:sz w:val="20"/>
          <w:szCs w:val="20"/>
        </w:rPr>
      </w:pPr>
      <w:r>
        <w:rPr>
          <w:rStyle w:val="FootnoteReference"/>
        </w:rPr>
        <w:footnoteRef/>
      </w:r>
      <w:r>
        <w:t xml:space="preserve"> </w:t>
      </w:r>
      <w:r>
        <w:rPr>
          <w:sz w:val="20"/>
          <w:szCs w:val="20"/>
        </w:rPr>
        <w:t xml:space="preserve">Order No. 2017-0456-S-EI, issued November 27, 2017, in Docket No. 20170210-EI, </w:t>
      </w:r>
      <w:r>
        <w:rPr>
          <w:i/>
          <w:iCs/>
          <w:sz w:val="20"/>
          <w:szCs w:val="20"/>
        </w:rPr>
        <w:t>In re: Petition for limited</w:t>
      </w:r>
    </w:p>
    <w:p w:rsidR="00DD0E06" w:rsidRDefault="00DD0E06" w:rsidP="00DD0E06">
      <w:pPr>
        <w:autoSpaceDE w:val="0"/>
        <w:autoSpaceDN w:val="0"/>
        <w:adjustRightInd w:val="0"/>
        <w:rPr>
          <w:i/>
          <w:iCs/>
          <w:sz w:val="20"/>
          <w:szCs w:val="20"/>
        </w:rPr>
      </w:pPr>
      <w:r>
        <w:rPr>
          <w:i/>
          <w:iCs/>
          <w:sz w:val="20"/>
          <w:szCs w:val="20"/>
        </w:rPr>
        <w:t>proceeding to approve 2017 amended and restated stipulation and settlement agreement, by Tampa Electric</w:t>
      </w:r>
    </w:p>
    <w:p w:rsidR="00DD0E06" w:rsidRDefault="00DD0E06" w:rsidP="00DD0E06">
      <w:pPr>
        <w:pStyle w:val="FootnoteText"/>
      </w:pPr>
      <w:r>
        <w:rPr>
          <w:i/>
          <w:iCs/>
        </w:rPr>
        <w:t>Company.</w:t>
      </w:r>
    </w:p>
  </w:footnote>
  <w:footnote w:id="2">
    <w:p w:rsidR="0039319E" w:rsidRDefault="0039319E" w:rsidP="0039319E">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7 ">
      <w:r w:rsidR="007707A9">
        <w:t>PSC-2018-0387-PCO-EI</w:t>
      </w:r>
    </w:fldSimple>
  </w:p>
  <w:p w:rsidR="00FA6EFD" w:rsidRDefault="00FD3972">
    <w:pPr>
      <w:pStyle w:val="OrderHeader"/>
    </w:pPr>
    <w:bookmarkStart w:id="9" w:name="HeaderDocketNo"/>
    <w:bookmarkEnd w:id="9"/>
    <w:r>
      <w:t>DOCKET NO. 20180133-EI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707A9">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33-EI"/>
  </w:docVars>
  <w:rsids>
    <w:rsidRoot w:val="00FD3972"/>
    <w:rsid w:val="000022B8"/>
    <w:rsid w:val="00035A8C"/>
    <w:rsid w:val="00053AB9"/>
    <w:rsid w:val="00056229"/>
    <w:rsid w:val="00057AF1"/>
    <w:rsid w:val="00065FC2"/>
    <w:rsid w:val="00067685"/>
    <w:rsid w:val="00076E6B"/>
    <w:rsid w:val="0008247D"/>
    <w:rsid w:val="00090AFC"/>
    <w:rsid w:val="000B05A5"/>
    <w:rsid w:val="000B783E"/>
    <w:rsid w:val="000D02B8"/>
    <w:rsid w:val="000D06E8"/>
    <w:rsid w:val="000E050C"/>
    <w:rsid w:val="000E20F0"/>
    <w:rsid w:val="000E344D"/>
    <w:rsid w:val="000E3F6D"/>
    <w:rsid w:val="000F359F"/>
    <w:rsid w:val="000F3B2C"/>
    <w:rsid w:val="000F54AD"/>
    <w:rsid w:val="000F63EB"/>
    <w:rsid w:val="000F648A"/>
    <w:rsid w:val="000F7BE3"/>
    <w:rsid w:val="001052BA"/>
    <w:rsid w:val="001107B3"/>
    <w:rsid w:val="001114B1"/>
    <w:rsid w:val="001139D8"/>
    <w:rsid w:val="00116AD3"/>
    <w:rsid w:val="00121957"/>
    <w:rsid w:val="0012387E"/>
    <w:rsid w:val="00126593"/>
    <w:rsid w:val="0013493E"/>
    <w:rsid w:val="00142A96"/>
    <w:rsid w:val="001513DE"/>
    <w:rsid w:val="00154A71"/>
    <w:rsid w:val="00166466"/>
    <w:rsid w:val="00187843"/>
    <w:rsid w:val="00187E32"/>
    <w:rsid w:val="00192DF1"/>
    <w:rsid w:val="00194E81"/>
    <w:rsid w:val="001A12BD"/>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2315"/>
    <w:rsid w:val="002A6F30"/>
    <w:rsid w:val="002B0E2F"/>
    <w:rsid w:val="002B1B36"/>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66C"/>
    <w:rsid w:val="00390DD8"/>
    <w:rsid w:val="0039319E"/>
    <w:rsid w:val="00394DC6"/>
    <w:rsid w:val="00395947"/>
    <w:rsid w:val="00397C3E"/>
    <w:rsid w:val="003B1A09"/>
    <w:rsid w:val="003D4CCA"/>
    <w:rsid w:val="003D52A6"/>
    <w:rsid w:val="003D6416"/>
    <w:rsid w:val="003E1D48"/>
    <w:rsid w:val="003F1D2B"/>
    <w:rsid w:val="00411DF2"/>
    <w:rsid w:val="00411E8F"/>
    <w:rsid w:val="0042527B"/>
    <w:rsid w:val="00431BB6"/>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4F7F38"/>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0EE6"/>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122A"/>
    <w:rsid w:val="00733B6B"/>
    <w:rsid w:val="00740808"/>
    <w:rsid w:val="007467C4"/>
    <w:rsid w:val="0076170F"/>
    <w:rsid w:val="0076669C"/>
    <w:rsid w:val="00766E46"/>
    <w:rsid w:val="007707A9"/>
    <w:rsid w:val="00777727"/>
    <w:rsid w:val="00782B79"/>
    <w:rsid w:val="007865E9"/>
    <w:rsid w:val="00792383"/>
    <w:rsid w:val="00794D5A"/>
    <w:rsid w:val="00794DD9"/>
    <w:rsid w:val="00796E97"/>
    <w:rsid w:val="007A060F"/>
    <w:rsid w:val="007C0FBC"/>
    <w:rsid w:val="007C36E3"/>
    <w:rsid w:val="007C7134"/>
    <w:rsid w:val="007D3D20"/>
    <w:rsid w:val="007D742E"/>
    <w:rsid w:val="007E3AFD"/>
    <w:rsid w:val="00801DAD"/>
    <w:rsid w:val="00803189"/>
    <w:rsid w:val="00803426"/>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46B"/>
    <w:rsid w:val="00892B20"/>
    <w:rsid w:val="008A12EC"/>
    <w:rsid w:val="008A3CE2"/>
    <w:rsid w:val="008C21C8"/>
    <w:rsid w:val="008C6375"/>
    <w:rsid w:val="008C6A5B"/>
    <w:rsid w:val="008E26A5"/>
    <w:rsid w:val="008E42D2"/>
    <w:rsid w:val="008E6328"/>
    <w:rsid w:val="009040EE"/>
    <w:rsid w:val="009057FD"/>
    <w:rsid w:val="00906FBA"/>
    <w:rsid w:val="009163E8"/>
    <w:rsid w:val="00916CBF"/>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12432"/>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D5399"/>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61C"/>
    <w:rsid w:val="00B71D1F"/>
    <w:rsid w:val="00B73DE6"/>
    <w:rsid w:val="00B761CD"/>
    <w:rsid w:val="00B86EF0"/>
    <w:rsid w:val="00B96969"/>
    <w:rsid w:val="00B97900"/>
    <w:rsid w:val="00BA1229"/>
    <w:rsid w:val="00BA44A8"/>
    <w:rsid w:val="00BD3C3E"/>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0E06"/>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0AE"/>
    <w:rsid w:val="00F37E07"/>
    <w:rsid w:val="00F4182A"/>
    <w:rsid w:val="00F54380"/>
    <w:rsid w:val="00F54B47"/>
    <w:rsid w:val="00F61247"/>
    <w:rsid w:val="00F6702E"/>
    <w:rsid w:val="00F70E84"/>
    <w:rsid w:val="00FA092B"/>
    <w:rsid w:val="00FA4F6C"/>
    <w:rsid w:val="00FA6EFD"/>
    <w:rsid w:val="00FB1162"/>
    <w:rsid w:val="00FB74EA"/>
    <w:rsid w:val="00FD2C9E"/>
    <w:rsid w:val="00FD3972"/>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39319E"/>
  </w:style>
  <w:style w:type="character" w:styleId="Hyperlink">
    <w:name w:val="Hyperlink"/>
    <w:basedOn w:val="DefaultParagraphFont"/>
    <w:rsid w:val="00803426"/>
    <w:rPr>
      <w:color w:val="0000FF" w:themeColor="hyperlink"/>
      <w:u w:val="single"/>
    </w:rPr>
  </w:style>
  <w:style w:type="paragraph" w:customStyle="1" w:styleId="Default">
    <w:name w:val="Default"/>
    <w:rsid w:val="00BD3C3E"/>
    <w:pPr>
      <w:autoSpaceDE w:val="0"/>
      <w:autoSpaceDN w:val="0"/>
      <w:adjustRightInd w:val="0"/>
    </w:pPr>
    <w:rPr>
      <w:color w:val="000000"/>
      <w:sz w:val="24"/>
      <w:szCs w:val="24"/>
    </w:rPr>
  </w:style>
  <w:style w:type="paragraph" w:styleId="BalloonText">
    <w:name w:val="Balloon Text"/>
    <w:basedOn w:val="Normal"/>
    <w:link w:val="BalloonTextChar"/>
    <w:rsid w:val="0073122A"/>
    <w:rPr>
      <w:rFonts w:ascii="Tahoma" w:hAnsi="Tahoma" w:cs="Tahoma"/>
      <w:sz w:val="16"/>
      <w:szCs w:val="16"/>
    </w:rPr>
  </w:style>
  <w:style w:type="character" w:customStyle="1" w:styleId="BalloonTextChar">
    <w:name w:val="Balloon Text Char"/>
    <w:basedOn w:val="DefaultParagraphFont"/>
    <w:link w:val="BalloonText"/>
    <w:rsid w:val="007312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39319E"/>
  </w:style>
  <w:style w:type="character" w:styleId="Hyperlink">
    <w:name w:val="Hyperlink"/>
    <w:basedOn w:val="DefaultParagraphFont"/>
    <w:rsid w:val="00803426"/>
    <w:rPr>
      <w:color w:val="0000FF" w:themeColor="hyperlink"/>
      <w:u w:val="single"/>
    </w:rPr>
  </w:style>
  <w:style w:type="paragraph" w:customStyle="1" w:styleId="Default">
    <w:name w:val="Default"/>
    <w:rsid w:val="00BD3C3E"/>
    <w:pPr>
      <w:autoSpaceDE w:val="0"/>
      <w:autoSpaceDN w:val="0"/>
      <w:adjustRightInd w:val="0"/>
    </w:pPr>
    <w:rPr>
      <w:color w:val="000000"/>
      <w:sz w:val="24"/>
      <w:szCs w:val="24"/>
    </w:rPr>
  </w:style>
  <w:style w:type="paragraph" w:styleId="BalloonText">
    <w:name w:val="Balloon Text"/>
    <w:basedOn w:val="Normal"/>
    <w:link w:val="BalloonTextChar"/>
    <w:rsid w:val="0073122A"/>
    <w:rPr>
      <w:rFonts w:ascii="Tahoma" w:hAnsi="Tahoma" w:cs="Tahoma"/>
      <w:sz w:val="16"/>
      <w:szCs w:val="16"/>
    </w:rPr>
  </w:style>
  <w:style w:type="character" w:customStyle="1" w:styleId="BalloonTextChar">
    <w:name w:val="Balloon Text Char"/>
    <w:basedOn w:val="DefaultParagraphFont"/>
    <w:link w:val="BalloonText"/>
    <w:rsid w:val="007312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utnal@moylelaw.com" TargetMode="External"/><Relationship Id="rId3" Type="http://schemas.openxmlformats.org/officeDocument/2006/relationships/settings" Target="settings.xml"/><Relationship Id="rId7" Type="http://schemas.openxmlformats.org/officeDocument/2006/relationships/hyperlink" Target="mailto:jmoyle@moylelaw.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1068</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2018-08-02T12:14:00Z</dcterms:created>
  <dcterms:modified xsi:type="dcterms:W3CDTF">2018-08-02T12:31:00Z</dcterms:modified>
</cp:coreProperties>
</file>