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32484" w:rsidP="00632484">
      <w:pPr>
        <w:pStyle w:val="OrderHeading"/>
      </w:pPr>
      <w:r>
        <w:t>BEFORE THE FLORIDA PUBLIC SERVICE COMMISSION</w:t>
      </w:r>
    </w:p>
    <w:p w:rsidR="00632484" w:rsidRDefault="00632484" w:rsidP="00632484">
      <w:pPr>
        <w:pStyle w:val="OrderBody"/>
      </w:pPr>
    </w:p>
    <w:p w:rsidR="00632484" w:rsidRDefault="00632484" w:rsidP="0063248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2484" w:rsidRPr="00C63FCF" w:rsidTr="00C36A5B">
        <w:trPr>
          <w:trHeight w:val="828"/>
        </w:trPr>
        <w:tc>
          <w:tcPr>
            <w:tcW w:w="4788" w:type="dxa"/>
            <w:tcBorders>
              <w:bottom w:val="single" w:sz="8" w:space="0" w:color="auto"/>
              <w:right w:val="double" w:sz="6" w:space="0" w:color="auto"/>
            </w:tcBorders>
            <w:shd w:val="clear" w:color="auto" w:fill="auto"/>
          </w:tcPr>
          <w:p w:rsidR="00632484" w:rsidRDefault="00632484" w:rsidP="00C36A5B">
            <w:pPr>
              <w:pStyle w:val="OrderBody"/>
              <w:tabs>
                <w:tab w:val="center" w:pos="4320"/>
                <w:tab w:val="right" w:pos="8640"/>
              </w:tabs>
              <w:jc w:val="left"/>
            </w:pPr>
            <w:r>
              <w:t xml:space="preserve">In re: </w:t>
            </w:r>
            <w:bookmarkStart w:id="0" w:name="SSInRe"/>
            <w:bookmarkEnd w:id="0"/>
            <w:r>
              <w:t>Application for staff-assisted rate case in Levy County by FIMC Hideaway, Inc.</w:t>
            </w:r>
          </w:p>
        </w:tc>
        <w:tc>
          <w:tcPr>
            <w:tcW w:w="4788" w:type="dxa"/>
            <w:tcBorders>
              <w:left w:val="double" w:sz="6" w:space="0" w:color="auto"/>
            </w:tcBorders>
            <w:shd w:val="clear" w:color="auto" w:fill="auto"/>
          </w:tcPr>
          <w:p w:rsidR="00632484" w:rsidRDefault="00632484" w:rsidP="00632484">
            <w:pPr>
              <w:pStyle w:val="OrderBody"/>
            </w:pPr>
            <w:r>
              <w:t xml:space="preserve">DOCKET NO. </w:t>
            </w:r>
            <w:bookmarkStart w:id="1" w:name="SSDocketNo"/>
            <w:bookmarkEnd w:id="1"/>
            <w:r>
              <w:t>20170147-WS</w:t>
            </w:r>
          </w:p>
          <w:p w:rsidR="00632484" w:rsidRDefault="00632484" w:rsidP="00C36A5B">
            <w:pPr>
              <w:pStyle w:val="OrderBody"/>
              <w:tabs>
                <w:tab w:val="center" w:pos="4320"/>
                <w:tab w:val="right" w:pos="8640"/>
              </w:tabs>
              <w:jc w:val="left"/>
            </w:pPr>
            <w:r>
              <w:t xml:space="preserve">ORDER NO. </w:t>
            </w:r>
            <w:bookmarkStart w:id="2" w:name="OrderNo0389"/>
            <w:r w:rsidR="00E86240">
              <w:t>PSC-2018-0389-PAA-WS</w:t>
            </w:r>
            <w:bookmarkEnd w:id="2"/>
          </w:p>
          <w:p w:rsidR="00632484" w:rsidRDefault="00632484" w:rsidP="00C36A5B">
            <w:pPr>
              <w:pStyle w:val="OrderBody"/>
              <w:tabs>
                <w:tab w:val="center" w:pos="4320"/>
                <w:tab w:val="right" w:pos="8640"/>
              </w:tabs>
              <w:jc w:val="left"/>
            </w:pPr>
            <w:r>
              <w:t xml:space="preserve">ISSUED: </w:t>
            </w:r>
            <w:r w:rsidR="00E86240">
              <w:t>August 2, 2018</w:t>
            </w:r>
          </w:p>
        </w:tc>
      </w:tr>
    </w:tbl>
    <w:p w:rsidR="00632484" w:rsidRDefault="00632484" w:rsidP="00632484"/>
    <w:p w:rsidR="00632484" w:rsidRDefault="00632484" w:rsidP="00632484"/>
    <w:p w:rsidR="00632484" w:rsidRDefault="00632484">
      <w:pPr>
        <w:ind w:firstLine="720"/>
        <w:jc w:val="both"/>
      </w:pPr>
      <w:bookmarkStart w:id="3" w:name="Commissioners"/>
      <w:bookmarkEnd w:id="3"/>
      <w:r>
        <w:t>The following Commissioners participated in the disposition of this matter:</w:t>
      </w:r>
    </w:p>
    <w:p w:rsidR="00632484" w:rsidRDefault="00632484"/>
    <w:p w:rsidR="00632484" w:rsidRDefault="00632484">
      <w:pPr>
        <w:jc w:val="center"/>
      </w:pPr>
      <w:r>
        <w:t>ART GRAHAM, Chairman</w:t>
      </w:r>
    </w:p>
    <w:p w:rsidR="00632484" w:rsidRDefault="00632484">
      <w:pPr>
        <w:jc w:val="center"/>
      </w:pPr>
      <w:r>
        <w:t xml:space="preserve">JULIE I. BROWN </w:t>
      </w:r>
    </w:p>
    <w:p w:rsidR="00632484" w:rsidRDefault="00632484">
      <w:pPr>
        <w:jc w:val="center"/>
      </w:pPr>
      <w:r>
        <w:t>DONALD J. POLMANN</w:t>
      </w:r>
    </w:p>
    <w:p w:rsidR="00632484" w:rsidRDefault="00632484">
      <w:pPr>
        <w:jc w:val="center"/>
      </w:pPr>
      <w:r>
        <w:t>GARY F. CLARK</w:t>
      </w:r>
    </w:p>
    <w:p w:rsidR="00632484" w:rsidRDefault="00632484">
      <w:pPr>
        <w:jc w:val="center"/>
      </w:pPr>
      <w:r>
        <w:t>ANDREW GILES FAY</w:t>
      </w:r>
    </w:p>
    <w:p w:rsidR="00632484" w:rsidRDefault="00632484" w:rsidP="00632484">
      <w:pPr>
        <w:pStyle w:val="OrderBody"/>
      </w:pPr>
    </w:p>
    <w:bookmarkStart w:id="4" w:name="OrderText"/>
    <w:bookmarkEnd w:id="4"/>
    <w:p w:rsidR="00632484" w:rsidRPr="003E4B2D" w:rsidRDefault="00632484">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F673BF" w:rsidRDefault="00632484">
      <w:pPr>
        <w:pStyle w:val="OrderBody"/>
        <w:jc w:val="center"/>
        <w:rPr>
          <w:u w:val="single"/>
        </w:rPr>
      </w:pPr>
      <w:r w:rsidRPr="003E4B2D">
        <w:rPr>
          <w:u w:val="single"/>
        </w:rPr>
        <w:t>ORDER</w:t>
      </w:r>
      <w:bookmarkStart w:id="5" w:name="OrderTitle"/>
      <w:r w:rsidR="00F673BF">
        <w:rPr>
          <w:u w:val="single"/>
        </w:rPr>
        <w:t xml:space="preserve"> APPROVING RATE INCREASE FOR FIMC HIDEAWAY, INC. </w:t>
      </w:r>
    </w:p>
    <w:p w:rsidR="00632484" w:rsidRPr="003E4B2D" w:rsidRDefault="00F673BF">
      <w:pPr>
        <w:pStyle w:val="OrderBody"/>
        <w:jc w:val="center"/>
        <w:rPr>
          <w:u w:val="single"/>
        </w:rPr>
      </w:pPr>
      <w:r>
        <w:rPr>
          <w:u w:val="single"/>
        </w:rPr>
        <w:t>AND FINAL ORDER ON RECOVERY OF RATE CASE EXPENSES, TEMPORARY RATES, AND ACCOUNTING ADJUSTMENTS</w:t>
      </w:r>
      <w:r w:rsidR="00632484">
        <w:rPr>
          <w:u w:val="single"/>
        </w:rPr>
        <w:t xml:space="preserve"> </w:t>
      </w:r>
      <w:bookmarkEnd w:id="5"/>
    </w:p>
    <w:p w:rsidR="00632484" w:rsidRPr="003E4B2D" w:rsidRDefault="00632484">
      <w:pPr>
        <w:pStyle w:val="OrderBody"/>
      </w:pPr>
    </w:p>
    <w:p w:rsidR="00632484" w:rsidRPr="003E4B2D" w:rsidRDefault="00632484">
      <w:pPr>
        <w:pStyle w:val="OrderBody"/>
      </w:pPr>
    </w:p>
    <w:p w:rsidR="00632484" w:rsidRPr="003E4B2D" w:rsidRDefault="00632484">
      <w:pPr>
        <w:pStyle w:val="OrderBody"/>
      </w:pPr>
      <w:r w:rsidRPr="003E4B2D">
        <w:t>BY THE COMMISSION:</w:t>
      </w:r>
    </w:p>
    <w:p w:rsidR="00632484" w:rsidRPr="003E4B2D" w:rsidRDefault="00632484">
      <w:pPr>
        <w:pStyle w:val="OrderBody"/>
      </w:pPr>
    </w:p>
    <w:p w:rsidR="00632484" w:rsidRDefault="00632484">
      <w:pPr>
        <w:pStyle w:val="OrderBody"/>
      </w:pPr>
      <w:r w:rsidRPr="003E4B2D">
        <w:tab/>
        <w:t>NOTICE is hereby given by the Florida Public Service Commission</w:t>
      </w:r>
      <w:r w:rsidR="00F673BF">
        <w:t xml:space="preserve"> (Commission)</w:t>
      </w:r>
      <w:r w:rsidRPr="003E4B2D">
        <w:t xml:space="preserve"> that the action discussed herein</w:t>
      </w:r>
      <w:r w:rsidR="00F673BF">
        <w:t>,</w:t>
      </w:r>
      <w:r w:rsidRPr="003E4B2D">
        <w:t xml:space="preserve"> </w:t>
      </w:r>
      <w:r w:rsidR="00F673BF" w:rsidRPr="00F673BF">
        <w:t xml:space="preserve">except for (1) </w:t>
      </w:r>
      <w:r w:rsidR="009166D7" w:rsidRPr="009166D7">
        <w:t>the reduction of rates after four years based upon the recovery of rate case expense</w:t>
      </w:r>
      <w:r w:rsidR="00F673BF" w:rsidRPr="00F673BF">
        <w:t xml:space="preserve">, (2) </w:t>
      </w:r>
      <w:r w:rsidR="009166D7" w:rsidRPr="00F673BF">
        <w:t>the granting of temporary rates in the event of protest</w:t>
      </w:r>
      <w:r w:rsidR="00F673BF" w:rsidRPr="00F673BF">
        <w:t xml:space="preserve">, and (3) </w:t>
      </w:r>
      <w:r w:rsidR="00D733C8">
        <w:t xml:space="preserve">the requirement for </w:t>
      </w:r>
      <w:r w:rsidR="00F673BF" w:rsidRPr="00F673BF">
        <w:t>proof of adjustment of books and records, are preliminary in nature and will become final unless a person whose interests are substantially affected files a petition for a formal proceeding, pursuant to Rule 25-22.029, Florida Administrative Code (F.A.C.). The</w:t>
      </w:r>
      <w:r w:rsidR="009166D7">
        <w:t xml:space="preserve"> </w:t>
      </w:r>
      <w:r w:rsidR="009166D7" w:rsidRPr="00F673BF">
        <w:t>reduction of rates after four years</w:t>
      </w:r>
      <w:r w:rsidR="009166D7">
        <w:t xml:space="preserve">, </w:t>
      </w:r>
      <w:r w:rsidR="009166D7" w:rsidRPr="00F673BF">
        <w:t>the</w:t>
      </w:r>
      <w:r w:rsidR="00F673BF" w:rsidRPr="00F673BF">
        <w:t xml:space="preserve"> granting of temporary</w:t>
      </w:r>
      <w:r w:rsidR="009166D7">
        <w:t xml:space="preserve"> rates in the event of protest</w:t>
      </w:r>
      <w:r w:rsidR="00F673BF" w:rsidRPr="00F673BF">
        <w:t xml:space="preserve">, and </w:t>
      </w:r>
      <w:r w:rsidR="00D733C8">
        <w:t xml:space="preserve">the requirement for </w:t>
      </w:r>
      <w:r w:rsidR="00F673BF" w:rsidRPr="00F673BF">
        <w:t>proof of adjustment of books and records are final agency actions and subject to reconsideration and appeal as described below under the heading, “NOTICE OF FURTHER PROCEEDINGS OR JUDICIAL REVIEW</w:t>
      </w:r>
      <w:r w:rsidR="00F673BF">
        <w:t>.”</w:t>
      </w:r>
    </w:p>
    <w:p w:rsidR="00CB5276" w:rsidRDefault="00CB5276" w:rsidP="00632484"/>
    <w:p w:rsidR="00632484" w:rsidRPr="00F673BF" w:rsidRDefault="00632484" w:rsidP="00632484">
      <w:pPr>
        <w:keepNext/>
        <w:spacing w:after="240"/>
        <w:jc w:val="center"/>
        <w:outlineLvl w:val="0"/>
      </w:pPr>
      <w:r w:rsidRPr="00F673BF">
        <w:rPr>
          <w:b/>
          <w:bCs/>
          <w:kern w:val="32"/>
          <w:szCs w:val="32"/>
        </w:rPr>
        <w:t>Background</w:t>
      </w:r>
      <w:r w:rsidRPr="00F673BF">
        <w:fldChar w:fldCharType="begin"/>
      </w:r>
      <w:r w:rsidRPr="00F673BF">
        <w:instrText xml:space="preserve"> TC  "</w:instrText>
      </w:r>
      <w:bookmarkStart w:id="6" w:name="_Toc517858029"/>
      <w:r w:rsidRPr="00F673BF">
        <w:tab/>
        <w:instrText>Case Background</w:instrText>
      </w:r>
      <w:bookmarkEnd w:id="6"/>
      <w:r w:rsidRPr="00F673BF">
        <w:instrText xml:space="preserve">" \l 1 </w:instrText>
      </w:r>
      <w:r w:rsidRPr="00F673BF">
        <w:fldChar w:fldCharType="end"/>
      </w:r>
    </w:p>
    <w:p w:rsidR="00632484" w:rsidRPr="00632484" w:rsidRDefault="00632484" w:rsidP="00632484">
      <w:pPr>
        <w:spacing w:after="240"/>
        <w:jc w:val="both"/>
      </w:pPr>
      <w:r>
        <w:tab/>
      </w:r>
      <w:r w:rsidRPr="00632484">
        <w:t xml:space="preserve">FIMC Hideaway, Inc. (FIMC or utility) is a Class C utility which was granted water and wastewater certificates in 1984 to serve the Hideaway development when Levy County turned jurisdiction over to </w:t>
      </w:r>
      <w:r w:rsidR="00F673BF">
        <w:t>this Commission</w:t>
      </w:r>
      <w:r w:rsidRPr="00632484">
        <w:t xml:space="preserve"> in 1983.</w:t>
      </w:r>
      <w:r w:rsidRPr="00632484">
        <w:rPr>
          <w:vertAlign w:val="superscript"/>
        </w:rPr>
        <w:footnoteReference w:id="1"/>
      </w:r>
      <w:r w:rsidRPr="00632484">
        <w:t xml:space="preserve"> The Hideaway systems were transferred to Florida Investors Mortgage Corporation (FIMC) Hideaway, Inc. in 1992 following its foreclosure on the utility.</w:t>
      </w:r>
      <w:r w:rsidRPr="00632484">
        <w:rPr>
          <w:vertAlign w:val="superscript"/>
        </w:rPr>
        <w:footnoteReference w:id="2"/>
      </w:r>
      <w:r w:rsidRPr="00632484">
        <w:t xml:space="preserve"> Subsequently, a transfer of majority organizational control was approved in 2005 when </w:t>
      </w:r>
      <w:r w:rsidRPr="00632484">
        <w:lastRenderedPageBreak/>
        <w:t>the utility stock was acquired by the current owners.</w:t>
      </w:r>
      <w:r w:rsidRPr="00632484">
        <w:rPr>
          <w:vertAlign w:val="superscript"/>
        </w:rPr>
        <w:footnoteReference w:id="3"/>
      </w:r>
      <w:r w:rsidR="00F673BF">
        <w:t xml:space="preserve"> In 2009, this</w:t>
      </w:r>
      <w:r w:rsidRPr="00632484">
        <w:t xml:space="preserve"> Commission approved the transfer of the Springside water and wastewater systems from Par Utilities, Inc. to FIMC Hideaway, Inc.</w:t>
      </w:r>
      <w:r w:rsidRPr="00632484">
        <w:rPr>
          <w:vertAlign w:val="superscript"/>
        </w:rPr>
        <w:footnoteReference w:id="4"/>
      </w:r>
      <w:r w:rsidRPr="00632484">
        <w:t xml:space="preserve"> The Hideaway and Springside water and wastewater systems were interconnected in April 2013. The utility has not successfully applied for a rate increase since 1992.</w:t>
      </w:r>
    </w:p>
    <w:p w:rsidR="00D57E57" w:rsidRDefault="00632484" w:rsidP="009166D7">
      <w:pPr>
        <w:jc w:val="both"/>
      </w:pPr>
      <w:r>
        <w:tab/>
      </w:r>
      <w:r w:rsidRPr="00632484">
        <w:t xml:space="preserve">On June 22, 2017, FIMC filed </w:t>
      </w:r>
      <w:r w:rsidR="00F673BF">
        <w:t>an application for a staff-</w:t>
      </w:r>
      <w:r w:rsidRPr="00632484">
        <w:t xml:space="preserve">assisted rate case (SARC). </w:t>
      </w:r>
      <w:r w:rsidR="00F673BF">
        <w:t>We</w:t>
      </w:r>
      <w:r w:rsidRPr="00632484">
        <w:t xml:space="preserve"> selected the test year ended June 30, 2017. According to FIMC’s 2017 Annual Report, combined total gross revenues were $99,762 and total operating expenses were $88,810. The Hideaway and Springside systems currently serve 197 customers. </w:t>
      </w:r>
      <w:r w:rsidR="00F673BF">
        <w:t>We have</w:t>
      </w:r>
      <w:r w:rsidRPr="00632484">
        <w:t xml:space="preserve"> jurisdiction in this case pursuant to Sections 367.011, 367.081, 367.0812, 367.0814, and 367.091, Florida Statutes (F.S.).</w:t>
      </w:r>
    </w:p>
    <w:p w:rsidR="009166D7" w:rsidRDefault="009166D7" w:rsidP="009166D7">
      <w:pPr>
        <w:jc w:val="both"/>
      </w:pPr>
    </w:p>
    <w:p w:rsidR="009166D7" w:rsidRDefault="009166D7" w:rsidP="009166D7">
      <w:pPr>
        <w:jc w:val="both"/>
      </w:pPr>
    </w:p>
    <w:p w:rsidR="00632484" w:rsidRPr="00F673BF" w:rsidRDefault="00F673BF" w:rsidP="009166D7">
      <w:pPr>
        <w:keepNext/>
        <w:jc w:val="center"/>
        <w:outlineLvl w:val="0"/>
        <w:rPr>
          <w:b/>
          <w:bCs/>
          <w:kern w:val="32"/>
          <w:szCs w:val="32"/>
        </w:rPr>
      </w:pPr>
      <w:bookmarkStart w:id="7" w:name="DiscussionOfIssues"/>
      <w:r>
        <w:rPr>
          <w:b/>
          <w:bCs/>
          <w:kern w:val="32"/>
          <w:szCs w:val="32"/>
        </w:rPr>
        <w:t>Review and Decision</w:t>
      </w:r>
    </w:p>
    <w:bookmarkEnd w:id="7"/>
    <w:p w:rsidR="009166D7" w:rsidRDefault="009166D7" w:rsidP="009166D7">
      <w:pPr>
        <w:jc w:val="both"/>
        <w:rPr>
          <w:bCs/>
          <w:kern w:val="32"/>
          <w:szCs w:val="32"/>
          <w:u w:val="single"/>
        </w:rPr>
      </w:pPr>
    </w:p>
    <w:p w:rsidR="00632484" w:rsidRDefault="00F673BF" w:rsidP="009166D7">
      <w:pPr>
        <w:jc w:val="both"/>
        <w:rPr>
          <w:bCs/>
          <w:kern w:val="32"/>
          <w:szCs w:val="32"/>
          <w:u w:val="single"/>
        </w:rPr>
      </w:pPr>
      <w:r>
        <w:rPr>
          <w:bCs/>
          <w:kern w:val="32"/>
          <w:szCs w:val="32"/>
          <w:u w:val="single"/>
        </w:rPr>
        <w:t>1. Quality of Service</w:t>
      </w:r>
    </w:p>
    <w:p w:rsidR="009166D7" w:rsidRPr="00F673BF" w:rsidRDefault="009166D7" w:rsidP="009166D7">
      <w:pPr>
        <w:jc w:val="both"/>
        <w:rPr>
          <w:u w:val="single"/>
        </w:rPr>
      </w:pPr>
    </w:p>
    <w:p w:rsidR="00632484" w:rsidRPr="00632484" w:rsidRDefault="00632484" w:rsidP="00F673BF">
      <w:pPr>
        <w:spacing w:after="240"/>
        <w:ind w:firstLine="720"/>
        <w:jc w:val="both"/>
      </w:pPr>
      <w:r w:rsidRPr="00632484">
        <w:t xml:space="preserve">Pursuant to Section 367.081(2)(a)1., F.S., in water and wastewater rate cases, </w:t>
      </w:r>
      <w:r w:rsidR="009166D7">
        <w:t>we</w:t>
      </w:r>
      <w:r w:rsidRPr="00632484">
        <w:t xml:space="preserve"> shall consider the overall quality of service provided by a utility. Rule 25-30.433(1), </w:t>
      </w:r>
      <w:r w:rsidR="00F673BF">
        <w:t>F.A.C.</w:t>
      </w:r>
      <w:r w:rsidRPr="00632484">
        <w:t xml:space="preserve">, provides for the evaluation of three separate components of the utility’s operations. The components evaluated are: (1) the quality of the utility’s product, (2) the utility’s attempt to address customer satisfaction, and (3) the operating conditions of the utility’s plant and facilities. The rule further states that sanitary surveys, outstanding citations, violations, and consent orders on file with </w:t>
      </w:r>
      <w:r w:rsidR="00F84B96">
        <w:t>the Department of Environmental Protection (</w:t>
      </w:r>
      <w:r w:rsidRPr="00632484">
        <w:t>DEP</w:t>
      </w:r>
      <w:r w:rsidR="00F84B96">
        <w:t>)</w:t>
      </w:r>
      <w:r w:rsidRPr="00632484">
        <w:t xml:space="preserve"> and the county health department over the preceding three-year period shall be considered. Additionally, Section 367.0812(1), F.S., requires </w:t>
      </w:r>
      <w:r w:rsidR="009166D7">
        <w:t>us</w:t>
      </w:r>
      <w:r w:rsidRPr="00632484">
        <w:t xml:space="preserve"> to consider the extent to which the utility provides water service that meets secondary water quality standards as established by DEP.</w:t>
      </w:r>
      <w:r w:rsidRPr="00632484">
        <w:rPr>
          <w:vertAlign w:val="superscript"/>
        </w:rPr>
        <w:footnoteReference w:id="5"/>
      </w:r>
      <w:r w:rsidRPr="00632484">
        <w:t xml:space="preserve"> </w:t>
      </w:r>
    </w:p>
    <w:p w:rsidR="00632484" w:rsidRPr="00F673BF" w:rsidRDefault="00F673BF" w:rsidP="00632484">
      <w:pPr>
        <w:jc w:val="both"/>
        <w:rPr>
          <w:i/>
        </w:rPr>
      </w:pPr>
      <w:r>
        <w:rPr>
          <w:i/>
        </w:rPr>
        <w:t xml:space="preserve">A. </w:t>
      </w:r>
      <w:r w:rsidR="00632484" w:rsidRPr="00F673BF">
        <w:rPr>
          <w:i/>
        </w:rPr>
        <w:t xml:space="preserve">Quality of Utility’s Product </w:t>
      </w:r>
    </w:p>
    <w:p w:rsidR="00F673BF" w:rsidRPr="00632484" w:rsidRDefault="00F673BF" w:rsidP="00632484">
      <w:pPr>
        <w:jc w:val="both"/>
      </w:pPr>
    </w:p>
    <w:p w:rsidR="00632484" w:rsidRPr="00632484" w:rsidRDefault="00632484" w:rsidP="00632484">
      <w:pPr>
        <w:jc w:val="both"/>
        <w:rPr>
          <w:color w:val="000000"/>
        </w:rPr>
      </w:pPr>
      <w:r>
        <w:tab/>
      </w:r>
      <w:r w:rsidRPr="00632484">
        <w:t xml:space="preserve">In evaluation of FIMC’s product quality, </w:t>
      </w:r>
      <w:r w:rsidR="009166D7">
        <w:t>we</w:t>
      </w:r>
      <w:r w:rsidRPr="00632484">
        <w:t xml:space="preserve"> reviewed the utility’s compliance with DEP’s primary and secondary drinking water quality standards. Primary standards protect public health, while secondary standards regulate contaminants that may impact the taste, odor, and color of drinking water. In August 2015, the utility conducted sampling of all primary and secondary water standards. On January 8, 2016, DEP informed the utility that it exceeded the maximum contaminant levels for total dissolved solids and sulfates, which are secondary standards, and requested additional testing within 14 days. DEP records do not show receipt of </w:t>
      </w:r>
      <w:r w:rsidRPr="00632484">
        <w:lastRenderedPageBreak/>
        <w:t xml:space="preserve">the additional testing; however, </w:t>
      </w:r>
      <w:r w:rsidRPr="00632484">
        <w:rPr>
          <w:color w:val="000000"/>
        </w:rPr>
        <w:t xml:space="preserve">DEP has elected to not pursue enforcement action against the utility. Testing for primary and secondary water standards are next due in August 2018. </w:t>
      </w:r>
    </w:p>
    <w:p w:rsidR="00632484" w:rsidRPr="00632484" w:rsidRDefault="00632484" w:rsidP="00632484">
      <w:pPr>
        <w:jc w:val="both"/>
        <w:rPr>
          <w:color w:val="000000"/>
        </w:rPr>
      </w:pPr>
      <w:r w:rsidRPr="00632484">
        <w:rPr>
          <w:color w:val="000000"/>
        </w:rPr>
        <w:t xml:space="preserve"> </w:t>
      </w:r>
    </w:p>
    <w:p w:rsidR="00632484" w:rsidRPr="00632484" w:rsidRDefault="00632484" w:rsidP="00632484">
      <w:pPr>
        <w:jc w:val="both"/>
        <w:rPr>
          <w:rFonts w:ascii="Arial" w:hAnsi="Arial" w:cs="Arial"/>
          <w:b/>
          <w:bCs/>
          <w:i/>
          <w:kern w:val="32"/>
          <w:szCs w:val="32"/>
        </w:rPr>
      </w:pPr>
      <w:r>
        <w:rPr>
          <w:color w:val="000000"/>
        </w:rPr>
        <w:tab/>
      </w:r>
      <w:r w:rsidRPr="00632484">
        <w:rPr>
          <w:color w:val="000000"/>
        </w:rPr>
        <w:t xml:space="preserve">Based on </w:t>
      </w:r>
      <w:r w:rsidR="009166D7">
        <w:rPr>
          <w:color w:val="000000"/>
        </w:rPr>
        <w:t>our</w:t>
      </w:r>
      <w:r w:rsidRPr="00632484">
        <w:rPr>
          <w:color w:val="000000"/>
        </w:rPr>
        <w:t xml:space="preserve"> review, t</w:t>
      </w:r>
      <w:r w:rsidRPr="00632484">
        <w:t>here we</w:t>
      </w:r>
      <w:r w:rsidR="009166D7">
        <w:t>re no complaints received by this</w:t>
      </w:r>
      <w:r w:rsidRPr="00632484">
        <w:t xml:space="preserve"> Commission, DEP, or FIMC concerning primary or secondary water standards. At the February 1, 2018 Customer Meeting, discussed below, customers did complain about the taste of FIMC’s water as well as water pressure. </w:t>
      </w:r>
      <w:r w:rsidRPr="00632484">
        <w:rPr>
          <w:color w:val="000000"/>
        </w:rPr>
        <w:t xml:space="preserve">Giving consideration to the exceedance of two secondary standards and the unresponsiveness to DEP’s request, </w:t>
      </w:r>
      <w:r w:rsidR="009166D7">
        <w:rPr>
          <w:color w:val="000000"/>
        </w:rPr>
        <w:t>we find</w:t>
      </w:r>
      <w:r w:rsidRPr="00632484">
        <w:rPr>
          <w:color w:val="000000"/>
        </w:rPr>
        <w:t xml:space="preserve"> that the quality of FIMC’s product sh</w:t>
      </w:r>
      <w:r w:rsidR="009166D7">
        <w:rPr>
          <w:color w:val="000000"/>
        </w:rPr>
        <w:t>all</w:t>
      </w:r>
      <w:r w:rsidRPr="00632484">
        <w:rPr>
          <w:color w:val="000000"/>
        </w:rPr>
        <w:t xml:space="preserve"> be considered marginal at this time. </w:t>
      </w:r>
      <w:r w:rsidR="009166D7">
        <w:rPr>
          <w:color w:val="000000"/>
        </w:rPr>
        <w:t>T</w:t>
      </w:r>
      <w:r w:rsidRPr="00632484">
        <w:t xml:space="preserve">he utility </w:t>
      </w:r>
      <w:r w:rsidR="009166D7">
        <w:t xml:space="preserve">shall </w:t>
      </w:r>
      <w:r w:rsidRPr="00632484">
        <w:t>file the results of its next primary and secondar</w:t>
      </w:r>
      <w:r w:rsidR="009166D7">
        <w:t>y water standards tests with this</w:t>
      </w:r>
      <w:r w:rsidRPr="00632484">
        <w:t xml:space="preserve"> Commission</w:t>
      </w:r>
      <w:r w:rsidR="00022C0C">
        <w:t xml:space="preserve"> in this docket</w:t>
      </w:r>
      <w:r w:rsidR="009166D7">
        <w:t xml:space="preserve"> by November 1, 2018</w:t>
      </w:r>
      <w:r w:rsidRPr="00632484">
        <w:t xml:space="preserve">. </w:t>
      </w:r>
      <w:r w:rsidR="009166D7">
        <w:t xml:space="preserve">If the results are unfavorable, </w:t>
      </w:r>
      <w:r w:rsidR="0069765B">
        <w:t>our</w:t>
      </w:r>
      <w:r w:rsidR="009166D7">
        <w:t xml:space="preserve"> staff will </w:t>
      </w:r>
      <w:r w:rsidR="00022C0C">
        <w:t>bring</w:t>
      </w:r>
      <w:r w:rsidR="009166D7">
        <w:t xml:space="preserve"> this item to </w:t>
      </w:r>
      <w:r w:rsidR="00001195">
        <w:t>this Commission</w:t>
      </w:r>
      <w:r w:rsidR="009166D7">
        <w:t xml:space="preserve"> by March 1, 2019, for further action.</w:t>
      </w:r>
    </w:p>
    <w:p w:rsidR="00632484" w:rsidRPr="00632484" w:rsidRDefault="00632484" w:rsidP="00632484">
      <w:pPr>
        <w:jc w:val="both"/>
      </w:pPr>
    </w:p>
    <w:p w:rsidR="00632484" w:rsidRDefault="00632484" w:rsidP="00D01935">
      <w:pPr>
        <w:jc w:val="both"/>
        <w:rPr>
          <w:color w:val="000000"/>
        </w:rPr>
      </w:pPr>
      <w:r>
        <w:tab/>
      </w:r>
      <w:r w:rsidRPr="00632484">
        <w:t>As discussed below, the utility’s operation of its wastewater treatment plant (WWTP) is subject to various environmental requirements such as permitting, testing, and discharge monitoring under the jurisdiction of DEP.</w:t>
      </w:r>
      <w:r w:rsidRPr="00632484">
        <w:rPr>
          <w:color w:val="000000"/>
        </w:rPr>
        <w:t xml:space="preserve"> Currently, it appears DEP has no violations or corrective orders pending against the utility concerning the treatment and disposal of domestic wastewater.</w:t>
      </w:r>
    </w:p>
    <w:p w:rsidR="00632484" w:rsidRDefault="00632484" w:rsidP="00632484">
      <w:pPr>
        <w:rPr>
          <w:color w:val="000000"/>
        </w:rPr>
      </w:pPr>
    </w:p>
    <w:p w:rsidR="00632484" w:rsidRDefault="00F84B96" w:rsidP="00632484">
      <w:pPr>
        <w:jc w:val="both"/>
        <w:rPr>
          <w:i/>
        </w:rPr>
      </w:pPr>
      <w:r>
        <w:rPr>
          <w:i/>
        </w:rPr>
        <w:t xml:space="preserve">B. </w:t>
      </w:r>
      <w:r w:rsidR="00632484" w:rsidRPr="00F84B96">
        <w:rPr>
          <w:i/>
        </w:rPr>
        <w:t>Utility’s Attempt to Address Customer Satisfaction</w:t>
      </w:r>
      <w:r w:rsidR="00632484" w:rsidRPr="00F84B96">
        <w:rPr>
          <w:i/>
        </w:rPr>
        <w:tab/>
      </w:r>
    </w:p>
    <w:p w:rsidR="00F84B96" w:rsidRPr="00F84B96" w:rsidRDefault="00F84B96" w:rsidP="00632484">
      <w:pPr>
        <w:jc w:val="both"/>
        <w:rPr>
          <w:i/>
        </w:rPr>
      </w:pPr>
    </w:p>
    <w:p w:rsidR="00632484" w:rsidRPr="00632484" w:rsidRDefault="00632484" w:rsidP="00632484">
      <w:pPr>
        <w:jc w:val="both"/>
      </w:pPr>
      <w:r>
        <w:tab/>
      </w:r>
      <w:r w:rsidR="009166D7">
        <w:t>We</w:t>
      </w:r>
      <w:r w:rsidRPr="00632484">
        <w:t xml:space="preserve"> reviewed </w:t>
      </w:r>
      <w:r w:rsidR="009166D7">
        <w:t>our</w:t>
      </w:r>
      <w:r w:rsidRPr="00632484">
        <w:t xml:space="preserve"> complaint records related to FIMC from July 1, 2012, through December 31, 2017, and found two complaints. One customer complained about a significant reduction in water pressure. During the time of the complaint, the utility was in the process of replacing its water tank due to a small leak. The complaint was satisfactorily resolved on September 12, 2014. The second complaint was a billing dispute in which the customer disputed the installation charges for a new meter. The utility’s response indicated that a main extension charge was included and improperly quoted to the customer. </w:t>
      </w:r>
      <w:r w:rsidR="0069765B">
        <w:t>Our</w:t>
      </w:r>
      <w:r w:rsidRPr="00632484">
        <w:t xml:space="preserve"> staff reviewed the tariff charges with the utility and the proper charges were determined. </w:t>
      </w:r>
      <w:r w:rsidRPr="00632484">
        <w:rPr>
          <w:color w:val="000000"/>
        </w:rPr>
        <w:t>T</w:t>
      </w:r>
      <w:r w:rsidRPr="00632484">
        <w:t>his complaint was also recorded by FIMC and is the only complaint recorded by the utility during the previously indicated timeframe.</w:t>
      </w:r>
    </w:p>
    <w:p w:rsidR="00632484" w:rsidRPr="00632484" w:rsidRDefault="00632484" w:rsidP="00632484">
      <w:pPr>
        <w:jc w:val="both"/>
      </w:pPr>
    </w:p>
    <w:p w:rsidR="00632484" w:rsidRPr="00632484" w:rsidRDefault="00632484" w:rsidP="00632484">
      <w:pPr>
        <w:jc w:val="both"/>
      </w:pPr>
      <w:r>
        <w:rPr>
          <w:color w:val="000000"/>
        </w:rPr>
        <w:tab/>
      </w:r>
      <w:r w:rsidR="009166D7">
        <w:rPr>
          <w:color w:val="000000"/>
        </w:rPr>
        <w:t>Our s</w:t>
      </w:r>
      <w:r w:rsidRPr="00632484">
        <w:rPr>
          <w:color w:val="000000"/>
        </w:rPr>
        <w:t>taff also requested a copy of any complaints against the utility filed with DEP for the test year and four years prior.</w:t>
      </w:r>
      <w:r w:rsidRPr="00632484">
        <w:t xml:space="preserve"> DEP responded that it received one complaint in 2014 concerning a tank leak. Based on DEP’s complaint log, a new tank was already ordered and is being installed. </w:t>
      </w:r>
    </w:p>
    <w:p w:rsidR="00632484" w:rsidRPr="00632484" w:rsidRDefault="00632484" w:rsidP="00632484">
      <w:pPr>
        <w:jc w:val="both"/>
      </w:pPr>
    </w:p>
    <w:p w:rsidR="00632484" w:rsidRPr="00632484" w:rsidRDefault="00632484" w:rsidP="00632484">
      <w:pPr>
        <w:jc w:val="both"/>
      </w:pPr>
      <w:r>
        <w:tab/>
      </w:r>
      <w:r w:rsidRPr="00632484">
        <w:t xml:space="preserve">A customer meeting was held in Chiefland on February 1, 2018. Approximately 43 customers attended the meeting and 11 spoke. The subject of the customers’ complaints included concerns about the taste of the water provided, emergency signage at FIMC’s lift station, the ability to contact the utility, and water pressure. </w:t>
      </w:r>
    </w:p>
    <w:p w:rsidR="00632484" w:rsidRPr="00632484" w:rsidRDefault="00632484" w:rsidP="00632484">
      <w:pPr>
        <w:jc w:val="both"/>
      </w:pPr>
    </w:p>
    <w:p w:rsidR="00632484" w:rsidRPr="00632484" w:rsidRDefault="00632484" w:rsidP="00632484">
      <w:pPr>
        <w:jc w:val="both"/>
      </w:pPr>
      <w:r>
        <w:tab/>
      </w:r>
      <w:r w:rsidRPr="00632484">
        <w:t xml:space="preserve">The utility consulted with the Florida Rural Water Association (FRWA) on February 19, 2018, to address the concerns regarding the taste of the water. FRWA recommended that the utility install a flushing valve. Following the utility’s meeting with FRWA, the utility identified </w:t>
      </w:r>
      <w:r w:rsidRPr="00632484">
        <w:lastRenderedPageBreak/>
        <w:t xml:space="preserve">and repaired an existing flushing valve. In response to </w:t>
      </w:r>
      <w:r w:rsidR="0069765B">
        <w:t>our</w:t>
      </w:r>
      <w:r w:rsidR="009166D7">
        <w:t xml:space="preserve"> </w:t>
      </w:r>
      <w:r w:rsidRPr="00632484">
        <w:t>staff</w:t>
      </w:r>
      <w:r w:rsidR="0069765B">
        <w:t>’s</w:t>
      </w:r>
      <w:r w:rsidRPr="00632484">
        <w:t xml:space="preserve"> data request the utility indicated that it would begin performing scheduled flushing. On March 5, 2018, FIMC provided </w:t>
      </w:r>
      <w:r w:rsidR="0069765B">
        <w:t>our</w:t>
      </w:r>
      <w:r w:rsidRPr="00632484">
        <w:t xml:space="preserve"> staff with photos of newly installed emergency signage at its lift station. The utility also provided a bill which has a contact number for FIMC’s operator and </w:t>
      </w:r>
      <w:r w:rsidR="009166D7">
        <w:t xml:space="preserve">our </w:t>
      </w:r>
      <w:r w:rsidRPr="00632484">
        <w:t xml:space="preserve">staff verified that the number on the bill is operative. With regard to the water pressure concerns, the utility represented that its operator offered to check the water pressure at the customers’ homes and the customers were not interested. Based on the above, </w:t>
      </w:r>
      <w:r w:rsidR="009166D7">
        <w:t>we find</w:t>
      </w:r>
      <w:r w:rsidRPr="00632484">
        <w:t xml:space="preserve"> that the utility is adequately attempting to address customer satisfaction. </w:t>
      </w:r>
    </w:p>
    <w:p w:rsidR="00632484" w:rsidRPr="00632484" w:rsidRDefault="00632484" w:rsidP="00632484">
      <w:pPr>
        <w:jc w:val="both"/>
        <w:rPr>
          <w:rFonts w:ascii="Arial" w:hAnsi="Arial" w:cs="Arial"/>
          <w:b/>
        </w:rPr>
      </w:pPr>
    </w:p>
    <w:p w:rsidR="00632484" w:rsidRDefault="00F84B96" w:rsidP="00632484">
      <w:pPr>
        <w:jc w:val="both"/>
        <w:rPr>
          <w:i/>
        </w:rPr>
      </w:pPr>
      <w:r>
        <w:rPr>
          <w:i/>
        </w:rPr>
        <w:t xml:space="preserve">C. </w:t>
      </w:r>
      <w:r w:rsidR="00632484" w:rsidRPr="00F84B96">
        <w:rPr>
          <w:i/>
        </w:rPr>
        <w:t>Operating Condition of Utility’s Plant and Facilities</w:t>
      </w:r>
    </w:p>
    <w:p w:rsidR="00F84B96" w:rsidRPr="00F84B96" w:rsidRDefault="00F84B96" w:rsidP="00632484">
      <w:pPr>
        <w:jc w:val="both"/>
        <w:rPr>
          <w:i/>
          <w:highlight w:val="yellow"/>
        </w:rPr>
      </w:pPr>
    </w:p>
    <w:p w:rsidR="00632484" w:rsidRPr="00632484" w:rsidRDefault="00632484" w:rsidP="00632484">
      <w:pPr>
        <w:jc w:val="both"/>
      </w:pPr>
      <w:r>
        <w:tab/>
      </w:r>
      <w:r w:rsidRPr="00632484">
        <w:t xml:space="preserve">FIMC’s service area is located in Chiefland, Florida, in Levy County and is within the Suwannee River Water Management District (SRWMD). The raw water source is ground water, which is obtained from two wells within the service area. The water treatment processing sequence is to pump raw water from the aquifer, inject calcium hypochlorite, store the treated water in a hydropneumatic tank, and distribute. DEP conducted a sanitary survey inspection of FIMC’s water treatment plant (WTP) on November 30, 2015. Based on information obtained during and following the inspection, the system was determined to be in compliance with DEP’s rules and regulations. The next sanitary survey is due to be performed in August 2018. </w:t>
      </w:r>
    </w:p>
    <w:p w:rsidR="00632484" w:rsidRPr="00632484" w:rsidRDefault="00632484" w:rsidP="00632484">
      <w:pPr>
        <w:jc w:val="both"/>
      </w:pPr>
    </w:p>
    <w:p w:rsidR="00632484" w:rsidRPr="00632484" w:rsidRDefault="00632484" w:rsidP="00632484">
      <w:pPr>
        <w:jc w:val="both"/>
      </w:pPr>
      <w:r>
        <w:tab/>
      </w:r>
      <w:r w:rsidRPr="00632484">
        <w:t>FIMC also operates an extended aeration WWTP. The treated effluent is discharged to groundwater via three rapid-rate infiltration basins. A wastewater inspection was conducted by DEP on April 26, 2016, and the facility was rated as in-compliance. As of April 1, 2018, there appear to be no compliance issues with respect to the condition of FIMC’s facilities.</w:t>
      </w:r>
    </w:p>
    <w:p w:rsidR="00632484" w:rsidRPr="00632484" w:rsidRDefault="00632484" w:rsidP="00632484">
      <w:pPr>
        <w:jc w:val="both"/>
      </w:pPr>
    </w:p>
    <w:p w:rsidR="00632484" w:rsidRDefault="00F84B96" w:rsidP="00632484">
      <w:pPr>
        <w:jc w:val="both"/>
        <w:rPr>
          <w:i/>
        </w:rPr>
      </w:pPr>
      <w:r>
        <w:rPr>
          <w:i/>
        </w:rPr>
        <w:t>D. Conclusion</w:t>
      </w:r>
    </w:p>
    <w:p w:rsidR="00F84B96" w:rsidRPr="00F84B96" w:rsidRDefault="00F84B96" w:rsidP="00632484">
      <w:pPr>
        <w:jc w:val="both"/>
      </w:pPr>
    </w:p>
    <w:p w:rsidR="00632484" w:rsidRPr="00632484" w:rsidRDefault="00632484" w:rsidP="00632484">
      <w:pPr>
        <w:spacing w:after="240"/>
        <w:jc w:val="both"/>
      </w:pPr>
      <w:r>
        <w:tab/>
      </w:r>
      <w:r w:rsidR="009166D7">
        <w:t>T</w:t>
      </w:r>
      <w:r w:rsidRPr="00632484">
        <w:t>he overall quality of service for FIMC sh</w:t>
      </w:r>
      <w:r w:rsidR="009166D7">
        <w:t>all</w:t>
      </w:r>
      <w:r w:rsidRPr="00632484">
        <w:t xml:space="preserve"> be considered marginal until the utility can sufficiently demonstrate that it meets DEP’s secondary water standards. </w:t>
      </w:r>
      <w:r w:rsidR="00022C0C" w:rsidRPr="00022C0C">
        <w:t>The utility shall file the results of its next primary and secondary water standards tests with this Commission in this docket by November 1, 2018. If the results are unfavorable, our staff will bring this item to this Commission by March 1, 2019, for further action.</w:t>
      </w:r>
    </w:p>
    <w:p w:rsidR="00632484" w:rsidRPr="00F84B96" w:rsidRDefault="00F84B96" w:rsidP="00632484">
      <w:pPr>
        <w:spacing w:after="240"/>
        <w:jc w:val="both"/>
        <w:rPr>
          <w:u w:val="single"/>
        </w:rPr>
      </w:pPr>
      <w:r>
        <w:rPr>
          <w:bCs/>
          <w:kern w:val="32"/>
          <w:szCs w:val="32"/>
          <w:u w:val="single"/>
        </w:rPr>
        <w:t>2. Used and Useful</w:t>
      </w:r>
      <w:r w:rsidR="009A70C3">
        <w:rPr>
          <w:bCs/>
          <w:kern w:val="32"/>
          <w:szCs w:val="32"/>
          <w:u w:val="single"/>
        </w:rPr>
        <w:t xml:space="preserve"> </w:t>
      </w:r>
      <w:r w:rsidR="009A70C3" w:rsidRPr="009A70C3">
        <w:rPr>
          <w:bCs/>
          <w:kern w:val="32"/>
          <w:szCs w:val="32"/>
          <w:u w:val="single"/>
        </w:rPr>
        <w:t>(U&amp;U)</w:t>
      </w:r>
    </w:p>
    <w:p w:rsidR="00632484" w:rsidRDefault="009166D7" w:rsidP="00F84B96">
      <w:pPr>
        <w:spacing w:after="240"/>
        <w:ind w:firstLine="720"/>
        <w:jc w:val="both"/>
        <w:outlineLvl w:val="1"/>
      </w:pPr>
      <w:r>
        <w:t>Historically this</w:t>
      </w:r>
      <w:r w:rsidR="00632484" w:rsidRPr="00632484">
        <w:t xml:space="preserve"> Commission has given consideration to previous rate cases when evaluating U&amp;U. In </w:t>
      </w:r>
      <w:r>
        <w:t>FIMC’s last rate case (1992) this</w:t>
      </w:r>
      <w:r w:rsidR="00632484" w:rsidRPr="00632484">
        <w:t xml:space="preserve"> Commission found the WTP and WWTP to be 100 percent U&amp;U. As discu</w:t>
      </w:r>
      <w:r>
        <w:t>ssed in the case background, this</w:t>
      </w:r>
      <w:r w:rsidR="00632484" w:rsidRPr="00632484">
        <w:t xml:space="preserve"> Commission approved a transfer of the Springside water and wastewater systems to FIMC in 2009. The systems, which are contiguous, were interconnected in 2013, and the Hideaway WTP and WWTP were subsequently abandoned. Therefore, the utility’s system has substantially changed since the last rate case.</w:t>
      </w:r>
    </w:p>
    <w:p w:rsidR="008D229D" w:rsidRDefault="008D229D" w:rsidP="00F84B96">
      <w:pPr>
        <w:spacing w:after="240"/>
        <w:ind w:firstLine="720"/>
        <w:jc w:val="both"/>
        <w:outlineLvl w:val="1"/>
      </w:pPr>
    </w:p>
    <w:p w:rsidR="008D229D" w:rsidRPr="00632484" w:rsidRDefault="008D229D" w:rsidP="00F84B96">
      <w:pPr>
        <w:spacing w:after="240"/>
        <w:ind w:firstLine="720"/>
        <w:jc w:val="both"/>
        <w:outlineLvl w:val="1"/>
      </w:pPr>
    </w:p>
    <w:p w:rsidR="00632484" w:rsidRDefault="00F84B96" w:rsidP="00632484">
      <w:pPr>
        <w:tabs>
          <w:tab w:val="left" w:pos="720"/>
        </w:tabs>
        <w:jc w:val="both"/>
        <w:rPr>
          <w:i/>
        </w:rPr>
      </w:pPr>
      <w:r>
        <w:rPr>
          <w:i/>
        </w:rPr>
        <w:lastRenderedPageBreak/>
        <w:t xml:space="preserve">A. </w:t>
      </w:r>
      <w:r w:rsidR="00632484" w:rsidRPr="00F84B96">
        <w:rPr>
          <w:i/>
        </w:rPr>
        <w:t>U</w:t>
      </w:r>
      <w:r w:rsidR="009166D7">
        <w:rPr>
          <w:i/>
        </w:rPr>
        <w:t>&amp;U</w:t>
      </w:r>
      <w:r w:rsidR="009A70C3">
        <w:rPr>
          <w:i/>
        </w:rPr>
        <w:t xml:space="preserve"> </w:t>
      </w:r>
      <w:r w:rsidR="00632484" w:rsidRPr="00F84B96">
        <w:rPr>
          <w:i/>
        </w:rPr>
        <w:t>Analysis</w:t>
      </w:r>
    </w:p>
    <w:p w:rsidR="00F84B96" w:rsidRPr="00F84B96" w:rsidRDefault="00F84B96" w:rsidP="00632484">
      <w:pPr>
        <w:tabs>
          <w:tab w:val="left" w:pos="720"/>
        </w:tabs>
        <w:jc w:val="both"/>
        <w:rPr>
          <w:i/>
        </w:rPr>
      </w:pPr>
    </w:p>
    <w:p w:rsidR="00632484" w:rsidRPr="00632484" w:rsidRDefault="00632484" w:rsidP="00632484">
      <w:pPr>
        <w:spacing w:after="240"/>
        <w:jc w:val="both"/>
        <w:outlineLvl w:val="1"/>
      </w:pPr>
      <w:r>
        <w:tab/>
      </w:r>
      <w:r w:rsidRPr="00632484">
        <w:t xml:space="preserve">Rule 25-30.4325, F.A.C., provides that a water treatment system is considered 100 percent U&amp;U if the service territory the system is designed to serve is built out and there is no apparent potential for expansion of the service territory. Rule 25-30.432, F.A.C., also requires </w:t>
      </w:r>
      <w:r w:rsidR="009166D7">
        <w:t>us</w:t>
      </w:r>
      <w:r w:rsidRPr="00632484">
        <w:t xml:space="preserve"> to consider the extent to which a service area is built out when determining the U&amp;U percentage of a utility’s WWTP.</w:t>
      </w:r>
    </w:p>
    <w:p w:rsidR="00632484" w:rsidRPr="00632484" w:rsidRDefault="00632484" w:rsidP="00632484">
      <w:pPr>
        <w:spacing w:after="240"/>
        <w:jc w:val="both"/>
        <w:outlineLvl w:val="1"/>
      </w:pPr>
      <w:r>
        <w:tab/>
      </w:r>
      <w:r w:rsidRPr="00632484">
        <w:t xml:space="preserve">Based on review of FIMC’s Annual Reports and </w:t>
      </w:r>
      <w:r w:rsidR="0069765B">
        <w:t>our</w:t>
      </w:r>
      <w:r w:rsidR="009166D7">
        <w:t xml:space="preserve"> </w:t>
      </w:r>
      <w:r w:rsidRPr="00632484">
        <w:t xml:space="preserve">staff’s Audit Report, FIMC serves approximately 197 water and wastewater customers. The utility represented to </w:t>
      </w:r>
      <w:r w:rsidR="0069765B">
        <w:t>our</w:t>
      </w:r>
      <w:r w:rsidRPr="00632484">
        <w:t xml:space="preserve"> staff that the community is close to being built out with only about five lots remaining available. On December 6, 2017, </w:t>
      </w:r>
      <w:r w:rsidR="0069765B">
        <w:t>our</w:t>
      </w:r>
      <w:r w:rsidRPr="00632484">
        <w:t xml:space="preserve"> staff conducted a site visit and noted that the five remaining lots are interspersed throughout FIMC’s service territory. </w:t>
      </w:r>
      <w:r w:rsidR="009166D7">
        <w:t>We also note</w:t>
      </w:r>
      <w:r w:rsidRPr="00632484">
        <w:t xml:space="preserve"> that there has been little growth, less than one equivalent residential customer (ERC) per year, over the past five years. Considering that there has been minimal growth in the utility’s service area in the past five years, and there appears to be no apparent potential for new development, </w:t>
      </w:r>
      <w:r w:rsidR="00357D2C">
        <w:t>we find</w:t>
      </w:r>
      <w:r w:rsidRPr="00632484">
        <w:t xml:space="preserve"> that FIMC’s WTP, WWTP, water distribution system, and wastewater collection system sh</w:t>
      </w:r>
      <w:r w:rsidR="00357D2C">
        <w:t>all</w:t>
      </w:r>
      <w:r w:rsidRPr="00632484">
        <w:t xml:space="preserve"> be considered 100 percent U&amp;U. </w:t>
      </w:r>
    </w:p>
    <w:p w:rsidR="00632484" w:rsidRDefault="00F84B96" w:rsidP="00632484">
      <w:pPr>
        <w:tabs>
          <w:tab w:val="left" w:pos="720"/>
        </w:tabs>
        <w:jc w:val="both"/>
        <w:rPr>
          <w:i/>
        </w:rPr>
      </w:pPr>
      <w:r>
        <w:rPr>
          <w:i/>
        </w:rPr>
        <w:t xml:space="preserve">B. </w:t>
      </w:r>
      <w:r w:rsidR="00632484" w:rsidRPr="00F84B96">
        <w:rPr>
          <w:i/>
        </w:rPr>
        <w:t>E</w:t>
      </w:r>
      <w:r w:rsidR="00357D2C">
        <w:rPr>
          <w:i/>
        </w:rPr>
        <w:t>xcessive Unaccounted for Water (EUW)</w:t>
      </w:r>
    </w:p>
    <w:p w:rsidR="00F84B96" w:rsidRPr="00F84B96" w:rsidRDefault="00F84B96" w:rsidP="00632484">
      <w:pPr>
        <w:tabs>
          <w:tab w:val="left" w:pos="720"/>
        </w:tabs>
        <w:jc w:val="both"/>
        <w:rPr>
          <w:i/>
        </w:rPr>
      </w:pPr>
    </w:p>
    <w:p w:rsidR="00632484" w:rsidRPr="00632484" w:rsidRDefault="00632484" w:rsidP="00632484">
      <w:pPr>
        <w:jc w:val="both"/>
      </w:pPr>
      <w:r>
        <w:tab/>
      </w:r>
      <w:r w:rsidRPr="00632484">
        <w:t xml:space="preserve">Rule 25-30.4325, F.A.C., describes EUW as unaccounted for water in excess of 10 percent of the amount produced. When establishing the rule, </w:t>
      </w:r>
      <w:r w:rsidR="00357D2C">
        <w:t>we</w:t>
      </w:r>
      <w:r w:rsidRPr="00632484">
        <w:t xml:space="preserve"> recognized that some uses of water are readily measurable and others are not. Unaccounted for water is all water that is produced that is not sold, metered, or accounted for in the records of the utility. The rule provides that to determine whether adjustments to plant and operating expenses, such as purchased electrical power and chemicals, are necessary, </w:t>
      </w:r>
      <w:r w:rsidR="00357D2C">
        <w:t>we</w:t>
      </w:r>
      <w:r w:rsidRPr="00632484">
        <w:t xml:space="preserve"> will consider all relevant factors as to the reason for EUW, solutions implemented to correct the problem, or whether a proposed solution is economically feasible. </w:t>
      </w:r>
    </w:p>
    <w:p w:rsidR="00632484" w:rsidRPr="00632484" w:rsidRDefault="00632484" w:rsidP="00632484">
      <w:pPr>
        <w:jc w:val="both"/>
      </w:pPr>
    </w:p>
    <w:p w:rsidR="00632484" w:rsidRPr="00632484" w:rsidRDefault="00632484" w:rsidP="00632484">
      <w:pPr>
        <w:jc w:val="both"/>
      </w:pPr>
      <w:r>
        <w:tab/>
      </w:r>
      <w:r w:rsidRPr="00632484">
        <w:t xml:space="preserve">Unaccounted for water is calculated by subtracting both the gallons used for other purposes, such as flushing, and the gallons sold to customers from the total gallons pumped for the test year. FIMC’s monthly operating reports (MORs) show that the utility treated 8,837,742 gallons of water during the test year, July 2016 through June 2017. Based on </w:t>
      </w:r>
      <w:r w:rsidR="00357D2C">
        <w:t>our</w:t>
      </w:r>
      <w:r w:rsidRPr="00632484">
        <w:t xml:space="preserve"> review of the billing records, the utility sold 5,322,340 gallons of water during the test year. The utility’s 2016 Annual Report identifies an additional 2,628,000 gallons as accounted for. In the response to </w:t>
      </w:r>
      <w:r w:rsidR="0069765B">
        <w:t xml:space="preserve">our </w:t>
      </w:r>
      <w:r w:rsidRPr="00632484">
        <w:t>staff</w:t>
      </w:r>
      <w:r w:rsidR="0069765B">
        <w:t>’s</w:t>
      </w:r>
      <w:r w:rsidRPr="00632484">
        <w:t xml:space="preserve"> data request, FIMC indicated that the accounted for gallonage is used to control foaming caused by fats, oils, grease, and other material introduced into the WWTP. </w:t>
      </w:r>
    </w:p>
    <w:p w:rsidR="00632484" w:rsidRPr="00632484" w:rsidRDefault="00632484" w:rsidP="00632484">
      <w:pPr>
        <w:jc w:val="both"/>
      </w:pPr>
    </w:p>
    <w:p w:rsidR="00632484" w:rsidRPr="00632484" w:rsidRDefault="00632484" w:rsidP="00632484">
      <w:pPr>
        <w:jc w:val="both"/>
      </w:pPr>
      <w:r>
        <w:tab/>
      </w:r>
      <w:r w:rsidRPr="00632484">
        <w:t xml:space="preserve">The amount of water sold and used for flushing was 7,950,340 (5,322,340  + 2,628,000) gallons. The amount of unaccounted for water is equal to the total treated gallons for the test year minus the total gallons accounted for, which is 887,402 (8,837,742 - 7,950,340) gallons. Ten percent of the treated water produced equates to 883,744 gallons. The EUW for water is 3,628 (887,402 - 883,774) gallons or 0.4 percent of the amount of the treated water produced for the </w:t>
      </w:r>
      <w:r w:rsidRPr="00632484">
        <w:lastRenderedPageBreak/>
        <w:t xml:space="preserve">year. </w:t>
      </w:r>
      <w:r w:rsidR="00357D2C">
        <w:t>N</w:t>
      </w:r>
      <w:r w:rsidRPr="00632484">
        <w:t xml:space="preserve">o adjustment </w:t>
      </w:r>
      <w:r w:rsidR="00357D2C">
        <w:t xml:space="preserve">shall </w:t>
      </w:r>
      <w:r w:rsidRPr="00632484">
        <w:t>be made to operating expenses for chemicals and purchased power due to EUW because the amount of EUW is minimal (less than half of a percent).</w:t>
      </w:r>
    </w:p>
    <w:p w:rsidR="00632484" w:rsidRPr="00632484" w:rsidRDefault="00632484" w:rsidP="00632484">
      <w:pPr>
        <w:jc w:val="both"/>
      </w:pPr>
    </w:p>
    <w:p w:rsidR="00632484" w:rsidRDefault="00F84B96" w:rsidP="00632484">
      <w:pPr>
        <w:jc w:val="both"/>
        <w:rPr>
          <w:i/>
        </w:rPr>
      </w:pPr>
      <w:r>
        <w:rPr>
          <w:i/>
        </w:rPr>
        <w:t xml:space="preserve">C. </w:t>
      </w:r>
      <w:r w:rsidR="00632484" w:rsidRPr="00F84B96">
        <w:rPr>
          <w:i/>
        </w:rPr>
        <w:t>Inflow &amp; Infiltration</w:t>
      </w:r>
      <w:r w:rsidR="00357D2C">
        <w:rPr>
          <w:i/>
        </w:rPr>
        <w:t xml:space="preserve"> (I&amp;I)</w:t>
      </w:r>
    </w:p>
    <w:p w:rsidR="00F84B96" w:rsidRPr="00F84B96" w:rsidRDefault="00F84B96" w:rsidP="00632484">
      <w:pPr>
        <w:jc w:val="both"/>
        <w:rPr>
          <w:i/>
        </w:rPr>
      </w:pPr>
    </w:p>
    <w:p w:rsidR="00632484" w:rsidRPr="00632484" w:rsidRDefault="00632484" w:rsidP="00632484">
      <w:pPr>
        <w:jc w:val="both"/>
      </w:pPr>
      <w:r>
        <w:tab/>
      </w:r>
      <w:r w:rsidRPr="00632484">
        <w:t xml:space="preserve">Rule 25-30.432, F.A.C., provides that in determining the amount of U&amp;U plant, </w:t>
      </w:r>
      <w:r w:rsidR="007436C6">
        <w:t>we</w:t>
      </w:r>
      <w:r w:rsidRPr="00632484">
        <w:t xml:space="preserve"> will consider I&amp;I. Infiltration occurs from groundwater entering a wastewater collection system through broken or defective pipes and joints; whereas, inflow results from water entering a wastewater collection system through manholes or lift stations. The allowance for infiltration is 500 gallons per day, per inch diameter pipe per mile. An amount equal to 10 percent of water sold is allowed for inflow. Excessive I&amp;I is a calculation that is based on a comparison of the allowable wastewater treated to the actual amount of wastewater treated.</w:t>
      </w:r>
    </w:p>
    <w:p w:rsidR="00632484" w:rsidRPr="00632484" w:rsidRDefault="00632484" w:rsidP="00632484">
      <w:pPr>
        <w:jc w:val="both"/>
      </w:pPr>
    </w:p>
    <w:p w:rsidR="00632484" w:rsidRPr="00632484" w:rsidRDefault="00632484" w:rsidP="00632484">
      <w:pPr>
        <w:jc w:val="both"/>
      </w:pPr>
      <w:r>
        <w:tab/>
      </w:r>
      <w:r w:rsidRPr="00632484">
        <w:t xml:space="preserve">The utility’s SARC application states that the collection system is a composite network of approximately 6,475 linear feet in the Hideaway subdivision and 4,960 linear feet in the Springside subdivision of various 2, 4, and 6 inch cast iron and PVC piping. The utility could not designate the length for each diameter of pipe; therefore, </w:t>
      </w:r>
      <w:r w:rsidR="007436C6">
        <w:t>we</w:t>
      </w:r>
      <w:r w:rsidRPr="00632484">
        <w:t xml:space="preserve"> used 4 inches as the average diameter for the piping. The infiltration calculation equates to 4,331 gpd ((4 inches x 500 gpd x (11,435 ft/5,280 ft)) x 365 days) or 1,580,975 gallons per year (gpy). Billing data for FIMC indicates 4,624,180 gallons were sold during the test year. Therefore, the allowance for inflow is 462,418 gpy (4,624,180 x 10 percent). Based on the calculation above, the total I&amp;I allowance is 2,043,393 (1,580,975  + 462,418) gallons for the test year. </w:t>
      </w:r>
    </w:p>
    <w:p w:rsidR="00632484" w:rsidRPr="00632484" w:rsidRDefault="00632484" w:rsidP="00632484">
      <w:pPr>
        <w:jc w:val="both"/>
      </w:pPr>
    </w:p>
    <w:p w:rsidR="00632484" w:rsidRDefault="00632484" w:rsidP="00632484">
      <w:pPr>
        <w:jc w:val="both"/>
      </w:pPr>
      <w:r>
        <w:tab/>
      </w:r>
      <w:r w:rsidRPr="00632484">
        <w:t>Eighty percent of water sold is expected to flow to the WWTP; therefore, the estimated return of water sold is 3,699,344 (4,624,180 x 80 percent) gallons for the test year. The total estimated I&amp;I is the amount of wastewater treated minus estimated water returned. Based on the total water treated, identified in the utility’s discharge monitoring reports filed with DEP, and the estimated water returned, FIMC’s total estimated I&amp;I equals (4,746,000 – 3,699,344) 1,046,656 gallons. Excessive I&amp;I is the estimated I&amp;I minus the total I&amp;I allowance (1,046,656 - 2,043,393). The resulting value, which is negative, indicates that there was no excessive I&amp;I for the test year of July 2016 through June 2017.</w:t>
      </w:r>
    </w:p>
    <w:p w:rsidR="00632484" w:rsidRDefault="00632484" w:rsidP="00632484">
      <w:pPr>
        <w:jc w:val="both"/>
      </w:pPr>
    </w:p>
    <w:p w:rsidR="00632484" w:rsidRDefault="00F84B96" w:rsidP="00632484">
      <w:pPr>
        <w:jc w:val="both"/>
        <w:rPr>
          <w:i/>
        </w:rPr>
      </w:pPr>
      <w:r>
        <w:rPr>
          <w:i/>
        </w:rPr>
        <w:t xml:space="preserve">D. </w:t>
      </w:r>
      <w:r w:rsidR="00632484" w:rsidRPr="00F84B96">
        <w:rPr>
          <w:i/>
        </w:rPr>
        <w:t>Conclusion</w:t>
      </w:r>
    </w:p>
    <w:p w:rsidR="00F84B96" w:rsidRPr="00F84B96" w:rsidRDefault="00F84B96" w:rsidP="00632484">
      <w:pPr>
        <w:jc w:val="both"/>
        <w:rPr>
          <w:i/>
        </w:rPr>
      </w:pPr>
    </w:p>
    <w:p w:rsidR="00632484" w:rsidRPr="00632484" w:rsidRDefault="00632484" w:rsidP="00632484">
      <w:pPr>
        <w:spacing w:after="240"/>
        <w:jc w:val="both"/>
      </w:pPr>
      <w:r>
        <w:tab/>
      </w:r>
      <w:r w:rsidRPr="00632484">
        <w:t>FIMC’s WTP, WWTP, water distribution system, and wastewater collection system sh</w:t>
      </w:r>
      <w:r w:rsidR="007436C6">
        <w:t>all</w:t>
      </w:r>
      <w:r w:rsidRPr="00632484">
        <w:t xml:space="preserve"> be considered 100 percent U&amp;U. </w:t>
      </w:r>
      <w:r w:rsidR="007436C6">
        <w:t>A</w:t>
      </w:r>
      <w:r w:rsidRPr="00632484">
        <w:t>dditionally</w:t>
      </w:r>
      <w:r w:rsidR="007436C6">
        <w:t>,</w:t>
      </w:r>
      <w:r w:rsidRPr="00632484">
        <w:t xml:space="preserve"> no adjustment </w:t>
      </w:r>
      <w:r w:rsidR="007436C6">
        <w:t xml:space="preserve">shall </w:t>
      </w:r>
      <w:r w:rsidRPr="00632484">
        <w:t>be made to purchased power and chemical expenses for EUW or I&amp;I.</w:t>
      </w:r>
    </w:p>
    <w:p w:rsidR="00632484" w:rsidRPr="00F84B96" w:rsidRDefault="00F84B96" w:rsidP="00632484">
      <w:pPr>
        <w:spacing w:after="240"/>
        <w:jc w:val="both"/>
        <w:rPr>
          <w:u w:val="single"/>
        </w:rPr>
      </w:pPr>
      <w:r>
        <w:rPr>
          <w:bCs/>
          <w:kern w:val="32"/>
          <w:szCs w:val="32"/>
          <w:u w:val="single"/>
        </w:rPr>
        <w:t>3. Rate Base</w:t>
      </w:r>
    </w:p>
    <w:p w:rsidR="00632484" w:rsidRPr="00632484" w:rsidRDefault="00632484" w:rsidP="00F84B96">
      <w:pPr>
        <w:spacing w:after="240"/>
        <w:ind w:firstLine="720"/>
        <w:jc w:val="both"/>
        <w:outlineLvl w:val="1"/>
      </w:pPr>
      <w:r w:rsidRPr="00632484">
        <w:t xml:space="preserve">The appropriate components of the utility’s rate base include utility plant in service, land, contributions-in-aid-of-construction (CIAC), accumulated depreciation, amortization of CIAC, and working capital. Rate base was last established for FIMC Hideaway systems as of December </w:t>
      </w:r>
      <w:r w:rsidRPr="00632484">
        <w:lastRenderedPageBreak/>
        <w:t>2003,</w:t>
      </w:r>
      <w:r w:rsidRPr="00632484">
        <w:rPr>
          <w:vertAlign w:val="superscript"/>
        </w:rPr>
        <w:footnoteReference w:id="6"/>
      </w:r>
      <w:r w:rsidRPr="00632484">
        <w:t xml:space="preserve"> whereas Springside’s net book value was last established in 2009.</w:t>
      </w:r>
      <w:r w:rsidRPr="00632484">
        <w:rPr>
          <w:vertAlign w:val="superscript"/>
        </w:rPr>
        <w:footnoteReference w:id="7"/>
      </w:r>
      <w:r w:rsidRPr="00632484">
        <w:t xml:space="preserve"> The test year ended June 30, 2017, was used for the instant case. For ratemaking purposes, the utility has requested that its Hideaway water and wastewater systems be combined with its Springside water and wastewater systems. </w:t>
      </w:r>
      <w:r w:rsidR="007436C6">
        <w:t>We find that</w:t>
      </w:r>
      <w:r w:rsidRPr="00632484">
        <w:t xml:space="preserve"> this is appropriate since Hideaway and Springside customers are currently served by a single, shared water plant and a single, shared wastewater treatment plant. A summary of each component of rate base and the recommended adjustments are discussed below.</w:t>
      </w:r>
    </w:p>
    <w:p w:rsidR="00632484" w:rsidRDefault="009A70C3" w:rsidP="00632484">
      <w:pPr>
        <w:jc w:val="both"/>
        <w:outlineLvl w:val="3"/>
        <w:rPr>
          <w:bCs/>
          <w:i/>
          <w:iCs/>
          <w:szCs w:val="28"/>
        </w:rPr>
      </w:pPr>
      <w:r>
        <w:rPr>
          <w:bCs/>
          <w:i/>
          <w:iCs/>
          <w:szCs w:val="28"/>
        </w:rPr>
        <w:t xml:space="preserve">A. </w:t>
      </w:r>
      <w:r w:rsidR="00632484" w:rsidRPr="009A70C3">
        <w:rPr>
          <w:bCs/>
          <w:i/>
          <w:iCs/>
          <w:szCs w:val="28"/>
        </w:rPr>
        <w:t>Utility Plant in Service (UPIS)</w:t>
      </w:r>
    </w:p>
    <w:p w:rsidR="009A70C3" w:rsidRPr="009A70C3" w:rsidRDefault="009A70C3" w:rsidP="00632484">
      <w:pPr>
        <w:jc w:val="both"/>
        <w:outlineLvl w:val="3"/>
        <w:rPr>
          <w:bCs/>
          <w:i/>
          <w:iCs/>
          <w:szCs w:val="28"/>
        </w:rPr>
      </w:pPr>
    </w:p>
    <w:p w:rsidR="00632484" w:rsidRPr="00632484" w:rsidRDefault="00632484" w:rsidP="00632484">
      <w:pPr>
        <w:autoSpaceDE w:val="0"/>
        <w:autoSpaceDN w:val="0"/>
        <w:adjustRightInd w:val="0"/>
        <w:jc w:val="both"/>
      </w:pPr>
      <w:r>
        <w:tab/>
      </w:r>
      <w:r w:rsidRPr="00632484">
        <w:t xml:space="preserve">The utility recorded UPIS of $251,809 for water and $322,029 for wastewater. </w:t>
      </w:r>
      <w:r w:rsidR="007436C6">
        <w:t>We</w:t>
      </w:r>
      <w:r w:rsidRPr="00632484">
        <w:t xml:space="preserve"> reduced water UPIS by $7,502 and increased wastewater UPIS by $2,761 to reflect appropriate plant balances as identified in the </w:t>
      </w:r>
      <w:r w:rsidR="0069765B">
        <w:t>our</w:t>
      </w:r>
      <w:r w:rsidR="00D161A4">
        <w:t xml:space="preserve"> </w:t>
      </w:r>
      <w:r w:rsidRPr="00632484">
        <w:t>staff</w:t>
      </w:r>
      <w:r w:rsidR="0069765B">
        <w:t>’s</w:t>
      </w:r>
      <w:r w:rsidRPr="00632484">
        <w:t xml:space="preserve"> audit. </w:t>
      </w:r>
      <w:r w:rsidRPr="00632484">
        <w:rPr>
          <w:rFonts w:cs="Calibri"/>
        </w:rPr>
        <w:t xml:space="preserve">In response to </w:t>
      </w:r>
      <w:r w:rsidR="0069765B">
        <w:rPr>
          <w:rFonts w:cs="Calibri"/>
        </w:rPr>
        <w:t>our</w:t>
      </w:r>
      <w:r w:rsidR="00D161A4">
        <w:rPr>
          <w:rFonts w:cs="Calibri"/>
        </w:rPr>
        <w:t xml:space="preserve"> </w:t>
      </w:r>
      <w:r w:rsidRPr="00632484">
        <w:rPr>
          <w:rFonts w:cs="Calibri"/>
        </w:rPr>
        <w:t xml:space="preserve">staff’s First Data Request, the utility requested two post test year items be considered as pro forma. </w:t>
      </w:r>
      <w:r w:rsidR="00D161A4">
        <w:rPr>
          <w:rFonts w:cs="Calibri"/>
        </w:rPr>
        <w:t>O</w:t>
      </w:r>
      <w:r w:rsidRPr="00632484">
        <w:rPr>
          <w:rFonts w:cs="Calibri"/>
        </w:rPr>
        <w:t>nly one item, a $2,000 replacement of 40-50 feet of PVC pipe with galvanized pipe for the wastewater treatment plant sh</w:t>
      </w:r>
      <w:r w:rsidR="00D161A4">
        <w:rPr>
          <w:rFonts w:cs="Calibri"/>
        </w:rPr>
        <w:t>all</w:t>
      </w:r>
      <w:r w:rsidRPr="00632484">
        <w:rPr>
          <w:rFonts w:cs="Calibri"/>
        </w:rPr>
        <w:t xml:space="preserve"> be considered at this time. </w:t>
      </w:r>
      <w:r w:rsidR="00D161A4">
        <w:rPr>
          <w:rFonts w:cs="Calibri"/>
        </w:rPr>
        <w:t>We</w:t>
      </w:r>
      <w:r w:rsidRPr="00632484">
        <w:rPr>
          <w:rFonts w:cs="Calibri"/>
        </w:rPr>
        <w:t xml:space="preserve"> included this project in </w:t>
      </w:r>
      <w:r w:rsidR="00D161A4">
        <w:rPr>
          <w:rFonts w:cs="Calibri"/>
        </w:rPr>
        <w:t>our</w:t>
      </w:r>
      <w:r w:rsidRPr="00632484">
        <w:rPr>
          <w:rFonts w:cs="Calibri"/>
        </w:rPr>
        <w:t xml:space="preserve"> rate base calculation. </w:t>
      </w:r>
      <w:r w:rsidRPr="00632484">
        <w:t xml:space="preserve">Since no original cost invoices were available, </w:t>
      </w:r>
      <w:r w:rsidR="00D161A4">
        <w:t xml:space="preserve">we used </w:t>
      </w:r>
      <w:r w:rsidRPr="00632484">
        <w:t xml:space="preserve">75 percent of the cost of the replacement as the retirement value. This is consistent with </w:t>
      </w:r>
      <w:r w:rsidR="00D161A4">
        <w:t xml:space="preserve">this </w:t>
      </w:r>
      <w:r w:rsidRPr="00632484">
        <w:t>Commission</w:t>
      </w:r>
      <w:r w:rsidR="00D161A4">
        <w:t>’s</w:t>
      </w:r>
      <w:r w:rsidRPr="00632484">
        <w:t xml:space="preserve"> practice. As such, </w:t>
      </w:r>
      <w:r w:rsidR="00D161A4">
        <w:t>we</w:t>
      </w:r>
      <w:r w:rsidRPr="00632484">
        <w:t xml:space="preserve"> utilized $1,500 ($2,000 x 75 percent) for the retirement associated with this project. The net increase to UPIS is $500 ($2,000 - $1,500). </w:t>
      </w:r>
      <w:r w:rsidRPr="00632484">
        <w:rPr>
          <w:rFonts w:cs="Calibri"/>
        </w:rPr>
        <w:t xml:space="preserve">A second item, which totaled approximately $2,700, was not included in wastewater UPIS as it appeared to be related to a customer conversion from septic to sewer. As shown in Table 1, the net increase to wastewater UPIS to reflect the pro forma line replacement is $500, which includes the associated retirements </w:t>
      </w:r>
      <w:r w:rsidR="00D161A4">
        <w:rPr>
          <w:rFonts w:cs="Calibri"/>
        </w:rPr>
        <w:t xml:space="preserve">we </w:t>
      </w:r>
      <w:r w:rsidRPr="00632484">
        <w:rPr>
          <w:rFonts w:cs="Calibri"/>
        </w:rPr>
        <w:t xml:space="preserve">estimated based on the utility’s available records. </w:t>
      </w:r>
      <w:r w:rsidRPr="00632484">
        <w:t xml:space="preserve">Based on the plant addition described above, </w:t>
      </w:r>
      <w:r w:rsidR="00D161A4">
        <w:t>we find</w:t>
      </w:r>
      <w:r w:rsidRPr="00632484">
        <w:t xml:space="preserve"> the following adjustments sh</w:t>
      </w:r>
      <w:r w:rsidR="00D161A4">
        <w:t>all</w:t>
      </w:r>
      <w:r w:rsidRPr="00632484">
        <w:t xml:space="preserve"> be made:</w:t>
      </w:r>
    </w:p>
    <w:p w:rsidR="00632484" w:rsidRPr="00632484" w:rsidRDefault="00632484" w:rsidP="00632484">
      <w:pPr>
        <w:jc w:val="both"/>
        <w:rPr>
          <w:rFonts w:ascii="Arial" w:hAnsi="Arial" w:cs="Arial"/>
        </w:rPr>
      </w:pPr>
    </w:p>
    <w:p w:rsidR="00632484" w:rsidRPr="009A70C3" w:rsidRDefault="00632484" w:rsidP="00632484">
      <w:pPr>
        <w:autoSpaceDE w:val="0"/>
        <w:autoSpaceDN w:val="0"/>
        <w:adjustRightInd w:val="0"/>
        <w:jc w:val="center"/>
        <w:rPr>
          <w:b/>
        </w:rPr>
      </w:pPr>
      <w:r w:rsidRPr="009A70C3">
        <w:rPr>
          <w:b/>
        </w:rPr>
        <w:t>Table 1</w:t>
      </w:r>
    </w:p>
    <w:p w:rsidR="00632484" w:rsidRPr="009A70C3" w:rsidRDefault="00632484" w:rsidP="00632484">
      <w:pPr>
        <w:autoSpaceDE w:val="0"/>
        <w:autoSpaceDN w:val="0"/>
        <w:adjustRightInd w:val="0"/>
        <w:jc w:val="center"/>
        <w:rPr>
          <w:b/>
        </w:rPr>
      </w:pPr>
      <w:r w:rsidRPr="009A70C3">
        <w:rPr>
          <w:b/>
        </w:rPr>
        <w:t>Pro Forma Wastewater Plant Adjustments</w:t>
      </w:r>
    </w:p>
    <w:tbl>
      <w:tblPr>
        <w:tblStyle w:val="TableGrid"/>
        <w:tblW w:w="0" w:type="auto"/>
        <w:jc w:val="center"/>
        <w:tblInd w:w="276" w:type="dxa"/>
        <w:tblLook w:val="04A0" w:firstRow="1" w:lastRow="0" w:firstColumn="1" w:lastColumn="0" w:noHBand="0" w:noVBand="1"/>
      </w:tblPr>
      <w:tblGrid>
        <w:gridCol w:w="3611"/>
        <w:gridCol w:w="996"/>
        <w:gridCol w:w="996"/>
        <w:gridCol w:w="996"/>
        <w:gridCol w:w="1066"/>
        <w:gridCol w:w="1080"/>
      </w:tblGrid>
      <w:tr w:rsidR="00632484" w:rsidRPr="008D625E" w:rsidTr="00C36A5B">
        <w:trPr>
          <w:jc w:val="center"/>
        </w:trPr>
        <w:tc>
          <w:tcPr>
            <w:tcW w:w="3611" w:type="dxa"/>
            <w:vAlign w:val="bottom"/>
          </w:tcPr>
          <w:p w:rsidR="00632484" w:rsidRPr="007D490B" w:rsidRDefault="00632484" w:rsidP="00C36A5B">
            <w:pPr>
              <w:autoSpaceDE w:val="0"/>
              <w:autoSpaceDN w:val="0"/>
              <w:adjustRightInd w:val="0"/>
              <w:jc w:val="center"/>
              <w:rPr>
                <w:b/>
              </w:rPr>
            </w:pPr>
            <w:r w:rsidRPr="007D490B">
              <w:rPr>
                <w:b/>
              </w:rPr>
              <w:t>Description</w:t>
            </w:r>
          </w:p>
        </w:tc>
        <w:tc>
          <w:tcPr>
            <w:tcW w:w="996" w:type="dxa"/>
          </w:tcPr>
          <w:p w:rsidR="00632484" w:rsidRDefault="00632484" w:rsidP="00C36A5B">
            <w:pPr>
              <w:autoSpaceDE w:val="0"/>
              <w:autoSpaceDN w:val="0"/>
              <w:adjustRightInd w:val="0"/>
              <w:jc w:val="center"/>
              <w:rPr>
                <w:b/>
              </w:rPr>
            </w:pPr>
            <w:r>
              <w:rPr>
                <w:b/>
              </w:rPr>
              <w:t>Acct.</w:t>
            </w:r>
          </w:p>
          <w:p w:rsidR="00632484" w:rsidRPr="007D490B" w:rsidRDefault="00632484" w:rsidP="00C36A5B">
            <w:pPr>
              <w:autoSpaceDE w:val="0"/>
              <w:autoSpaceDN w:val="0"/>
              <w:adjustRightInd w:val="0"/>
              <w:jc w:val="center"/>
              <w:rPr>
                <w:b/>
              </w:rPr>
            </w:pPr>
            <w:r>
              <w:rPr>
                <w:b/>
              </w:rPr>
              <w:t>No.</w:t>
            </w:r>
          </w:p>
        </w:tc>
        <w:tc>
          <w:tcPr>
            <w:tcW w:w="996" w:type="dxa"/>
          </w:tcPr>
          <w:p w:rsidR="00632484" w:rsidRDefault="00632484" w:rsidP="00C36A5B">
            <w:pPr>
              <w:autoSpaceDE w:val="0"/>
              <w:autoSpaceDN w:val="0"/>
              <w:adjustRightInd w:val="0"/>
              <w:jc w:val="center"/>
              <w:rPr>
                <w:b/>
              </w:rPr>
            </w:pPr>
          </w:p>
          <w:p w:rsidR="00632484" w:rsidRPr="007D490B" w:rsidRDefault="00632484" w:rsidP="00C36A5B">
            <w:pPr>
              <w:autoSpaceDE w:val="0"/>
              <w:autoSpaceDN w:val="0"/>
              <w:adjustRightInd w:val="0"/>
              <w:jc w:val="center"/>
              <w:rPr>
                <w:b/>
              </w:rPr>
            </w:pPr>
            <w:r>
              <w:rPr>
                <w:b/>
              </w:rPr>
              <w:t>UPIS</w:t>
            </w:r>
          </w:p>
        </w:tc>
        <w:tc>
          <w:tcPr>
            <w:tcW w:w="996" w:type="dxa"/>
          </w:tcPr>
          <w:p w:rsidR="00632484" w:rsidRPr="007D490B" w:rsidRDefault="00632484" w:rsidP="00C36A5B">
            <w:pPr>
              <w:autoSpaceDE w:val="0"/>
              <w:autoSpaceDN w:val="0"/>
              <w:adjustRightInd w:val="0"/>
              <w:jc w:val="center"/>
              <w:rPr>
                <w:b/>
              </w:rPr>
            </w:pPr>
            <w:r w:rsidRPr="007D490B">
              <w:rPr>
                <w:b/>
              </w:rPr>
              <w:t>Accum. Depr.</w:t>
            </w:r>
          </w:p>
        </w:tc>
        <w:tc>
          <w:tcPr>
            <w:tcW w:w="1066" w:type="dxa"/>
          </w:tcPr>
          <w:p w:rsidR="00632484" w:rsidRPr="007D490B" w:rsidRDefault="00632484" w:rsidP="00C36A5B">
            <w:pPr>
              <w:autoSpaceDE w:val="0"/>
              <w:autoSpaceDN w:val="0"/>
              <w:adjustRightInd w:val="0"/>
              <w:jc w:val="center"/>
              <w:rPr>
                <w:b/>
              </w:rPr>
            </w:pPr>
            <w:r w:rsidRPr="007D490B">
              <w:rPr>
                <w:b/>
              </w:rPr>
              <w:t>Depr. Exp.</w:t>
            </w:r>
          </w:p>
        </w:tc>
        <w:tc>
          <w:tcPr>
            <w:tcW w:w="1080" w:type="dxa"/>
          </w:tcPr>
          <w:p w:rsidR="00632484" w:rsidRPr="007D490B" w:rsidRDefault="00632484" w:rsidP="00C36A5B">
            <w:pPr>
              <w:autoSpaceDE w:val="0"/>
              <w:autoSpaceDN w:val="0"/>
              <w:adjustRightInd w:val="0"/>
              <w:jc w:val="center"/>
              <w:rPr>
                <w:b/>
              </w:rPr>
            </w:pPr>
            <w:r w:rsidRPr="007D490B">
              <w:rPr>
                <w:b/>
              </w:rPr>
              <w:t>Prop. Taxes</w:t>
            </w:r>
          </w:p>
        </w:tc>
      </w:tr>
      <w:tr w:rsidR="00632484" w:rsidRPr="008D625E" w:rsidTr="00C36A5B">
        <w:trPr>
          <w:trHeight w:val="305"/>
          <w:jc w:val="center"/>
        </w:trPr>
        <w:tc>
          <w:tcPr>
            <w:tcW w:w="3611" w:type="dxa"/>
            <w:vAlign w:val="center"/>
          </w:tcPr>
          <w:p w:rsidR="00632484" w:rsidRPr="008D625E" w:rsidRDefault="00632484" w:rsidP="00C36A5B">
            <w:pPr>
              <w:autoSpaceDE w:val="0"/>
              <w:autoSpaceDN w:val="0"/>
              <w:adjustRightInd w:val="0"/>
            </w:pPr>
            <w:r w:rsidRPr="00632484">
              <w:rPr>
                <w:rFonts w:cs="Calibri"/>
                <w:bCs/>
              </w:rPr>
              <w:t xml:space="preserve">WWTP Line Replacement </w:t>
            </w:r>
          </w:p>
        </w:tc>
        <w:tc>
          <w:tcPr>
            <w:tcW w:w="996" w:type="dxa"/>
            <w:vAlign w:val="center"/>
          </w:tcPr>
          <w:p w:rsidR="00632484" w:rsidRPr="008D625E" w:rsidRDefault="00632484" w:rsidP="00C36A5B">
            <w:pPr>
              <w:autoSpaceDE w:val="0"/>
              <w:autoSpaceDN w:val="0"/>
              <w:adjustRightInd w:val="0"/>
              <w:jc w:val="center"/>
            </w:pPr>
            <w:r>
              <w:t>361</w:t>
            </w:r>
          </w:p>
        </w:tc>
        <w:tc>
          <w:tcPr>
            <w:tcW w:w="996" w:type="dxa"/>
            <w:vAlign w:val="center"/>
          </w:tcPr>
          <w:p w:rsidR="00632484" w:rsidRPr="008D625E" w:rsidRDefault="00632484" w:rsidP="00C36A5B">
            <w:pPr>
              <w:autoSpaceDE w:val="0"/>
              <w:autoSpaceDN w:val="0"/>
              <w:adjustRightInd w:val="0"/>
              <w:jc w:val="right"/>
            </w:pPr>
            <w:r>
              <w:t>$500</w:t>
            </w:r>
          </w:p>
        </w:tc>
        <w:tc>
          <w:tcPr>
            <w:tcW w:w="996" w:type="dxa"/>
            <w:vAlign w:val="center"/>
          </w:tcPr>
          <w:p w:rsidR="00632484" w:rsidRPr="008D625E" w:rsidRDefault="00632484" w:rsidP="00C36A5B">
            <w:pPr>
              <w:autoSpaceDE w:val="0"/>
              <w:autoSpaceDN w:val="0"/>
              <w:adjustRightInd w:val="0"/>
              <w:jc w:val="right"/>
            </w:pPr>
            <w:r w:rsidRPr="008D625E">
              <w:t>$1,4</w:t>
            </w:r>
            <w:r>
              <w:t>50</w:t>
            </w:r>
          </w:p>
        </w:tc>
        <w:tc>
          <w:tcPr>
            <w:tcW w:w="1066" w:type="dxa"/>
            <w:vAlign w:val="center"/>
          </w:tcPr>
          <w:p w:rsidR="00632484" w:rsidRPr="008D625E" w:rsidRDefault="00632484" w:rsidP="00C36A5B">
            <w:pPr>
              <w:autoSpaceDE w:val="0"/>
              <w:autoSpaceDN w:val="0"/>
              <w:adjustRightInd w:val="0"/>
              <w:jc w:val="right"/>
            </w:pPr>
            <w:r w:rsidRPr="008D625E">
              <w:t>$13</w:t>
            </w:r>
          </w:p>
        </w:tc>
        <w:tc>
          <w:tcPr>
            <w:tcW w:w="1080" w:type="dxa"/>
            <w:vAlign w:val="center"/>
          </w:tcPr>
          <w:p w:rsidR="00632484" w:rsidRPr="008D625E" w:rsidRDefault="00632484" w:rsidP="00C36A5B">
            <w:pPr>
              <w:autoSpaceDE w:val="0"/>
              <w:autoSpaceDN w:val="0"/>
              <w:adjustRightInd w:val="0"/>
              <w:jc w:val="right"/>
            </w:pPr>
            <w:r w:rsidRPr="008D625E">
              <w:t>$7</w:t>
            </w:r>
          </w:p>
        </w:tc>
      </w:tr>
    </w:tbl>
    <w:p w:rsidR="00632484" w:rsidRPr="00D1477C" w:rsidRDefault="00632484" w:rsidP="00632484">
      <w:pPr>
        <w:autoSpaceDE w:val="0"/>
        <w:autoSpaceDN w:val="0"/>
        <w:adjustRightInd w:val="0"/>
        <w:jc w:val="both"/>
        <w:rPr>
          <w:sz w:val="20"/>
          <w:szCs w:val="20"/>
        </w:rPr>
      </w:pPr>
      <w:r w:rsidRPr="008D625E">
        <w:t xml:space="preserve">     </w:t>
      </w:r>
      <w:r w:rsidRPr="00D1477C">
        <w:rPr>
          <w:sz w:val="20"/>
          <w:szCs w:val="20"/>
        </w:rPr>
        <w:t xml:space="preserve">Source: Utility responses to </w:t>
      </w:r>
      <w:r w:rsidR="00D161A4">
        <w:rPr>
          <w:sz w:val="20"/>
          <w:szCs w:val="20"/>
        </w:rPr>
        <w:t xml:space="preserve">Commission </w:t>
      </w:r>
      <w:r w:rsidRPr="00D1477C">
        <w:rPr>
          <w:sz w:val="20"/>
          <w:szCs w:val="20"/>
        </w:rPr>
        <w:t>staff data requests.</w:t>
      </w:r>
    </w:p>
    <w:p w:rsidR="00632484" w:rsidRPr="00632484" w:rsidRDefault="00632484" w:rsidP="00632484">
      <w:pPr>
        <w:jc w:val="both"/>
        <w:rPr>
          <w:rFonts w:ascii="Arial" w:hAnsi="Arial" w:cs="Arial"/>
        </w:rPr>
      </w:pPr>
    </w:p>
    <w:p w:rsidR="00632484" w:rsidRDefault="00632484" w:rsidP="00632484">
      <w:pPr>
        <w:jc w:val="both"/>
      </w:pPr>
      <w:r>
        <w:tab/>
      </w:r>
      <w:r w:rsidRPr="008D625E">
        <w:t>As discussed</w:t>
      </w:r>
      <w:r>
        <w:t xml:space="preserve"> previously in this </w:t>
      </w:r>
      <w:r w:rsidR="00001195">
        <w:t>section</w:t>
      </w:r>
      <w:r>
        <w:t>, the u</w:t>
      </w:r>
      <w:r w:rsidRPr="008D625E">
        <w:t xml:space="preserve">tility’s customers are served by a single, shared water plant and a single, shared wastewater treatment plant. The two systems were interconnected in 2013, and the Hideaway water and wastewater systems were decommissioned. As a result, </w:t>
      </w:r>
      <w:r w:rsidR="00D161A4">
        <w:t>we find</w:t>
      </w:r>
      <w:r w:rsidRPr="008D625E">
        <w:t xml:space="preserve"> that the associated decommissioned plant sh</w:t>
      </w:r>
      <w:r w:rsidR="00D161A4">
        <w:t>all</w:t>
      </w:r>
      <w:r w:rsidRPr="008D625E">
        <w:t xml:space="preserve"> be removed from rate base. </w:t>
      </w:r>
      <w:r w:rsidRPr="008D625E">
        <w:lastRenderedPageBreak/>
        <w:t>The net reduction to water UPIS to reflect the decommissioning of the Hideaway water plant is $54,374, which includes the appropriate plant balances identified in the audit</w:t>
      </w:r>
      <w:r>
        <w:t xml:space="preserve">. </w:t>
      </w:r>
      <w:r w:rsidRPr="008D625E">
        <w:t xml:space="preserve">Based on </w:t>
      </w:r>
      <w:r>
        <w:t>these plant adjustments</w:t>
      </w:r>
      <w:r w:rsidRPr="008D625E">
        <w:t xml:space="preserve">, </w:t>
      </w:r>
      <w:r w:rsidR="00D161A4">
        <w:t>we find that the</w:t>
      </w:r>
      <w:r w:rsidRPr="008D625E">
        <w:t xml:space="preserve"> corresponding adjustments sh</w:t>
      </w:r>
      <w:r w:rsidR="00D161A4">
        <w:t>all</w:t>
      </w:r>
      <w:r w:rsidRPr="008D625E">
        <w:t xml:space="preserve"> also be made to accumulated depreciation</w:t>
      </w:r>
      <w:r>
        <w:t xml:space="preserve"> and depreciation expense.</w:t>
      </w:r>
      <w:r w:rsidRPr="008D625E">
        <w:t xml:space="preserve"> </w:t>
      </w:r>
      <w:r w:rsidR="00D161A4">
        <w:t>Our</w:t>
      </w:r>
      <w:r>
        <w:t xml:space="preserve"> water plant adjustments are</w:t>
      </w:r>
      <w:r w:rsidRPr="008D625E">
        <w:t xml:space="preserve"> reflected in Table </w:t>
      </w:r>
      <w:r>
        <w:t>2</w:t>
      </w:r>
      <w:r w:rsidRPr="008D625E">
        <w:t>.</w:t>
      </w:r>
    </w:p>
    <w:p w:rsidR="00632484" w:rsidRDefault="00632484" w:rsidP="00632484">
      <w:pPr>
        <w:jc w:val="both"/>
      </w:pPr>
    </w:p>
    <w:p w:rsidR="00632484" w:rsidRPr="009A70C3" w:rsidRDefault="00632484" w:rsidP="00632484">
      <w:pPr>
        <w:jc w:val="center"/>
        <w:rPr>
          <w:b/>
        </w:rPr>
      </w:pPr>
      <w:r w:rsidRPr="009A70C3">
        <w:rPr>
          <w:b/>
        </w:rPr>
        <w:t>Table 2</w:t>
      </w:r>
    </w:p>
    <w:p w:rsidR="00632484" w:rsidRPr="009A70C3" w:rsidRDefault="00632484" w:rsidP="00632484">
      <w:pPr>
        <w:jc w:val="center"/>
        <w:rPr>
          <w:b/>
        </w:rPr>
      </w:pPr>
      <w:r w:rsidRPr="009A70C3">
        <w:rPr>
          <w:b/>
        </w:rPr>
        <w:t>Water Plant Adjustments</w:t>
      </w:r>
    </w:p>
    <w:tbl>
      <w:tblPr>
        <w:tblStyle w:val="TableGrid1"/>
        <w:tblW w:w="8617" w:type="dxa"/>
        <w:jc w:val="center"/>
        <w:tblInd w:w="-1361" w:type="dxa"/>
        <w:tblLayout w:type="fixed"/>
        <w:tblLook w:val="04A0" w:firstRow="1" w:lastRow="0" w:firstColumn="1" w:lastColumn="0" w:noHBand="0" w:noVBand="1"/>
      </w:tblPr>
      <w:tblGrid>
        <w:gridCol w:w="3979"/>
        <w:gridCol w:w="1038"/>
        <w:gridCol w:w="1440"/>
        <w:gridCol w:w="1080"/>
        <w:gridCol w:w="1080"/>
      </w:tblGrid>
      <w:tr w:rsidR="00632484" w:rsidRPr="008D625E" w:rsidTr="00C36A5B">
        <w:trPr>
          <w:trHeight w:val="546"/>
          <w:jc w:val="center"/>
        </w:trPr>
        <w:tc>
          <w:tcPr>
            <w:tcW w:w="3979" w:type="dxa"/>
            <w:tcBorders>
              <w:top w:val="single" w:sz="4" w:space="0" w:color="auto"/>
              <w:left w:val="single" w:sz="4" w:space="0" w:color="auto"/>
              <w:bottom w:val="single" w:sz="4" w:space="0" w:color="auto"/>
              <w:right w:val="single" w:sz="4" w:space="0" w:color="auto"/>
            </w:tcBorders>
            <w:vAlign w:val="bottom"/>
            <w:hideMark/>
          </w:tcPr>
          <w:p w:rsidR="00632484" w:rsidRPr="007D490B" w:rsidRDefault="00632484" w:rsidP="00C36A5B">
            <w:pPr>
              <w:jc w:val="center"/>
              <w:rPr>
                <w:b/>
              </w:rPr>
            </w:pPr>
            <w:r w:rsidRPr="007D490B">
              <w:rPr>
                <w:b/>
                <w:bCs/>
              </w:rPr>
              <w:t>Description</w:t>
            </w:r>
          </w:p>
        </w:tc>
        <w:tc>
          <w:tcPr>
            <w:tcW w:w="1038" w:type="dxa"/>
            <w:tcBorders>
              <w:top w:val="single" w:sz="4" w:space="0" w:color="auto"/>
              <w:left w:val="single" w:sz="4" w:space="0" w:color="auto"/>
              <w:bottom w:val="single" w:sz="4" w:space="0" w:color="auto"/>
              <w:right w:val="single" w:sz="4" w:space="0" w:color="auto"/>
            </w:tcBorders>
            <w:hideMark/>
          </w:tcPr>
          <w:p w:rsidR="00632484" w:rsidRPr="007D490B" w:rsidRDefault="00632484" w:rsidP="00C36A5B">
            <w:pPr>
              <w:jc w:val="center"/>
              <w:rPr>
                <w:b/>
              </w:rPr>
            </w:pPr>
            <w:r w:rsidRPr="007D490B">
              <w:rPr>
                <w:b/>
                <w:bCs/>
              </w:rPr>
              <w:t>Acct. No.</w:t>
            </w:r>
          </w:p>
        </w:tc>
        <w:tc>
          <w:tcPr>
            <w:tcW w:w="1440" w:type="dxa"/>
            <w:tcBorders>
              <w:top w:val="single" w:sz="4" w:space="0" w:color="auto"/>
              <w:left w:val="single" w:sz="4" w:space="0" w:color="auto"/>
              <w:bottom w:val="single" w:sz="4" w:space="0" w:color="auto"/>
              <w:right w:val="single" w:sz="4" w:space="0" w:color="auto"/>
            </w:tcBorders>
            <w:vAlign w:val="bottom"/>
            <w:hideMark/>
          </w:tcPr>
          <w:p w:rsidR="00632484" w:rsidRPr="007D490B" w:rsidRDefault="00632484" w:rsidP="00C36A5B">
            <w:pPr>
              <w:jc w:val="center"/>
              <w:rPr>
                <w:b/>
              </w:rPr>
            </w:pPr>
            <w:r w:rsidRPr="007D490B">
              <w:rPr>
                <w:b/>
                <w:bCs/>
              </w:rPr>
              <w:t>UPIS</w:t>
            </w:r>
          </w:p>
        </w:tc>
        <w:tc>
          <w:tcPr>
            <w:tcW w:w="1080" w:type="dxa"/>
            <w:tcBorders>
              <w:top w:val="single" w:sz="4" w:space="0" w:color="auto"/>
              <w:left w:val="single" w:sz="4" w:space="0" w:color="auto"/>
              <w:bottom w:val="single" w:sz="4" w:space="0" w:color="auto"/>
              <w:right w:val="single" w:sz="4" w:space="0" w:color="auto"/>
            </w:tcBorders>
          </w:tcPr>
          <w:p w:rsidR="00632484" w:rsidRPr="007D490B" w:rsidRDefault="00632484" w:rsidP="00C36A5B">
            <w:pPr>
              <w:jc w:val="center"/>
              <w:rPr>
                <w:b/>
                <w:bCs/>
              </w:rPr>
            </w:pPr>
            <w:r w:rsidRPr="007D490B">
              <w:rPr>
                <w:b/>
                <w:bCs/>
              </w:rPr>
              <w:t>Accum. Depr.</w:t>
            </w:r>
          </w:p>
        </w:tc>
        <w:tc>
          <w:tcPr>
            <w:tcW w:w="1080" w:type="dxa"/>
            <w:tcBorders>
              <w:top w:val="single" w:sz="4" w:space="0" w:color="auto"/>
              <w:left w:val="single" w:sz="4" w:space="0" w:color="auto"/>
              <w:bottom w:val="single" w:sz="4" w:space="0" w:color="auto"/>
              <w:right w:val="single" w:sz="4" w:space="0" w:color="auto"/>
            </w:tcBorders>
          </w:tcPr>
          <w:p w:rsidR="00632484" w:rsidRDefault="00632484" w:rsidP="00C36A5B">
            <w:pPr>
              <w:jc w:val="center"/>
              <w:rPr>
                <w:b/>
                <w:bCs/>
              </w:rPr>
            </w:pPr>
            <w:r>
              <w:rPr>
                <w:b/>
                <w:bCs/>
              </w:rPr>
              <w:t>Depr.</w:t>
            </w:r>
          </w:p>
          <w:p w:rsidR="00632484" w:rsidRPr="007D490B" w:rsidRDefault="00632484" w:rsidP="00C36A5B">
            <w:pPr>
              <w:jc w:val="center"/>
              <w:rPr>
                <w:b/>
                <w:bCs/>
              </w:rPr>
            </w:pPr>
            <w:r>
              <w:rPr>
                <w:b/>
                <w:bCs/>
              </w:rPr>
              <w:t>Exp.</w:t>
            </w:r>
          </w:p>
        </w:tc>
      </w:tr>
      <w:tr w:rsidR="00632484" w:rsidRPr="008D625E" w:rsidTr="00C36A5B">
        <w:trPr>
          <w:trHeight w:val="344"/>
          <w:jc w:val="center"/>
        </w:trPr>
        <w:tc>
          <w:tcPr>
            <w:tcW w:w="3979" w:type="dxa"/>
            <w:tcBorders>
              <w:top w:val="single" w:sz="4" w:space="0" w:color="auto"/>
              <w:left w:val="single" w:sz="4" w:space="0" w:color="auto"/>
              <w:bottom w:val="single" w:sz="4" w:space="0" w:color="auto"/>
              <w:right w:val="single" w:sz="4" w:space="0" w:color="auto"/>
            </w:tcBorders>
            <w:vAlign w:val="center"/>
            <w:hideMark/>
          </w:tcPr>
          <w:p w:rsidR="00632484" w:rsidRPr="008D625E" w:rsidRDefault="00632484" w:rsidP="00C36A5B">
            <w:pPr>
              <w:autoSpaceDE w:val="0"/>
              <w:autoSpaceDN w:val="0"/>
              <w:adjustRightInd w:val="0"/>
              <w:jc w:val="both"/>
              <w:rPr>
                <w:bCs/>
              </w:rPr>
            </w:pPr>
            <w:r w:rsidRPr="008D625E">
              <w:rPr>
                <w:bCs/>
              </w:rPr>
              <w:t xml:space="preserve">Structures and Improvements </w:t>
            </w:r>
          </w:p>
        </w:tc>
        <w:tc>
          <w:tcPr>
            <w:tcW w:w="1038" w:type="dxa"/>
            <w:tcBorders>
              <w:top w:val="single" w:sz="4" w:space="0" w:color="auto"/>
              <w:left w:val="single" w:sz="4" w:space="0" w:color="auto"/>
              <w:bottom w:val="single" w:sz="4" w:space="0" w:color="auto"/>
              <w:right w:val="single" w:sz="4" w:space="0" w:color="auto"/>
            </w:tcBorders>
            <w:vAlign w:val="center"/>
            <w:hideMark/>
          </w:tcPr>
          <w:p w:rsidR="00632484" w:rsidRPr="008D625E" w:rsidRDefault="00632484" w:rsidP="00C36A5B">
            <w:pPr>
              <w:autoSpaceDE w:val="0"/>
              <w:autoSpaceDN w:val="0"/>
              <w:adjustRightInd w:val="0"/>
              <w:jc w:val="center"/>
              <w:rPr>
                <w:bCs/>
              </w:rPr>
            </w:pPr>
            <w:r w:rsidRPr="008D625E">
              <w:rPr>
                <w:bCs/>
              </w:rPr>
              <w:t>304</w:t>
            </w:r>
          </w:p>
        </w:tc>
        <w:tc>
          <w:tcPr>
            <w:tcW w:w="1440" w:type="dxa"/>
            <w:tcBorders>
              <w:top w:val="single" w:sz="4" w:space="0" w:color="auto"/>
              <w:left w:val="single" w:sz="4" w:space="0" w:color="auto"/>
              <w:bottom w:val="single" w:sz="4" w:space="0" w:color="auto"/>
              <w:right w:val="single" w:sz="4" w:space="0" w:color="auto"/>
            </w:tcBorders>
            <w:vAlign w:val="center"/>
            <w:hideMark/>
          </w:tcPr>
          <w:p w:rsidR="00632484" w:rsidRPr="008D625E" w:rsidRDefault="00632484" w:rsidP="00C36A5B">
            <w:pPr>
              <w:autoSpaceDE w:val="0"/>
              <w:autoSpaceDN w:val="0"/>
              <w:adjustRightInd w:val="0"/>
              <w:jc w:val="right"/>
              <w:rPr>
                <w:bCs/>
              </w:rPr>
            </w:pPr>
            <w:r w:rsidRPr="008D625E">
              <w:rPr>
                <w:bCs/>
              </w:rPr>
              <w:t>($4,965)</w:t>
            </w:r>
          </w:p>
        </w:tc>
        <w:tc>
          <w:tcPr>
            <w:tcW w:w="1080" w:type="dxa"/>
            <w:tcBorders>
              <w:top w:val="single" w:sz="4" w:space="0" w:color="auto"/>
              <w:left w:val="single" w:sz="4" w:space="0" w:color="auto"/>
              <w:bottom w:val="single" w:sz="4" w:space="0" w:color="auto"/>
              <w:right w:val="single" w:sz="4" w:space="0" w:color="auto"/>
            </w:tcBorders>
            <w:vAlign w:val="center"/>
          </w:tcPr>
          <w:p w:rsidR="00632484" w:rsidRPr="008D625E" w:rsidRDefault="00632484" w:rsidP="00C36A5B">
            <w:pPr>
              <w:autoSpaceDE w:val="0"/>
              <w:autoSpaceDN w:val="0"/>
              <w:adjustRightInd w:val="0"/>
              <w:jc w:val="right"/>
              <w:rPr>
                <w:bCs/>
              </w:rPr>
            </w:pPr>
            <w:r w:rsidRPr="008D625E">
              <w:rPr>
                <w:bCs/>
              </w:rPr>
              <w:t>$4,965</w:t>
            </w:r>
          </w:p>
        </w:tc>
        <w:tc>
          <w:tcPr>
            <w:tcW w:w="1080" w:type="dxa"/>
            <w:tcBorders>
              <w:top w:val="single" w:sz="4" w:space="0" w:color="auto"/>
              <w:left w:val="single" w:sz="4" w:space="0" w:color="auto"/>
              <w:bottom w:val="single" w:sz="4" w:space="0" w:color="auto"/>
              <w:right w:val="single" w:sz="4" w:space="0" w:color="auto"/>
            </w:tcBorders>
            <w:vAlign w:val="center"/>
          </w:tcPr>
          <w:p w:rsidR="00632484" w:rsidRPr="008D625E" w:rsidRDefault="00632484" w:rsidP="00C36A5B">
            <w:pPr>
              <w:autoSpaceDE w:val="0"/>
              <w:autoSpaceDN w:val="0"/>
              <w:adjustRightInd w:val="0"/>
              <w:jc w:val="right"/>
              <w:rPr>
                <w:bCs/>
              </w:rPr>
            </w:pPr>
            <w:r>
              <w:rPr>
                <w:bCs/>
              </w:rPr>
              <w:t>-</w:t>
            </w:r>
          </w:p>
        </w:tc>
      </w:tr>
      <w:tr w:rsidR="00632484" w:rsidRPr="008D625E" w:rsidTr="00C36A5B">
        <w:trPr>
          <w:trHeight w:val="323"/>
          <w:jc w:val="center"/>
        </w:trPr>
        <w:tc>
          <w:tcPr>
            <w:tcW w:w="3979" w:type="dxa"/>
            <w:tcBorders>
              <w:top w:val="single" w:sz="4" w:space="0" w:color="auto"/>
              <w:left w:val="single" w:sz="4" w:space="0" w:color="auto"/>
              <w:bottom w:val="single" w:sz="4" w:space="0" w:color="auto"/>
              <w:right w:val="single" w:sz="4" w:space="0" w:color="auto"/>
            </w:tcBorders>
            <w:vAlign w:val="center"/>
          </w:tcPr>
          <w:p w:rsidR="00632484" w:rsidRPr="008D625E" w:rsidRDefault="00632484" w:rsidP="00C36A5B">
            <w:pPr>
              <w:autoSpaceDE w:val="0"/>
              <w:autoSpaceDN w:val="0"/>
              <w:adjustRightInd w:val="0"/>
              <w:jc w:val="both"/>
              <w:rPr>
                <w:bCs/>
              </w:rPr>
            </w:pPr>
            <w:r w:rsidRPr="008D625E">
              <w:rPr>
                <w:bCs/>
              </w:rPr>
              <w:t>Wells and Springs</w:t>
            </w:r>
          </w:p>
        </w:tc>
        <w:tc>
          <w:tcPr>
            <w:tcW w:w="1038" w:type="dxa"/>
            <w:tcBorders>
              <w:top w:val="single" w:sz="4" w:space="0" w:color="auto"/>
              <w:left w:val="single" w:sz="4" w:space="0" w:color="auto"/>
              <w:bottom w:val="single" w:sz="4" w:space="0" w:color="auto"/>
              <w:right w:val="single" w:sz="4" w:space="0" w:color="auto"/>
            </w:tcBorders>
            <w:vAlign w:val="center"/>
          </w:tcPr>
          <w:p w:rsidR="00632484" w:rsidRPr="008D625E" w:rsidRDefault="00632484" w:rsidP="00C36A5B">
            <w:pPr>
              <w:autoSpaceDE w:val="0"/>
              <w:autoSpaceDN w:val="0"/>
              <w:adjustRightInd w:val="0"/>
              <w:jc w:val="center"/>
              <w:rPr>
                <w:bCs/>
              </w:rPr>
            </w:pPr>
            <w:r w:rsidRPr="008D625E">
              <w:rPr>
                <w:bCs/>
              </w:rPr>
              <w:t>307</w:t>
            </w:r>
          </w:p>
        </w:tc>
        <w:tc>
          <w:tcPr>
            <w:tcW w:w="1440" w:type="dxa"/>
            <w:tcBorders>
              <w:top w:val="single" w:sz="4" w:space="0" w:color="auto"/>
              <w:left w:val="single" w:sz="4" w:space="0" w:color="auto"/>
              <w:bottom w:val="single" w:sz="4" w:space="0" w:color="auto"/>
              <w:right w:val="single" w:sz="4" w:space="0" w:color="auto"/>
            </w:tcBorders>
            <w:vAlign w:val="center"/>
          </w:tcPr>
          <w:p w:rsidR="00632484" w:rsidRPr="008D625E" w:rsidRDefault="00632484" w:rsidP="00C36A5B">
            <w:pPr>
              <w:autoSpaceDE w:val="0"/>
              <w:autoSpaceDN w:val="0"/>
              <w:adjustRightInd w:val="0"/>
              <w:jc w:val="right"/>
              <w:rPr>
                <w:bCs/>
              </w:rPr>
            </w:pPr>
            <w:r w:rsidRPr="008D625E">
              <w:rPr>
                <w:bCs/>
              </w:rPr>
              <w:t>(20,094)</w:t>
            </w:r>
          </w:p>
        </w:tc>
        <w:tc>
          <w:tcPr>
            <w:tcW w:w="1080" w:type="dxa"/>
            <w:tcBorders>
              <w:top w:val="single" w:sz="4" w:space="0" w:color="auto"/>
              <w:left w:val="single" w:sz="4" w:space="0" w:color="auto"/>
              <w:bottom w:val="single" w:sz="4" w:space="0" w:color="auto"/>
              <w:right w:val="single" w:sz="4" w:space="0" w:color="auto"/>
            </w:tcBorders>
            <w:vAlign w:val="center"/>
          </w:tcPr>
          <w:p w:rsidR="00632484" w:rsidRPr="008D625E" w:rsidRDefault="00632484" w:rsidP="00C36A5B">
            <w:pPr>
              <w:autoSpaceDE w:val="0"/>
              <w:autoSpaceDN w:val="0"/>
              <w:adjustRightInd w:val="0"/>
              <w:jc w:val="right"/>
              <w:rPr>
                <w:bCs/>
              </w:rPr>
            </w:pPr>
            <w:r>
              <w:rPr>
                <w:bCs/>
              </w:rPr>
              <w:t>20,094</w:t>
            </w:r>
          </w:p>
        </w:tc>
        <w:tc>
          <w:tcPr>
            <w:tcW w:w="1080" w:type="dxa"/>
            <w:tcBorders>
              <w:top w:val="single" w:sz="4" w:space="0" w:color="auto"/>
              <w:left w:val="single" w:sz="4" w:space="0" w:color="auto"/>
              <w:bottom w:val="single" w:sz="4" w:space="0" w:color="auto"/>
              <w:right w:val="single" w:sz="4" w:space="0" w:color="auto"/>
            </w:tcBorders>
            <w:vAlign w:val="center"/>
          </w:tcPr>
          <w:p w:rsidR="00632484" w:rsidRPr="008D625E" w:rsidRDefault="00632484" w:rsidP="00C36A5B">
            <w:pPr>
              <w:autoSpaceDE w:val="0"/>
              <w:autoSpaceDN w:val="0"/>
              <w:adjustRightInd w:val="0"/>
              <w:jc w:val="right"/>
              <w:rPr>
                <w:bCs/>
              </w:rPr>
            </w:pPr>
            <w:r>
              <w:rPr>
                <w:bCs/>
              </w:rPr>
              <w:t>($299)</w:t>
            </w:r>
          </w:p>
        </w:tc>
      </w:tr>
      <w:tr w:rsidR="00632484" w:rsidRPr="008D625E" w:rsidTr="00C36A5B">
        <w:trPr>
          <w:trHeight w:val="344"/>
          <w:jc w:val="center"/>
        </w:trPr>
        <w:tc>
          <w:tcPr>
            <w:tcW w:w="3979" w:type="dxa"/>
            <w:tcBorders>
              <w:top w:val="single" w:sz="4" w:space="0" w:color="auto"/>
              <w:left w:val="single" w:sz="4" w:space="0" w:color="auto"/>
              <w:bottom w:val="single" w:sz="4" w:space="0" w:color="auto"/>
              <w:right w:val="single" w:sz="4" w:space="0" w:color="auto"/>
            </w:tcBorders>
            <w:vAlign w:val="center"/>
          </w:tcPr>
          <w:p w:rsidR="00632484" w:rsidRPr="008D625E" w:rsidRDefault="00632484" w:rsidP="00C36A5B">
            <w:pPr>
              <w:autoSpaceDE w:val="0"/>
              <w:autoSpaceDN w:val="0"/>
              <w:adjustRightInd w:val="0"/>
              <w:jc w:val="both"/>
              <w:rPr>
                <w:bCs/>
              </w:rPr>
            </w:pPr>
            <w:r w:rsidRPr="008D625E">
              <w:rPr>
                <w:bCs/>
              </w:rPr>
              <w:t>Water Treatment Equipment</w:t>
            </w:r>
          </w:p>
        </w:tc>
        <w:tc>
          <w:tcPr>
            <w:tcW w:w="1038" w:type="dxa"/>
            <w:tcBorders>
              <w:top w:val="single" w:sz="4" w:space="0" w:color="auto"/>
              <w:left w:val="single" w:sz="4" w:space="0" w:color="auto"/>
              <w:bottom w:val="single" w:sz="4" w:space="0" w:color="auto"/>
              <w:right w:val="single" w:sz="4" w:space="0" w:color="auto"/>
            </w:tcBorders>
            <w:vAlign w:val="center"/>
          </w:tcPr>
          <w:p w:rsidR="00632484" w:rsidRPr="008D625E" w:rsidRDefault="00632484" w:rsidP="00C36A5B">
            <w:pPr>
              <w:autoSpaceDE w:val="0"/>
              <w:autoSpaceDN w:val="0"/>
              <w:adjustRightInd w:val="0"/>
              <w:jc w:val="center"/>
              <w:rPr>
                <w:bCs/>
              </w:rPr>
            </w:pPr>
            <w:r w:rsidRPr="008D625E">
              <w:rPr>
                <w:bCs/>
              </w:rPr>
              <w:t>320</w:t>
            </w:r>
          </w:p>
        </w:tc>
        <w:tc>
          <w:tcPr>
            <w:tcW w:w="1440" w:type="dxa"/>
            <w:tcBorders>
              <w:top w:val="single" w:sz="4" w:space="0" w:color="auto"/>
              <w:left w:val="single" w:sz="4" w:space="0" w:color="auto"/>
              <w:bottom w:val="single" w:sz="4" w:space="0" w:color="auto"/>
              <w:right w:val="single" w:sz="4" w:space="0" w:color="auto"/>
            </w:tcBorders>
            <w:vAlign w:val="center"/>
          </w:tcPr>
          <w:p w:rsidR="00632484" w:rsidRPr="008D625E" w:rsidRDefault="00632484" w:rsidP="00C36A5B">
            <w:pPr>
              <w:autoSpaceDE w:val="0"/>
              <w:autoSpaceDN w:val="0"/>
              <w:adjustRightInd w:val="0"/>
              <w:jc w:val="right"/>
              <w:rPr>
                <w:bCs/>
              </w:rPr>
            </w:pPr>
            <w:r w:rsidRPr="008D625E">
              <w:rPr>
                <w:bCs/>
              </w:rPr>
              <w:t>(873)</w:t>
            </w:r>
          </w:p>
        </w:tc>
        <w:tc>
          <w:tcPr>
            <w:tcW w:w="1080" w:type="dxa"/>
            <w:tcBorders>
              <w:top w:val="single" w:sz="4" w:space="0" w:color="auto"/>
              <w:left w:val="single" w:sz="4" w:space="0" w:color="auto"/>
              <w:bottom w:val="single" w:sz="4" w:space="0" w:color="auto"/>
              <w:right w:val="single" w:sz="4" w:space="0" w:color="auto"/>
            </w:tcBorders>
            <w:vAlign w:val="center"/>
          </w:tcPr>
          <w:p w:rsidR="00632484" w:rsidRPr="008D625E" w:rsidRDefault="00632484" w:rsidP="00C36A5B">
            <w:pPr>
              <w:autoSpaceDE w:val="0"/>
              <w:autoSpaceDN w:val="0"/>
              <w:adjustRightInd w:val="0"/>
              <w:jc w:val="right"/>
              <w:rPr>
                <w:bCs/>
              </w:rPr>
            </w:pPr>
            <w:r w:rsidRPr="008D625E">
              <w:rPr>
                <w:bCs/>
              </w:rPr>
              <w:t>8</w:t>
            </w:r>
            <w:r>
              <w:rPr>
                <w:bCs/>
              </w:rPr>
              <w:t>73</w:t>
            </w:r>
          </w:p>
        </w:tc>
        <w:tc>
          <w:tcPr>
            <w:tcW w:w="1080" w:type="dxa"/>
            <w:tcBorders>
              <w:top w:val="single" w:sz="4" w:space="0" w:color="auto"/>
              <w:left w:val="single" w:sz="4" w:space="0" w:color="auto"/>
              <w:bottom w:val="single" w:sz="4" w:space="0" w:color="auto"/>
              <w:right w:val="single" w:sz="4" w:space="0" w:color="auto"/>
            </w:tcBorders>
            <w:vAlign w:val="center"/>
          </w:tcPr>
          <w:p w:rsidR="00632484" w:rsidRPr="008D625E" w:rsidRDefault="00632484" w:rsidP="00C36A5B">
            <w:pPr>
              <w:autoSpaceDE w:val="0"/>
              <w:autoSpaceDN w:val="0"/>
              <w:adjustRightInd w:val="0"/>
              <w:jc w:val="right"/>
              <w:rPr>
                <w:bCs/>
              </w:rPr>
            </w:pPr>
            <w:r>
              <w:rPr>
                <w:bCs/>
              </w:rPr>
              <w:t>(18)</w:t>
            </w:r>
          </w:p>
        </w:tc>
      </w:tr>
      <w:tr w:rsidR="00632484" w:rsidRPr="008D625E" w:rsidTr="00C36A5B">
        <w:trPr>
          <w:trHeight w:val="344"/>
          <w:jc w:val="center"/>
        </w:trPr>
        <w:tc>
          <w:tcPr>
            <w:tcW w:w="3979" w:type="dxa"/>
            <w:tcBorders>
              <w:top w:val="single" w:sz="4" w:space="0" w:color="auto"/>
              <w:left w:val="single" w:sz="4" w:space="0" w:color="auto"/>
              <w:bottom w:val="single" w:sz="4" w:space="0" w:color="auto"/>
              <w:right w:val="single" w:sz="4" w:space="0" w:color="auto"/>
            </w:tcBorders>
            <w:vAlign w:val="center"/>
          </w:tcPr>
          <w:p w:rsidR="00632484" w:rsidRPr="008D625E" w:rsidRDefault="00632484" w:rsidP="00C36A5B">
            <w:pPr>
              <w:autoSpaceDE w:val="0"/>
              <w:autoSpaceDN w:val="0"/>
              <w:adjustRightInd w:val="0"/>
              <w:jc w:val="both"/>
              <w:rPr>
                <w:bCs/>
              </w:rPr>
            </w:pPr>
            <w:r w:rsidRPr="008D625E">
              <w:rPr>
                <w:bCs/>
              </w:rPr>
              <w:t>Distribution Reservoirs</w:t>
            </w:r>
          </w:p>
        </w:tc>
        <w:tc>
          <w:tcPr>
            <w:tcW w:w="1038" w:type="dxa"/>
            <w:tcBorders>
              <w:top w:val="single" w:sz="4" w:space="0" w:color="auto"/>
              <w:left w:val="single" w:sz="4" w:space="0" w:color="auto"/>
              <w:bottom w:val="single" w:sz="4" w:space="0" w:color="auto"/>
              <w:right w:val="single" w:sz="4" w:space="0" w:color="auto"/>
            </w:tcBorders>
            <w:vAlign w:val="center"/>
          </w:tcPr>
          <w:p w:rsidR="00632484" w:rsidRPr="008D625E" w:rsidRDefault="00632484" w:rsidP="00C36A5B">
            <w:pPr>
              <w:autoSpaceDE w:val="0"/>
              <w:autoSpaceDN w:val="0"/>
              <w:adjustRightInd w:val="0"/>
              <w:jc w:val="center"/>
              <w:rPr>
                <w:bCs/>
              </w:rPr>
            </w:pPr>
            <w:r w:rsidRPr="008D625E">
              <w:rPr>
                <w:bCs/>
              </w:rPr>
              <w:t>330</w:t>
            </w:r>
          </w:p>
        </w:tc>
        <w:tc>
          <w:tcPr>
            <w:tcW w:w="1440" w:type="dxa"/>
            <w:tcBorders>
              <w:top w:val="single" w:sz="4" w:space="0" w:color="auto"/>
              <w:left w:val="single" w:sz="4" w:space="0" w:color="auto"/>
              <w:bottom w:val="single" w:sz="4" w:space="0" w:color="auto"/>
              <w:right w:val="single" w:sz="4" w:space="0" w:color="auto"/>
            </w:tcBorders>
            <w:vAlign w:val="center"/>
          </w:tcPr>
          <w:p w:rsidR="00632484" w:rsidRPr="008D625E" w:rsidRDefault="00632484" w:rsidP="00C36A5B">
            <w:pPr>
              <w:autoSpaceDE w:val="0"/>
              <w:autoSpaceDN w:val="0"/>
              <w:adjustRightInd w:val="0"/>
              <w:jc w:val="right"/>
              <w:rPr>
                <w:bCs/>
                <w:u w:val="single"/>
              </w:rPr>
            </w:pPr>
            <w:r w:rsidRPr="008D625E">
              <w:rPr>
                <w:bCs/>
                <w:u w:val="single"/>
              </w:rPr>
              <w:t>(28,442)</w:t>
            </w:r>
          </w:p>
        </w:tc>
        <w:tc>
          <w:tcPr>
            <w:tcW w:w="1080" w:type="dxa"/>
            <w:tcBorders>
              <w:top w:val="single" w:sz="4" w:space="0" w:color="auto"/>
              <w:left w:val="single" w:sz="4" w:space="0" w:color="auto"/>
              <w:bottom w:val="single" w:sz="4" w:space="0" w:color="auto"/>
              <w:right w:val="single" w:sz="4" w:space="0" w:color="auto"/>
            </w:tcBorders>
            <w:vAlign w:val="center"/>
          </w:tcPr>
          <w:p w:rsidR="00632484" w:rsidRPr="008D625E" w:rsidRDefault="00632484" w:rsidP="00C36A5B">
            <w:pPr>
              <w:autoSpaceDE w:val="0"/>
              <w:autoSpaceDN w:val="0"/>
              <w:adjustRightInd w:val="0"/>
              <w:jc w:val="right"/>
              <w:rPr>
                <w:bCs/>
                <w:u w:val="single"/>
              </w:rPr>
            </w:pPr>
            <w:r w:rsidRPr="008D625E">
              <w:rPr>
                <w:bCs/>
                <w:u w:val="single"/>
              </w:rPr>
              <w:t>28,442</w:t>
            </w:r>
          </w:p>
        </w:tc>
        <w:tc>
          <w:tcPr>
            <w:tcW w:w="1080" w:type="dxa"/>
            <w:tcBorders>
              <w:top w:val="single" w:sz="4" w:space="0" w:color="auto"/>
              <w:left w:val="single" w:sz="4" w:space="0" w:color="auto"/>
              <w:bottom w:val="single" w:sz="4" w:space="0" w:color="auto"/>
              <w:right w:val="single" w:sz="4" w:space="0" w:color="auto"/>
            </w:tcBorders>
            <w:vAlign w:val="center"/>
          </w:tcPr>
          <w:p w:rsidR="00632484" w:rsidRPr="008D625E" w:rsidRDefault="00632484" w:rsidP="00C36A5B">
            <w:pPr>
              <w:autoSpaceDE w:val="0"/>
              <w:autoSpaceDN w:val="0"/>
              <w:adjustRightInd w:val="0"/>
              <w:jc w:val="right"/>
              <w:rPr>
                <w:bCs/>
                <w:u w:val="single"/>
              </w:rPr>
            </w:pPr>
            <w:r>
              <w:rPr>
                <w:bCs/>
                <w:u w:val="single"/>
              </w:rPr>
              <w:t>-</w:t>
            </w:r>
          </w:p>
        </w:tc>
      </w:tr>
      <w:tr w:rsidR="00632484" w:rsidRPr="008D625E" w:rsidTr="00C36A5B">
        <w:trPr>
          <w:trHeight w:val="344"/>
          <w:jc w:val="center"/>
        </w:trPr>
        <w:tc>
          <w:tcPr>
            <w:tcW w:w="3979" w:type="dxa"/>
            <w:tcBorders>
              <w:top w:val="single" w:sz="4" w:space="0" w:color="auto"/>
              <w:left w:val="single" w:sz="4" w:space="0" w:color="auto"/>
              <w:bottom w:val="single" w:sz="4" w:space="0" w:color="auto"/>
              <w:right w:val="single" w:sz="4" w:space="0" w:color="auto"/>
            </w:tcBorders>
            <w:vAlign w:val="center"/>
          </w:tcPr>
          <w:p w:rsidR="00632484" w:rsidRPr="008D625E" w:rsidRDefault="00632484" w:rsidP="00C36A5B">
            <w:pPr>
              <w:autoSpaceDE w:val="0"/>
              <w:autoSpaceDN w:val="0"/>
              <w:adjustRightInd w:val="0"/>
              <w:jc w:val="both"/>
              <w:rPr>
                <w:bCs/>
              </w:rPr>
            </w:pPr>
            <w:r w:rsidRPr="008D625E">
              <w:rPr>
                <w:bCs/>
              </w:rPr>
              <w:t>Net Adjustment</w:t>
            </w:r>
          </w:p>
        </w:tc>
        <w:tc>
          <w:tcPr>
            <w:tcW w:w="1038" w:type="dxa"/>
            <w:tcBorders>
              <w:top w:val="single" w:sz="4" w:space="0" w:color="auto"/>
              <w:left w:val="single" w:sz="4" w:space="0" w:color="auto"/>
              <w:bottom w:val="single" w:sz="4" w:space="0" w:color="auto"/>
              <w:right w:val="single" w:sz="4" w:space="0" w:color="auto"/>
            </w:tcBorders>
          </w:tcPr>
          <w:p w:rsidR="00632484" w:rsidRPr="008D625E" w:rsidRDefault="00632484" w:rsidP="00C36A5B">
            <w:pPr>
              <w:autoSpaceDE w:val="0"/>
              <w:autoSpaceDN w:val="0"/>
              <w:adjustRightInd w:val="0"/>
              <w:jc w:val="center"/>
              <w:rPr>
                <w:bCs/>
              </w:rPr>
            </w:pPr>
          </w:p>
        </w:tc>
        <w:tc>
          <w:tcPr>
            <w:tcW w:w="1440" w:type="dxa"/>
            <w:tcBorders>
              <w:top w:val="single" w:sz="4" w:space="0" w:color="auto"/>
              <w:left w:val="single" w:sz="4" w:space="0" w:color="auto"/>
              <w:bottom w:val="single" w:sz="4" w:space="0" w:color="auto"/>
              <w:right w:val="single" w:sz="4" w:space="0" w:color="auto"/>
            </w:tcBorders>
            <w:vAlign w:val="center"/>
          </w:tcPr>
          <w:p w:rsidR="00632484" w:rsidRPr="008D625E" w:rsidRDefault="00632484" w:rsidP="00C36A5B">
            <w:pPr>
              <w:autoSpaceDE w:val="0"/>
              <w:autoSpaceDN w:val="0"/>
              <w:adjustRightInd w:val="0"/>
              <w:jc w:val="right"/>
              <w:rPr>
                <w:bCs/>
                <w:u w:val="double"/>
              </w:rPr>
            </w:pPr>
            <w:r w:rsidRPr="008D625E">
              <w:rPr>
                <w:bCs/>
                <w:u w:val="double"/>
              </w:rPr>
              <w:t>($54,374)</w:t>
            </w:r>
          </w:p>
        </w:tc>
        <w:tc>
          <w:tcPr>
            <w:tcW w:w="1080" w:type="dxa"/>
            <w:tcBorders>
              <w:top w:val="single" w:sz="4" w:space="0" w:color="auto"/>
              <w:left w:val="single" w:sz="4" w:space="0" w:color="auto"/>
              <w:bottom w:val="single" w:sz="4" w:space="0" w:color="auto"/>
              <w:right w:val="single" w:sz="4" w:space="0" w:color="auto"/>
            </w:tcBorders>
            <w:vAlign w:val="center"/>
          </w:tcPr>
          <w:p w:rsidR="00632484" w:rsidRPr="008D625E" w:rsidRDefault="00632484" w:rsidP="00C36A5B">
            <w:pPr>
              <w:autoSpaceDE w:val="0"/>
              <w:autoSpaceDN w:val="0"/>
              <w:adjustRightInd w:val="0"/>
              <w:jc w:val="right"/>
              <w:rPr>
                <w:bCs/>
                <w:u w:val="double"/>
              </w:rPr>
            </w:pPr>
            <w:r w:rsidRPr="008D625E">
              <w:rPr>
                <w:bCs/>
                <w:u w:val="double"/>
              </w:rPr>
              <w:t>$54,</w:t>
            </w:r>
            <w:r>
              <w:rPr>
                <w:bCs/>
                <w:u w:val="double"/>
              </w:rPr>
              <w:t>374</w:t>
            </w:r>
          </w:p>
        </w:tc>
        <w:tc>
          <w:tcPr>
            <w:tcW w:w="1080" w:type="dxa"/>
            <w:tcBorders>
              <w:top w:val="single" w:sz="4" w:space="0" w:color="auto"/>
              <w:left w:val="single" w:sz="4" w:space="0" w:color="auto"/>
              <w:bottom w:val="single" w:sz="4" w:space="0" w:color="auto"/>
              <w:right w:val="single" w:sz="4" w:space="0" w:color="auto"/>
            </w:tcBorders>
            <w:vAlign w:val="center"/>
          </w:tcPr>
          <w:p w:rsidR="00632484" w:rsidRPr="008D625E" w:rsidRDefault="00632484" w:rsidP="00C36A5B">
            <w:pPr>
              <w:autoSpaceDE w:val="0"/>
              <w:autoSpaceDN w:val="0"/>
              <w:adjustRightInd w:val="0"/>
              <w:jc w:val="right"/>
              <w:rPr>
                <w:bCs/>
                <w:u w:val="double"/>
              </w:rPr>
            </w:pPr>
            <w:r>
              <w:rPr>
                <w:bCs/>
                <w:u w:val="double"/>
              </w:rPr>
              <w:t>($317)</w:t>
            </w:r>
          </w:p>
        </w:tc>
      </w:tr>
    </w:tbl>
    <w:p w:rsidR="00632484" w:rsidRPr="00D1477C" w:rsidRDefault="00632484" w:rsidP="00632484">
      <w:pPr>
        <w:rPr>
          <w:sz w:val="20"/>
          <w:szCs w:val="20"/>
        </w:rPr>
      </w:pPr>
      <w:r w:rsidRPr="00632484">
        <w:rPr>
          <w:rFonts w:cs="Calibri"/>
        </w:rPr>
        <w:t xml:space="preserve">      </w:t>
      </w:r>
      <w:r w:rsidRPr="00D1477C">
        <w:rPr>
          <w:sz w:val="20"/>
          <w:szCs w:val="20"/>
        </w:rPr>
        <w:t>Source: FIMC Hideaway audit workpapers.</w:t>
      </w:r>
    </w:p>
    <w:p w:rsidR="00632484" w:rsidRDefault="00632484" w:rsidP="00632484">
      <w:pPr>
        <w:jc w:val="both"/>
      </w:pPr>
    </w:p>
    <w:p w:rsidR="00632484" w:rsidRDefault="00632484" w:rsidP="00632484">
      <w:pPr>
        <w:jc w:val="both"/>
      </w:pPr>
      <w:r>
        <w:tab/>
        <w:t xml:space="preserve">To reflect the decommissioning of the Hideaway wastewater plant, </w:t>
      </w:r>
      <w:r w:rsidR="00763697">
        <w:t>we</w:t>
      </w:r>
      <w:r w:rsidRPr="008D625E">
        <w:t xml:space="preserve"> reduc</w:t>
      </w:r>
      <w:r>
        <w:t xml:space="preserve">ed </w:t>
      </w:r>
      <w:r w:rsidRPr="008D625E">
        <w:t xml:space="preserve">wastewater UPIS </w:t>
      </w:r>
      <w:r>
        <w:t>by</w:t>
      </w:r>
      <w:r w:rsidRPr="008D625E">
        <w:t xml:space="preserve"> $24,998</w:t>
      </w:r>
      <w:r>
        <w:t xml:space="preserve">. Based on the plant adjustment, a </w:t>
      </w:r>
      <w:r w:rsidRPr="008D625E">
        <w:t xml:space="preserve">corresponding adjustment to accumulated depreciation </w:t>
      </w:r>
      <w:r>
        <w:t>sh</w:t>
      </w:r>
      <w:r w:rsidR="00763697">
        <w:t>all</w:t>
      </w:r>
      <w:r>
        <w:t xml:space="preserve"> also be made. Due to the plant item being fully depreciated, no depreciation expense was recorded, thus no corresponding adjustment is needed. </w:t>
      </w:r>
      <w:r w:rsidR="00763697">
        <w:t>Our</w:t>
      </w:r>
      <w:r>
        <w:t xml:space="preserve"> adjustments </w:t>
      </w:r>
      <w:r w:rsidRPr="008D625E">
        <w:t xml:space="preserve">to reflect the decommissioning of the Hideaway wastewater plant are reflected in Table </w:t>
      </w:r>
      <w:r>
        <w:t>3</w:t>
      </w:r>
      <w:r w:rsidRPr="008D625E">
        <w:t>.</w:t>
      </w:r>
    </w:p>
    <w:p w:rsidR="00632484" w:rsidRDefault="00632484" w:rsidP="00632484">
      <w:pPr>
        <w:jc w:val="both"/>
      </w:pPr>
    </w:p>
    <w:p w:rsidR="00632484" w:rsidRPr="009A70C3" w:rsidRDefault="00632484" w:rsidP="00632484">
      <w:pPr>
        <w:jc w:val="center"/>
        <w:rPr>
          <w:b/>
        </w:rPr>
      </w:pPr>
      <w:r w:rsidRPr="009A70C3">
        <w:rPr>
          <w:b/>
        </w:rPr>
        <w:t>Table 3</w:t>
      </w:r>
    </w:p>
    <w:p w:rsidR="00632484" w:rsidRPr="009A70C3" w:rsidRDefault="00632484" w:rsidP="00632484">
      <w:pPr>
        <w:jc w:val="center"/>
        <w:rPr>
          <w:b/>
        </w:rPr>
      </w:pPr>
      <w:r w:rsidRPr="009A70C3">
        <w:rPr>
          <w:b/>
        </w:rPr>
        <w:t>Wastewater Plant Adjustments</w:t>
      </w:r>
    </w:p>
    <w:tbl>
      <w:tblPr>
        <w:tblStyle w:val="TableGrid1"/>
        <w:tblW w:w="8679" w:type="dxa"/>
        <w:jc w:val="center"/>
        <w:tblInd w:w="-1462" w:type="dxa"/>
        <w:tblLayout w:type="fixed"/>
        <w:tblLook w:val="04A0" w:firstRow="1" w:lastRow="0" w:firstColumn="1" w:lastColumn="0" w:noHBand="0" w:noVBand="1"/>
      </w:tblPr>
      <w:tblGrid>
        <w:gridCol w:w="4080"/>
        <w:gridCol w:w="1038"/>
        <w:gridCol w:w="1440"/>
        <w:gridCol w:w="1080"/>
        <w:gridCol w:w="1041"/>
      </w:tblGrid>
      <w:tr w:rsidR="00632484" w:rsidRPr="008D625E" w:rsidTr="00C36A5B">
        <w:trPr>
          <w:trHeight w:val="546"/>
          <w:jc w:val="center"/>
        </w:trPr>
        <w:tc>
          <w:tcPr>
            <w:tcW w:w="4080" w:type="dxa"/>
            <w:tcBorders>
              <w:top w:val="single" w:sz="4" w:space="0" w:color="auto"/>
              <w:left w:val="single" w:sz="4" w:space="0" w:color="auto"/>
              <w:bottom w:val="single" w:sz="4" w:space="0" w:color="auto"/>
              <w:right w:val="single" w:sz="4" w:space="0" w:color="auto"/>
            </w:tcBorders>
            <w:vAlign w:val="bottom"/>
            <w:hideMark/>
          </w:tcPr>
          <w:p w:rsidR="00632484" w:rsidRPr="008D625E" w:rsidRDefault="00632484" w:rsidP="00C36A5B">
            <w:pPr>
              <w:jc w:val="center"/>
            </w:pPr>
            <w:r w:rsidRPr="008D625E">
              <w:rPr>
                <w:b/>
                <w:bCs/>
              </w:rPr>
              <w:t>Description</w:t>
            </w:r>
          </w:p>
        </w:tc>
        <w:tc>
          <w:tcPr>
            <w:tcW w:w="1038" w:type="dxa"/>
            <w:tcBorders>
              <w:top w:val="single" w:sz="4" w:space="0" w:color="auto"/>
              <w:left w:val="single" w:sz="4" w:space="0" w:color="auto"/>
              <w:bottom w:val="single" w:sz="4" w:space="0" w:color="auto"/>
              <w:right w:val="single" w:sz="4" w:space="0" w:color="auto"/>
            </w:tcBorders>
            <w:hideMark/>
          </w:tcPr>
          <w:p w:rsidR="00632484" w:rsidRPr="008D625E" w:rsidRDefault="00632484" w:rsidP="00C36A5B">
            <w:pPr>
              <w:jc w:val="center"/>
            </w:pPr>
            <w:r w:rsidRPr="008D625E">
              <w:rPr>
                <w:b/>
                <w:bCs/>
              </w:rPr>
              <w:t>Acct. No.</w:t>
            </w:r>
          </w:p>
        </w:tc>
        <w:tc>
          <w:tcPr>
            <w:tcW w:w="1440" w:type="dxa"/>
            <w:tcBorders>
              <w:top w:val="single" w:sz="4" w:space="0" w:color="auto"/>
              <w:left w:val="single" w:sz="4" w:space="0" w:color="auto"/>
              <w:bottom w:val="single" w:sz="4" w:space="0" w:color="auto"/>
              <w:right w:val="single" w:sz="4" w:space="0" w:color="auto"/>
            </w:tcBorders>
            <w:vAlign w:val="bottom"/>
            <w:hideMark/>
          </w:tcPr>
          <w:p w:rsidR="00632484" w:rsidRPr="008D625E" w:rsidRDefault="00632484" w:rsidP="00C36A5B">
            <w:pPr>
              <w:jc w:val="center"/>
            </w:pPr>
            <w:r w:rsidRPr="008D625E">
              <w:rPr>
                <w:b/>
                <w:bCs/>
              </w:rPr>
              <w:t>UPIS</w:t>
            </w:r>
          </w:p>
        </w:tc>
        <w:tc>
          <w:tcPr>
            <w:tcW w:w="1080" w:type="dxa"/>
            <w:tcBorders>
              <w:top w:val="single" w:sz="4" w:space="0" w:color="auto"/>
              <w:left w:val="single" w:sz="4" w:space="0" w:color="auto"/>
              <w:bottom w:val="single" w:sz="4" w:space="0" w:color="auto"/>
              <w:right w:val="single" w:sz="4" w:space="0" w:color="auto"/>
            </w:tcBorders>
          </w:tcPr>
          <w:p w:rsidR="00632484" w:rsidRPr="008D625E" w:rsidRDefault="00632484" w:rsidP="00C36A5B">
            <w:pPr>
              <w:jc w:val="center"/>
              <w:rPr>
                <w:b/>
                <w:bCs/>
              </w:rPr>
            </w:pPr>
            <w:r w:rsidRPr="008D625E">
              <w:rPr>
                <w:b/>
                <w:bCs/>
              </w:rPr>
              <w:t>Accum. Depr.</w:t>
            </w:r>
          </w:p>
        </w:tc>
        <w:tc>
          <w:tcPr>
            <w:tcW w:w="1041" w:type="dxa"/>
            <w:tcBorders>
              <w:top w:val="single" w:sz="4" w:space="0" w:color="auto"/>
              <w:left w:val="single" w:sz="4" w:space="0" w:color="auto"/>
              <w:bottom w:val="single" w:sz="4" w:space="0" w:color="auto"/>
              <w:right w:val="single" w:sz="4" w:space="0" w:color="auto"/>
            </w:tcBorders>
          </w:tcPr>
          <w:p w:rsidR="00632484" w:rsidRDefault="00632484" w:rsidP="00C36A5B">
            <w:pPr>
              <w:jc w:val="center"/>
              <w:rPr>
                <w:b/>
                <w:bCs/>
              </w:rPr>
            </w:pPr>
            <w:r>
              <w:rPr>
                <w:b/>
                <w:bCs/>
              </w:rPr>
              <w:t>Depr.</w:t>
            </w:r>
          </w:p>
          <w:p w:rsidR="00632484" w:rsidRPr="007D490B" w:rsidRDefault="00632484" w:rsidP="00C36A5B">
            <w:pPr>
              <w:jc w:val="center"/>
              <w:rPr>
                <w:b/>
                <w:bCs/>
              </w:rPr>
            </w:pPr>
            <w:r>
              <w:rPr>
                <w:b/>
                <w:bCs/>
              </w:rPr>
              <w:t>Exp.</w:t>
            </w:r>
          </w:p>
        </w:tc>
      </w:tr>
      <w:tr w:rsidR="00632484" w:rsidRPr="008D625E" w:rsidTr="00C36A5B">
        <w:trPr>
          <w:trHeight w:val="344"/>
          <w:jc w:val="center"/>
        </w:trPr>
        <w:tc>
          <w:tcPr>
            <w:tcW w:w="4080" w:type="dxa"/>
            <w:tcBorders>
              <w:top w:val="single" w:sz="4" w:space="0" w:color="auto"/>
              <w:left w:val="single" w:sz="4" w:space="0" w:color="auto"/>
              <w:bottom w:val="single" w:sz="4" w:space="0" w:color="auto"/>
              <w:right w:val="single" w:sz="4" w:space="0" w:color="auto"/>
            </w:tcBorders>
            <w:vAlign w:val="center"/>
            <w:hideMark/>
          </w:tcPr>
          <w:p w:rsidR="00632484" w:rsidRPr="008D625E" w:rsidRDefault="00632484" w:rsidP="00C36A5B">
            <w:pPr>
              <w:autoSpaceDE w:val="0"/>
              <w:autoSpaceDN w:val="0"/>
              <w:adjustRightInd w:val="0"/>
              <w:jc w:val="both"/>
              <w:rPr>
                <w:bCs/>
              </w:rPr>
            </w:pPr>
            <w:r w:rsidRPr="008D625E">
              <w:rPr>
                <w:bCs/>
              </w:rPr>
              <w:t>Treatment and Disposal Equipment</w:t>
            </w:r>
          </w:p>
        </w:tc>
        <w:tc>
          <w:tcPr>
            <w:tcW w:w="1038" w:type="dxa"/>
            <w:tcBorders>
              <w:top w:val="single" w:sz="4" w:space="0" w:color="auto"/>
              <w:left w:val="single" w:sz="4" w:space="0" w:color="auto"/>
              <w:bottom w:val="single" w:sz="4" w:space="0" w:color="auto"/>
              <w:right w:val="single" w:sz="4" w:space="0" w:color="auto"/>
            </w:tcBorders>
            <w:vAlign w:val="center"/>
            <w:hideMark/>
          </w:tcPr>
          <w:p w:rsidR="00632484" w:rsidRPr="008D625E" w:rsidRDefault="00632484" w:rsidP="00C36A5B">
            <w:pPr>
              <w:autoSpaceDE w:val="0"/>
              <w:autoSpaceDN w:val="0"/>
              <w:adjustRightInd w:val="0"/>
              <w:jc w:val="center"/>
              <w:rPr>
                <w:bCs/>
              </w:rPr>
            </w:pPr>
            <w:r w:rsidRPr="008D625E">
              <w:rPr>
                <w:bCs/>
              </w:rPr>
              <w:t>380</w:t>
            </w:r>
          </w:p>
        </w:tc>
        <w:tc>
          <w:tcPr>
            <w:tcW w:w="1440" w:type="dxa"/>
            <w:tcBorders>
              <w:top w:val="single" w:sz="4" w:space="0" w:color="auto"/>
              <w:left w:val="single" w:sz="4" w:space="0" w:color="auto"/>
              <w:bottom w:val="single" w:sz="4" w:space="0" w:color="auto"/>
              <w:right w:val="single" w:sz="4" w:space="0" w:color="auto"/>
            </w:tcBorders>
            <w:vAlign w:val="center"/>
            <w:hideMark/>
          </w:tcPr>
          <w:p w:rsidR="00632484" w:rsidRPr="008D625E" w:rsidRDefault="00632484" w:rsidP="00C36A5B">
            <w:pPr>
              <w:autoSpaceDE w:val="0"/>
              <w:autoSpaceDN w:val="0"/>
              <w:adjustRightInd w:val="0"/>
              <w:jc w:val="right"/>
              <w:rPr>
                <w:bCs/>
              </w:rPr>
            </w:pPr>
            <w:r w:rsidRPr="008D625E">
              <w:rPr>
                <w:bCs/>
              </w:rPr>
              <w:t>($24,998)</w:t>
            </w:r>
          </w:p>
        </w:tc>
        <w:tc>
          <w:tcPr>
            <w:tcW w:w="1080" w:type="dxa"/>
            <w:tcBorders>
              <w:top w:val="single" w:sz="4" w:space="0" w:color="auto"/>
              <w:left w:val="single" w:sz="4" w:space="0" w:color="auto"/>
              <w:bottom w:val="single" w:sz="4" w:space="0" w:color="auto"/>
              <w:right w:val="single" w:sz="4" w:space="0" w:color="auto"/>
            </w:tcBorders>
            <w:vAlign w:val="center"/>
          </w:tcPr>
          <w:p w:rsidR="00632484" w:rsidRPr="008D625E" w:rsidRDefault="00632484" w:rsidP="00C36A5B">
            <w:pPr>
              <w:autoSpaceDE w:val="0"/>
              <w:autoSpaceDN w:val="0"/>
              <w:adjustRightInd w:val="0"/>
              <w:jc w:val="right"/>
              <w:rPr>
                <w:bCs/>
              </w:rPr>
            </w:pPr>
            <w:r w:rsidRPr="008D625E">
              <w:rPr>
                <w:bCs/>
              </w:rPr>
              <w:t>$24,998</w:t>
            </w:r>
          </w:p>
        </w:tc>
        <w:tc>
          <w:tcPr>
            <w:tcW w:w="1041" w:type="dxa"/>
            <w:tcBorders>
              <w:top w:val="single" w:sz="4" w:space="0" w:color="auto"/>
              <w:left w:val="single" w:sz="4" w:space="0" w:color="auto"/>
              <w:bottom w:val="single" w:sz="4" w:space="0" w:color="auto"/>
              <w:right w:val="single" w:sz="4" w:space="0" w:color="auto"/>
            </w:tcBorders>
            <w:vAlign w:val="center"/>
          </w:tcPr>
          <w:p w:rsidR="00632484" w:rsidRPr="008D625E" w:rsidRDefault="00632484" w:rsidP="00C36A5B">
            <w:pPr>
              <w:autoSpaceDE w:val="0"/>
              <w:autoSpaceDN w:val="0"/>
              <w:adjustRightInd w:val="0"/>
              <w:jc w:val="center"/>
              <w:rPr>
                <w:bCs/>
              </w:rPr>
            </w:pPr>
            <w:r>
              <w:rPr>
                <w:bCs/>
              </w:rPr>
              <w:t>-</w:t>
            </w:r>
          </w:p>
        </w:tc>
      </w:tr>
    </w:tbl>
    <w:p w:rsidR="00632484" w:rsidRDefault="00632484" w:rsidP="00632484">
      <w:pPr>
        <w:jc w:val="both"/>
        <w:rPr>
          <w:sz w:val="20"/>
          <w:szCs w:val="20"/>
        </w:rPr>
      </w:pPr>
      <w:r w:rsidRPr="008D625E">
        <w:t xml:space="preserve">    </w:t>
      </w:r>
      <w:r w:rsidRPr="00D1477C">
        <w:rPr>
          <w:sz w:val="20"/>
          <w:szCs w:val="20"/>
        </w:rPr>
        <w:t xml:space="preserve"> </w:t>
      </w:r>
      <w:r w:rsidR="00763697">
        <w:rPr>
          <w:sz w:val="20"/>
          <w:szCs w:val="20"/>
        </w:rPr>
        <w:t xml:space="preserve"> </w:t>
      </w:r>
      <w:r w:rsidRPr="00D1477C">
        <w:rPr>
          <w:sz w:val="20"/>
          <w:szCs w:val="20"/>
        </w:rPr>
        <w:t>Source: FIMC Hideaway audit workpapers</w:t>
      </w:r>
      <w:r>
        <w:rPr>
          <w:sz w:val="20"/>
          <w:szCs w:val="20"/>
        </w:rPr>
        <w:t>.</w:t>
      </w:r>
    </w:p>
    <w:p w:rsidR="00632484" w:rsidRDefault="00632484" w:rsidP="00632484">
      <w:pPr>
        <w:jc w:val="both"/>
        <w:rPr>
          <w:sz w:val="20"/>
          <w:szCs w:val="20"/>
        </w:rPr>
      </w:pPr>
    </w:p>
    <w:p w:rsidR="00632484" w:rsidRPr="00632484" w:rsidRDefault="00632484" w:rsidP="00632484">
      <w:pPr>
        <w:spacing w:after="120"/>
        <w:jc w:val="both"/>
      </w:pPr>
      <w:r>
        <w:tab/>
      </w:r>
      <w:r w:rsidR="00763697">
        <w:t>We note</w:t>
      </w:r>
      <w:r w:rsidRPr="00632484">
        <w:t xml:space="preserve"> that corresponding adjustments to property taxes for the decommissioned water and wastewater plant are addressed in </w:t>
      </w:r>
      <w:r w:rsidR="009A70C3">
        <w:t>the Operating Expense section.</w:t>
      </w:r>
    </w:p>
    <w:p w:rsidR="00632484" w:rsidRPr="00632484" w:rsidRDefault="00632484" w:rsidP="00632484">
      <w:pPr>
        <w:spacing w:after="240"/>
        <w:jc w:val="both"/>
      </w:pPr>
      <w:r>
        <w:tab/>
      </w:r>
      <w:r w:rsidR="00763697">
        <w:t>Our</w:t>
      </w:r>
      <w:r w:rsidRPr="00632484">
        <w:t xml:space="preserve"> net adjustments to UPIS reflect a reduction of $61,876 to water and $21,737 to wastewater. Consistent with </w:t>
      </w:r>
      <w:r w:rsidR="00763697">
        <w:t xml:space="preserve">this </w:t>
      </w:r>
      <w:r w:rsidRPr="00632484">
        <w:t>Commission</w:t>
      </w:r>
      <w:r w:rsidR="00763697">
        <w:t>’s</w:t>
      </w:r>
      <w:r w:rsidRPr="00632484">
        <w:t xml:space="preserve"> practice, no averaging adjustment was applied to the pro forma additions. Therefore, </w:t>
      </w:r>
      <w:r w:rsidR="008D7C94">
        <w:t>we hereby approve</w:t>
      </w:r>
      <w:r w:rsidRPr="00632484">
        <w:t xml:space="preserve"> a UPIS balance of $189,933 ($251,809 - $61,876) for water and $300,292 ($322,029 - $21,737) for wastewater.</w:t>
      </w:r>
    </w:p>
    <w:p w:rsidR="00632484" w:rsidRDefault="009A70C3" w:rsidP="00632484">
      <w:pPr>
        <w:jc w:val="both"/>
        <w:outlineLvl w:val="3"/>
        <w:rPr>
          <w:bCs/>
          <w:i/>
          <w:iCs/>
          <w:szCs w:val="28"/>
        </w:rPr>
      </w:pPr>
      <w:r>
        <w:rPr>
          <w:bCs/>
          <w:i/>
          <w:iCs/>
          <w:szCs w:val="28"/>
        </w:rPr>
        <w:t xml:space="preserve">B. </w:t>
      </w:r>
      <w:r w:rsidR="00632484" w:rsidRPr="009A70C3">
        <w:rPr>
          <w:bCs/>
          <w:i/>
          <w:iCs/>
          <w:szCs w:val="28"/>
        </w:rPr>
        <w:t>Land and Land Rights</w:t>
      </w:r>
    </w:p>
    <w:p w:rsidR="009A70C3" w:rsidRPr="009A70C3" w:rsidRDefault="009A70C3" w:rsidP="00632484">
      <w:pPr>
        <w:jc w:val="both"/>
        <w:outlineLvl w:val="3"/>
        <w:rPr>
          <w:bCs/>
          <w:i/>
          <w:iCs/>
          <w:szCs w:val="28"/>
        </w:rPr>
      </w:pPr>
    </w:p>
    <w:p w:rsidR="002D35F1" w:rsidRDefault="00632484" w:rsidP="00632484">
      <w:pPr>
        <w:spacing w:after="240"/>
        <w:jc w:val="both"/>
      </w:pPr>
      <w:r>
        <w:tab/>
      </w:r>
      <w:r w:rsidRPr="00632484">
        <w:t xml:space="preserve">The utility recorded land of $15,858 for water and $10,383 for wastewater. </w:t>
      </w:r>
      <w:r w:rsidR="008D7C94">
        <w:t>We</w:t>
      </w:r>
      <w:r w:rsidRPr="00632484">
        <w:t xml:space="preserve"> verified that the land is owned by the utility and determined there have been no changes to the utility’s cost of land since rate base was last established. As discussed earlier in this </w:t>
      </w:r>
      <w:r w:rsidR="008D7C94">
        <w:t>section</w:t>
      </w:r>
      <w:r w:rsidRPr="00632484">
        <w:t>,</w:t>
      </w:r>
      <w:r w:rsidRPr="00632484">
        <w:rPr>
          <w:sz w:val="23"/>
          <w:szCs w:val="23"/>
        </w:rPr>
        <w:t xml:space="preserve"> the Hideaway and Springside water systems and wastewater systems were interconnected in 2013, and the Hideaway water and wastewater systems were decommissioned. As such, </w:t>
      </w:r>
      <w:r w:rsidRPr="00632484">
        <w:t xml:space="preserve">the land associated with </w:t>
      </w:r>
      <w:r w:rsidRPr="00632484">
        <w:lastRenderedPageBreak/>
        <w:t>the decommissioned water and wastewater plants sh</w:t>
      </w:r>
      <w:r w:rsidR="008D7C94">
        <w:t>all</w:t>
      </w:r>
      <w:r w:rsidRPr="00632484">
        <w:t xml:space="preserve"> also be removed from rate base. </w:t>
      </w:r>
      <w:r w:rsidR="008D7C94">
        <w:t>We</w:t>
      </w:r>
      <w:r w:rsidRPr="00632484">
        <w:t xml:space="preserve"> removed $3,858 from water and $1,895 for wastewater. </w:t>
      </w:r>
      <w:r w:rsidR="002D35F1" w:rsidRPr="002D35F1">
        <w:t xml:space="preserve">Because FIMC’s customers have provided a return on the land while it was included in rate base, </w:t>
      </w:r>
      <w:r w:rsidR="008D7C94">
        <w:t>we find</w:t>
      </w:r>
      <w:r w:rsidR="002D35F1" w:rsidRPr="002D35F1">
        <w:t xml:space="preserve"> that any gain associated with a future sale sh</w:t>
      </w:r>
      <w:r w:rsidR="008D7C94">
        <w:t>all</w:t>
      </w:r>
      <w:r w:rsidR="002D35F1" w:rsidRPr="002D35F1">
        <w:t xml:space="preserve"> be amortized over a per</w:t>
      </w:r>
      <w:r w:rsidR="008D7C94">
        <w:t>iod of time as determined by this</w:t>
      </w:r>
      <w:r w:rsidR="002D35F1" w:rsidRPr="002D35F1">
        <w:t xml:space="preserve"> Commission. To ensure the proper treatment of any future gain, the utility sh</w:t>
      </w:r>
      <w:r w:rsidR="008D7C94">
        <w:t>all be required to notify this</w:t>
      </w:r>
      <w:r w:rsidR="002D35F1" w:rsidRPr="002D35F1">
        <w:t xml:space="preserve"> Commission of any future sale, transfer, or reassignment of the </w:t>
      </w:r>
      <w:r w:rsidR="008D7C94">
        <w:t>land</w:t>
      </w:r>
      <w:r w:rsidR="002D35F1" w:rsidRPr="002D35F1">
        <w:t xml:space="preserve"> within 60 days of any such transaction.</w:t>
      </w:r>
      <w:r w:rsidR="002D35F1">
        <w:t xml:space="preserve">  </w:t>
      </w:r>
    </w:p>
    <w:p w:rsidR="00632484" w:rsidRPr="00632484" w:rsidRDefault="008D7C94" w:rsidP="002D35F1">
      <w:pPr>
        <w:spacing w:after="240"/>
        <w:ind w:firstLine="720"/>
        <w:jc w:val="both"/>
      </w:pPr>
      <w:r>
        <w:t>We note</w:t>
      </w:r>
      <w:r w:rsidR="00632484" w:rsidRPr="00632484">
        <w:t xml:space="preserve"> that land related to a Hideaway lift station remains in the combined wastewater land balance since it is still in use. </w:t>
      </w:r>
      <w:r w:rsidR="00632484" w:rsidRPr="00632484">
        <w:rPr>
          <w:rFonts w:cs="Calibri"/>
        </w:rPr>
        <w:t xml:space="preserve">With these adjustments, any land associated with the FIMC Hideaway Clubhouse that may have been intermingled with the decommissioned plant land has also been removed. The clubhouse, which had nothing to do with the utility’s current water or wastewater operations, is no longer in use. </w:t>
      </w:r>
      <w:r>
        <w:rPr>
          <w:rFonts w:cs="Calibri"/>
        </w:rPr>
        <w:t>Our</w:t>
      </w:r>
      <w:r w:rsidR="00632484" w:rsidRPr="00632484">
        <w:rPr>
          <w:rFonts w:cs="Calibri"/>
        </w:rPr>
        <w:t xml:space="preserve"> corresponding adjustments to property taxes are addressed in </w:t>
      </w:r>
      <w:r>
        <w:rPr>
          <w:rFonts w:cs="Calibri"/>
        </w:rPr>
        <w:t>the Operating Expense section</w:t>
      </w:r>
      <w:r w:rsidR="00632484" w:rsidRPr="00632484">
        <w:rPr>
          <w:rFonts w:cs="Calibri"/>
        </w:rPr>
        <w:t xml:space="preserve">. </w:t>
      </w:r>
      <w:r w:rsidR="00632484" w:rsidRPr="00632484">
        <w:t xml:space="preserve">As such, </w:t>
      </w:r>
      <w:r>
        <w:t>we hereby approve</w:t>
      </w:r>
      <w:r w:rsidR="00632484" w:rsidRPr="00632484">
        <w:t xml:space="preserve"> land and land rights balances of $12,000 ($15,858 - $3,858) for water and $8,488 ($10,383 - $1,895) for wastewater.</w:t>
      </w:r>
    </w:p>
    <w:p w:rsidR="009A70C3" w:rsidRDefault="009A70C3" w:rsidP="00632484">
      <w:pPr>
        <w:tabs>
          <w:tab w:val="center" w:pos="4680"/>
        </w:tabs>
        <w:jc w:val="both"/>
        <w:outlineLvl w:val="3"/>
        <w:rPr>
          <w:bCs/>
          <w:i/>
          <w:iCs/>
          <w:szCs w:val="28"/>
        </w:rPr>
      </w:pPr>
      <w:r>
        <w:rPr>
          <w:bCs/>
          <w:i/>
          <w:iCs/>
          <w:szCs w:val="28"/>
        </w:rPr>
        <w:t xml:space="preserve">C. </w:t>
      </w:r>
      <w:r w:rsidR="00632484" w:rsidRPr="009A70C3">
        <w:rPr>
          <w:bCs/>
          <w:i/>
          <w:iCs/>
          <w:szCs w:val="28"/>
        </w:rPr>
        <w:t>Non-Used and Useful Plant</w:t>
      </w:r>
    </w:p>
    <w:p w:rsidR="00632484" w:rsidRPr="009A70C3" w:rsidRDefault="00632484" w:rsidP="00632484">
      <w:pPr>
        <w:tabs>
          <w:tab w:val="center" w:pos="4680"/>
        </w:tabs>
        <w:jc w:val="both"/>
        <w:outlineLvl w:val="3"/>
        <w:rPr>
          <w:bCs/>
          <w:i/>
          <w:iCs/>
          <w:szCs w:val="28"/>
        </w:rPr>
      </w:pPr>
      <w:r w:rsidRPr="009A70C3">
        <w:rPr>
          <w:bCs/>
          <w:i/>
          <w:iCs/>
          <w:szCs w:val="28"/>
        </w:rPr>
        <w:tab/>
      </w:r>
    </w:p>
    <w:p w:rsidR="00632484" w:rsidRPr="00632484" w:rsidRDefault="00632484" w:rsidP="00632484">
      <w:pPr>
        <w:spacing w:after="240"/>
        <w:jc w:val="both"/>
      </w:pPr>
      <w:r>
        <w:tab/>
      </w:r>
      <w:r w:rsidRPr="00632484">
        <w:t xml:space="preserve">As discussed in </w:t>
      </w:r>
      <w:r w:rsidR="008D7C94">
        <w:t>the Used and Useful section</w:t>
      </w:r>
      <w:r w:rsidRPr="00632484">
        <w:t xml:space="preserve">, FIMC’s </w:t>
      </w:r>
      <w:r w:rsidR="00DF6ACE">
        <w:t>WTP</w:t>
      </w:r>
      <w:r w:rsidRPr="00632484">
        <w:t xml:space="preserve">, water distribution system, </w:t>
      </w:r>
      <w:r w:rsidR="00DF6ACE">
        <w:t>WWTP</w:t>
      </w:r>
      <w:r w:rsidRPr="00632484">
        <w:t>, and wastewater collection system are considered 100 percent U&amp;U. Therefore, no U&amp;U adjustments are necessary.</w:t>
      </w:r>
    </w:p>
    <w:p w:rsidR="00632484" w:rsidRDefault="009A70C3" w:rsidP="00632484">
      <w:pPr>
        <w:jc w:val="both"/>
        <w:outlineLvl w:val="3"/>
        <w:rPr>
          <w:bCs/>
          <w:i/>
          <w:iCs/>
          <w:szCs w:val="28"/>
        </w:rPr>
      </w:pPr>
      <w:r>
        <w:rPr>
          <w:bCs/>
          <w:i/>
          <w:iCs/>
          <w:szCs w:val="28"/>
        </w:rPr>
        <w:t xml:space="preserve">D. </w:t>
      </w:r>
      <w:r w:rsidR="00632484" w:rsidRPr="009A70C3">
        <w:rPr>
          <w:bCs/>
          <w:i/>
          <w:iCs/>
          <w:szCs w:val="28"/>
        </w:rPr>
        <w:t>Contributions In Aid of Construction (CIAC)</w:t>
      </w:r>
    </w:p>
    <w:p w:rsidR="009A70C3" w:rsidRPr="009A70C3" w:rsidRDefault="009A70C3" w:rsidP="00632484">
      <w:pPr>
        <w:jc w:val="both"/>
        <w:outlineLvl w:val="3"/>
        <w:rPr>
          <w:bCs/>
          <w:i/>
          <w:iCs/>
          <w:szCs w:val="28"/>
        </w:rPr>
      </w:pPr>
    </w:p>
    <w:p w:rsidR="00632484" w:rsidRPr="00632484" w:rsidRDefault="00632484" w:rsidP="00632484">
      <w:pPr>
        <w:spacing w:after="240"/>
        <w:jc w:val="both"/>
      </w:pPr>
      <w:r>
        <w:tab/>
      </w:r>
      <w:r w:rsidRPr="00632484">
        <w:t xml:space="preserve">The utility did not record CIAC in their general ledger. </w:t>
      </w:r>
      <w:r w:rsidR="00DF6ACE">
        <w:t xml:space="preserve">We </w:t>
      </w:r>
      <w:r w:rsidRPr="00632484">
        <w:t>calculated CIAC using the beginning balances noted in Order Nos. PSC-05-0298-PAA-WS</w:t>
      </w:r>
      <w:r w:rsidRPr="00632484">
        <w:rPr>
          <w:vertAlign w:val="superscript"/>
        </w:rPr>
        <w:footnoteReference w:id="8"/>
      </w:r>
      <w:r w:rsidRPr="00632484">
        <w:t xml:space="preserve"> and PSC-04-0610-PAA-WS</w:t>
      </w:r>
      <w:r w:rsidRPr="00632484">
        <w:rPr>
          <w:vertAlign w:val="superscript"/>
        </w:rPr>
        <w:footnoteReference w:id="9"/>
      </w:r>
      <w:r w:rsidRPr="00632484">
        <w:t xml:space="preserve"> and subsequent additions reflected in the utility’s Annual Reports compared to customer growth. Based on these calculations, </w:t>
      </w:r>
      <w:r w:rsidR="00DF6ACE">
        <w:t>we find that the appropriate</w:t>
      </w:r>
      <w:r w:rsidRPr="00632484">
        <w:t xml:space="preserve"> CIAC balances are $39,100 for water and $75,772 for wastewater.</w:t>
      </w:r>
    </w:p>
    <w:p w:rsidR="00632484" w:rsidRDefault="00DF6ACE" w:rsidP="00632484">
      <w:pPr>
        <w:jc w:val="both"/>
        <w:outlineLvl w:val="3"/>
        <w:rPr>
          <w:bCs/>
          <w:i/>
          <w:iCs/>
          <w:szCs w:val="28"/>
        </w:rPr>
      </w:pPr>
      <w:r>
        <w:rPr>
          <w:bCs/>
          <w:i/>
          <w:iCs/>
          <w:szCs w:val="28"/>
        </w:rPr>
        <w:t>E</w:t>
      </w:r>
      <w:r w:rsidR="009A70C3">
        <w:rPr>
          <w:bCs/>
          <w:i/>
          <w:iCs/>
          <w:szCs w:val="28"/>
        </w:rPr>
        <w:t xml:space="preserve">. </w:t>
      </w:r>
      <w:r w:rsidR="00632484" w:rsidRPr="009A70C3">
        <w:rPr>
          <w:bCs/>
          <w:i/>
          <w:iCs/>
          <w:szCs w:val="28"/>
        </w:rPr>
        <w:t>Accumulated Depreciation</w:t>
      </w:r>
    </w:p>
    <w:p w:rsidR="009A70C3" w:rsidRPr="009A70C3" w:rsidRDefault="009A70C3" w:rsidP="00632484">
      <w:pPr>
        <w:jc w:val="both"/>
        <w:outlineLvl w:val="3"/>
        <w:rPr>
          <w:bCs/>
          <w:i/>
          <w:iCs/>
          <w:szCs w:val="28"/>
        </w:rPr>
      </w:pPr>
    </w:p>
    <w:p w:rsidR="00632484" w:rsidRPr="00632484" w:rsidRDefault="00632484" w:rsidP="00632484">
      <w:pPr>
        <w:spacing w:after="240"/>
        <w:jc w:val="both"/>
      </w:pPr>
      <w:r>
        <w:tab/>
      </w:r>
      <w:r w:rsidRPr="00632484">
        <w:t xml:space="preserve">According to the utility’s general ledger, the accumulated depreciation balance was $146,773 for water and $247,550 for wastewater as of June 30, 2017. Test year depreciation expense was not recorded in the general ledger, but was reflected in the 2016 Annual Report. </w:t>
      </w:r>
      <w:r w:rsidR="00DF6ACE">
        <w:t>We</w:t>
      </w:r>
      <w:r w:rsidRPr="00632484">
        <w:t xml:space="preserve"> recalculated accumulated depreciation and depreciation expense using the audited UPIS balances and the depreciation rates established by Rule 25-30.140(2), F.A.C. </w:t>
      </w:r>
      <w:r w:rsidR="00DF6ACE">
        <w:t>We</w:t>
      </w:r>
      <w:r w:rsidRPr="00632484">
        <w:t xml:space="preserve"> increased this account by $60,718 for water and $48,149 for wastewater to reflect the appropriate balances. </w:t>
      </w:r>
      <w:r w:rsidR="00DF6ACE">
        <w:t>We</w:t>
      </w:r>
      <w:r w:rsidRPr="00632484">
        <w:t xml:space="preserve"> also </w:t>
      </w:r>
      <w:r w:rsidRPr="00632484">
        <w:lastRenderedPageBreak/>
        <w:t xml:space="preserve">increased wastewater accumulated depreciation by $1,450 to reflect the pro forma plant addition discussed previously in this </w:t>
      </w:r>
      <w:r w:rsidR="00DF6ACE">
        <w:t>section</w:t>
      </w:r>
      <w:r w:rsidRPr="00632484">
        <w:t xml:space="preserve">. </w:t>
      </w:r>
    </w:p>
    <w:p w:rsidR="00632484" w:rsidRPr="00632484" w:rsidRDefault="00632484" w:rsidP="00632484">
      <w:pPr>
        <w:spacing w:after="120"/>
        <w:jc w:val="both"/>
      </w:pPr>
      <w:r>
        <w:tab/>
      </w:r>
      <w:r w:rsidRPr="00632484">
        <w:t xml:space="preserve">As discussed previously, the Hideaway and Springside water systems and wastewater systems were interconnected, and the Hideaway water and wastewater systems were decommissioned. To reflect this, </w:t>
      </w:r>
      <w:r w:rsidR="00DF6ACE">
        <w:t>we</w:t>
      </w:r>
      <w:r w:rsidRPr="00632484">
        <w:t xml:space="preserve"> reduced water accumulated depreciation by $54,374 and wastewater accumulated depreciation by $24,998, which includes the appropriate plant balances as identified in </w:t>
      </w:r>
      <w:r w:rsidR="0069765B">
        <w:t>our</w:t>
      </w:r>
      <w:r w:rsidR="00DF6ACE">
        <w:t xml:space="preserve"> staff’s</w:t>
      </w:r>
      <w:r w:rsidRPr="00632484">
        <w:t xml:space="preserve"> audit. These adjustments are reflected in Tables 2 and 3</w:t>
      </w:r>
      <w:r w:rsidR="00DF6ACE">
        <w:t>.</w:t>
      </w:r>
    </w:p>
    <w:p w:rsidR="00632484" w:rsidRPr="00632484" w:rsidRDefault="00632484" w:rsidP="00632484">
      <w:pPr>
        <w:spacing w:after="240"/>
        <w:jc w:val="both"/>
      </w:pPr>
      <w:r>
        <w:tab/>
      </w:r>
      <w:r w:rsidRPr="00632484">
        <w:t xml:space="preserve">In addition, </w:t>
      </w:r>
      <w:r w:rsidR="00DF6ACE">
        <w:t>we</w:t>
      </w:r>
      <w:r w:rsidRPr="00632484">
        <w:t xml:space="preserve"> reduced accumulated depreciation by $725 for wastewater to reflect the simple average. </w:t>
      </w:r>
      <w:r w:rsidR="00DF6ACE">
        <w:rPr>
          <w:color w:val="000000"/>
        </w:rPr>
        <w:t>Our</w:t>
      </w:r>
      <w:r w:rsidRPr="00632484">
        <w:rPr>
          <w:color w:val="000000"/>
        </w:rPr>
        <w:t xml:space="preserve"> adjustments to this account result in </w:t>
      </w:r>
      <w:r w:rsidRPr="00632484">
        <w:t xml:space="preserve">accumulated depreciation balances of $153,117 for water and $269,976 for wastewater. </w:t>
      </w:r>
    </w:p>
    <w:p w:rsidR="00632484" w:rsidRDefault="00DF6ACE" w:rsidP="00632484">
      <w:pPr>
        <w:jc w:val="both"/>
        <w:outlineLvl w:val="3"/>
        <w:rPr>
          <w:bCs/>
          <w:i/>
          <w:iCs/>
          <w:szCs w:val="28"/>
        </w:rPr>
      </w:pPr>
      <w:r>
        <w:rPr>
          <w:bCs/>
          <w:i/>
          <w:iCs/>
          <w:szCs w:val="28"/>
        </w:rPr>
        <w:t>F</w:t>
      </w:r>
      <w:r w:rsidR="009A70C3">
        <w:rPr>
          <w:bCs/>
          <w:i/>
          <w:iCs/>
          <w:szCs w:val="28"/>
        </w:rPr>
        <w:t xml:space="preserve">. </w:t>
      </w:r>
      <w:r w:rsidR="00632484" w:rsidRPr="009A70C3">
        <w:rPr>
          <w:bCs/>
          <w:i/>
          <w:iCs/>
          <w:szCs w:val="28"/>
        </w:rPr>
        <w:t>Accumulated Amortization of CIAC</w:t>
      </w:r>
    </w:p>
    <w:p w:rsidR="009A70C3" w:rsidRPr="009A70C3" w:rsidRDefault="009A70C3" w:rsidP="00632484">
      <w:pPr>
        <w:jc w:val="both"/>
        <w:outlineLvl w:val="3"/>
        <w:rPr>
          <w:bCs/>
          <w:i/>
          <w:iCs/>
          <w:szCs w:val="28"/>
        </w:rPr>
      </w:pPr>
    </w:p>
    <w:p w:rsidR="00632484" w:rsidRPr="00632484" w:rsidRDefault="00632484" w:rsidP="00632484">
      <w:pPr>
        <w:spacing w:after="240"/>
        <w:jc w:val="both"/>
      </w:pPr>
      <w:r>
        <w:tab/>
      </w:r>
      <w:r w:rsidRPr="00632484">
        <w:t xml:space="preserve">The utility did not record accumulated amortization of CIAC in their general ledger. </w:t>
      </w:r>
      <w:r w:rsidR="00DF6ACE">
        <w:t>We</w:t>
      </w:r>
      <w:r w:rsidRPr="00632484">
        <w:t xml:space="preserve"> recalculated accumulated amortization of CIAC using the depreciation rates established by Rule 25-30.140(2), F.A.C. As a result, </w:t>
      </w:r>
      <w:r w:rsidR="00DF6ACE">
        <w:t>we</w:t>
      </w:r>
      <w:r w:rsidRPr="00632484">
        <w:t xml:space="preserve"> increased this account by $21,634 for water and by $39,216 for wastewater. </w:t>
      </w:r>
      <w:r w:rsidR="00DF6ACE">
        <w:t>We hereby find that the appropriate</w:t>
      </w:r>
      <w:r w:rsidRPr="00632484">
        <w:t xml:space="preserve"> accumulated amortization of CIAC balances are $21,634 for water and $39,216 for wastewater.</w:t>
      </w:r>
    </w:p>
    <w:p w:rsidR="00632484" w:rsidRDefault="00DF6ACE" w:rsidP="00632484">
      <w:pPr>
        <w:jc w:val="both"/>
        <w:outlineLvl w:val="3"/>
        <w:rPr>
          <w:bCs/>
          <w:i/>
          <w:iCs/>
          <w:szCs w:val="28"/>
        </w:rPr>
      </w:pPr>
      <w:r>
        <w:rPr>
          <w:bCs/>
          <w:i/>
          <w:iCs/>
          <w:szCs w:val="28"/>
        </w:rPr>
        <w:t>G</w:t>
      </w:r>
      <w:r w:rsidR="009A70C3">
        <w:rPr>
          <w:bCs/>
          <w:i/>
          <w:iCs/>
          <w:szCs w:val="28"/>
        </w:rPr>
        <w:t xml:space="preserve">. </w:t>
      </w:r>
      <w:r w:rsidR="00632484" w:rsidRPr="009A70C3">
        <w:rPr>
          <w:bCs/>
          <w:i/>
          <w:iCs/>
          <w:szCs w:val="28"/>
        </w:rPr>
        <w:t>Working Capital Allowance</w:t>
      </w:r>
    </w:p>
    <w:p w:rsidR="009A70C3" w:rsidRPr="009A70C3" w:rsidRDefault="009A70C3" w:rsidP="00632484">
      <w:pPr>
        <w:jc w:val="both"/>
        <w:outlineLvl w:val="3"/>
        <w:rPr>
          <w:bCs/>
          <w:i/>
          <w:iCs/>
          <w:szCs w:val="28"/>
        </w:rPr>
      </w:pPr>
    </w:p>
    <w:p w:rsidR="00632484" w:rsidRPr="00632484" w:rsidRDefault="00632484" w:rsidP="00632484">
      <w:pPr>
        <w:spacing w:after="240"/>
        <w:jc w:val="both"/>
      </w:pPr>
      <w:r>
        <w:tab/>
      </w:r>
      <w:r w:rsidRPr="00632484">
        <w:t xml:space="preserve">Working capital is defined as the short-term, investor-supplied funds that are necessary to meet operating expenses of the utility. Consistent with Rule 25-30.433(2), F.A.C., </w:t>
      </w:r>
      <w:r w:rsidR="00DF6ACE">
        <w:t>we</w:t>
      </w:r>
      <w:r w:rsidRPr="00632484">
        <w:t xml:space="preserve"> used the one-eighth of the operation and maintenance (O&amp;M) expense formula approach for calculating the working capital allowance. </w:t>
      </w:r>
      <w:r w:rsidR="00DF6ACE">
        <w:t>We</w:t>
      </w:r>
      <w:r w:rsidRPr="00632484">
        <w:t xml:space="preserve"> also removed the unamortized balance of rate case expense, discussed in </w:t>
      </w:r>
      <w:r w:rsidR="00DF6ACE">
        <w:t>the Operating Expense section</w:t>
      </w:r>
      <w:r w:rsidRPr="00632484">
        <w:t xml:space="preserve">, of $313 for water and $192 for wastewater pursuant to Section 367.081(9), F.S. Applying this formula, </w:t>
      </w:r>
      <w:r w:rsidR="00DF6ACE">
        <w:t>we find that</w:t>
      </w:r>
      <w:r w:rsidRPr="00632484">
        <w:t xml:space="preserve"> a working capital allowance of $4,704 ($37,634/8) for water, based on the adjusted O&amp;M expense of $37,634 ($37,947 - $313 = $37,634)</w:t>
      </w:r>
      <w:r w:rsidR="00DF6ACE">
        <w:t xml:space="preserve"> is appropriate</w:t>
      </w:r>
      <w:r w:rsidRPr="00632484">
        <w:t xml:space="preserve">. Further, </w:t>
      </w:r>
      <w:r w:rsidR="00DF6ACE">
        <w:t>we find that</w:t>
      </w:r>
      <w:r w:rsidRPr="00632484">
        <w:t xml:space="preserve"> a working capital allowance of $5,688 ($45,501/8) for wastewater</w:t>
      </w:r>
      <w:r w:rsidR="00DF6ACE">
        <w:t xml:space="preserve"> is appropriate</w:t>
      </w:r>
      <w:r w:rsidRPr="00632484">
        <w:t>, based on the adjusted O&amp;M expense of $45,501 ($45,693 - $192 = $45,501).</w:t>
      </w:r>
    </w:p>
    <w:p w:rsidR="00632484" w:rsidRDefault="00DF6ACE" w:rsidP="00632484">
      <w:pPr>
        <w:autoSpaceDE w:val="0"/>
        <w:autoSpaceDN w:val="0"/>
        <w:adjustRightInd w:val="0"/>
        <w:jc w:val="both"/>
      </w:pPr>
      <w:r>
        <w:rPr>
          <w:i/>
        </w:rPr>
        <w:t>H</w:t>
      </w:r>
      <w:r w:rsidR="009A70C3">
        <w:rPr>
          <w:i/>
        </w:rPr>
        <w:t>. Conclusion</w:t>
      </w:r>
    </w:p>
    <w:p w:rsidR="009A70C3" w:rsidRPr="009A70C3" w:rsidRDefault="009A70C3" w:rsidP="00632484">
      <w:pPr>
        <w:autoSpaceDE w:val="0"/>
        <w:autoSpaceDN w:val="0"/>
        <w:adjustRightInd w:val="0"/>
        <w:jc w:val="both"/>
      </w:pPr>
    </w:p>
    <w:p w:rsidR="00632484" w:rsidRDefault="00632484" w:rsidP="00632484">
      <w:pPr>
        <w:jc w:val="both"/>
      </w:pPr>
      <w:r>
        <w:tab/>
      </w:r>
      <w:r w:rsidRPr="00632484">
        <w:t xml:space="preserve">Based on the foregoing, </w:t>
      </w:r>
      <w:r w:rsidR="00DF6ACE">
        <w:t>we find</w:t>
      </w:r>
      <w:r w:rsidRPr="00632484">
        <w:t xml:space="preserve"> that the appropriate average test year rate base for water is $36,054 and the average test year rate base for wastewater is $7,935. Water and wastewater rate bases are shown on Schedule Nos. 1-A and 1-B. The related adjustments are shown on Schedule No. 1-C</w:t>
      </w:r>
    </w:p>
    <w:p w:rsidR="00632484" w:rsidRDefault="00632484" w:rsidP="00632484">
      <w:pPr>
        <w:jc w:val="both"/>
      </w:pPr>
    </w:p>
    <w:p w:rsidR="00632484" w:rsidRPr="00994110" w:rsidRDefault="00994110" w:rsidP="00632484">
      <w:pPr>
        <w:spacing w:after="240"/>
        <w:jc w:val="both"/>
        <w:rPr>
          <w:u w:val="single"/>
        </w:rPr>
      </w:pPr>
      <w:r>
        <w:rPr>
          <w:bCs/>
          <w:kern w:val="32"/>
          <w:szCs w:val="32"/>
          <w:u w:val="single"/>
        </w:rPr>
        <w:t>4. Return on Equity (ROE)</w:t>
      </w:r>
    </w:p>
    <w:p w:rsidR="00632484" w:rsidRPr="00632484" w:rsidRDefault="00632484" w:rsidP="00994110">
      <w:pPr>
        <w:autoSpaceDE w:val="0"/>
        <w:autoSpaceDN w:val="0"/>
        <w:adjustRightInd w:val="0"/>
        <w:ind w:firstLine="720"/>
        <w:jc w:val="both"/>
      </w:pPr>
      <w:r w:rsidRPr="00632484">
        <w:rPr>
          <w:rFonts w:cs="Calibri"/>
        </w:rPr>
        <w:t xml:space="preserve">FIMC’s test year capital structure reflected common equity of $61,545, long-term debt of $10,371, and no customer deposits. The long-term debt was associated with a credit card which the utility owner used to finance </w:t>
      </w:r>
      <w:r w:rsidRPr="00632484">
        <w:t xml:space="preserve">a 37,000 gallon replacement storage </w:t>
      </w:r>
      <w:r w:rsidRPr="00632484">
        <w:rPr>
          <w:rFonts w:cs="Calibri"/>
        </w:rPr>
        <w:t xml:space="preserve">tank </w:t>
      </w:r>
      <w:r w:rsidRPr="00632484">
        <w:t xml:space="preserve">for the Springside </w:t>
      </w:r>
      <w:r w:rsidRPr="00632484">
        <w:lastRenderedPageBreak/>
        <w:t>water plant in 2014.</w:t>
      </w:r>
      <w:r w:rsidRPr="00632484">
        <w:rPr>
          <w:rFonts w:cs="Calibri"/>
        </w:rPr>
        <w:t xml:space="preserve"> </w:t>
      </w:r>
      <w:r w:rsidR="00DF6ACE">
        <w:rPr>
          <w:rFonts w:cs="Calibri"/>
        </w:rPr>
        <w:t>We</w:t>
      </w:r>
      <w:r w:rsidRPr="00632484">
        <w:rPr>
          <w:rFonts w:cs="Calibri"/>
        </w:rPr>
        <w:t xml:space="preserve"> used a 22 percent cost rate for the long-term debt based on information provided by the utility during the audit for purposes of the Staff Report. Subsequent to the Staff Report, </w:t>
      </w:r>
      <w:r w:rsidR="0069765B">
        <w:rPr>
          <w:rFonts w:cs="Calibri"/>
        </w:rPr>
        <w:t>our</w:t>
      </w:r>
      <w:r w:rsidR="00DF6ACE">
        <w:rPr>
          <w:rFonts w:cs="Calibri"/>
        </w:rPr>
        <w:t xml:space="preserve"> </w:t>
      </w:r>
      <w:r w:rsidRPr="00632484">
        <w:rPr>
          <w:rFonts w:cs="Calibri"/>
        </w:rPr>
        <w:t>staff received an updated statement from the utility that reflected a current interest rate on the debt of 11.24 percent as of January 2018.</w:t>
      </w:r>
      <w:r w:rsidRPr="00632484">
        <w:rPr>
          <w:rFonts w:cs="Calibri"/>
          <w:vertAlign w:val="superscript"/>
        </w:rPr>
        <w:footnoteReference w:id="10"/>
      </w:r>
      <w:r w:rsidRPr="00632484">
        <w:rPr>
          <w:rFonts w:cs="Calibri"/>
        </w:rPr>
        <w:t xml:space="preserve"> </w:t>
      </w:r>
      <w:r w:rsidR="005175C9">
        <w:rPr>
          <w:rFonts w:cs="Calibri"/>
        </w:rPr>
        <w:t xml:space="preserve">We </w:t>
      </w:r>
      <w:r w:rsidRPr="00632484">
        <w:rPr>
          <w:rFonts w:cs="Calibri"/>
        </w:rPr>
        <w:t>applied the 11.24 percent to long term debt.</w:t>
      </w:r>
    </w:p>
    <w:p w:rsidR="00632484" w:rsidRPr="00632484" w:rsidRDefault="00632484" w:rsidP="00632484">
      <w:pPr>
        <w:autoSpaceDE w:val="0"/>
        <w:autoSpaceDN w:val="0"/>
        <w:adjustRightInd w:val="0"/>
      </w:pPr>
    </w:p>
    <w:p w:rsidR="00632484" w:rsidRPr="00632484" w:rsidRDefault="00C36A5B" w:rsidP="00632484">
      <w:pPr>
        <w:spacing w:after="240"/>
        <w:jc w:val="both"/>
      </w:pPr>
      <w:r>
        <w:rPr>
          <w:rFonts w:cs="Calibri"/>
        </w:rPr>
        <w:tab/>
      </w:r>
      <w:r w:rsidR="00632484" w:rsidRPr="00632484">
        <w:rPr>
          <w:rFonts w:cs="Calibri"/>
        </w:rPr>
        <w:t xml:space="preserve">The utility’s capital structure has been reconciled with </w:t>
      </w:r>
      <w:r w:rsidR="005175C9">
        <w:rPr>
          <w:rFonts w:cs="Calibri"/>
        </w:rPr>
        <w:t>the Commission-approved</w:t>
      </w:r>
      <w:r w:rsidR="00632484" w:rsidRPr="00632484">
        <w:rPr>
          <w:rFonts w:cs="Calibri"/>
        </w:rPr>
        <w:t xml:space="preserve"> rate base. </w:t>
      </w:r>
      <w:r w:rsidR="00632484" w:rsidRPr="00632484">
        <w:t>The appropriate ROE for the utility is 9.01 percent based upon the Commission-approved leverage formula currently in effect.</w:t>
      </w:r>
      <w:r w:rsidR="00632484" w:rsidRPr="00632484">
        <w:rPr>
          <w:vertAlign w:val="superscript"/>
        </w:rPr>
        <w:footnoteReference w:id="11"/>
      </w:r>
      <w:r w:rsidR="00632484" w:rsidRPr="00632484">
        <w:t xml:space="preserve"> </w:t>
      </w:r>
      <w:r w:rsidR="005175C9">
        <w:t>We hereby approve</w:t>
      </w:r>
      <w:r w:rsidR="00632484" w:rsidRPr="00632484">
        <w:t xml:space="preserve"> an ROE of 9.01 percent, with a range of 8.01 percent to 10.01 percent, and an overall rate of return of 9.33 percent. The ROE and overall rate of return are shown on Schedule No. 2.</w:t>
      </w:r>
    </w:p>
    <w:p w:rsidR="00C36A5B" w:rsidRPr="00E463BA" w:rsidRDefault="00E463BA" w:rsidP="00C36A5B">
      <w:pPr>
        <w:spacing w:after="240"/>
        <w:jc w:val="both"/>
        <w:rPr>
          <w:u w:val="single"/>
        </w:rPr>
      </w:pPr>
      <w:r>
        <w:rPr>
          <w:bCs/>
          <w:kern w:val="32"/>
          <w:szCs w:val="32"/>
          <w:u w:val="single"/>
        </w:rPr>
        <w:t>5. Test Year Revenues</w:t>
      </w:r>
    </w:p>
    <w:p w:rsidR="00C36A5B" w:rsidRPr="00C36A5B" w:rsidRDefault="00C36A5B" w:rsidP="00E463BA">
      <w:pPr>
        <w:spacing w:after="240"/>
        <w:ind w:firstLine="720"/>
        <w:jc w:val="both"/>
        <w:outlineLvl w:val="1"/>
        <w:rPr>
          <w:bCs/>
          <w:iCs/>
          <w:szCs w:val="28"/>
        </w:rPr>
      </w:pPr>
      <w:r w:rsidRPr="00C36A5B">
        <w:rPr>
          <w:bCs/>
          <w:iCs/>
          <w:szCs w:val="28"/>
        </w:rPr>
        <w:t>FIMC recorded $43,813 in test year revenues for its water systems, which includes $39,985 of service revenues and $3,828 of miscellaneous revenues. Test year service revenues include revenues associated with the clubhouse. In addition, FIMC recorded $55,469 in test year revenues for its wastewater systems, which includes $52,591 of service revenues and $2,878 of miscellaneous revenues. Test year revenues include revenues associated with the clubhouse.</w:t>
      </w:r>
    </w:p>
    <w:p w:rsidR="00C36A5B" w:rsidRPr="00C36A5B" w:rsidRDefault="00C36A5B" w:rsidP="005175C9">
      <w:pPr>
        <w:ind w:firstLine="720"/>
        <w:jc w:val="both"/>
      </w:pPr>
      <w:r w:rsidRPr="00C36A5B">
        <w:t xml:space="preserve">During the test year, the utility rates changed due to a price index. </w:t>
      </w:r>
      <w:r w:rsidR="005175C9">
        <w:t>We</w:t>
      </w:r>
      <w:r w:rsidRPr="00C36A5B">
        <w:t xml:space="preserve"> annualized the service revenues using the test year billing determinants and the rates in effect at the end of the test year. </w:t>
      </w:r>
      <w:r w:rsidR="005175C9">
        <w:t>We</w:t>
      </w:r>
      <w:r w:rsidRPr="00C36A5B">
        <w:t xml:space="preserve"> also reclassified water revenues incorrectly recorded as wastewater revenues. In addition, </w:t>
      </w:r>
      <w:r w:rsidR="005175C9">
        <w:t>we</w:t>
      </w:r>
      <w:r w:rsidRPr="00C36A5B">
        <w:t xml:space="preserve"> adjusted test year revenues resulting from the utility’s failure to include a cap in the residential wastewater bills and the wastewater revenues were adjusted to include the base facility charge for the clubhouse. </w:t>
      </w:r>
      <w:r w:rsidR="005175C9">
        <w:t>We</w:t>
      </w:r>
      <w:r w:rsidRPr="00C36A5B">
        <w:t xml:space="preserve"> also adjusted miscellaneous revenues to remove CIAC for meter installations and accounts receivable incorrectly recorded as miscellaneous revenues. The adjustments to test year revenues are shown in Table </w:t>
      </w:r>
      <w:r w:rsidR="00E463BA">
        <w:t>4</w:t>
      </w:r>
      <w:r w:rsidRPr="00C36A5B">
        <w:t xml:space="preserve">. Based on the above, the appropriate test year revenues for FIMC are $41,680 for the water system and $52,504 for the wastewater system. </w:t>
      </w:r>
    </w:p>
    <w:p w:rsidR="00C36A5B" w:rsidRDefault="00C36A5B" w:rsidP="00632484">
      <w:pPr>
        <w:jc w:val="both"/>
        <w:rPr>
          <w:b/>
        </w:rPr>
      </w:pPr>
    </w:p>
    <w:p w:rsidR="008D229D" w:rsidRDefault="008D229D" w:rsidP="00632484">
      <w:pPr>
        <w:jc w:val="both"/>
        <w:rPr>
          <w:b/>
        </w:rPr>
      </w:pPr>
    </w:p>
    <w:p w:rsidR="008D229D" w:rsidRDefault="008D229D" w:rsidP="00632484">
      <w:pPr>
        <w:jc w:val="both"/>
        <w:rPr>
          <w:b/>
        </w:rPr>
      </w:pPr>
    </w:p>
    <w:p w:rsidR="008D229D" w:rsidRDefault="008D229D" w:rsidP="00632484">
      <w:pPr>
        <w:jc w:val="both"/>
        <w:rPr>
          <w:b/>
        </w:rPr>
      </w:pPr>
    </w:p>
    <w:p w:rsidR="008D229D" w:rsidRDefault="008D229D" w:rsidP="00632484">
      <w:pPr>
        <w:jc w:val="both"/>
        <w:rPr>
          <w:b/>
        </w:rPr>
      </w:pPr>
    </w:p>
    <w:p w:rsidR="008D229D" w:rsidRDefault="008D229D" w:rsidP="00632484">
      <w:pPr>
        <w:jc w:val="both"/>
        <w:rPr>
          <w:b/>
        </w:rPr>
      </w:pPr>
    </w:p>
    <w:p w:rsidR="008D229D" w:rsidRDefault="008D229D" w:rsidP="00632484">
      <w:pPr>
        <w:jc w:val="both"/>
        <w:rPr>
          <w:b/>
        </w:rPr>
      </w:pPr>
    </w:p>
    <w:p w:rsidR="008D229D" w:rsidRDefault="008D229D" w:rsidP="00632484">
      <w:pPr>
        <w:jc w:val="both"/>
        <w:rPr>
          <w:b/>
        </w:rPr>
      </w:pPr>
    </w:p>
    <w:p w:rsidR="008D229D" w:rsidRDefault="008D229D" w:rsidP="00632484">
      <w:pPr>
        <w:jc w:val="both"/>
        <w:rPr>
          <w:b/>
        </w:rPr>
      </w:pPr>
    </w:p>
    <w:p w:rsidR="008D229D" w:rsidRDefault="008D229D" w:rsidP="00632484">
      <w:pPr>
        <w:jc w:val="both"/>
        <w:rPr>
          <w:b/>
        </w:rPr>
      </w:pPr>
    </w:p>
    <w:p w:rsidR="008D229D" w:rsidRPr="00E463BA" w:rsidRDefault="008D229D" w:rsidP="00632484">
      <w:pPr>
        <w:jc w:val="both"/>
        <w:rPr>
          <w:b/>
        </w:rPr>
      </w:pPr>
    </w:p>
    <w:p w:rsidR="00C36A5B" w:rsidRPr="00E463BA" w:rsidRDefault="00C36A5B" w:rsidP="00C36A5B">
      <w:pPr>
        <w:autoSpaceDE w:val="0"/>
        <w:autoSpaceDN w:val="0"/>
        <w:adjustRightInd w:val="0"/>
        <w:jc w:val="center"/>
        <w:rPr>
          <w:b/>
          <w:bCs/>
        </w:rPr>
      </w:pPr>
      <w:r w:rsidRPr="00E463BA">
        <w:rPr>
          <w:b/>
          <w:bCs/>
        </w:rPr>
        <w:lastRenderedPageBreak/>
        <w:t xml:space="preserve">Table </w:t>
      </w:r>
      <w:r w:rsidR="00E463BA" w:rsidRPr="00E463BA">
        <w:rPr>
          <w:b/>
          <w:bCs/>
        </w:rPr>
        <w:t>4</w:t>
      </w:r>
    </w:p>
    <w:p w:rsidR="00C36A5B" w:rsidRPr="00E463BA" w:rsidRDefault="00C36A5B" w:rsidP="00C36A5B">
      <w:pPr>
        <w:autoSpaceDE w:val="0"/>
        <w:autoSpaceDN w:val="0"/>
        <w:adjustRightInd w:val="0"/>
        <w:jc w:val="center"/>
        <w:rPr>
          <w:b/>
          <w:bCs/>
        </w:rPr>
      </w:pPr>
      <w:r w:rsidRPr="00E463BA">
        <w:rPr>
          <w:b/>
          <w:bCs/>
        </w:rPr>
        <w:t>Test Year Revenues</w:t>
      </w:r>
    </w:p>
    <w:tbl>
      <w:tblPr>
        <w:tblW w:w="0" w:type="auto"/>
        <w:tblInd w:w="115" w:type="dxa"/>
        <w:tblLayout w:type="fixed"/>
        <w:tblCellMar>
          <w:left w:w="0" w:type="dxa"/>
          <w:right w:w="0" w:type="dxa"/>
        </w:tblCellMar>
        <w:tblLook w:val="0000" w:firstRow="0" w:lastRow="0" w:firstColumn="0" w:lastColumn="0" w:noHBand="0" w:noVBand="0"/>
      </w:tblPr>
      <w:tblGrid>
        <w:gridCol w:w="5107"/>
        <w:gridCol w:w="1710"/>
        <w:gridCol w:w="1782"/>
      </w:tblGrid>
      <w:tr w:rsidR="00C36A5B" w:rsidRPr="00C36A5B" w:rsidTr="00C36A5B">
        <w:trPr>
          <w:trHeight w:hRule="exact" w:val="286"/>
        </w:trPr>
        <w:tc>
          <w:tcPr>
            <w:tcW w:w="5107" w:type="dxa"/>
            <w:tcBorders>
              <w:top w:val="single" w:sz="4" w:space="0" w:color="000000"/>
              <w:left w:val="single" w:sz="4" w:space="0" w:color="000000"/>
              <w:bottom w:val="single" w:sz="4" w:space="0" w:color="000000"/>
              <w:right w:val="single" w:sz="4" w:space="0" w:color="000000"/>
            </w:tcBorders>
          </w:tcPr>
          <w:p w:rsidR="00C36A5B" w:rsidRPr="00C36A5B" w:rsidRDefault="00C36A5B" w:rsidP="00C36A5B"/>
        </w:tc>
        <w:tc>
          <w:tcPr>
            <w:tcW w:w="1710" w:type="dxa"/>
            <w:tcBorders>
              <w:top w:val="single" w:sz="4" w:space="0" w:color="000000"/>
              <w:left w:val="single" w:sz="4" w:space="0" w:color="000000"/>
              <w:bottom w:val="single" w:sz="4" w:space="0" w:color="000000"/>
              <w:right w:val="single" w:sz="4" w:space="0" w:color="000000"/>
            </w:tcBorders>
            <w:vAlign w:val="center"/>
          </w:tcPr>
          <w:p w:rsidR="00C36A5B" w:rsidRPr="00C36A5B" w:rsidRDefault="00C36A5B" w:rsidP="00C36A5B">
            <w:pPr>
              <w:jc w:val="center"/>
            </w:pPr>
            <w:r w:rsidRPr="00C36A5B">
              <w:rPr>
                <w:b/>
                <w:bCs/>
              </w:rPr>
              <w:t>Water*</w:t>
            </w:r>
          </w:p>
        </w:tc>
        <w:tc>
          <w:tcPr>
            <w:tcW w:w="1782" w:type="dxa"/>
            <w:tcBorders>
              <w:top w:val="single" w:sz="4" w:space="0" w:color="000000"/>
              <w:left w:val="single" w:sz="4" w:space="0" w:color="000000"/>
              <w:bottom w:val="single" w:sz="4" w:space="0" w:color="000000"/>
              <w:right w:val="single" w:sz="4" w:space="0" w:color="000000"/>
            </w:tcBorders>
            <w:vAlign w:val="center"/>
          </w:tcPr>
          <w:p w:rsidR="00C36A5B" w:rsidRPr="00C36A5B" w:rsidRDefault="00C36A5B" w:rsidP="00C36A5B">
            <w:pPr>
              <w:jc w:val="center"/>
            </w:pPr>
            <w:r w:rsidRPr="00C36A5B">
              <w:rPr>
                <w:b/>
                <w:bCs/>
              </w:rPr>
              <w:t>Wastewater*</w:t>
            </w:r>
          </w:p>
        </w:tc>
      </w:tr>
      <w:tr w:rsidR="00C36A5B" w:rsidRPr="00C36A5B" w:rsidTr="00C36A5B">
        <w:trPr>
          <w:trHeight w:hRule="exact" w:val="287"/>
        </w:trPr>
        <w:tc>
          <w:tcPr>
            <w:tcW w:w="5107" w:type="dxa"/>
            <w:tcBorders>
              <w:top w:val="single" w:sz="4" w:space="0" w:color="000000"/>
              <w:left w:val="single" w:sz="4" w:space="0" w:color="000000"/>
              <w:bottom w:val="single" w:sz="4" w:space="0" w:color="000000"/>
              <w:right w:val="single" w:sz="4" w:space="0" w:color="000000"/>
            </w:tcBorders>
          </w:tcPr>
          <w:p w:rsidR="00C36A5B" w:rsidRPr="00C36A5B" w:rsidRDefault="00C36A5B" w:rsidP="00C36A5B">
            <w:pPr>
              <w:jc w:val="both"/>
            </w:pPr>
            <w:r w:rsidRPr="00C36A5B">
              <w:rPr>
                <w:b/>
                <w:bCs/>
              </w:rPr>
              <w:t>Service Revenues</w:t>
            </w:r>
          </w:p>
        </w:tc>
        <w:tc>
          <w:tcPr>
            <w:tcW w:w="1710" w:type="dxa"/>
            <w:tcBorders>
              <w:top w:val="single" w:sz="4" w:space="0" w:color="000000"/>
              <w:left w:val="single" w:sz="4" w:space="0" w:color="000000"/>
              <w:bottom w:val="single" w:sz="4" w:space="0" w:color="000000"/>
              <w:right w:val="single" w:sz="4" w:space="0" w:color="000000"/>
            </w:tcBorders>
            <w:vAlign w:val="center"/>
          </w:tcPr>
          <w:p w:rsidR="00C36A5B" w:rsidRPr="00C36A5B" w:rsidRDefault="00C36A5B" w:rsidP="00C36A5B">
            <w:pPr>
              <w:jc w:val="right"/>
            </w:pPr>
          </w:p>
        </w:tc>
        <w:tc>
          <w:tcPr>
            <w:tcW w:w="1782" w:type="dxa"/>
            <w:tcBorders>
              <w:top w:val="single" w:sz="4" w:space="0" w:color="000000"/>
              <w:left w:val="single" w:sz="4" w:space="0" w:color="000000"/>
              <w:bottom w:val="single" w:sz="4" w:space="0" w:color="000000"/>
              <w:right w:val="single" w:sz="4" w:space="0" w:color="000000"/>
            </w:tcBorders>
            <w:vAlign w:val="center"/>
          </w:tcPr>
          <w:p w:rsidR="00C36A5B" w:rsidRPr="00C36A5B" w:rsidRDefault="00C36A5B" w:rsidP="00C36A5B">
            <w:pPr>
              <w:jc w:val="right"/>
            </w:pPr>
          </w:p>
        </w:tc>
      </w:tr>
      <w:tr w:rsidR="00C36A5B" w:rsidRPr="00C36A5B" w:rsidTr="00C36A5B">
        <w:trPr>
          <w:trHeight w:hRule="exact" w:val="286"/>
        </w:trPr>
        <w:tc>
          <w:tcPr>
            <w:tcW w:w="5107" w:type="dxa"/>
            <w:tcBorders>
              <w:top w:val="single" w:sz="4" w:space="0" w:color="000000"/>
              <w:left w:val="single" w:sz="4" w:space="0" w:color="000000"/>
              <w:bottom w:val="single" w:sz="4" w:space="0" w:color="000000"/>
              <w:right w:val="single" w:sz="4" w:space="0" w:color="000000"/>
            </w:tcBorders>
          </w:tcPr>
          <w:p w:rsidR="00C36A5B" w:rsidRPr="00C36A5B" w:rsidRDefault="00C36A5B" w:rsidP="00C36A5B">
            <w:pPr>
              <w:jc w:val="both"/>
            </w:pPr>
            <w:r w:rsidRPr="00C36A5B">
              <w:t>Utility Recorded Service Revenues</w:t>
            </w:r>
          </w:p>
        </w:tc>
        <w:tc>
          <w:tcPr>
            <w:tcW w:w="1710" w:type="dxa"/>
            <w:tcBorders>
              <w:top w:val="single" w:sz="4" w:space="0" w:color="000000"/>
              <w:left w:val="single" w:sz="4" w:space="0" w:color="000000"/>
              <w:bottom w:val="single" w:sz="4" w:space="0" w:color="000000"/>
              <w:right w:val="single" w:sz="4" w:space="0" w:color="000000"/>
            </w:tcBorders>
            <w:vAlign w:val="center"/>
          </w:tcPr>
          <w:p w:rsidR="00C36A5B" w:rsidRPr="00C36A5B" w:rsidRDefault="00C36A5B" w:rsidP="00C36A5B">
            <w:pPr>
              <w:jc w:val="right"/>
            </w:pPr>
            <w:r w:rsidRPr="00C36A5B">
              <w:t>$ 39,985</w:t>
            </w:r>
          </w:p>
        </w:tc>
        <w:tc>
          <w:tcPr>
            <w:tcW w:w="1782" w:type="dxa"/>
            <w:tcBorders>
              <w:top w:val="single" w:sz="4" w:space="0" w:color="000000"/>
              <w:left w:val="single" w:sz="4" w:space="0" w:color="000000"/>
              <w:bottom w:val="single" w:sz="4" w:space="0" w:color="000000"/>
              <w:right w:val="single" w:sz="4" w:space="0" w:color="000000"/>
            </w:tcBorders>
            <w:vAlign w:val="center"/>
          </w:tcPr>
          <w:p w:rsidR="00C36A5B" w:rsidRPr="00C36A5B" w:rsidRDefault="00C36A5B" w:rsidP="00C36A5B">
            <w:pPr>
              <w:jc w:val="right"/>
            </w:pPr>
            <w:r w:rsidRPr="00C36A5B">
              <w:t>$ 52,591</w:t>
            </w:r>
          </w:p>
        </w:tc>
      </w:tr>
      <w:tr w:rsidR="00C36A5B" w:rsidRPr="00C36A5B" w:rsidTr="00C36A5B">
        <w:trPr>
          <w:trHeight w:hRule="exact" w:val="286"/>
        </w:trPr>
        <w:tc>
          <w:tcPr>
            <w:tcW w:w="5107" w:type="dxa"/>
            <w:tcBorders>
              <w:top w:val="single" w:sz="4" w:space="0" w:color="000000"/>
              <w:left w:val="single" w:sz="4" w:space="0" w:color="000000"/>
              <w:bottom w:val="single" w:sz="4" w:space="0" w:color="000000"/>
              <w:right w:val="single" w:sz="4" w:space="0" w:color="000000"/>
            </w:tcBorders>
          </w:tcPr>
          <w:p w:rsidR="00C36A5B" w:rsidRPr="00C36A5B" w:rsidRDefault="00001195" w:rsidP="00C36A5B">
            <w:pPr>
              <w:jc w:val="both"/>
            </w:pPr>
            <w:r>
              <w:t xml:space="preserve">Commission </w:t>
            </w:r>
            <w:r w:rsidR="00C36A5B" w:rsidRPr="00C36A5B">
              <w:t>Staff Adjustment</w:t>
            </w:r>
          </w:p>
        </w:tc>
        <w:tc>
          <w:tcPr>
            <w:tcW w:w="1710" w:type="dxa"/>
            <w:tcBorders>
              <w:top w:val="single" w:sz="4" w:space="0" w:color="000000"/>
              <w:left w:val="single" w:sz="4" w:space="0" w:color="000000"/>
              <w:bottom w:val="single" w:sz="4" w:space="0" w:color="000000"/>
              <w:right w:val="single" w:sz="4" w:space="0" w:color="000000"/>
            </w:tcBorders>
            <w:vAlign w:val="center"/>
          </w:tcPr>
          <w:p w:rsidR="00C36A5B" w:rsidRPr="00C36A5B" w:rsidRDefault="00C36A5B" w:rsidP="00C36A5B">
            <w:pPr>
              <w:jc w:val="right"/>
            </w:pPr>
            <w:r w:rsidRPr="00C36A5B">
              <w:t>$ 986</w:t>
            </w:r>
          </w:p>
        </w:tc>
        <w:tc>
          <w:tcPr>
            <w:tcW w:w="1782" w:type="dxa"/>
            <w:tcBorders>
              <w:top w:val="single" w:sz="4" w:space="0" w:color="000000"/>
              <w:left w:val="single" w:sz="4" w:space="0" w:color="000000"/>
              <w:bottom w:val="single" w:sz="4" w:space="0" w:color="000000"/>
              <w:right w:val="single" w:sz="4" w:space="0" w:color="000000"/>
            </w:tcBorders>
            <w:vAlign w:val="center"/>
          </w:tcPr>
          <w:p w:rsidR="00C36A5B" w:rsidRPr="00C36A5B" w:rsidRDefault="00C36A5B" w:rsidP="00C36A5B">
            <w:pPr>
              <w:jc w:val="right"/>
            </w:pPr>
            <w:r w:rsidRPr="00C36A5B">
              <w:t>$ (909)</w:t>
            </w:r>
          </w:p>
        </w:tc>
      </w:tr>
      <w:tr w:rsidR="00C36A5B" w:rsidRPr="00C36A5B" w:rsidTr="00C36A5B">
        <w:trPr>
          <w:trHeight w:hRule="exact" w:val="286"/>
        </w:trPr>
        <w:tc>
          <w:tcPr>
            <w:tcW w:w="5107" w:type="dxa"/>
            <w:tcBorders>
              <w:top w:val="single" w:sz="4" w:space="0" w:color="000000"/>
              <w:left w:val="single" w:sz="4" w:space="0" w:color="000000"/>
              <w:bottom w:val="single" w:sz="4" w:space="0" w:color="000000"/>
              <w:right w:val="single" w:sz="4" w:space="0" w:color="000000"/>
            </w:tcBorders>
          </w:tcPr>
          <w:p w:rsidR="00C36A5B" w:rsidRPr="00C36A5B" w:rsidRDefault="00C36A5B" w:rsidP="00C36A5B">
            <w:pPr>
              <w:jc w:val="both"/>
            </w:pPr>
            <w:r w:rsidRPr="00C36A5B">
              <w:rPr>
                <w:b/>
                <w:bCs/>
              </w:rPr>
              <w:t>Total Service Revenues</w:t>
            </w:r>
          </w:p>
        </w:tc>
        <w:tc>
          <w:tcPr>
            <w:tcW w:w="1710" w:type="dxa"/>
            <w:tcBorders>
              <w:top w:val="single" w:sz="4" w:space="0" w:color="000000"/>
              <w:left w:val="single" w:sz="4" w:space="0" w:color="000000"/>
              <w:bottom w:val="single" w:sz="4" w:space="0" w:color="000000"/>
              <w:right w:val="single" w:sz="4" w:space="0" w:color="000000"/>
            </w:tcBorders>
            <w:vAlign w:val="center"/>
          </w:tcPr>
          <w:p w:rsidR="00C36A5B" w:rsidRPr="00C36A5B" w:rsidRDefault="00C36A5B" w:rsidP="00C36A5B">
            <w:pPr>
              <w:jc w:val="right"/>
            </w:pPr>
            <w:r w:rsidRPr="00C36A5B">
              <w:t>$ 40,971</w:t>
            </w:r>
          </w:p>
        </w:tc>
        <w:tc>
          <w:tcPr>
            <w:tcW w:w="1782" w:type="dxa"/>
            <w:tcBorders>
              <w:top w:val="single" w:sz="4" w:space="0" w:color="000000"/>
              <w:left w:val="single" w:sz="4" w:space="0" w:color="000000"/>
              <w:bottom w:val="single" w:sz="4" w:space="0" w:color="000000"/>
              <w:right w:val="single" w:sz="4" w:space="0" w:color="000000"/>
            </w:tcBorders>
            <w:vAlign w:val="center"/>
          </w:tcPr>
          <w:p w:rsidR="00C36A5B" w:rsidRPr="00C36A5B" w:rsidRDefault="00C36A5B" w:rsidP="00C36A5B">
            <w:pPr>
              <w:jc w:val="right"/>
            </w:pPr>
            <w:r w:rsidRPr="00C36A5B">
              <w:t>$ 51,682</w:t>
            </w:r>
          </w:p>
        </w:tc>
      </w:tr>
      <w:tr w:rsidR="00C36A5B" w:rsidRPr="00C36A5B" w:rsidTr="00C36A5B">
        <w:trPr>
          <w:trHeight w:hRule="exact" w:val="287"/>
        </w:trPr>
        <w:tc>
          <w:tcPr>
            <w:tcW w:w="5107" w:type="dxa"/>
            <w:tcBorders>
              <w:top w:val="single" w:sz="4" w:space="0" w:color="000000"/>
              <w:left w:val="single" w:sz="4" w:space="0" w:color="000000"/>
              <w:bottom w:val="single" w:sz="4" w:space="0" w:color="000000"/>
              <w:right w:val="single" w:sz="4" w:space="0" w:color="000000"/>
            </w:tcBorders>
          </w:tcPr>
          <w:p w:rsidR="00C36A5B" w:rsidRPr="00C36A5B" w:rsidRDefault="00C36A5B" w:rsidP="00C36A5B">
            <w:pPr>
              <w:jc w:val="both"/>
            </w:pPr>
          </w:p>
        </w:tc>
        <w:tc>
          <w:tcPr>
            <w:tcW w:w="1710" w:type="dxa"/>
            <w:tcBorders>
              <w:top w:val="single" w:sz="4" w:space="0" w:color="000000"/>
              <w:left w:val="single" w:sz="4" w:space="0" w:color="000000"/>
              <w:bottom w:val="single" w:sz="4" w:space="0" w:color="000000"/>
              <w:right w:val="single" w:sz="4" w:space="0" w:color="000000"/>
            </w:tcBorders>
            <w:vAlign w:val="center"/>
          </w:tcPr>
          <w:p w:rsidR="00C36A5B" w:rsidRPr="00C36A5B" w:rsidRDefault="00C36A5B" w:rsidP="00C36A5B">
            <w:pPr>
              <w:jc w:val="right"/>
            </w:pPr>
          </w:p>
        </w:tc>
        <w:tc>
          <w:tcPr>
            <w:tcW w:w="1782" w:type="dxa"/>
            <w:tcBorders>
              <w:top w:val="single" w:sz="4" w:space="0" w:color="000000"/>
              <w:left w:val="single" w:sz="4" w:space="0" w:color="000000"/>
              <w:bottom w:val="single" w:sz="4" w:space="0" w:color="000000"/>
              <w:right w:val="single" w:sz="4" w:space="0" w:color="000000"/>
            </w:tcBorders>
            <w:vAlign w:val="center"/>
          </w:tcPr>
          <w:p w:rsidR="00C36A5B" w:rsidRPr="00C36A5B" w:rsidRDefault="00C36A5B" w:rsidP="00C36A5B">
            <w:pPr>
              <w:jc w:val="right"/>
            </w:pPr>
          </w:p>
        </w:tc>
      </w:tr>
      <w:tr w:rsidR="00C36A5B" w:rsidRPr="00C36A5B" w:rsidTr="00C36A5B">
        <w:trPr>
          <w:trHeight w:hRule="exact" w:val="286"/>
        </w:trPr>
        <w:tc>
          <w:tcPr>
            <w:tcW w:w="5107" w:type="dxa"/>
            <w:tcBorders>
              <w:top w:val="single" w:sz="4" w:space="0" w:color="000000"/>
              <w:left w:val="single" w:sz="4" w:space="0" w:color="000000"/>
              <w:bottom w:val="single" w:sz="4" w:space="0" w:color="000000"/>
              <w:right w:val="single" w:sz="4" w:space="0" w:color="000000"/>
            </w:tcBorders>
          </w:tcPr>
          <w:p w:rsidR="00C36A5B" w:rsidRPr="00C36A5B" w:rsidRDefault="00C36A5B" w:rsidP="00C36A5B">
            <w:pPr>
              <w:jc w:val="both"/>
            </w:pPr>
            <w:r w:rsidRPr="00C36A5B">
              <w:rPr>
                <w:b/>
                <w:bCs/>
              </w:rPr>
              <w:t>Miscellaneous Revenues</w:t>
            </w:r>
          </w:p>
        </w:tc>
        <w:tc>
          <w:tcPr>
            <w:tcW w:w="1710" w:type="dxa"/>
            <w:tcBorders>
              <w:top w:val="single" w:sz="4" w:space="0" w:color="000000"/>
              <w:left w:val="single" w:sz="4" w:space="0" w:color="000000"/>
              <w:bottom w:val="single" w:sz="4" w:space="0" w:color="000000"/>
              <w:right w:val="single" w:sz="4" w:space="0" w:color="000000"/>
            </w:tcBorders>
            <w:vAlign w:val="center"/>
          </w:tcPr>
          <w:p w:rsidR="00C36A5B" w:rsidRPr="00C36A5B" w:rsidRDefault="00C36A5B" w:rsidP="00C36A5B">
            <w:pPr>
              <w:jc w:val="right"/>
            </w:pPr>
          </w:p>
        </w:tc>
        <w:tc>
          <w:tcPr>
            <w:tcW w:w="1782" w:type="dxa"/>
            <w:tcBorders>
              <w:top w:val="single" w:sz="4" w:space="0" w:color="000000"/>
              <w:left w:val="single" w:sz="4" w:space="0" w:color="000000"/>
              <w:bottom w:val="single" w:sz="4" w:space="0" w:color="000000"/>
              <w:right w:val="single" w:sz="4" w:space="0" w:color="000000"/>
            </w:tcBorders>
            <w:vAlign w:val="center"/>
          </w:tcPr>
          <w:p w:rsidR="00C36A5B" w:rsidRPr="00C36A5B" w:rsidRDefault="00C36A5B" w:rsidP="00C36A5B">
            <w:pPr>
              <w:jc w:val="right"/>
            </w:pPr>
          </w:p>
        </w:tc>
      </w:tr>
      <w:tr w:rsidR="00C36A5B" w:rsidRPr="00C36A5B" w:rsidTr="00C36A5B">
        <w:trPr>
          <w:trHeight w:hRule="exact" w:val="286"/>
        </w:trPr>
        <w:tc>
          <w:tcPr>
            <w:tcW w:w="5107" w:type="dxa"/>
            <w:tcBorders>
              <w:top w:val="single" w:sz="4" w:space="0" w:color="000000"/>
              <w:left w:val="single" w:sz="4" w:space="0" w:color="000000"/>
              <w:bottom w:val="single" w:sz="4" w:space="0" w:color="000000"/>
              <w:right w:val="single" w:sz="4" w:space="0" w:color="000000"/>
            </w:tcBorders>
          </w:tcPr>
          <w:p w:rsidR="00C36A5B" w:rsidRPr="00C36A5B" w:rsidRDefault="00C36A5B" w:rsidP="00C36A5B">
            <w:pPr>
              <w:jc w:val="both"/>
            </w:pPr>
            <w:r w:rsidRPr="00C36A5B">
              <w:t>Utility Recorded Miscellaneous Revenues</w:t>
            </w:r>
          </w:p>
        </w:tc>
        <w:tc>
          <w:tcPr>
            <w:tcW w:w="1710" w:type="dxa"/>
            <w:tcBorders>
              <w:top w:val="single" w:sz="4" w:space="0" w:color="000000"/>
              <w:left w:val="single" w:sz="4" w:space="0" w:color="000000"/>
              <w:bottom w:val="single" w:sz="4" w:space="0" w:color="000000"/>
              <w:right w:val="single" w:sz="4" w:space="0" w:color="000000"/>
            </w:tcBorders>
            <w:vAlign w:val="center"/>
          </w:tcPr>
          <w:p w:rsidR="00C36A5B" w:rsidRPr="00C36A5B" w:rsidRDefault="00C36A5B" w:rsidP="00C36A5B">
            <w:pPr>
              <w:jc w:val="right"/>
            </w:pPr>
            <w:r w:rsidRPr="00C36A5B">
              <w:t>$ 3,828</w:t>
            </w:r>
          </w:p>
        </w:tc>
        <w:tc>
          <w:tcPr>
            <w:tcW w:w="1782" w:type="dxa"/>
            <w:tcBorders>
              <w:top w:val="single" w:sz="4" w:space="0" w:color="000000"/>
              <w:left w:val="single" w:sz="4" w:space="0" w:color="000000"/>
              <w:bottom w:val="single" w:sz="4" w:space="0" w:color="000000"/>
              <w:right w:val="single" w:sz="4" w:space="0" w:color="000000"/>
            </w:tcBorders>
            <w:vAlign w:val="center"/>
          </w:tcPr>
          <w:p w:rsidR="00C36A5B" w:rsidRPr="00C36A5B" w:rsidRDefault="00C36A5B" w:rsidP="00C36A5B">
            <w:pPr>
              <w:jc w:val="right"/>
            </w:pPr>
            <w:r w:rsidRPr="00C36A5B">
              <w:t>$ 2,878</w:t>
            </w:r>
          </w:p>
        </w:tc>
      </w:tr>
      <w:tr w:rsidR="00C36A5B" w:rsidRPr="00C36A5B" w:rsidTr="00C36A5B">
        <w:trPr>
          <w:trHeight w:hRule="exact" w:val="287"/>
        </w:trPr>
        <w:tc>
          <w:tcPr>
            <w:tcW w:w="5107" w:type="dxa"/>
            <w:tcBorders>
              <w:top w:val="single" w:sz="4" w:space="0" w:color="000000"/>
              <w:left w:val="single" w:sz="4" w:space="0" w:color="000000"/>
              <w:bottom w:val="single" w:sz="4" w:space="0" w:color="000000"/>
              <w:right w:val="single" w:sz="4" w:space="0" w:color="000000"/>
            </w:tcBorders>
          </w:tcPr>
          <w:p w:rsidR="00C36A5B" w:rsidRPr="00C36A5B" w:rsidRDefault="00001195" w:rsidP="00C36A5B">
            <w:pPr>
              <w:jc w:val="both"/>
            </w:pPr>
            <w:r>
              <w:t xml:space="preserve">Commission </w:t>
            </w:r>
            <w:r w:rsidR="00C36A5B" w:rsidRPr="00C36A5B">
              <w:t>Staff Adjustment</w:t>
            </w:r>
          </w:p>
        </w:tc>
        <w:tc>
          <w:tcPr>
            <w:tcW w:w="1710" w:type="dxa"/>
            <w:tcBorders>
              <w:top w:val="single" w:sz="4" w:space="0" w:color="000000"/>
              <w:left w:val="single" w:sz="4" w:space="0" w:color="000000"/>
              <w:bottom w:val="single" w:sz="4" w:space="0" w:color="000000"/>
              <w:right w:val="single" w:sz="4" w:space="0" w:color="000000"/>
            </w:tcBorders>
            <w:vAlign w:val="center"/>
          </w:tcPr>
          <w:p w:rsidR="00C36A5B" w:rsidRPr="00C36A5B" w:rsidRDefault="00C36A5B" w:rsidP="00C36A5B">
            <w:pPr>
              <w:jc w:val="right"/>
            </w:pPr>
            <w:r w:rsidRPr="00C36A5B">
              <w:t>$ (3,119)</w:t>
            </w:r>
          </w:p>
        </w:tc>
        <w:tc>
          <w:tcPr>
            <w:tcW w:w="1782" w:type="dxa"/>
            <w:tcBorders>
              <w:top w:val="single" w:sz="4" w:space="0" w:color="000000"/>
              <w:left w:val="single" w:sz="4" w:space="0" w:color="000000"/>
              <w:bottom w:val="single" w:sz="4" w:space="0" w:color="000000"/>
              <w:right w:val="single" w:sz="4" w:space="0" w:color="000000"/>
            </w:tcBorders>
            <w:vAlign w:val="center"/>
          </w:tcPr>
          <w:p w:rsidR="00C36A5B" w:rsidRPr="00C36A5B" w:rsidRDefault="00C36A5B" w:rsidP="00C36A5B">
            <w:pPr>
              <w:jc w:val="right"/>
            </w:pPr>
            <w:r w:rsidRPr="00C36A5B">
              <w:t>$ (2,057)</w:t>
            </w:r>
          </w:p>
        </w:tc>
      </w:tr>
      <w:tr w:rsidR="00C36A5B" w:rsidRPr="00C36A5B" w:rsidTr="00C36A5B">
        <w:trPr>
          <w:trHeight w:hRule="exact" w:val="286"/>
        </w:trPr>
        <w:tc>
          <w:tcPr>
            <w:tcW w:w="5107" w:type="dxa"/>
            <w:tcBorders>
              <w:top w:val="single" w:sz="4" w:space="0" w:color="000000"/>
              <w:left w:val="single" w:sz="4" w:space="0" w:color="000000"/>
              <w:bottom w:val="single" w:sz="4" w:space="0" w:color="000000"/>
              <w:right w:val="single" w:sz="4" w:space="0" w:color="000000"/>
            </w:tcBorders>
          </w:tcPr>
          <w:p w:rsidR="00C36A5B" w:rsidRPr="00C36A5B" w:rsidRDefault="00C36A5B" w:rsidP="00C36A5B">
            <w:pPr>
              <w:jc w:val="both"/>
            </w:pPr>
            <w:r w:rsidRPr="00C36A5B">
              <w:rPr>
                <w:b/>
                <w:bCs/>
              </w:rPr>
              <w:t>Total Miscellaneous Revenues</w:t>
            </w:r>
          </w:p>
        </w:tc>
        <w:tc>
          <w:tcPr>
            <w:tcW w:w="1710" w:type="dxa"/>
            <w:tcBorders>
              <w:top w:val="single" w:sz="4" w:space="0" w:color="000000"/>
              <w:left w:val="single" w:sz="4" w:space="0" w:color="000000"/>
              <w:bottom w:val="single" w:sz="4" w:space="0" w:color="000000"/>
              <w:right w:val="single" w:sz="4" w:space="0" w:color="000000"/>
            </w:tcBorders>
            <w:vAlign w:val="center"/>
          </w:tcPr>
          <w:p w:rsidR="00C36A5B" w:rsidRPr="00C36A5B" w:rsidRDefault="00C36A5B" w:rsidP="00C36A5B">
            <w:pPr>
              <w:jc w:val="right"/>
            </w:pPr>
            <w:r w:rsidRPr="00C36A5B">
              <w:t>$ 709</w:t>
            </w:r>
          </w:p>
        </w:tc>
        <w:tc>
          <w:tcPr>
            <w:tcW w:w="1782" w:type="dxa"/>
            <w:tcBorders>
              <w:top w:val="single" w:sz="4" w:space="0" w:color="000000"/>
              <w:left w:val="single" w:sz="4" w:space="0" w:color="000000"/>
              <w:bottom w:val="single" w:sz="4" w:space="0" w:color="000000"/>
              <w:right w:val="single" w:sz="4" w:space="0" w:color="000000"/>
            </w:tcBorders>
            <w:vAlign w:val="center"/>
          </w:tcPr>
          <w:p w:rsidR="00C36A5B" w:rsidRPr="00C36A5B" w:rsidRDefault="00C36A5B" w:rsidP="00C36A5B">
            <w:pPr>
              <w:jc w:val="right"/>
            </w:pPr>
            <w:r w:rsidRPr="00C36A5B">
              <w:t>$ 821</w:t>
            </w:r>
          </w:p>
        </w:tc>
      </w:tr>
      <w:tr w:rsidR="00C36A5B" w:rsidRPr="00C36A5B" w:rsidTr="00C36A5B">
        <w:trPr>
          <w:trHeight w:hRule="exact" w:val="286"/>
        </w:trPr>
        <w:tc>
          <w:tcPr>
            <w:tcW w:w="5107" w:type="dxa"/>
            <w:tcBorders>
              <w:top w:val="single" w:sz="4" w:space="0" w:color="000000"/>
              <w:left w:val="single" w:sz="4" w:space="0" w:color="000000"/>
              <w:bottom w:val="single" w:sz="4" w:space="0" w:color="000000"/>
              <w:right w:val="single" w:sz="4" w:space="0" w:color="000000"/>
            </w:tcBorders>
          </w:tcPr>
          <w:p w:rsidR="00C36A5B" w:rsidRPr="00C36A5B" w:rsidRDefault="00C36A5B" w:rsidP="00C36A5B">
            <w:pPr>
              <w:jc w:val="both"/>
              <w:rPr>
                <w:b/>
                <w:bCs/>
              </w:rPr>
            </w:pPr>
          </w:p>
        </w:tc>
        <w:tc>
          <w:tcPr>
            <w:tcW w:w="1710" w:type="dxa"/>
            <w:tcBorders>
              <w:top w:val="single" w:sz="4" w:space="0" w:color="000000"/>
              <w:left w:val="single" w:sz="4" w:space="0" w:color="000000"/>
              <w:bottom w:val="single" w:sz="4" w:space="0" w:color="000000"/>
              <w:right w:val="single" w:sz="4" w:space="0" w:color="000000"/>
            </w:tcBorders>
            <w:vAlign w:val="center"/>
          </w:tcPr>
          <w:p w:rsidR="00C36A5B" w:rsidRPr="00C36A5B" w:rsidRDefault="00C36A5B" w:rsidP="00C36A5B">
            <w:pPr>
              <w:jc w:val="right"/>
            </w:pPr>
          </w:p>
        </w:tc>
        <w:tc>
          <w:tcPr>
            <w:tcW w:w="1782" w:type="dxa"/>
            <w:tcBorders>
              <w:top w:val="single" w:sz="4" w:space="0" w:color="000000"/>
              <w:left w:val="single" w:sz="4" w:space="0" w:color="000000"/>
              <w:bottom w:val="single" w:sz="4" w:space="0" w:color="000000"/>
              <w:right w:val="single" w:sz="4" w:space="0" w:color="000000"/>
            </w:tcBorders>
            <w:vAlign w:val="center"/>
          </w:tcPr>
          <w:p w:rsidR="00C36A5B" w:rsidRPr="00C36A5B" w:rsidRDefault="00C36A5B" w:rsidP="00C36A5B">
            <w:pPr>
              <w:jc w:val="right"/>
            </w:pPr>
          </w:p>
        </w:tc>
      </w:tr>
      <w:tr w:rsidR="00C36A5B" w:rsidRPr="00C36A5B" w:rsidTr="00C36A5B">
        <w:trPr>
          <w:trHeight w:hRule="exact" w:val="286"/>
        </w:trPr>
        <w:tc>
          <w:tcPr>
            <w:tcW w:w="5107" w:type="dxa"/>
            <w:tcBorders>
              <w:top w:val="single" w:sz="4" w:space="0" w:color="000000"/>
              <w:left w:val="single" w:sz="4" w:space="0" w:color="000000"/>
              <w:bottom w:val="single" w:sz="4" w:space="0" w:color="000000"/>
              <w:right w:val="single" w:sz="4" w:space="0" w:color="000000"/>
            </w:tcBorders>
          </w:tcPr>
          <w:p w:rsidR="00C36A5B" w:rsidRPr="00C36A5B" w:rsidRDefault="00C36A5B" w:rsidP="00C36A5B">
            <w:pPr>
              <w:jc w:val="both"/>
            </w:pPr>
            <w:r w:rsidRPr="00C36A5B">
              <w:rPr>
                <w:b/>
                <w:bCs/>
              </w:rPr>
              <w:t>Total Test Year Revenues</w:t>
            </w:r>
          </w:p>
        </w:tc>
        <w:tc>
          <w:tcPr>
            <w:tcW w:w="1710" w:type="dxa"/>
            <w:tcBorders>
              <w:top w:val="single" w:sz="4" w:space="0" w:color="000000"/>
              <w:left w:val="single" w:sz="4" w:space="0" w:color="000000"/>
              <w:bottom w:val="single" w:sz="4" w:space="0" w:color="000000"/>
              <w:right w:val="single" w:sz="4" w:space="0" w:color="000000"/>
            </w:tcBorders>
            <w:vAlign w:val="center"/>
          </w:tcPr>
          <w:p w:rsidR="00C36A5B" w:rsidRPr="00C36A5B" w:rsidRDefault="00C36A5B" w:rsidP="00C36A5B">
            <w:pPr>
              <w:jc w:val="right"/>
            </w:pPr>
            <w:r w:rsidRPr="00C36A5B">
              <w:t>$ 41,680</w:t>
            </w:r>
          </w:p>
        </w:tc>
        <w:tc>
          <w:tcPr>
            <w:tcW w:w="1782" w:type="dxa"/>
            <w:tcBorders>
              <w:top w:val="single" w:sz="4" w:space="0" w:color="000000"/>
              <w:left w:val="single" w:sz="4" w:space="0" w:color="000000"/>
              <w:bottom w:val="single" w:sz="4" w:space="0" w:color="000000"/>
              <w:right w:val="single" w:sz="4" w:space="0" w:color="000000"/>
            </w:tcBorders>
            <w:vAlign w:val="center"/>
          </w:tcPr>
          <w:p w:rsidR="00C36A5B" w:rsidRPr="00C36A5B" w:rsidRDefault="00C36A5B" w:rsidP="00C36A5B">
            <w:pPr>
              <w:jc w:val="right"/>
            </w:pPr>
            <w:r w:rsidRPr="00C36A5B">
              <w:t>$ 52,504</w:t>
            </w:r>
          </w:p>
        </w:tc>
      </w:tr>
      <w:tr w:rsidR="00C36A5B" w:rsidRPr="00C36A5B" w:rsidTr="00C36A5B">
        <w:trPr>
          <w:trHeight w:hRule="exact" w:val="287"/>
        </w:trPr>
        <w:tc>
          <w:tcPr>
            <w:tcW w:w="5107" w:type="dxa"/>
            <w:tcBorders>
              <w:top w:val="single" w:sz="4" w:space="0" w:color="000000"/>
              <w:left w:val="single" w:sz="4" w:space="0" w:color="000000"/>
              <w:bottom w:val="single" w:sz="4" w:space="0" w:color="000000"/>
              <w:right w:val="single" w:sz="4" w:space="0" w:color="000000"/>
            </w:tcBorders>
          </w:tcPr>
          <w:p w:rsidR="00C36A5B" w:rsidRPr="00C36A5B" w:rsidRDefault="00C36A5B" w:rsidP="00C36A5B">
            <w:pPr>
              <w:jc w:val="both"/>
            </w:pPr>
            <w:r w:rsidRPr="00C36A5B">
              <w:rPr>
                <w:b/>
                <w:bCs/>
              </w:rPr>
              <w:t xml:space="preserve">* </w:t>
            </w:r>
            <w:r w:rsidRPr="00C36A5B">
              <w:t>Includes Hideaway and Springside revenues</w:t>
            </w:r>
          </w:p>
        </w:tc>
        <w:tc>
          <w:tcPr>
            <w:tcW w:w="1710" w:type="dxa"/>
            <w:tcBorders>
              <w:top w:val="single" w:sz="4" w:space="0" w:color="000000"/>
              <w:left w:val="single" w:sz="4" w:space="0" w:color="000000"/>
              <w:bottom w:val="single" w:sz="4" w:space="0" w:color="000000"/>
              <w:right w:val="single" w:sz="4" w:space="0" w:color="000000"/>
            </w:tcBorders>
            <w:vAlign w:val="center"/>
          </w:tcPr>
          <w:p w:rsidR="00C36A5B" w:rsidRPr="00C36A5B" w:rsidRDefault="00C36A5B" w:rsidP="00C36A5B">
            <w:pPr>
              <w:jc w:val="right"/>
            </w:pPr>
          </w:p>
        </w:tc>
        <w:tc>
          <w:tcPr>
            <w:tcW w:w="1782" w:type="dxa"/>
            <w:tcBorders>
              <w:top w:val="single" w:sz="4" w:space="0" w:color="000000"/>
              <w:left w:val="single" w:sz="4" w:space="0" w:color="000000"/>
              <w:bottom w:val="single" w:sz="4" w:space="0" w:color="000000"/>
              <w:right w:val="single" w:sz="4" w:space="0" w:color="000000"/>
            </w:tcBorders>
            <w:vAlign w:val="center"/>
          </w:tcPr>
          <w:p w:rsidR="00C36A5B" w:rsidRPr="00C36A5B" w:rsidRDefault="00C36A5B" w:rsidP="00C36A5B">
            <w:pPr>
              <w:jc w:val="right"/>
            </w:pPr>
          </w:p>
        </w:tc>
      </w:tr>
    </w:tbl>
    <w:p w:rsidR="00C36A5B" w:rsidRPr="00C36A5B" w:rsidRDefault="00C36A5B" w:rsidP="00C36A5B">
      <w:pPr>
        <w:spacing w:after="240"/>
        <w:ind w:left="90"/>
        <w:jc w:val="both"/>
      </w:pPr>
      <w:r w:rsidRPr="00C36A5B">
        <w:rPr>
          <w:sz w:val="20"/>
          <w:szCs w:val="20"/>
        </w:rPr>
        <w:t xml:space="preserve">Source: </w:t>
      </w:r>
      <w:r w:rsidR="005175C9">
        <w:rPr>
          <w:sz w:val="20"/>
          <w:szCs w:val="20"/>
        </w:rPr>
        <w:t>Commission’s</w:t>
      </w:r>
      <w:r w:rsidRPr="00C36A5B">
        <w:rPr>
          <w:sz w:val="20"/>
          <w:szCs w:val="20"/>
        </w:rPr>
        <w:t xml:space="preserve"> calculations.</w:t>
      </w:r>
    </w:p>
    <w:p w:rsidR="00C36A5B" w:rsidRPr="00E463BA" w:rsidRDefault="00E463BA" w:rsidP="00C36A5B">
      <w:pPr>
        <w:spacing w:after="240"/>
        <w:jc w:val="both"/>
        <w:rPr>
          <w:u w:val="single"/>
        </w:rPr>
      </w:pPr>
      <w:r>
        <w:rPr>
          <w:bCs/>
          <w:kern w:val="32"/>
          <w:szCs w:val="32"/>
          <w:u w:val="single"/>
        </w:rPr>
        <w:t>6. Operating Expense</w:t>
      </w:r>
    </w:p>
    <w:p w:rsidR="00C36A5B" w:rsidRPr="00C36A5B" w:rsidRDefault="00C36A5B" w:rsidP="00E463BA">
      <w:pPr>
        <w:spacing w:after="240"/>
        <w:ind w:firstLine="720"/>
        <w:jc w:val="both"/>
      </w:pPr>
      <w:r w:rsidRPr="00C36A5B">
        <w:t xml:space="preserve">FIMC recorded operating expense of $35,580 for water and $30,292 for wastewater for the test year ended June 30, 2017. The test year O&amp;M expenses have been reviewed, including invoices, canceled checks, and other supporting documentation. </w:t>
      </w:r>
      <w:r w:rsidR="005175C9">
        <w:t>We have</w:t>
      </w:r>
      <w:r w:rsidRPr="00C36A5B">
        <w:t xml:space="preserve"> made several adjustments to the utility’s operating expenses as summarized below.</w:t>
      </w:r>
    </w:p>
    <w:p w:rsidR="00C36A5B" w:rsidRDefault="00E463BA" w:rsidP="00C36A5B">
      <w:pPr>
        <w:rPr>
          <w:i/>
        </w:rPr>
      </w:pPr>
      <w:r>
        <w:rPr>
          <w:i/>
        </w:rPr>
        <w:t xml:space="preserve">A. </w:t>
      </w:r>
      <w:r w:rsidR="00C36A5B" w:rsidRPr="00E463BA">
        <w:rPr>
          <w:i/>
        </w:rPr>
        <w:t>Salaries and Wages - Officers (603/703)</w:t>
      </w:r>
    </w:p>
    <w:p w:rsidR="00E463BA" w:rsidRPr="00E463BA" w:rsidRDefault="00E463BA" w:rsidP="00C36A5B">
      <w:pPr>
        <w:rPr>
          <w:bCs/>
          <w:i/>
          <w:iCs/>
        </w:rPr>
      </w:pPr>
    </w:p>
    <w:p w:rsidR="00C36A5B" w:rsidRDefault="00C36A5B" w:rsidP="00051C30">
      <w:pPr>
        <w:jc w:val="both"/>
      </w:pPr>
      <w:r>
        <w:rPr>
          <w:bCs/>
          <w:iCs/>
        </w:rPr>
        <w:tab/>
      </w:r>
      <w:r w:rsidRPr="00C36A5B">
        <w:rPr>
          <w:bCs/>
          <w:iCs/>
        </w:rPr>
        <w:t xml:space="preserve">The utility did not record any salaries and wages – officers expense during the test year. The owners of the utility have requested pro forma salaries as part of this rate case. </w:t>
      </w:r>
      <w:r w:rsidR="005175C9">
        <w:rPr>
          <w:bCs/>
          <w:iCs/>
        </w:rPr>
        <w:t>We note</w:t>
      </w:r>
      <w:r w:rsidRPr="00C36A5B">
        <w:rPr>
          <w:bCs/>
          <w:iCs/>
        </w:rPr>
        <w:t xml:space="preserve"> that the owners are the utility’s only employees and are responsible for a variety of tasks from billing to tree trimming. </w:t>
      </w:r>
      <w:r w:rsidRPr="00C36A5B">
        <w:t xml:space="preserve">Using information found in the Audit Report and related work papers, </w:t>
      </w:r>
      <w:r w:rsidR="007714C9">
        <w:t>we</w:t>
      </w:r>
      <w:r w:rsidRPr="00C36A5B">
        <w:t xml:space="preserve"> calculated that the utility’s requested increase equates to $12.00 per hour, based on the owners working a combined 30 hours per week for 50 weeks per year.</w:t>
      </w:r>
      <w:r w:rsidRPr="00C36A5B">
        <w:rPr>
          <w:vertAlign w:val="superscript"/>
        </w:rPr>
        <w:footnoteReference w:id="12"/>
      </w:r>
      <w:r w:rsidRPr="00C36A5B">
        <w:t xml:space="preserve"> </w:t>
      </w:r>
      <w:r w:rsidRPr="00C36A5B">
        <w:rPr>
          <w:bCs/>
          <w:iCs/>
        </w:rPr>
        <w:t xml:space="preserve">Even though the utility has contracted with </w:t>
      </w:r>
      <w:r w:rsidRPr="00C36A5B">
        <w:t xml:space="preserve">Two-Fold Water Engineering, Inc. to operate and maintain the water and wastewater systems, </w:t>
      </w:r>
      <w:r w:rsidR="007714C9">
        <w:t>we find that</w:t>
      </w:r>
      <w:r w:rsidRPr="00C36A5B">
        <w:rPr>
          <w:bCs/>
          <w:iCs/>
        </w:rPr>
        <w:t xml:space="preserve"> it is likely that the owners have undervalued the work they perform for the utility. </w:t>
      </w:r>
      <w:r w:rsidRPr="00C36A5B">
        <w:t>According to the 2012 American Water Works Association Water utility Compensation Survey for Small and Medium Sized Utilities, the minimum Office/Administrative Services Manager salary, for surveyed water utilities with less than 25 employees, is $40,995.</w:t>
      </w:r>
      <w:r w:rsidRPr="00C36A5B">
        <w:rPr>
          <w:vertAlign w:val="superscript"/>
        </w:rPr>
        <w:footnoteReference w:id="13"/>
      </w:r>
      <w:r w:rsidRPr="00C36A5B">
        <w:t xml:space="preserve"> Assuming that this salary is for a full-time person, working 40 hours per week, it represents approximately $19.71 per hour. Additionally, in response to </w:t>
      </w:r>
      <w:r w:rsidR="0069765B">
        <w:t>our</w:t>
      </w:r>
      <w:r w:rsidR="007714C9">
        <w:t xml:space="preserve"> </w:t>
      </w:r>
      <w:r w:rsidRPr="00C36A5B">
        <w:t xml:space="preserve">staff </w:t>
      </w:r>
      <w:r w:rsidRPr="00C36A5B">
        <w:lastRenderedPageBreak/>
        <w:t>applying an hourly rate appro</w:t>
      </w:r>
      <w:r w:rsidR="007714C9">
        <w:t>ved in another recent rate case,</w:t>
      </w:r>
      <w:r w:rsidRPr="00C36A5B">
        <w:rPr>
          <w:vertAlign w:val="superscript"/>
        </w:rPr>
        <w:footnoteReference w:id="14"/>
      </w:r>
      <w:r w:rsidR="007714C9">
        <w:t xml:space="preserve"> t</w:t>
      </w:r>
      <w:r w:rsidRPr="00C36A5B">
        <w:t>he Office of Public Counsel (OPC) stated in its January 24, 2018 letter that, “[a] more reasonable hourly rate for these types of services ranges from $16 to $18 per hour.”</w:t>
      </w:r>
      <w:r w:rsidRPr="00C36A5B">
        <w:rPr>
          <w:vertAlign w:val="superscript"/>
        </w:rPr>
        <w:footnoteReference w:id="15"/>
      </w:r>
      <w:r w:rsidRPr="00C36A5B">
        <w:t xml:space="preserve"> OPC went on to state the following:</w:t>
      </w:r>
    </w:p>
    <w:p w:rsidR="00051C30" w:rsidRPr="00C36A5B" w:rsidRDefault="00051C30" w:rsidP="00051C30">
      <w:pPr>
        <w:jc w:val="both"/>
      </w:pPr>
    </w:p>
    <w:p w:rsidR="00C36A5B" w:rsidRDefault="00C36A5B" w:rsidP="00051C30">
      <w:pPr>
        <w:ind w:left="720" w:right="720"/>
        <w:jc w:val="both"/>
      </w:pPr>
      <w:r w:rsidRPr="00C36A5B">
        <w:t>Accordingly, OPC believes that the Utility’s requested salary of $18,000 per year should be allowed. On a conservative basis, if you take the utility’s requested total salary of $18,000 and divide that by $18 an hour, this would equate to 1,000 hours per year or 20 hours a week. OPC contends that this is a more reasonable officer salary allowance for a very small utility.</w:t>
      </w:r>
      <w:r w:rsidRPr="00C36A5B">
        <w:rPr>
          <w:vertAlign w:val="superscript"/>
        </w:rPr>
        <w:footnoteReference w:id="16"/>
      </w:r>
    </w:p>
    <w:p w:rsidR="00051C30" w:rsidRPr="00C36A5B" w:rsidRDefault="00051C30" w:rsidP="00051C30">
      <w:pPr>
        <w:ind w:left="720" w:right="720"/>
        <w:jc w:val="both"/>
      </w:pPr>
    </w:p>
    <w:p w:rsidR="00C36A5B" w:rsidRDefault="00C36A5B" w:rsidP="00051C30">
      <w:pPr>
        <w:jc w:val="both"/>
        <w:rPr>
          <w:bCs/>
          <w:iCs/>
        </w:rPr>
      </w:pPr>
      <w:r>
        <w:rPr>
          <w:bCs/>
          <w:iCs/>
        </w:rPr>
        <w:tab/>
      </w:r>
      <w:r w:rsidRPr="00C36A5B">
        <w:rPr>
          <w:bCs/>
          <w:iCs/>
        </w:rPr>
        <w:t xml:space="preserve">While OPC does not agree with </w:t>
      </w:r>
      <w:r w:rsidR="007714C9">
        <w:rPr>
          <w:bCs/>
          <w:iCs/>
        </w:rPr>
        <w:t>our</w:t>
      </w:r>
      <w:r w:rsidRPr="00C36A5B">
        <w:rPr>
          <w:bCs/>
          <w:iCs/>
        </w:rPr>
        <w:t xml:space="preserve"> usage of 30 hours per week in work requirements for FIMC, </w:t>
      </w:r>
      <w:r w:rsidR="007714C9">
        <w:rPr>
          <w:bCs/>
          <w:iCs/>
        </w:rPr>
        <w:t>we find</w:t>
      </w:r>
      <w:r w:rsidRPr="00C36A5B">
        <w:rPr>
          <w:bCs/>
          <w:iCs/>
        </w:rPr>
        <w:t xml:space="preserve"> that the utility has documented the work performed by the owners on a weekly basis and has provided a reasonable estimate of the time required to perform those duties.</w:t>
      </w:r>
      <w:r w:rsidRPr="00C36A5B">
        <w:t xml:space="preserve"> </w:t>
      </w:r>
      <w:r w:rsidR="007714C9">
        <w:rPr>
          <w:bCs/>
          <w:iCs/>
        </w:rPr>
        <w:t>We further find</w:t>
      </w:r>
      <w:r w:rsidRPr="00C36A5B">
        <w:rPr>
          <w:bCs/>
          <w:iCs/>
        </w:rPr>
        <w:t xml:space="preserve"> that using OPC’s suggested hourly rate of $18 per hour in conjunction with the owners’ 30 hours of work each week produces an appropriate level of pro forma salaries. For these reasons, </w:t>
      </w:r>
      <w:r w:rsidR="007714C9">
        <w:rPr>
          <w:bCs/>
          <w:iCs/>
        </w:rPr>
        <w:t>we</w:t>
      </w:r>
      <w:r w:rsidRPr="00C36A5B">
        <w:rPr>
          <w:bCs/>
          <w:iCs/>
        </w:rPr>
        <w:t xml:space="preserve"> applied the $18 per hour rate to 30 hours per week, for 50 weeks of the year. </w:t>
      </w:r>
    </w:p>
    <w:p w:rsidR="00051C30" w:rsidRDefault="00051C30" w:rsidP="00051C30">
      <w:pPr>
        <w:jc w:val="both"/>
        <w:rPr>
          <w:bCs/>
          <w:iCs/>
        </w:rPr>
      </w:pPr>
    </w:p>
    <w:p w:rsidR="00C36A5B" w:rsidRPr="00872A29" w:rsidRDefault="00C36A5B" w:rsidP="00C36A5B">
      <w:pPr>
        <w:spacing w:after="120"/>
        <w:jc w:val="both"/>
        <w:rPr>
          <w:bCs/>
          <w:iCs/>
        </w:rPr>
      </w:pPr>
      <w:r>
        <w:rPr>
          <w:bCs/>
          <w:iCs/>
        </w:rPr>
        <w:tab/>
      </w:r>
      <w:r w:rsidRPr="00872A29">
        <w:rPr>
          <w:bCs/>
          <w:iCs/>
        </w:rPr>
        <w:t xml:space="preserve">This results in pro forma officer salaries of $27,000. </w:t>
      </w:r>
      <w:r w:rsidR="007714C9">
        <w:rPr>
          <w:bCs/>
          <w:iCs/>
        </w:rPr>
        <w:t>T</w:t>
      </w:r>
      <w:r w:rsidRPr="00872A29">
        <w:rPr>
          <w:bCs/>
          <w:iCs/>
        </w:rPr>
        <w:t>he expense sh</w:t>
      </w:r>
      <w:r w:rsidR="007714C9">
        <w:rPr>
          <w:bCs/>
          <w:iCs/>
        </w:rPr>
        <w:t>all</w:t>
      </w:r>
      <w:r w:rsidRPr="00872A29">
        <w:rPr>
          <w:bCs/>
          <w:iCs/>
        </w:rPr>
        <w:t xml:space="preserve"> be allocated according to ERCs. As such, </w:t>
      </w:r>
      <w:r w:rsidR="007714C9">
        <w:rPr>
          <w:bCs/>
          <w:iCs/>
        </w:rPr>
        <w:t>we</w:t>
      </w:r>
      <w:r w:rsidRPr="00872A29">
        <w:rPr>
          <w:bCs/>
          <w:iCs/>
        </w:rPr>
        <w:t xml:space="preserve"> increased water by $13,039 ($27,000 x 48.29 percent) and wastewater by $13,961 ($27,000 x 51.71 percent) to reflect the appropriate test year salaries. </w:t>
      </w:r>
      <w:r w:rsidR="007714C9">
        <w:rPr>
          <w:bCs/>
          <w:iCs/>
        </w:rPr>
        <w:t>We</w:t>
      </w:r>
      <w:r w:rsidRPr="00872A29">
        <w:rPr>
          <w:bCs/>
          <w:iCs/>
        </w:rPr>
        <w:t xml:space="preserve"> also made a corresponding adjustment in </w:t>
      </w:r>
      <w:r>
        <w:rPr>
          <w:bCs/>
          <w:iCs/>
        </w:rPr>
        <w:t>Taxes Other Than Income (</w:t>
      </w:r>
      <w:r w:rsidRPr="00872A29">
        <w:rPr>
          <w:bCs/>
          <w:iCs/>
        </w:rPr>
        <w:t>TOTI</w:t>
      </w:r>
      <w:r>
        <w:rPr>
          <w:bCs/>
          <w:iCs/>
        </w:rPr>
        <w:t>)</w:t>
      </w:r>
      <w:r w:rsidRPr="00872A29">
        <w:rPr>
          <w:bCs/>
          <w:iCs/>
        </w:rPr>
        <w:t xml:space="preserve"> to reflect the pro forma payroll taxes associated with the </w:t>
      </w:r>
      <w:r w:rsidR="007714C9">
        <w:rPr>
          <w:bCs/>
          <w:iCs/>
        </w:rPr>
        <w:t>Commission-approved</w:t>
      </w:r>
      <w:r w:rsidRPr="00872A29">
        <w:rPr>
          <w:bCs/>
          <w:iCs/>
        </w:rPr>
        <w:t xml:space="preserve"> increase. Therefore, </w:t>
      </w:r>
      <w:r w:rsidR="007714C9">
        <w:rPr>
          <w:bCs/>
          <w:iCs/>
        </w:rPr>
        <w:t>we hereby approve a</w:t>
      </w:r>
      <w:r w:rsidRPr="00872A29">
        <w:rPr>
          <w:bCs/>
          <w:iCs/>
        </w:rPr>
        <w:t xml:space="preserve"> salaries and wages – officers expense of $13,039 for water and $13,961 for wastewater.</w:t>
      </w:r>
    </w:p>
    <w:p w:rsidR="00C36A5B" w:rsidRDefault="00E463BA" w:rsidP="00C36A5B">
      <w:pPr>
        <w:jc w:val="both"/>
        <w:rPr>
          <w:i/>
        </w:rPr>
      </w:pPr>
      <w:r>
        <w:rPr>
          <w:i/>
        </w:rPr>
        <w:t xml:space="preserve">B. </w:t>
      </w:r>
      <w:r w:rsidR="00C36A5B" w:rsidRPr="00E463BA">
        <w:rPr>
          <w:i/>
        </w:rPr>
        <w:t>Sludge Removal Expense (711)</w:t>
      </w:r>
    </w:p>
    <w:p w:rsidR="00E463BA" w:rsidRPr="00E463BA" w:rsidRDefault="00E463BA" w:rsidP="00C36A5B">
      <w:pPr>
        <w:jc w:val="both"/>
        <w:rPr>
          <w:i/>
        </w:rPr>
      </w:pPr>
    </w:p>
    <w:p w:rsidR="00C36A5B" w:rsidRPr="00872A29" w:rsidRDefault="00C36A5B" w:rsidP="00C36A5B">
      <w:pPr>
        <w:spacing w:after="120"/>
        <w:jc w:val="both"/>
        <w:rPr>
          <w:bCs/>
          <w:iCs/>
        </w:rPr>
      </w:pPr>
      <w:r>
        <w:rPr>
          <w:bCs/>
          <w:iCs/>
        </w:rPr>
        <w:tab/>
      </w:r>
      <w:r w:rsidRPr="00872A29">
        <w:rPr>
          <w:bCs/>
          <w:iCs/>
        </w:rPr>
        <w:t>The utility recorded sludge removal expense of $1,260 for the test year. In support, the utility produced an invoice reflecting $1,260 for sludge disposal that occurred in January 2017.</w:t>
      </w:r>
      <w:r w:rsidRPr="00872A29">
        <w:rPr>
          <w:bCs/>
          <w:iCs/>
          <w:vertAlign w:val="superscript"/>
        </w:rPr>
        <w:footnoteReference w:id="17"/>
      </w:r>
      <w:r w:rsidRPr="00872A29">
        <w:rPr>
          <w:bCs/>
          <w:iCs/>
        </w:rPr>
        <w:t xml:space="preserve"> In respons</w:t>
      </w:r>
      <w:r>
        <w:rPr>
          <w:bCs/>
          <w:iCs/>
        </w:rPr>
        <w:t xml:space="preserve">e to </w:t>
      </w:r>
      <w:r w:rsidR="0069765B">
        <w:rPr>
          <w:bCs/>
          <w:iCs/>
        </w:rPr>
        <w:t>our</w:t>
      </w:r>
      <w:r w:rsidR="007714C9">
        <w:rPr>
          <w:bCs/>
          <w:iCs/>
        </w:rPr>
        <w:t xml:space="preserve"> </w:t>
      </w:r>
      <w:r>
        <w:rPr>
          <w:bCs/>
          <w:iCs/>
        </w:rPr>
        <w:t>staff</w:t>
      </w:r>
      <w:r w:rsidR="0069765B">
        <w:rPr>
          <w:bCs/>
          <w:iCs/>
        </w:rPr>
        <w:t>’s</w:t>
      </w:r>
      <w:r>
        <w:rPr>
          <w:bCs/>
          <w:iCs/>
        </w:rPr>
        <w:t xml:space="preserve"> data request, the u</w:t>
      </w:r>
      <w:r w:rsidRPr="00872A29">
        <w:rPr>
          <w:bCs/>
          <w:iCs/>
        </w:rPr>
        <w:t>tility produced an additional invoice of $2,033 for sludge removal from December 2017.</w:t>
      </w:r>
      <w:r w:rsidRPr="00872A29">
        <w:rPr>
          <w:bCs/>
          <w:iCs/>
          <w:vertAlign w:val="superscript"/>
        </w:rPr>
        <w:footnoteReference w:id="18"/>
      </w:r>
      <w:r w:rsidRPr="00872A29">
        <w:rPr>
          <w:bCs/>
          <w:iCs/>
        </w:rPr>
        <w:t xml:space="preserve"> Based on information provided by the utility, it appears that sludge removal occurs roughly once a year. Given the increase between the test-year invoice and the most recent invoice, </w:t>
      </w:r>
      <w:r w:rsidR="007714C9">
        <w:rPr>
          <w:bCs/>
          <w:iCs/>
        </w:rPr>
        <w:t>we find</w:t>
      </w:r>
      <w:r w:rsidRPr="00872A29">
        <w:rPr>
          <w:bCs/>
          <w:iCs/>
        </w:rPr>
        <w:t xml:space="preserve"> that averaging the two amounts will help the utility cover the cost of sludge removal going forward, especially if costs vary substantially from what was included in the test year. As such, </w:t>
      </w:r>
      <w:r w:rsidR="007714C9">
        <w:rPr>
          <w:bCs/>
          <w:iCs/>
        </w:rPr>
        <w:t>we hereby approve an</w:t>
      </w:r>
      <w:r w:rsidRPr="00872A29">
        <w:rPr>
          <w:bCs/>
          <w:iCs/>
        </w:rPr>
        <w:t xml:space="preserve"> average sludge removal expense of $1,647. </w:t>
      </w:r>
      <w:r w:rsidRPr="00872A29">
        <w:t>The resulting adjustment is an increase of $387 ($1,647 - $1,260).</w:t>
      </w:r>
      <w:r w:rsidRPr="00872A29">
        <w:rPr>
          <w:bCs/>
          <w:iCs/>
        </w:rPr>
        <w:t xml:space="preserve"> Therefore, </w:t>
      </w:r>
      <w:r w:rsidR="007714C9">
        <w:rPr>
          <w:bCs/>
          <w:iCs/>
        </w:rPr>
        <w:t>we find that the appropriate</w:t>
      </w:r>
      <w:r w:rsidRPr="00872A29">
        <w:rPr>
          <w:bCs/>
          <w:iCs/>
        </w:rPr>
        <w:t xml:space="preserve"> sludge removal expense is $1,647.</w:t>
      </w:r>
    </w:p>
    <w:p w:rsidR="00051C30" w:rsidRDefault="00051C30" w:rsidP="00C36A5B">
      <w:pPr>
        <w:jc w:val="both"/>
        <w:rPr>
          <w:i/>
        </w:rPr>
      </w:pPr>
    </w:p>
    <w:p w:rsidR="00C36A5B" w:rsidRDefault="00E463BA" w:rsidP="00C36A5B">
      <w:pPr>
        <w:jc w:val="both"/>
        <w:rPr>
          <w:i/>
        </w:rPr>
      </w:pPr>
      <w:r>
        <w:rPr>
          <w:i/>
        </w:rPr>
        <w:lastRenderedPageBreak/>
        <w:t xml:space="preserve">C. </w:t>
      </w:r>
      <w:r w:rsidR="00C36A5B" w:rsidRPr="00E463BA">
        <w:rPr>
          <w:i/>
        </w:rPr>
        <w:t>Purchased Power (615/715)</w:t>
      </w:r>
    </w:p>
    <w:p w:rsidR="00E463BA" w:rsidRPr="00E463BA" w:rsidRDefault="00E463BA" w:rsidP="00C36A5B">
      <w:pPr>
        <w:jc w:val="both"/>
        <w:rPr>
          <w:i/>
        </w:rPr>
      </w:pPr>
    </w:p>
    <w:p w:rsidR="00C36A5B" w:rsidRDefault="00C36A5B" w:rsidP="00051C30">
      <w:pPr>
        <w:jc w:val="both"/>
      </w:pPr>
      <w:r>
        <w:tab/>
      </w:r>
      <w:r w:rsidRPr="00872A29">
        <w:t xml:space="preserve">FIMC recorded purchased power expense of $2,121 for water and $4,477 for wastewater for the test year. </w:t>
      </w:r>
      <w:r w:rsidR="007714C9">
        <w:t>We</w:t>
      </w:r>
      <w:r w:rsidRPr="00872A29">
        <w:t xml:space="preserve"> decreased this account by $10 for water and $37 for wastewater to remove late fees from the test year balances. Therefore, </w:t>
      </w:r>
      <w:r w:rsidR="007714C9">
        <w:t>we hereby approve a</w:t>
      </w:r>
      <w:r w:rsidRPr="00872A29">
        <w:t xml:space="preserve"> purchased power expense of $2,111 for water and $4,440 for wastewater.</w:t>
      </w:r>
    </w:p>
    <w:p w:rsidR="00051C30" w:rsidRPr="00872A29" w:rsidRDefault="00051C30" w:rsidP="00051C30">
      <w:pPr>
        <w:jc w:val="both"/>
      </w:pPr>
    </w:p>
    <w:p w:rsidR="00C36A5B" w:rsidRDefault="00E463BA" w:rsidP="00051C30">
      <w:pPr>
        <w:jc w:val="both"/>
        <w:rPr>
          <w:i/>
        </w:rPr>
      </w:pPr>
      <w:r>
        <w:rPr>
          <w:i/>
        </w:rPr>
        <w:t xml:space="preserve">D. </w:t>
      </w:r>
      <w:r w:rsidR="00C36A5B" w:rsidRPr="00E463BA">
        <w:rPr>
          <w:i/>
        </w:rPr>
        <w:t>Materials and Supplies (620/720)</w:t>
      </w:r>
    </w:p>
    <w:p w:rsidR="00E463BA" w:rsidRPr="00E463BA" w:rsidRDefault="00E463BA" w:rsidP="00051C30">
      <w:pPr>
        <w:jc w:val="both"/>
        <w:rPr>
          <w:i/>
        </w:rPr>
      </w:pPr>
    </w:p>
    <w:p w:rsidR="00C36A5B" w:rsidRDefault="00C36A5B" w:rsidP="00051C30">
      <w:pPr>
        <w:jc w:val="both"/>
      </w:pPr>
      <w:r>
        <w:tab/>
      </w:r>
      <w:r w:rsidRPr="00872A29">
        <w:t xml:space="preserve">The utility recorded materials and supplies expense of $2,453 for water and $32 for wastewater for the test year. </w:t>
      </w:r>
      <w:r w:rsidR="007714C9">
        <w:t>We</w:t>
      </w:r>
      <w:r w:rsidRPr="00872A29">
        <w:t xml:space="preserve"> decreased the water account by $626 to reflect the removal of $248 in unsupported expenses and reclassification of an additional $378 to Account 636 - Contractual Services-Other. </w:t>
      </w:r>
      <w:r w:rsidR="007714C9">
        <w:t>We</w:t>
      </w:r>
      <w:r w:rsidRPr="00872A29">
        <w:t xml:space="preserve"> made no adjustments to this account for wastewater. Accordingly, </w:t>
      </w:r>
      <w:r w:rsidR="007714C9">
        <w:t>we hereby approve a</w:t>
      </w:r>
      <w:r w:rsidRPr="00872A29">
        <w:t xml:space="preserve"> materials and supplies expense of $1,827 for water and $32 for wastewater.</w:t>
      </w:r>
    </w:p>
    <w:p w:rsidR="00051C30" w:rsidRPr="00872A29" w:rsidRDefault="00051C30" w:rsidP="00051C30">
      <w:pPr>
        <w:jc w:val="both"/>
      </w:pPr>
    </w:p>
    <w:p w:rsidR="00C36A5B" w:rsidRDefault="00E463BA" w:rsidP="00C36A5B">
      <w:pPr>
        <w:jc w:val="both"/>
        <w:rPr>
          <w:i/>
        </w:rPr>
      </w:pPr>
      <w:r>
        <w:rPr>
          <w:i/>
        </w:rPr>
        <w:t xml:space="preserve">E. </w:t>
      </w:r>
      <w:r w:rsidR="00C36A5B" w:rsidRPr="00E463BA">
        <w:rPr>
          <w:i/>
        </w:rPr>
        <w:t>Contractual Services - Billing (630/730)</w:t>
      </w:r>
    </w:p>
    <w:p w:rsidR="00E463BA" w:rsidRPr="00E463BA" w:rsidRDefault="00E463BA" w:rsidP="00C36A5B">
      <w:pPr>
        <w:jc w:val="both"/>
        <w:rPr>
          <w:bCs/>
          <w:i/>
          <w:iCs/>
        </w:rPr>
      </w:pPr>
    </w:p>
    <w:p w:rsidR="00C36A5B" w:rsidRDefault="00C36A5B" w:rsidP="00FA27F8">
      <w:pPr>
        <w:jc w:val="both"/>
      </w:pPr>
      <w:r>
        <w:tab/>
      </w:r>
      <w:r w:rsidRPr="00872A29">
        <w:t>FIMC did not record any test year contractual services – billing expense for the test year. However, the utility provided invoices from Redline Data Systems for billing support of $350 and a billing card subscription of $225.</w:t>
      </w:r>
      <w:r w:rsidRPr="00872A29">
        <w:rPr>
          <w:vertAlign w:val="superscript"/>
        </w:rPr>
        <w:footnoteReference w:id="19"/>
      </w:r>
      <w:r w:rsidRPr="00872A29">
        <w:t xml:space="preserve"> The fee for the billing card subscription is assessed once every 25 months. As such, </w:t>
      </w:r>
      <w:r w:rsidR="007714C9">
        <w:t>we find that</w:t>
      </w:r>
      <w:r w:rsidRPr="00872A29">
        <w:t xml:space="preserve"> it is appropriate to amortize the expense, resulting in an expense of $112 per year. This results in a total contractual services – billing expense of $462 ($350 + $112). </w:t>
      </w:r>
      <w:r w:rsidR="007714C9">
        <w:t>We</w:t>
      </w:r>
      <w:r w:rsidRPr="00872A29">
        <w:t xml:space="preserve"> allocated FIMC’s total billing expense between the water and wastewater systems based on ERCs, or $223 ($462 x 48.29 percent) for water and $239 ($462 x 51.71 percent) for wastewater. Therefore, </w:t>
      </w:r>
      <w:r w:rsidR="007714C9">
        <w:t>we hereby approve a</w:t>
      </w:r>
      <w:r w:rsidRPr="00872A29">
        <w:t xml:space="preserve"> contractual services – billing expense for the test year of $223 for water and $239 for wastewater.</w:t>
      </w:r>
    </w:p>
    <w:p w:rsidR="00FA27F8" w:rsidRPr="00872A29" w:rsidRDefault="00FA27F8" w:rsidP="00FA27F8">
      <w:pPr>
        <w:jc w:val="both"/>
      </w:pPr>
    </w:p>
    <w:p w:rsidR="00C36A5B" w:rsidRDefault="00E463BA" w:rsidP="00FA27F8">
      <w:pPr>
        <w:jc w:val="both"/>
        <w:rPr>
          <w:i/>
        </w:rPr>
      </w:pPr>
      <w:r>
        <w:rPr>
          <w:i/>
        </w:rPr>
        <w:t xml:space="preserve">F. </w:t>
      </w:r>
      <w:r w:rsidR="00C36A5B" w:rsidRPr="00E463BA">
        <w:rPr>
          <w:i/>
        </w:rPr>
        <w:t>Contractual Services - Professional (631/731)</w:t>
      </w:r>
    </w:p>
    <w:p w:rsidR="00FA27F8" w:rsidRPr="00E463BA" w:rsidRDefault="00FA27F8" w:rsidP="00FA27F8">
      <w:pPr>
        <w:jc w:val="both"/>
        <w:rPr>
          <w:bCs/>
          <w:i/>
          <w:iCs/>
        </w:rPr>
      </w:pPr>
    </w:p>
    <w:p w:rsidR="00C36A5B" w:rsidRDefault="00C36A5B" w:rsidP="00FA27F8">
      <w:pPr>
        <w:jc w:val="both"/>
      </w:pPr>
      <w:r>
        <w:tab/>
      </w:r>
      <w:r w:rsidRPr="00872A29">
        <w:t xml:space="preserve">FIMC did not record any test year contractual services – professional expense for water, but did include $1,300 for wastewater. The utility provided supporting documentation for the $1,300 included in wastewater, indicating that the expense was for engineering fees related to the DEP permit renewal. The DEP permit renewal occurs every five years. As such, </w:t>
      </w:r>
      <w:r w:rsidR="007714C9">
        <w:t>we find that</w:t>
      </w:r>
      <w:r w:rsidRPr="00872A29">
        <w:t xml:space="preserve"> it is appropriate to amortize the expense over a five-year period, which results in expense of $260 per year ($1,300/5 years). The resulting adjustment is a decrease of $1,040 ($260 - $1,300). </w:t>
      </w:r>
      <w:r w:rsidR="007714C9">
        <w:t>We</w:t>
      </w:r>
      <w:r w:rsidRPr="00872A29">
        <w:t xml:space="preserve"> also increased both water and wastewater by $510 to account for costs related to the utility’s regulatory accountant. Additionally, </w:t>
      </w:r>
      <w:r w:rsidR="007714C9">
        <w:t>we</w:t>
      </w:r>
      <w:r w:rsidRPr="00872A29">
        <w:t xml:space="preserve"> reclassified $1,500 related to a CPA retainer fee from Account 636 – Contractual Services-Other to Account 631/731 – Contractual Services-Professional. </w:t>
      </w:r>
      <w:r w:rsidR="007714C9">
        <w:t>We find that</w:t>
      </w:r>
      <w:r w:rsidRPr="00872A29">
        <w:t xml:space="preserve"> the retainer sh</w:t>
      </w:r>
      <w:r w:rsidR="007714C9">
        <w:t>all</w:t>
      </w:r>
      <w:r w:rsidRPr="00872A29">
        <w:t xml:space="preserve"> be allocated to both water and wastewater based on ERCs. This results in an increase of $724 ($1,500 x 48.29 percent) and $776 ($1,500 x 51.71 percent) to water and wastewater, respectively. As such, </w:t>
      </w:r>
      <w:r w:rsidR="007714C9">
        <w:t>our</w:t>
      </w:r>
      <w:r w:rsidRPr="00872A29">
        <w:t xml:space="preserve"> total adjustment to water contractual services – professional expense is an increase of $1,234 ($510 + $724), and </w:t>
      </w:r>
      <w:r w:rsidR="007714C9">
        <w:t>our</w:t>
      </w:r>
      <w:r w:rsidRPr="00872A29">
        <w:t xml:space="preserve"> net adjustment to </w:t>
      </w:r>
      <w:r w:rsidRPr="00872A29">
        <w:lastRenderedPageBreak/>
        <w:t xml:space="preserve">wastewater contractual services – professional expense is an increase of $246 ($510 - $1,040 + $776). Therefore, </w:t>
      </w:r>
      <w:r w:rsidR="007714C9">
        <w:t>we hereby approve a</w:t>
      </w:r>
      <w:r w:rsidRPr="00872A29">
        <w:t xml:space="preserve"> contractual services – professional expense for the test year of $1,234 for water and $1,546 for wastewater.</w:t>
      </w:r>
    </w:p>
    <w:p w:rsidR="00FA27F8" w:rsidRPr="00872A29" w:rsidRDefault="00FA27F8" w:rsidP="00FA27F8">
      <w:pPr>
        <w:jc w:val="both"/>
      </w:pPr>
    </w:p>
    <w:p w:rsidR="00C36A5B" w:rsidRDefault="00E463BA" w:rsidP="00FA27F8">
      <w:pPr>
        <w:jc w:val="both"/>
        <w:rPr>
          <w:i/>
        </w:rPr>
      </w:pPr>
      <w:r>
        <w:rPr>
          <w:i/>
        </w:rPr>
        <w:t xml:space="preserve">G. </w:t>
      </w:r>
      <w:r w:rsidR="00C36A5B" w:rsidRPr="00E463BA">
        <w:rPr>
          <w:i/>
        </w:rPr>
        <w:t>Contractual Services - Testing (635/735)</w:t>
      </w:r>
    </w:p>
    <w:p w:rsidR="00E463BA" w:rsidRPr="00E463BA" w:rsidRDefault="00E463BA" w:rsidP="00FA27F8">
      <w:pPr>
        <w:jc w:val="both"/>
        <w:rPr>
          <w:i/>
        </w:rPr>
      </w:pPr>
    </w:p>
    <w:p w:rsidR="00C36A5B" w:rsidRDefault="00C36A5B" w:rsidP="00FA27F8">
      <w:pPr>
        <w:jc w:val="both"/>
      </w:pPr>
      <w:r>
        <w:tab/>
      </w:r>
      <w:r w:rsidRPr="00872A29">
        <w:t xml:space="preserve">The utility recorded testing expense of $1,165 for water and $45 for wastewater in this account. </w:t>
      </w:r>
      <w:r w:rsidR="007714C9">
        <w:t>We</w:t>
      </w:r>
      <w:r w:rsidRPr="00872A29">
        <w:t xml:space="preserve"> increased this account by $518 for water to reflect the utility’s triennial water compliance testing. The utility provided an invoice for this expense, reflecting an amount of $1,555.</w:t>
      </w:r>
      <w:r w:rsidRPr="00872A29">
        <w:rPr>
          <w:vertAlign w:val="superscript"/>
        </w:rPr>
        <w:footnoteReference w:id="20"/>
      </w:r>
      <w:r w:rsidRPr="00872A29">
        <w:t xml:space="preserve"> This test is performed every </w:t>
      </w:r>
      <w:r>
        <w:t>three</w:t>
      </w:r>
      <w:r w:rsidRPr="00872A29">
        <w:t xml:space="preserve"> years. As such, </w:t>
      </w:r>
      <w:r w:rsidR="007714C9">
        <w:t>we find that</w:t>
      </w:r>
      <w:r w:rsidRPr="00872A29">
        <w:t xml:space="preserve"> it is appropriate to amortize the expense, resulting in an expense of $518 ($1,555/3 years) per year. Additionally, </w:t>
      </w:r>
      <w:r w:rsidR="007714C9">
        <w:t>we</w:t>
      </w:r>
      <w:r w:rsidRPr="00872A29">
        <w:t xml:space="preserve"> decreased wastewater testing by $45 to reclassify an item to Account 736 – Contractual Services–Other and increased the account by $960 for the monthly testing performed by the contract operator, which was reclassified from Account 775 – Miscellaneous Expense. Based on the above, </w:t>
      </w:r>
      <w:r w:rsidR="007714C9">
        <w:t>we hereby approve a</w:t>
      </w:r>
      <w:r w:rsidRPr="00872A29">
        <w:t xml:space="preserve"> contractual services – testing expense for the test year of $1,683 for water and $960 for wastewater.</w:t>
      </w:r>
    </w:p>
    <w:p w:rsidR="00FA27F8" w:rsidRPr="00872A29" w:rsidRDefault="00FA27F8" w:rsidP="00FA27F8">
      <w:pPr>
        <w:jc w:val="both"/>
      </w:pPr>
    </w:p>
    <w:p w:rsidR="00C36A5B" w:rsidRDefault="00E463BA" w:rsidP="00C36A5B">
      <w:pPr>
        <w:jc w:val="both"/>
        <w:rPr>
          <w:i/>
        </w:rPr>
      </w:pPr>
      <w:r>
        <w:rPr>
          <w:i/>
        </w:rPr>
        <w:t xml:space="preserve">H. </w:t>
      </w:r>
      <w:r w:rsidR="00C36A5B" w:rsidRPr="00E463BA">
        <w:rPr>
          <w:i/>
        </w:rPr>
        <w:t>Contractual Services - Other (636/736)</w:t>
      </w:r>
    </w:p>
    <w:p w:rsidR="00E463BA" w:rsidRPr="00E463BA" w:rsidRDefault="00E463BA" w:rsidP="00C36A5B">
      <w:pPr>
        <w:jc w:val="both"/>
        <w:rPr>
          <w:i/>
        </w:rPr>
      </w:pPr>
    </w:p>
    <w:p w:rsidR="00C36A5B" w:rsidRDefault="00C36A5B" w:rsidP="00C36A5B">
      <w:pPr>
        <w:spacing w:after="120"/>
        <w:jc w:val="both"/>
      </w:pPr>
      <w:r>
        <w:tab/>
      </w:r>
      <w:r w:rsidRPr="00872A29">
        <w:t xml:space="preserve">The utility recorded contractual services – other expense of $3,283 for water and $50 for wastewater. </w:t>
      </w:r>
      <w:r w:rsidR="009D754F">
        <w:t>We</w:t>
      </w:r>
      <w:r w:rsidRPr="00872A29">
        <w:t xml:space="preserve"> made several adjustments to this account which are reflected in Table </w:t>
      </w:r>
      <w:r w:rsidR="00E463BA">
        <w:t>5</w:t>
      </w:r>
      <w:r w:rsidRPr="00872A29">
        <w:t>.</w:t>
      </w:r>
    </w:p>
    <w:p w:rsidR="00C36A5B" w:rsidRPr="00872A29" w:rsidRDefault="00C36A5B" w:rsidP="00C36A5B">
      <w:pPr>
        <w:spacing w:after="120"/>
        <w:jc w:val="both"/>
      </w:pPr>
    </w:p>
    <w:p w:rsidR="00C36A5B" w:rsidRPr="00E463BA" w:rsidRDefault="00C36A5B" w:rsidP="00C36A5B">
      <w:pPr>
        <w:autoSpaceDE w:val="0"/>
        <w:autoSpaceDN w:val="0"/>
        <w:adjustRightInd w:val="0"/>
        <w:jc w:val="center"/>
        <w:rPr>
          <w:b/>
          <w:bCs/>
        </w:rPr>
      </w:pPr>
      <w:r w:rsidRPr="00E463BA">
        <w:rPr>
          <w:b/>
          <w:bCs/>
        </w:rPr>
        <w:t xml:space="preserve">Table </w:t>
      </w:r>
      <w:r w:rsidR="00E463BA" w:rsidRPr="00E463BA">
        <w:rPr>
          <w:b/>
          <w:bCs/>
        </w:rPr>
        <w:t>5</w:t>
      </w:r>
    </w:p>
    <w:p w:rsidR="00C36A5B" w:rsidRPr="00E463BA" w:rsidRDefault="009D754F" w:rsidP="00C36A5B">
      <w:pPr>
        <w:autoSpaceDE w:val="0"/>
        <w:autoSpaceDN w:val="0"/>
        <w:adjustRightInd w:val="0"/>
        <w:jc w:val="center"/>
        <w:rPr>
          <w:b/>
        </w:rPr>
      </w:pPr>
      <w:r>
        <w:rPr>
          <w:b/>
          <w:bCs/>
        </w:rPr>
        <w:t>Commission</w:t>
      </w:r>
      <w:r w:rsidR="00C36A5B" w:rsidRPr="00E463BA">
        <w:rPr>
          <w:b/>
          <w:bCs/>
        </w:rPr>
        <w:t xml:space="preserve"> Adjustments to Contractual Services – Other</w:t>
      </w:r>
    </w:p>
    <w:tbl>
      <w:tblPr>
        <w:tblStyle w:val="TableGrid2"/>
        <w:tblW w:w="9738" w:type="dxa"/>
        <w:tblLook w:val="04A0" w:firstRow="1" w:lastRow="0" w:firstColumn="1" w:lastColumn="0" w:noHBand="0" w:noVBand="1"/>
      </w:tblPr>
      <w:tblGrid>
        <w:gridCol w:w="6765"/>
        <w:gridCol w:w="1530"/>
        <w:gridCol w:w="1443"/>
      </w:tblGrid>
      <w:tr w:rsidR="00C36A5B" w:rsidRPr="00872A29" w:rsidTr="00C36A5B">
        <w:tc>
          <w:tcPr>
            <w:tcW w:w="6768" w:type="dxa"/>
            <w:tcBorders>
              <w:top w:val="single" w:sz="4" w:space="0" w:color="auto"/>
              <w:left w:val="single" w:sz="4" w:space="0" w:color="auto"/>
              <w:bottom w:val="single" w:sz="4" w:space="0" w:color="auto"/>
              <w:right w:val="single" w:sz="4" w:space="0" w:color="auto"/>
            </w:tcBorders>
            <w:vAlign w:val="bottom"/>
            <w:hideMark/>
          </w:tcPr>
          <w:p w:rsidR="00C36A5B" w:rsidRPr="00872A29" w:rsidRDefault="00C36A5B" w:rsidP="00C36A5B">
            <w:pPr>
              <w:jc w:val="center"/>
              <w:rPr>
                <w:b/>
              </w:rPr>
            </w:pPr>
            <w:r w:rsidRPr="00872A29">
              <w:rPr>
                <w:b/>
              </w:rPr>
              <w:t>Description</w:t>
            </w:r>
          </w:p>
        </w:tc>
        <w:tc>
          <w:tcPr>
            <w:tcW w:w="1530" w:type="dxa"/>
            <w:tcBorders>
              <w:top w:val="single" w:sz="4" w:space="0" w:color="auto"/>
              <w:left w:val="single" w:sz="4" w:space="0" w:color="auto"/>
              <w:bottom w:val="single" w:sz="4" w:space="0" w:color="auto"/>
              <w:right w:val="single" w:sz="4" w:space="0" w:color="auto"/>
            </w:tcBorders>
            <w:hideMark/>
          </w:tcPr>
          <w:p w:rsidR="00C36A5B" w:rsidRPr="00872A29" w:rsidRDefault="00C36A5B" w:rsidP="00C36A5B">
            <w:pPr>
              <w:jc w:val="center"/>
              <w:rPr>
                <w:b/>
              </w:rPr>
            </w:pPr>
            <w:r w:rsidRPr="00872A29">
              <w:rPr>
                <w:b/>
              </w:rPr>
              <w:t>Water Adjustment</w:t>
            </w:r>
          </w:p>
        </w:tc>
        <w:tc>
          <w:tcPr>
            <w:tcW w:w="1440" w:type="dxa"/>
            <w:tcBorders>
              <w:top w:val="single" w:sz="4" w:space="0" w:color="auto"/>
              <w:left w:val="single" w:sz="4" w:space="0" w:color="auto"/>
              <w:bottom w:val="single" w:sz="4" w:space="0" w:color="auto"/>
              <w:right w:val="single" w:sz="4" w:space="0" w:color="auto"/>
            </w:tcBorders>
            <w:hideMark/>
          </w:tcPr>
          <w:p w:rsidR="00C36A5B" w:rsidRPr="00872A29" w:rsidRDefault="00C36A5B" w:rsidP="00C36A5B">
            <w:pPr>
              <w:jc w:val="center"/>
              <w:rPr>
                <w:b/>
              </w:rPr>
            </w:pPr>
            <w:r w:rsidRPr="00872A29">
              <w:rPr>
                <w:b/>
              </w:rPr>
              <w:t>Wastewater Adjustment</w:t>
            </w:r>
          </w:p>
        </w:tc>
      </w:tr>
      <w:tr w:rsidR="00C36A5B" w:rsidRPr="00872A29" w:rsidTr="00C36A5B">
        <w:tc>
          <w:tcPr>
            <w:tcW w:w="6768" w:type="dxa"/>
            <w:tcBorders>
              <w:top w:val="single" w:sz="4" w:space="0" w:color="auto"/>
              <w:left w:val="single" w:sz="4" w:space="0" w:color="auto"/>
              <w:bottom w:val="single" w:sz="4" w:space="0" w:color="auto"/>
              <w:right w:val="single" w:sz="4" w:space="0" w:color="auto"/>
            </w:tcBorders>
            <w:hideMark/>
          </w:tcPr>
          <w:p w:rsidR="00C36A5B" w:rsidRPr="00872A29" w:rsidRDefault="00C36A5B" w:rsidP="00C36A5B">
            <w:r w:rsidRPr="00872A29">
              <w:t>Reclassification from Account 620 - Materials &amp; Supplies</w:t>
            </w:r>
          </w:p>
        </w:tc>
        <w:tc>
          <w:tcPr>
            <w:tcW w:w="1530" w:type="dxa"/>
            <w:tcBorders>
              <w:top w:val="single" w:sz="4" w:space="0" w:color="auto"/>
              <w:left w:val="single" w:sz="4" w:space="0" w:color="auto"/>
              <w:bottom w:val="single" w:sz="4" w:space="0" w:color="auto"/>
              <w:right w:val="single" w:sz="4" w:space="0" w:color="auto"/>
            </w:tcBorders>
            <w:hideMark/>
          </w:tcPr>
          <w:p w:rsidR="00C36A5B" w:rsidRPr="00872A29" w:rsidRDefault="00C36A5B" w:rsidP="00C36A5B">
            <w:pPr>
              <w:jc w:val="right"/>
            </w:pPr>
            <w:r w:rsidRPr="00872A29">
              <w:t>$378</w:t>
            </w:r>
          </w:p>
        </w:tc>
        <w:tc>
          <w:tcPr>
            <w:tcW w:w="1440" w:type="dxa"/>
            <w:tcBorders>
              <w:top w:val="single" w:sz="4" w:space="0" w:color="auto"/>
              <w:left w:val="single" w:sz="4" w:space="0" w:color="auto"/>
              <w:bottom w:val="single" w:sz="4" w:space="0" w:color="auto"/>
              <w:right w:val="single" w:sz="4" w:space="0" w:color="auto"/>
            </w:tcBorders>
            <w:hideMark/>
          </w:tcPr>
          <w:p w:rsidR="00C36A5B" w:rsidRPr="00872A29" w:rsidRDefault="00C36A5B" w:rsidP="00C36A5B">
            <w:pPr>
              <w:jc w:val="right"/>
            </w:pPr>
            <w:r w:rsidRPr="00872A29">
              <w:t>$0</w:t>
            </w:r>
          </w:p>
        </w:tc>
      </w:tr>
      <w:tr w:rsidR="00C36A5B" w:rsidRPr="00872A29" w:rsidTr="00C36A5B">
        <w:tc>
          <w:tcPr>
            <w:tcW w:w="6768" w:type="dxa"/>
            <w:tcBorders>
              <w:top w:val="single" w:sz="4" w:space="0" w:color="auto"/>
              <w:left w:val="single" w:sz="4" w:space="0" w:color="auto"/>
              <w:bottom w:val="single" w:sz="4" w:space="0" w:color="auto"/>
              <w:right w:val="single" w:sz="4" w:space="0" w:color="auto"/>
            </w:tcBorders>
            <w:hideMark/>
          </w:tcPr>
          <w:p w:rsidR="00C36A5B" w:rsidRPr="00872A29" w:rsidRDefault="00C36A5B" w:rsidP="00C36A5B">
            <w:r w:rsidRPr="00872A29">
              <w:t>Reclassification to Account 631 - Contractual Services-Professional</w:t>
            </w:r>
          </w:p>
        </w:tc>
        <w:tc>
          <w:tcPr>
            <w:tcW w:w="1530" w:type="dxa"/>
            <w:tcBorders>
              <w:top w:val="single" w:sz="4" w:space="0" w:color="auto"/>
              <w:left w:val="single" w:sz="4" w:space="0" w:color="auto"/>
              <w:bottom w:val="single" w:sz="4" w:space="0" w:color="auto"/>
              <w:right w:val="single" w:sz="4" w:space="0" w:color="auto"/>
            </w:tcBorders>
            <w:hideMark/>
          </w:tcPr>
          <w:p w:rsidR="00C36A5B" w:rsidRPr="00872A29" w:rsidRDefault="00C36A5B" w:rsidP="00C36A5B">
            <w:pPr>
              <w:jc w:val="right"/>
            </w:pPr>
            <w:r w:rsidRPr="00872A29">
              <w:t>(1,500)</w:t>
            </w:r>
          </w:p>
        </w:tc>
        <w:tc>
          <w:tcPr>
            <w:tcW w:w="1440" w:type="dxa"/>
            <w:tcBorders>
              <w:top w:val="single" w:sz="4" w:space="0" w:color="auto"/>
              <w:left w:val="single" w:sz="4" w:space="0" w:color="auto"/>
              <w:bottom w:val="single" w:sz="4" w:space="0" w:color="auto"/>
              <w:right w:val="single" w:sz="4" w:space="0" w:color="auto"/>
            </w:tcBorders>
            <w:hideMark/>
          </w:tcPr>
          <w:p w:rsidR="00C36A5B" w:rsidRPr="00872A29" w:rsidRDefault="00C36A5B" w:rsidP="00C36A5B">
            <w:pPr>
              <w:jc w:val="right"/>
            </w:pPr>
            <w:r w:rsidRPr="00872A29">
              <w:t>0</w:t>
            </w:r>
          </w:p>
        </w:tc>
      </w:tr>
      <w:tr w:rsidR="00C36A5B" w:rsidRPr="00872A29" w:rsidTr="00C36A5B">
        <w:tc>
          <w:tcPr>
            <w:tcW w:w="6768" w:type="dxa"/>
            <w:tcBorders>
              <w:top w:val="single" w:sz="4" w:space="0" w:color="auto"/>
              <w:left w:val="single" w:sz="4" w:space="0" w:color="auto"/>
              <w:bottom w:val="single" w:sz="4" w:space="0" w:color="auto"/>
              <w:right w:val="single" w:sz="4" w:space="0" w:color="auto"/>
            </w:tcBorders>
            <w:hideMark/>
          </w:tcPr>
          <w:p w:rsidR="00C36A5B" w:rsidRPr="00872A29" w:rsidRDefault="00C36A5B" w:rsidP="00C36A5B">
            <w:r w:rsidRPr="00872A29">
              <w:t>Reclassification from Account  675 - Miscellaneous Expense</w:t>
            </w:r>
          </w:p>
        </w:tc>
        <w:tc>
          <w:tcPr>
            <w:tcW w:w="1530" w:type="dxa"/>
            <w:tcBorders>
              <w:top w:val="single" w:sz="4" w:space="0" w:color="auto"/>
              <w:left w:val="single" w:sz="4" w:space="0" w:color="auto"/>
              <w:bottom w:val="single" w:sz="4" w:space="0" w:color="auto"/>
              <w:right w:val="single" w:sz="4" w:space="0" w:color="auto"/>
            </w:tcBorders>
            <w:hideMark/>
          </w:tcPr>
          <w:p w:rsidR="00C36A5B" w:rsidRPr="00872A29" w:rsidRDefault="00C36A5B" w:rsidP="00C36A5B">
            <w:pPr>
              <w:jc w:val="right"/>
            </w:pPr>
            <w:r w:rsidRPr="00872A29">
              <w:t>6,884</w:t>
            </w:r>
          </w:p>
        </w:tc>
        <w:tc>
          <w:tcPr>
            <w:tcW w:w="1440" w:type="dxa"/>
            <w:tcBorders>
              <w:top w:val="single" w:sz="4" w:space="0" w:color="auto"/>
              <w:left w:val="single" w:sz="4" w:space="0" w:color="auto"/>
              <w:bottom w:val="single" w:sz="4" w:space="0" w:color="auto"/>
              <w:right w:val="single" w:sz="4" w:space="0" w:color="auto"/>
            </w:tcBorders>
            <w:hideMark/>
          </w:tcPr>
          <w:p w:rsidR="00C36A5B" w:rsidRPr="00872A29" w:rsidRDefault="00C36A5B" w:rsidP="00C36A5B">
            <w:pPr>
              <w:jc w:val="right"/>
            </w:pPr>
            <w:r w:rsidRPr="00872A29">
              <w:t>0</w:t>
            </w:r>
          </w:p>
        </w:tc>
      </w:tr>
      <w:tr w:rsidR="00C36A5B" w:rsidRPr="00872A29" w:rsidTr="00C36A5B">
        <w:tc>
          <w:tcPr>
            <w:tcW w:w="6768" w:type="dxa"/>
            <w:tcBorders>
              <w:top w:val="single" w:sz="4" w:space="0" w:color="auto"/>
              <w:left w:val="single" w:sz="4" w:space="0" w:color="auto"/>
              <w:bottom w:val="single" w:sz="4" w:space="0" w:color="auto"/>
              <w:right w:val="single" w:sz="4" w:space="0" w:color="auto"/>
            </w:tcBorders>
            <w:hideMark/>
          </w:tcPr>
          <w:p w:rsidR="00C36A5B" w:rsidRPr="00872A29" w:rsidRDefault="00C36A5B" w:rsidP="00C36A5B">
            <w:r w:rsidRPr="00872A29">
              <w:t>Reclassification from Account 735 - Contractual Services-Testing</w:t>
            </w:r>
          </w:p>
        </w:tc>
        <w:tc>
          <w:tcPr>
            <w:tcW w:w="1530" w:type="dxa"/>
            <w:tcBorders>
              <w:top w:val="single" w:sz="4" w:space="0" w:color="auto"/>
              <w:left w:val="single" w:sz="4" w:space="0" w:color="auto"/>
              <w:bottom w:val="single" w:sz="4" w:space="0" w:color="auto"/>
              <w:right w:val="single" w:sz="4" w:space="0" w:color="auto"/>
            </w:tcBorders>
            <w:hideMark/>
          </w:tcPr>
          <w:p w:rsidR="00C36A5B" w:rsidRPr="00872A29" w:rsidRDefault="00C36A5B" w:rsidP="00C36A5B">
            <w:pPr>
              <w:jc w:val="right"/>
            </w:pPr>
            <w:r w:rsidRPr="00872A29">
              <w:t>0</w:t>
            </w:r>
          </w:p>
        </w:tc>
        <w:tc>
          <w:tcPr>
            <w:tcW w:w="1440" w:type="dxa"/>
            <w:tcBorders>
              <w:top w:val="single" w:sz="4" w:space="0" w:color="auto"/>
              <w:left w:val="single" w:sz="4" w:space="0" w:color="auto"/>
              <w:bottom w:val="single" w:sz="4" w:space="0" w:color="auto"/>
              <w:right w:val="single" w:sz="4" w:space="0" w:color="auto"/>
            </w:tcBorders>
            <w:hideMark/>
          </w:tcPr>
          <w:p w:rsidR="00C36A5B" w:rsidRPr="00872A29" w:rsidRDefault="00C36A5B" w:rsidP="00C36A5B">
            <w:pPr>
              <w:jc w:val="right"/>
            </w:pPr>
            <w:r w:rsidRPr="00872A29">
              <w:t>45</w:t>
            </w:r>
          </w:p>
        </w:tc>
      </w:tr>
      <w:tr w:rsidR="00C36A5B" w:rsidRPr="00872A29" w:rsidTr="00C36A5B">
        <w:tc>
          <w:tcPr>
            <w:tcW w:w="6768" w:type="dxa"/>
            <w:tcBorders>
              <w:top w:val="single" w:sz="4" w:space="0" w:color="auto"/>
              <w:left w:val="single" w:sz="4" w:space="0" w:color="auto"/>
              <w:bottom w:val="single" w:sz="4" w:space="0" w:color="auto"/>
              <w:right w:val="single" w:sz="4" w:space="0" w:color="auto"/>
            </w:tcBorders>
            <w:hideMark/>
          </w:tcPr>
          <w:p w:rsidR="00C36A5B" w:rsidRPr="00872A29" w:rsidRDefault="00C36A5B" w:rsidP="00C36A5B">
            <w:r w:rsidRPr="00872A29">
              <w:t>Reclassification from Account 775 - Miscellaneous Expense</w:t>
            </w:r>
          </w:p>
        </w:tc>
        <w:tc>
          <w:tcPr>
            <w:tcW w:w="1530" w:type="dxa"/>
            <w:tcBorders>
              <w:top w:val="single" w:sz="4" w:space="0" w:color="auto"/>
              <w:left w:val="single" w:sz="4" w:space="0" w:color="auto"/>
              <w:bottom w:val="single" w:sz="4" w:space="0" w:color="auto"/>
              <w:right w:val="single" w:sz="4" w:space="0" w:color="auto"/>
            </w:tcBorders>
            <w:hideMark/>
          </w:tcPr>
          <w:p w:rsidR="00C36A5B" w:rsidRPr="00872A29" w:rsidRDefault="00C36A5B" w:rsidP="00C36A5B">
            <w:pPr>
              <w:jc w:val="right"/>
            </w:pPr>
            <w:r w:rsidRPr="00872A29">
              <w:rPr>
                <w:u w:val="single"/>
              </w:rPr>
              <w:t>190</w:t>
            </w:r>
          </w:p>
        </w:tc>
        <w:tc>
          <w:tcPr>
            <w:tcW w:w="1440" w:type="dxa"/>
            <w:tcBorders>
              <w:top w:val="single" w:sz="4" w:space="0" w:color="auto"/>
              <w:left w:val="single" w:sz="4" w:space="0" w:color="auto"/>
              <w:bottom w:val="single" w:sz="4" w:space="0" w:color="auto"/>
              <w:right w:val="single" w:sz="4" w:space="0" w:color="auto"/>
            </w:tcBorders>
            <w:hideMark/>
          </w:tcPr>
          <w:p w:rsidR="00C36A5B" w:rsidRPr="00872A29" w:rsidRDefault="00C36A5B" w:rsidP="00C36A5B">
            <w:pPr>
              <w:jc w:val="right"/>
            </w:pPr>
            <w:r w:rsidRPr="00872A29">
              <w:t>17,633</w:t>
            </w:r>
          </w:p>
        </w:tc>
      </w:tr>
      <w:tr w:rsidR="00C36A5B" w:rsidRPr="00872A29" w:rsidTr="00C36A5B">
        <w:tc>
          <w:tcPr>
            <w:tcW w:w="6768" w:type="dxa"/>
            <w:tcBorders>
              <w:top w:val="single" w:sz="4" w:space="0" w:color="auto"/>
              <w:left w:val="single" w:sz="4" w:space="0" w:color="auto"/>
              <w:bottom w:val="single" w:sz="4" w:space="0" w:color="auto"/>
              <w:right w:val="single" w:sz="4" w:space="0" w:color="auto"/>
            </w:tcBorders>
            <w:hideMark/>
          </w:tcPr>
          <w:p w:rsidR="00C36A5B" w:rsidRPr="00872A29" w:rsidRDefault="00C36A5B" w:rsidP="00C36A5B">
            <w:r w:rsidRPr="00872A29">
              <w:t xml:space="preserve">    Total</w:t>
            </w:r>
          </w:p>
        </w:tc>
        <w:tc>
          <w:tcPr>
            <w:tcW w:w="1530" w:type="dxa"/>
            <w:tcBorders>
              <w:top w:val="single" w:sz="4" w:space="0" w:color="auto"/>
              <w:left w:val="single" w:sz="4" w:space="0" w:color="auto"/>
              <w:bottom w:val="single" w:sz="4" w:space="0" w:color="auto"/>
              <w:right w:val="single" w:sz="4" w:space="0" w:color="auto"/>
            </w:tcBorders>
            <w:hideMark/>
          </w:tcPr>
          <w:p w:rsidR="00C36A5B" w:rsidRPr="00872A29" w:rsidRDefault="00C36A5B" w:rsidP="00C36A5B">
            <w:pPr>
              <w:jc w:val="right"/>
              <w:rPr>
                <w:u w:val="double"/>
              </w:rPr>
            </w:pPr>
            <w:r w:rsidRPr="00872A29">
              <w:rPr>
                <w:u w:val="double"/>
              </w:rPr>
              <w:t>$5,952</w:t>
            </w:r>
          </w:p>
        </w:tc>
        <w:tc>
          <w:tcPr>
            <w:tcW w:w="1440" w:type="dxa"/>
            <w:tcBorders>
              <w:top w:val="single" w:sz="4" w:space="0" w:color="auto"/>
              <w:left w:val="single" w:sz="4" w:space="0" w:color="auto"/>
              <w:bottom w:val="single" w:sz="4" w:space="0" w:color="auto"/>
              <w:right w:val="single" w:sz="4" w:space="0" w:color="auto"/>
            </w:tcBorders>
            <w:hideMark/>
          </w:tcPr>
          <w:p w:rsidR="00C36A5B" w:rsidRPr="00872A29" w:rsidRDefault="00C36A5B" w:rsidP="00C36A5B">
            <w:pPr>
              <w:jc w:val="right"/>
              <w:rPr>
                <w:u w:val="double"/>
              </w:rPr>
            </w:pPr>
            <w:r w:rsidRPr="00872A29">
              <w:rPr>
                <w:u w:val="double"/>
              </w:rPr>
              <w:t>$17,678</w:t>
            </w:r>
          </w:p>
        </w:tc>
      </w:tr>
    </w:tbl>
    <w:p w:rsidR="00C36A5B" w:rsidRDefault="00C36A5B" w:rsidP="00C36A5B">
      <w:pPr>
        <w:spacing w:after="120"/>
        <w:ind w:left="-90"/>
        <w:rPr>
          <w:sz w:val="20"/>
          <w:szCs w:val="20"/>
        </w:rPr>
      </w:pPr>
      <w:r w:rsidRPr="00872A29">
        <w:rPr>
          <w:sz w:val="20"/>
          <w:szCs w:val="20"/>
        </w:rPr>
        <w:t>Source: Document No. 08747-2017, FIMC Hideaway Audit Report.</w:t>
      </w:r>
    </w:p>
    <w:p w:rsidR="00051C30" w:rsidRPr="00872A29" w:rsidRDefault="00051C30" w:rsidP="00C36A5B">
      <w:pPr>
        <w:spacing w:after="120"/>
        <w:ind w:left="-90"/>
        <w:rPr>
          <w:sz w:val="20"/>
          <w:szCs w:val="20"/>
        </w:rPr>
      </w:pPr>
    </w:p>
    <w:p w:rsidR="00C36A5B" w:rsidRDefault="00C36A5B" w:rsidP="00051C30">
      <w:pPr>
        <w:jc w:val="both"/>
      </w:pPr>
      <w:r>
        <w:tab/>
      </w:r>
      <w:r w:rsidRPr="00872A29">
        <w:t xml:space="preserve">As noted above, </w:t>
      </w:r>
      <w:r w:rsidR="009D754F">
        <w:t>we</w:t>
      </w:r>
      <w:r w:rsidRPr="00872A29">
        <w:t xml:space="preserve"> increased this account by $5,952 for water and $17,678 for wastewater to reclassify amounts identified during </w:t>
      </w:r>
      <w:r w:rsidR="009D754F">
        <w:t>our</w:t>
      </w:r>
      <w:r w:rsidRPr="00872A29">
        <w:t xml:space="preserve"> st</w:t>
      </w:r>
      <w:r>
        <w:t>aff</w:t>
      </w:r>
      <w:r w:rsidR="009D754F">
        <w:t>’s</w:t>
      </w:r>
      <w:r>
        <w:t xml:space="preserve"> audit and reflected in the Audit R</w:t>
      </w:r>
      <w:r w:rsidRPr="00872A29">
        <w:t xml:space="preserve">eport. Therefore, </w:t>
      </w:r>
      <w:r w:rsidR="009D754F">
        <w:t>we hereby approve a</w:t>
      </w:r>
      <w:r w:rsidRPr="00872A29">
        <w:t xml:space="preserve"> contractual services – other expense for the test year of $9,235 ($3,283 + $5,952) for water and $17,728 ($50 + $17,678) for wastewater.</w:t>
      </w:r>
    </w:p>
    <w:p w:rsidR="00051C30" w:rsidRDefault="00051C30" w:rsidP="00051C30">
      <w:pPr>
        <w:jc w:val="both"/>
      </w:pPr>
    </w:p>
    <w:p w:rsidR="00051C30" w:rsidRDefault="00051C30" w:rsidP="00051C30">
      <w:pPr>
        <w:jc w:val="both"/>
      </w:pPr>
    </w:p>
    <w:p w:rsidR="00051C30" w:rsidRDefault="00051C30" w:rsidP="00051C30">
      <w:pPr>
        <w:jc w:val="both"/>
      </w:pPr>
    </w:p>
    <w:p w:rsidR="00051C30" w:rsidRPr="00872A29" w:rsidRDefault="00051C30" w:rsidP="00051C30">
      <w:pPr>
        <w:jc w:val="both"/>
      </w:pPr>
    </w:p>
    <w:p w:rsidR="00C36A5B" w:rsidRDefault="00EE33A0" w:rsidP="00051C30">
      <w:pPr>
        <w:jc w:val="both"/>
        <w:rPr>
          <w:i/>
        </w:rPr>
      </w:pPr>
      <w:r>
        <w:rPr>
          <w:i/>
        </w:rPr>
        <w:lastRenderedPageBreak/>
        <w:t xml:space="preserve">I. </w:t>
      </w:r>
      <w:r w:rsidR="00C36A5B" w:rsidRPr="00EE33A0">
        <w:rPr>
          <w:i/>
        </w:rPr>
        <w:t>Rent Expense (640/740)</w:t>
      </w:r>
    </w:p>
    <w:p w:rsidR="00EE33A0" w:rsidRPr="00EE33A0" w:rsidRDefault="00EE33A0" w:rsidP="00051C30">
      <w:pPr>
        <w:jc w:val="both"/>
        <w:rPr>
          <w:i/>
        </w:rPr>
      </w:pPr>
    </w:p>
    <w:p w:rsidR="00C36A5B" w:rsidRDefault="00C36A5B" w:rsidP="00051C30">
      <w:pPr>
        <w:jc w:val="both"/>
      </w:pPr>
      <w:r>
        <w:tab/>
      </w:r>
      <w:r w:rsidRPr="00872A29">
        <w:t>FIMC recorded rent expense of $11,000 for water, but recorded no rent expense for wastewater</w:t>
      </w:r>
      <w:r>
        <w:t xml:space="preserve">. </w:t>
      </w:r>
      <w:r w:rsidRPr="00872A29">
        <w:t>The utility’s office is in the home of the utility’s owners for which they are charging rent of $500 per month to both the Hideaway and Springside water systems. The utility owners’ home consists of 1,648 square feet and the office is 144</w:t>
      </w:r>
      <w:r>
        <w:t xml:space="preserve"> square feet. In addition, the u</w:t>
      </w:r>
      <w:r w:rsidRPr="00872A29">
        <w:t>tility also has 80 square feet of storage that it uses within the home. Together, the combined 224 square feet represents approximately 13.59 percent of the home. The monthly mortgages on the home total $1,254</w:t>
      </w:r>
      <w:r w:rsidRPr="00872A29">
        <w:rPr>
          <w:vertAlign w:val="superscript"/>
        </w:rPr>
        <w:footnoteReference w:id="21"/>
      </w:r>
      <w:r w:rsidRPr="00872A29">
        <w:t xml:space="preserve"> and the $1,000 ($500 x 2) monthly rent expense reflects roughly 80 percent of the cost, which appears excessive. Instead, </w:t>
      </w:r>
      <w:r w:rsidR="009D754F">
        <w:t>we find that</w:t>
      </w:r>
      <w:r w:rsidRPr="00872A29">
        <w:t xml:space="preserve"> OPC’s proposal that “. . . the office rent should be based on the square footage of the office space, as co</w:t>
      </w:r>
      <w:r w:rsidR="009D754F">
        <w:t>mpared to the total home space” is appropriate.</w:t>
      </w:r>
      <w:r w:rsidRPr="00872A29">
        <w:rPr>
          <w:vertAlign w:val="superscript"/>
        </w:rPr>
        <w:footnoteReference w:id="22"/>
      </w:r>
      <w:r w:rsidRPr="00872A29">
        <w:t xml:space="preserve"> This treatment of rent expense is also consistent with IRS requirements allowing a home office deduction. Thus, total rent expense sh</w:t>
      </w:r>
      <w:r w:rsidR="009D754F">
        <w:t>all</w:t>
      </w:r>
      <w:r w:rsidRPr="00872A29">
        <w:t xml:space="preserve"> be no more than approximately $170 ($1,254 x 13.59 percent) per month, or approximately $2,045 ($170 x 12 months) per year. </w:t>
      </w:r>
      <w:r w:rsidR="009D754F">
        <w:t>We</w:t>
      </w:r>
      <w:r w:rsidRPr="00872A29">
        <w:t xml:space="preserve"> allocated FIMC’s total rent expense between the water and wastewater systems based on ERCs, or $988 ($2,045 x 48.29 percent) for water and $1,057 ($2,045 x 51.71 percent) for wastewater. </w:t>
      </w:r>
      <w:r w:rsidR="009D754F">
        <w:t>Our</w:t>
      </w:r>
      <w:r w:rsidRPr="00872A29">
        <w:t xml:space="preserve"> total adjustments to this account are a decrease of $10,012 ($11,000 - $988) for water and an increase of $1,057 for wastewater. Therefore, </w:t>
      </w:r>
      <w:r w:rsidR="009D754F">
        <w:t>we hereby approve a</w:t>
      </w:r>
      <w:r w:rsidRPr="00872A29">
        <w:t xml:space="preserve"> rent expense </w:t>
      </w:r>
      <w:r w:rsidR="009D754F">
        <w:t>of</w:t>
      </w:r>
      <w:r w:rsidRPr="00872A29">
        <w:t xml:space="preserve"> $988 for water and $1,057 for wastewater.</w:t>
      </w:r>
    </w:p>
    <w:p w:rsidR="00051C30" w:rsidRPr="00872A29" w:rsidRDefault="00051C30" w:rsidP="00051C30">
      <w:pPr>
        <w:jc w:val="both"/>
      </w:pPr>
    </w:p>
    <w:p w:rsidR="00C36A5B" w:rsidRDefault="00EE33A0" w:rsidP="00C36A5B">
      <w:pPr>
        <w:jc w:val="both"/>
        <w:rPr>
          <w:i/>
        </w:rPr>
      </w:pPr>
      <w:r>
        <w:rPr>
          <w:i/>
        </w:rPr>
        <w:t xml:space="preserve">J. </w:t>
      </w:r>
      <w:r w:rsidR="00C36A5B" w:rsidRPr="00EE33A0">
        <w:rPr>
          <w:i/>
        </w:rPr>
        <w:t>Transportation Expense (650/750)</w:t>
      </w:r>
    </w:p>
    <w:p w:rsidR="00EE33A0" w:rsidRPr="00EE33A0" w:rsidRDefault="00EE33A0" w:rsidP="00C36A5B">
      <w:pPr>
        <w:jc w:val="both"/>
        <w:rPr>
          <w:i/>
        </w:rPr>
      </w:pPr>
    </w:p>
    <w:p w:rsidR="00C36A5B" w:rsidRDefault="00C36A5B" w:rsidP="00051C30">
      <w:pPr>
        <w:jc w:val="both"/>
      </w:pPr>
      <w:r>
        <w:tab/>
      </w:r>
      <w:r w:rsidRPr="00872A29">
        <w:t xml:space="preserve">The utility did not record any test year transportation expense. The utility provided </w:t>
      </w:r>
      <w:r w:rsidR="009D754F">
        <w:t>this Commission</w:t>
      </w:r>
      <w:r w:rsidRPr="00872A29">
        <w:t xml:space="preserve"> with a mileage log that reflected a total of 2,720 miles for the owner’s utility-related travel. The mileage reflects the utility owner’s three trips per month from Gainesville to Chiefland, where FIMC is located. </w:t>
      </w:r>
      <w:r w:rsidR="009D754F">
        <w:t>We find it appropriate to use</w:t>
      </w:r>
      <w:r w:rsidRPr="00872A29">
        <w:t xml:space="preserve"> the utility</w:t>
      </w:r>
      <w:r>
        <w:t>’</w:t>
      </w:r>
      <w:r w:rsidRPr="00872A29">
        <w:t>s mileage log and IRS standard mileage rates to develop an appropriate amount of transportation ex</w:t>
      </w:r>
      <w:r>
        <w:t xml:space="preserve">pense. </w:t>
      </w:r>
      <w:r w:rsidR="009D754F">
        <w:t>We further find</w:t>
      </w:r>
      <w:r>
        <w:t xml:space="preserve"> that the u</w:t>
      </w:r>
      <w:r w:rsidRPr="00872A29">
        <w:t>tility</w:t>
      </w:r>
      <w:r>
        <w:t>’</w:t>
      </w:r>
      <w:r w:rsidRPr="00872A29">
        <w:t xml:space="preserve">s mileage is reasonable based on normal operations. According to the IRS, the standard mileage rate for business includes the fixed and variable costs of operating a vehicle for business purposes. These costs would include standard maintenance, repairs, taxes, gas, insurance, and registration fees. As such, transportation expense of $1,482 (2,720 miles x $0.545 per mile) is appropriate. </w:t>
      </w:r>
      <w:r w:rsidR="009D754F">
        <w:t>We</w:t>
      </w:r>
      <w:r w:rsidRPr="00872A29">
        <w:t xml:space="preserve"> increased this account by $716 ($1,482 x 48.29 percent) for water and $766 ($1,482 x 51.71 percent) for wastewater, to reflect the allocation of transportation expense. Therefore, </w:t>
      </w:r>
      <w:r w:rsidR="009D754F">
        <w:t>we hereby approve a</w:t>
      </w:r>
      <w:r w:rsidRPr="00872A29">
        <w:t xml:space="preserve"> transportation expense of $716 for water and $766 for wastewater.</w:t>
      </w:r>
    </w:p>
    <w:p w:rsidR="00051C30" w:rsidRPr="00872A29" w:rsidRDefault="00051C30" w:rsidP="00051C30">
      <w:pPr>
        <w:jc w:val="both"/>
      </w:pPr>
    </w:p>
    <w:p w:rsidR="00C36A5B" w:rsidRDefault="00EE33A0" w:rsidP="00051C30">
      <w:pPr>
        <w:jc w:val="both"/>
        <w:rPr>
          <w:i/>
        </w:rPr>
      </w:pPr>
      <w:r>
        <w:rPr>
          <w:i/>
        </w:rPr>
        <w:t xml:space="preserve">K. </w:t>
      </w:r>
      <w:r w:rsidR="00C36A5B" w:rsidRPr="00EE33A0">
        <w:rPr>
          <w:i/>
        </w:rPr>
        <w:t>Insurance Expense (655/755)</w:t>
      </w:r>
    </w:p>
    <w:p w:rsidR="00EE33A0" w:rsidRPr="00EE33A0" w:rsidRDefault="00EE33A0" w:rsidP="00051C30">
      <w:pPr>
        <w:jc w:val="both"/>
        <w:rPr>
          <w:i/>
        </w:rPr>
      </w:pPr>
    </w:p>
    <w:p w:rsidR="00C36A5B" w:rsidRDefault="00C36A5B" w:rsidP="00051C30">
      <w:pPr>
        <w:jc w:val="both"/>
      </w:pPr>
      <w:r>
        <w:tab/>
      </w:r>
      <w:r w:rsidRPr="00872A29">
        <w:t>The utility did not record test year insurance expense for the test year. However, insurance expense of $600 for water and $600 for wastewater was reported in the utility’s 2016 Annual Report. According to the utility</w:t>
      </w:r>
      <w:r>
        <w:t>’</w:t>
      </w:r>
      <w:r w:rsidRPr="00872A29">
        <w:t>s regulatory accountant</w:t>
      </w:r>
      <w:r>
        <w:t xml:space="preserve">, the amounts in the utility’s </w:t>
      </w:r>
      <w:r>
        <w:lastRenderedPageBreak/>
        <w:t>A</w:t>
      </w:r>
      <w:r w:rsidRPr="00872A29">
        <w:t xml:space="preserve">nnual </w:t>
      </w:r>
      <w:r>
        <w:t>R</w:t>
      </w:r>
      <w:r w:rsidRPr="00872A29">
        <w:t xml:space="preserve">eport reflect insurance expense which is “self insurance.” </w:t>
      </w:r>
      <w:r w:rsidR="009D754F">
        <w:t>We note</w:t>
      </w:r>
      <w:r w:rsidRPr="00872A29">
        <w:t xml:space="preserve"> that prior</w:t>
      </w:r>
      <w:r>
        <w:t xml:space="preserve"> to 2016, the utility’s recent Annual R</w:t>
      </w:r>
      <w:r w:rsidRPr="00872A29">
        <w:t xml:space="preserve">eports reflect insurance expense of $1,200 for water and $1,200 for wastewater. The utility did not provide an explanation for the decrease in its insurance expense. </w:t>
      </w:r>
      <w:r w:rsidR="009D754F">
        <w:t>We did not include</w:t>
      </w:r>
      <w:r w:rsidRPr="00872A29">
        <w:t xml:space="preserve"> the utility’s self insurance costs for purposes of this rate case. During the course of this docket, the utility looked into obtaining a general liability insurance policy. Initial estimates provided by the utility reflect a premium of approximately $10,000.</w:t>
      </w:r>
      <w:r w:rsidRPr="00872A29">
        <w:rPr>
          <w:vertAlign w:val="superscript"/>
        </w:rPr>
        <w:footnoteReference w:id="23"/>
      </w:r>
      <w:r w:rsidRPr="00872A29">
        <w:t xml:space="preserve"> Due to the excessive cost of a general liability policy, the utility opted to forgo coverage and continue to self insure for the time being. </w:t>
      </w:r>
      <w:r w:rsidR="009D754F">
        <w:t>We have</w:t>
      </w:r>
      <w:r w:rsidRPr="00872A29">
        <w:t xml:space="preserve"> not included the utility’s self insurance costs in O&amp;M expenses.</w:t>
      </w:r>
    </w:p>
    <w:p w:rsidR="00051C30" w:rsidRPr="00872A29" w:rsidRDefault="00051C30" w:rsidP="00051C30">
      <w:pPr>
        <w:jc w:val="both"/>
      </w:pPr>
    </w:p>
    <w:p w:rsidR="00C36A5B" w:rsidRDefault="00EE33A0" w:rsidP="00C36A5B">
      <w:pPr>
        <w:jc w:val="both"/>
        <w:rPr>
          <w:i/>
        </w:rPr>
      </w:pPr>
      <w:r>
        <w:rPr>
          <w:i/>
        </w:rPr>
        <w:t xml:space="preserve">L. </w:t>
      </w:r>
      <w:r w:rsidR="00C36A5B" w:rsidRPr="00EE33A0">
        <w:rPr>
          <w:i/>
        </w:rPr>
        <w:t>Regulatory Commission Expense (665/765)</w:t>
      </w:r>
    </w:p>
    <w:p w:rsidR="00EE33A0" w:rsidRPr="00EE33A0" w:rsidRDefault="00EE33A0" w:rsidP="00C36A5B">
      <w:pPr>
        <w:jc w:val="both"/>
        <w:rPr>
          <w:i/>
        </w:rPr>
      </w:pPr>
    </w:p>
    <w:p w:rsidR="00C36A5B" w:rsidRDefault="00C36A5B" w:rsidP="00051C30">
      <w:pPr>
        <w:jc w:val="both"/>
      </w:pPr>
      <w:r>
        <w:tab/>
      </w:r>
      <w:r w:rsidRPr="00872A29">
        <w:t xml:space="preserve">The utility did not record regulatory commission expense for the test year. The utility is required by Rule 25-22.0407, F.A.C., to provide notices of the customer meeting and notices of final rates in this case to its customers. </w:t>
      </w:r>
      <w:r w:rsidR="009D754F">
        <w:t>T</w:t>
      </w:r>
      <w:r w:rsidRPr="00872A29">
        <w:t xml:space="preserve">he utility </w:t>
      </w:r>
      <w:r w:rsidR="009D754F">
        <w:t xml:space="preserve">shall also </w:t>
      </w:r>
      <w:r w:rsidRPr="00872A29">
        <w:t xml:space="preserve">be required to provide notice of the four-year rate reduction to its customers when the rates are reduced to remove the amortized rate case expense. For noticing, </w:t>
      </w:r>
      <w:r w:rsidR="009D754F">
        <w:t>we</w:t>
      </w:r>
      <w:r w:rsidRPr="00872A29">
        <w:t xml:space="preserve"> estimated $295 for postage expense, $197 for printing expense, and $30 for envelopes. This results in $522 ($295 + $197 + $30) for the noticing requirement. The utility paid a total of $1,500 in rate case filing fees ($1,000 for water and $500 for wastewater). Based on the above, </w:t>
      </w:r>
      <w:r w:rsidR="009D754F">
        <w:t>we hereby approve a</w:t>
      </w:r>
      <w:r w:rsidRPr="00872A29">
        <w:t xml:space="preserve"> total rate case expense of $2,022 ($522 + $1,500), which amortized over four years is $506. </w:t>
      </w:r>
      <w:r w:rsidR="009D754F">
        <w:t>We have</w:t>
      </w:r>
      <w:r w:rsidRPr="00872A29">
        <w:t xml:space="preserve"> allocated the annual rate case expense to the water and wastewater systems based on ERCs, resulting in annual rate case expense of $313 for water and $192 for wastewater. Therefore, </w:t>
      </w:r>
      <w:r w:rsidR="009D754F">
        <w:t>we hereby approve a</w:t>
      </w:r>
      <w:r w:rsidRPr="00872A29">
        <w:t xml:space="preserve"> regulatory commission expense of $313 for water and $192 for wastewater.</w:t>
      </w:r>
    </w:p>
    <w:p w:rsidR="00051C30" w:rsidRPr="00872A29" w:rsidRDefault="00051C30" w:rsidP="00051C30">
      <w:pPr>
        <w:jc w:val="both"/>
        <w:rPr>
          <w:b/>
          <w:bCs/>
          <w:iCs/>
        </w:rPr>
      </w:pPr>
    </w:p>
    <w:p w:rsidR="00C36A5B" w:rsidRDefault="00EE33A0" w:rsidP="00051C30">
      <w:pPr>
        <w:jc w:val="both"/>
        <w:rPr>
          <w:i/>
        </w:rPr>
      </w:pPr>
      <w:r>
        <w:rPr>
          <w:i/>
        </w:rPr>
        <w:t xml:space="preserve">M. </w:t>
      </w:r>
      <w:r w:rsidR="00C36A5B" w:rsidRPr="00EE33A0">
        <w:rPr>
          <w:i/>
        </w:rPr>
        <w:t>Bad Debt Expense (670/770)</w:t>
      </w:r>
    </w:p>
    <w:p w:rsidR="00EE33A0" w:rsidRPr="00EE33A0" w:rsidRDefault="00EE33A0" w:rsidP="00051C30">
      <w:pPr>
        <w:jc w:val="both"/>
        <w:rPr>
          <w:i/>
        </w:rPr>
      </w:pPr>
    </w:p>
    <w:p w:rsidR="00C36A5B" w:rsidRDefault="00C36A5B" w:rsidP="00051C30">
      <w:pPr>
        <w:jc w:val="both"/>
      </w:pPr>
      <w:r>
        <w:tab/>
      </w:r>
      <w:r w:rsidRPr="00872A29">
        <w:t xml:space="preserve">FIMC did not record any bad debt in its general ledger for the test year. However, the utility did include bad debt expense of $2,696 for water and $2,995 for wastewater in its 2016 and 2017 Annual Reports. </w:t>
      </w:r>
      <w:r w:rsidR="009D754F">
        <w:t>We</w:t>
      </w:r>
      <w:r w:rsidRPr="00872A29">
        <w:t xml:space="preserve"> note that no bad debt expense was included in the utility’s 2014 or 2015 Annual Reports. In addition, only nominal amounts of bad debt expense were reported in the utility’s 2011, 2012, and 2013 Annual Reports.</w:t>
      </w:r>
      <w:r w:rsidRPr="00872A29">
        <w:rPr>
          <w:vertAlign w:val="superscript"/>
        </w:rPr>
        <w:footnoteReference w:id="24"/>
      </w:r>
      <w:r w:rsidRPr="00872A29">
        <w:t xml:space="preserve"> While it is </w:t>
      </w:r>
      <w:r w:rsidR="009D754F">
        <w:t xml:space="preserve">this </w:t>
      </w:r>
      <w:r w:rsidRPr="00872A29">
        <w:t>Commission</w:t>
      </w:r>
      <w:r w:rsidR="009D754F">
        <w:t>’s</w:t>
      </w:r>
      <w:r w:rsidRPr="00872A29">
        <w:t xml:space="preserve"> practice to calculate bad debt expense using a three-year average, in this particular case </w:t>
      </w:r>
      <w:r w:rsidR="009D754F">
        <w:t>we find</w:t>
      </w:r>
      <w:r w:rsidRPr="00872A29">
        <w:t xml:space="preserve"> that it prod</w:t>
      </w:r>
      <w:r>
        <w:t>uces a skewed result since the u</w:t>
      </w:r>
      <w:r w:rsidRPr="00872A29">
        <w:t xml:space="preserve">tility recorded no bad debt in 2015. Additionally, </w:t>
      </w:r>
      <w:r w:rsidR="009D754F">
        <w:t>we find</w:t>
      </w:r>
      <w:r>
        <w:t xml:space="preserve"> that it is unlikely that a u</w:t>
      </w:r>
      <w:r w:rsidRPr="00872A29">
        <w:t>tility of this size would have no bad debt expense. Generally, the basis for determining bad debt expense has been whether the amount is representative of the bad debt</w:t>
      </w:r>
      <w:r>
        <w:t xml:space="preserve"> expense to be incurred by the u</w:t>
      </w:r>
      <w:r w:rsidRPr="00872A29">
        <w:t xml:space="preserve">tility. With this in mind, </w:t>
      </w:r>
      <w:r w:rsidR="009D754F">
        <w:t>we</w:t>
      </w:r>
      <w:r w:rsidRPr="00872A29">
        <w:t xml:space="preserve"> utilized an average for the four most recent years where bad debt expense </w:t>
      </w:r>
      <w:r>
        <w:t>was available for the u</w:t>
      </w:r>
      <w:r w:rsidRPr="00872A29">
        <w:t xml:space="preserve">tility’s water and wastewater operations. </w:t>
      </w:r>
      <w:r w:rsidR="009D754F">
        <w:t>We find that</w:t>
      </w:r>
      <w:r w:rsidRPr="00872A29">
        <w:t xml:space="preserve"> the resulting bad debt expense of $1,575 for water and $1,745 for wastewater is reasonable here, and like</w:t>
      </w:r>
      <w:r>
        <w:t>ly to be representative of the u</w:t>
      </w:r>
      <w:r w:rsidRPr="00872A29">
        <w:t xml:space="preserve">tility’s bad debt expense </w:t>
      </w:r>
      <w:r w:rsidRPr="00872A29">
        <w:lastRenderedPageBreak/>
        <w:t xml:space="preserve">going forward. As such, </w:t>
      </w:r>
      <w:r w:rsidR="009D754F">
        <w:t>we</w:t>
      </w:r>
      <w:r w:rsidRPr="00872A29">
        <w:t xml:space="preserve"> increased bad debt expense by $1,575 and $1,745 for water and wastewater, respectively.</w:t>
      </w:r>
    </w:p>
    <w:p w:rsidR="00051C30" w:rsidRDefault="00051C30" w:rsidP="00051C30">
      <w:pPr>
        <w:jc w:val="both"/>
      </w:pPr>
    </w:p>
    <w:p w:rsidR="00C36A5B" w:rsidRDefault="00EE33A0" w:rsidP="00C36A5B">
      <w:pPr>
        <w:jc w:val="both"/>
        <w:rPr>
          <w:i/>
        </w:rPr>
      </w:pPr>
      <w:r>
        <w:rPr>
          <w:i/>
        </w:rPr>
        <w:t xml:space="preserve">N. </w:t>
      </w:r>
      <w:r w:rsidR="00C36A5B" w:rsidRPr="00EE33A0">
        <w:rPr>
          <w:i/>
        </w:rPr>
        <w:t>Miscellaneous Expense (675/775)</w:t>
      </w:r>
    </w:p>
    <w:p w:rsidR="00EE33A0" w:rsidRPr="00EE33A0" w:rsidRDefault="00EE33A0" w:rsidP="00C36A5B">
      <w:pPr>
        <w:jc w:val="both"/>
        <w:rPr>
          <w:i/>
        </w:rPr>
      </w:pPr>
    </w:p>
    <w:p w:rsidR="00C36A5B" w:rsidRPr="00872A29" w:rsidRDefault="00C36A5B" w:rsidP="00C36A5B">
      <w:pPr>
        <w:spacing w:after="120"/>
        <w:jc w:val="both"/>
      </w:pPr>
      <w:r>
        <w:tab/>
      </w:r>
      <w:r w:rsidRPr="00872A29">
        <w:t xml:space="preserve">The utility recorded test year miscellaneous expense of $12,065 for water and $20,394 for wastewater. </w:t>
      </w:r>
      <w:r w:rsidR="009D754F">
        <w:t>We</w:t>
      </w:r>
      <w:r w:rsidRPr="00872A29">
        <w:t xml:space="preserve"> decreased the water account by $100 for disallowed expense relate</w:t>
      </w:r>
      <w:r>
        <w:t>d to a Christmas bonus for the u</w:t>
      </w:r>
      <w:r w:rsidRPr="00872A29">
        <w:t>tility</w:t>
      </w:r>
      <w:r>
        <w:t>’</w:t>
      </w:r>
      <w:r w:rsidRPr="00872A29">
        <w:t xml:space="preserve">s plant operator, $118 for insufficient support, and reclassified $6,884 to Account 636 – Contractual Services-Other. Additionally, </w:t>
      </w:r>
      <w:r w:rsidR="009D754F">
        <w:t>we</w:t>
      </w:r>
      <w:r w:rsidRPr="00872A29">
        <w:t xml:space="preserve"> decreased the wastewater account by $144 for disallowed expense, mostly related to bank fees and service charges, and removed $131 for insufficient support. </w:t>
      </w:r>
      <w:r w:rsidR="009D754F">
        <w:t>We</w:t>
      </w:r>
      <w:r w:rsidRPr="00872A29">
        <w:t xml:space="preserve"> also reclassified $960 to Account 735 – Contractual Services-Testing, reclassified $17,633 to Account 736 – Contractual Services-Other, and reclassified $190 to Account 636 – Contractual Services-Other. </w:t>
      </w:r>
      <w:r w:rsidR="009D754F">
        <w:t>Our</w:t>
      </w:r>
      <w:r w:rsidRPr="00872A29">
        <w:t xml:space="preserve"> adjustments reflect decreases of $7,102 ($100 + $118 + $6,884) to water and $19,058 ($144 + $131 + $960 + $17,633 + $190) to wastewater.</w:t>
      </w:r>
    </w:p>
    <w:p w:rsidR="00C36A5B" w:rsidRDefault="00C36A5B" w:rsidP="00051C30">
      <w:pPr>
        <w:jc w:val="both"/>
      </w:pPr>
      <w:r>
        <w:tab/>
        <w:t>Furthermore, the u</w:t>
      </w:r>
      <w:r w:rsidRPr="00872A29">
        <w:t>tility provided support documentation for their home/office internet expense of $51 per month.</w:t>
      </w:r>
      <w:r w:rsidRPr="00872A29">
        <w:rPr>
          <w:vertAlign w:val="superscript"/>
        </w:rPr>
        <w:footnoteReference w:id="25"/>
      </w:r>
      <w:r w:rsidRPr="00872A29">
        <w:t xml:space="preserve"> </w:t>
      </w:r>
      <w:r w:rsidR="009D754F">
        <w:t>We</w:t>
      </w:r>
      <w:r w:rsidRPr="00872A29">
        <w:t xml:space="preserve"> allocated 13.60 percent of this amount, reflective of the amount of space the home office occupies in the home. The result is internet expense of $7.00 ($51 x 13.60 percent) per month, or $84 ($7 x 12 months) per year. </w:t>
      </w:r>
      <w:r w:rsidR="009D754F">
        <w:t>We</w:t>
      </w:r>
      <w:r w:rsidRPr="00872A29">
        <w:t xml:space="preserve"> allocated FIMC’s total internet expense between the water and wastewater systems based on ERCs, or $40 ($84 x 48.29 percent) for water and $43 ($84 x 51.71 percent) for wastewater. In total, </w:t>
      </w:r>
      <w:r w:rsidR="009D754F">
        <w:t>our</w:t>
      </w:r>
      <w:r w:rsidRPr="00872A29">
        <w:t xml:space="preserve"> adjustments are decreases of $7,062 ($40 - $7,102) to water and $19,015 ($43 - $19,058) to wastewater. Therefore, </w:t>
      </w:r>
      <w:r w:rsidR="009D754F">
        <w:t>we hereby approve a</w:t>
      </w:r>
      <w:r w:rsidRPr="00872A29">
        <w:t xml:space="preserve"> miscellaneous expense of $5,003 for water and $1,379 for wastewater.</w:t>
      </w:r>
    </w:p>
    <w:p w:rsidR="00051C30" w:rsidRPr="00872A29" w:rsidRDefault="00051C30" w:rsidP="00051C30">
      <w:pPr>
        <w:jc w:val="both"/>
      </w:pPr>
    </w:p>
    <w:p w:rsidR="00C36A5B" w:rsidRDefault="00EE33A0" w:rsidP="00051C30">
      <w:pPr>
        <w:jc w:val="both"/>
        <w:rPr>
          <w:i/>
        </w:rPr>
      </w:pPr>
      <w:r>
        <w:rPr>
          <w:i/>
        </w:rPr>
        <w:t xml:space="preserve">O. </w:t>
      </w:r>
      <w:r w:rsidR="00C36A5B" w:rsidRPr="00EE33A0">
        <w:rPr>
          <w:i/>
        </w:rPr>
        <w:t>Operation and Maintenance Expense (O&amp;M Summary)</w:t>
      </w:r>
    </w:p>
    <w:p w:rsidR="00EE33A0" w:rsidRPr="00EE33A0" w:rsidRDefault="00EE33A0" w:rsidP="00051C30">
      <w:pPr>
        <w:jc w:val="both"/>
        <w:rPr>
          <w:bCs/>
          <w:i/>
          <w:iCs/>
        </w:rPr>
      </w:pPr>
    </w:p>
    <w:p w:rsidR="00C36A5B" w:rsidRDefault="00C36A5B" w:rsidP="00051C30">
      <w:pPr>
        <w:jc w:val="both"/>
      </w:pPr>
      <w:r>
        <w:tab/>
      </w:r>
      <w:r w:rsidRPr="00872A29">
        <w:t>Based on the above adjustments, O&amp;M expense sh</w:t>
      </w:r>
      <w:r w:rsidR="0065662C">
        <w:t>all</w:t>
      </w:r>
      <w:r w:rsidRPr="00872A29">
        <w:t xml:space="preserve"> be increased by $5,860 for water and by $18,135 for wastewater, resulting in total O&amp;M expense of $37,947 for water and $45,693 for wastewater. </w:t>
      </w:r>
      <w:r w:rsidR="0065662C">
        <w:t>Our</w:t>
      </w:r>
      <w:r w:rsidRPr="00872A29">
        <w:t xml:space="preserve"> adjustments to O&amp;M expense are shown on Schedule Nos. 3-A through 3-E.</w:t>
      </w:r>
    </w:p>
    <w:p w:rsidR="0065662C" w:rsidRPr="00872A29" w:rsidRDefault="0065662C" w:rsidP="0065662C">
      <w:pPr>
        <w:jc w:val="both"/>
      </w:pPr>
    </w:p>
    <w:p w:rsidR="00C36A5B" w:rsidRDefault="00EE33A0" w:rsidP="0065662C">
      <w:pPr>
        <w:jc w:val="both"/>
        <w:rPr>
          <w:i/>
        </w:rPr>
      </w:pPr>
      <w:r>
        <w:rPr>
          <w:i/>
        </w:rPr>
        <w:t xml:space="preserve">P. </w:t>
      </w:r>
      <w:r w:rsidR="00C36A5B" w:rsidRPr="00EE33A0">
        <w:rPr>
          <w:i/>
        </w:rPr>
        <w:t>Depreciation Expense (Net of Amortization of CIAC)</w:t>
      </w:r>
    </w:p>
    <w:p w:rsidR="002D35F1" w:rsidRPr="00EE33A0" w:rsidRDefault="002D35F1" w:rsidP="0065662C">
      <w:pPr>
        <w:jc w:val="both"/>
        <w:rPr>
          <w:i/>
        </w:rPr>
      </w:pPr>
    </w:p>
    <w:p w:rsidR="00C36A5B" w:rsidRDefault="00C36A5B" w:rsidP="0065662C">
      <w:pPr>
        <w:jc w:val="both"/>
      </w:pPr>
      <w:r>
        <w:tab/>
      </w:r>
      <w:r w:rsidRPr="00872A29">
        <w:t>The utility’s records reflect no test year water depreciation expense or CIAC amortization expense. Also, the utility’s records reflect no test year wastewater depreciation expense or CIAC amortization expense.</w:t>
      </w:r>
      <w:r w:rsidRPr="00872A29">
        <w:rPr>
          <w:vertAlign w:val="superscript"/>
        </w:rPr>
        <w:footnoteReference w:id="26"/>
      </w:r>
      <w:r w:rsidRPr="00872A29">
        <w:t xml:space="preserve"> </w:t>
      </w:r>
      <w:r w:rsidR="0065662C">
        <w:t>We</w:t>
      </w:r>
      <w:r w:rsidRPr="00872A29">
        <w:t xml:space="preserve"> calculated depreciation expense using the prescribed rates set forth in Rule 25-30.140, F.A.C., and increased water and wastewater depreciation expense by $3,385 and $5,100, to reflect the appropriate test year depreciation expense. In addition, the utility did not record amortization expense in their general ledger. </w:t>
      </w:r>
      <w:r w:rsidR="0065662C">
        <w:t>We</w:t>
      </w:r>
      <w:r w:rsidRPr="00872A29">
        <w:t xml:space="preserve"> calculated amortization expense using </w:t>
      </w:r>
      <w:r>
        <w:t>audited</w:t>
      </w:r>
      <w:r w:rsidRPr="00872A29">
        <w:t xml:space="preserve"> CIAC balances and the depreciatio</w:t>
      </w:r>
      <w:r>
        <w:t>n rates established by Rule 25-30.140</w:t>
      </w:r>
      <w:r w:rsidRPr="00872A29">
        <w:t xml:space="preserve">, F.A.C. </w:t>
      </w:r>
      <w:r w:rsidR="0065662C">
        <w:t>We</w:t>
      </w:r>
      <w:r w:rsidRPr="00872A29">
        <w:t xml:space="preserve"> also </w:t>
      </w:r>
      <w:r>
        <w:t xml:space="preserve">adjusted </w:t>
      </w:r>
      <w:r w:rsidRPr="00872A29">
        <w:t xml:space="preserve">amortization expense by $833 and $1,202 for water and wastewater, to reflect the appropriate test year </w:t>
      </w:r>
      <w:r>
        <w:t xml:space="preserve">amortization </w:t>
      </w:r>
      <w:r w:rsidRPr="00872A29">
        <w:t xml:space="preserve">expense. Further, </w:t>
      </w:r>
      <w:r w:rsidR="0065662C">
        <w:t>we</w:t>
      </w:r>
      <w:r w:rsidRPr="00872A29">
        <w:t xml:space="preserve"> made an adjustment to wastewater </w:t>
      </w:r>
      <w:r w:rsidRPr="00872A29">
        <w:lastRenderedPageBreak/>
        <w:t xml:space="preserve">depreciation expense to reflect a plant addition. </w:t>
      </w:r>
      <w:r w:rsidR="0065662C">
        <w:t>We</w:t>
      </w:r>
      <w:r w:rsidRPr="00872A29">
        <w:t xml:space="preserve"> increased the wastewater account by $13 to reflect the additional depreciation expense associated with a plant addition to plant Account No. 361 – Collection Sewers-Gravity equipment that occurred</w:t>
      </w:r>
      <w:r>
        <w:t xml:space="preserve"> after the end of the test year.</w:t>
      </w:r>
    </w:p>
    <w:p w:rsidR="0065662C" w:rsidRPr="00872A29" w:rsidRDefault="0065662C" w:rsidP="0065662C">
      <w:pPr>
        <w:jc w:val="both"/>
      </w:pPr>
    </w:p>
    <w:p w:rsidR="00C36A5B" w:rsidRPr="00872A29" w:rsidRDefault="00C36A5B" w:rsidP="00C36A5B">
      <w:pPr>
        <w:autoSpaceDE w:val="0"/>
        <w:autoSpaceDN w:val="0"/>
        <w:adjustRightInd w:val="0"/>
        <w:jc w:val="both"/>
      </w:pPr>
      <w:r>
        <w:tab/>
      </w:r>
      <w:r w:rsidR="0065662C">
        <w:t>We</w:t>
      </w:r>
      <w:r w:rsidRPr="00872A29">
        <w:t xml:space="preserve"> also decreased depreciation expense by $554 and $1,666 for water and wastewater, respectively, to reflect the decommissioning of the Hideaway water and wastewater plants and the removal of the associated plant from rate base as discussed </w:t>
      </w:r>
      <w:r w:rsidR="00EE33A0">
        <w:t>in the Rate Base section</w:t>
      </w:r>
      <w:r w:rsidRPr="00872A29">
        <w:t xml:space="preserve">. Additionally, </w:t>
      </w:r>
      <w:r w:rsidR="0065662C">
        <w:t>we</w:t>
      </w:r>
      <w:r w:rsidRPr="00872A29">
        <w:t xml:space="preserve"> removed depreciation expense for several utility plant accounts that appeared to be fully depreciated. </w:t>
      </w:r>
      <w:r w:rsidR="0065662C">
        <w:t>Our</w:t>
      </w:r>
      <w:r w:rsidRPr="00872A29">
        <w:t xml:space="preserve"> adjustments are summarized in Table 6 below. </w:t>
      </w:r>
    </w:p>
    <w:p w:rsidR="00C36A5B" w:rsidRDefault="00C36A5B" w:rsidP="00C36A5B">
      <w:pPr>
        <w:jc w:val="both"/>
      </w:pPr>
    </w:p>
    <w:p w:rsidR="00C36A5B" w:rsidRPr="00EE33A0" w:rsidRDefault="00C36A5B" w:rsidP="00C36A5B">
      <w:pPr>
        <w:jc w:val="center"/>
        <w:rPr>
          <w:b/>
        </w:rPr>
      </w:pPr>
      <w:r w:rsidRPr="00EE33A0">
        <w:rPr>
          <w:b/>
        </w:rPr>
        <w:t>Table 6</w:t>
      </w:r>
    </w:p>
    <w:p w:rsidR="00C36A5B" w:rsidRPr="00EE33A0" w:rsidRDefault="00C36A5B" w:rsidP="00C36A5B">
      <w:pPr>
        <w:jc w:val="center"/>
        <w:rPr>
          <w:b/>
        </w:rPr>
      </w:pPr>
      <w:r w:rsidRPr="00EE33A0">
        <w:rPr>
          <w:b/>
        </w:rPr>
        <w:t>Additional Depreciation Expense Adjustments</w:t>
      </w:r>
    </w:p>
    <w:tbl>
      <w:tblPr>
        <w:tblStyle w:val="TableGrid11"/>
        <w:tblW w:w="8345" w:type="dxa"/>
        <w:jc w:val="center"/>
        <w:tblInd w:w="-2102" w:type="dxa"/>
        <w:tblLayout w:type="fixed"/>
        <w:tblLook w:val="04A0" w:firstRow="1" w:lastRow="0" w:firstColumn="1" w:lastColumn="0" w:noHBand="0" w:noVBand="1"/>
      </w:tblPr>
      <w:tblGrid>
        <w:gridCol w:w="5721"/>
        <w:gridCol w:w="1170"/>
        <w:gridCol w:w="1454"/>
      </w:tblGrid>
      <w:tr w:rsidR="00C36A5B" w:rsidRPr="00872A29" w:rsidTr="00C36A5B">
        <w:trPr>
          <w:trHeight w:val="595"/>
          <w:jc w:val="center"/>
        </w:trPr>
        <w:tc>
          <w:tcPr>
            <w:tcW w:w="5721" w:type="dxa"/>
            <w:tcBorders>
              <w:top w:val="single" w:sz="4" w:space="0" w:color="auto"/>
              <w:left w:val="single" w:sz="4" w:space="0" w:color="auto"/>
              <w:bottom w:val="single" w:sz="4" w:space="0" w:color="auto"/>
              <w:right w:val="single" w:sz="4" w:space="0" w:color="auto"/>
            </w:tcBorders>
            <w:vAlign w:val="bottom"/>
            <w:hideMark/>
          </w:tcPr>
          <w:p w:rsidR="00C36A5B" w:rsidRPr="00872A29" w:rsidRDefault="00C36A5B" w:rsidP="00C36A5B">
            <w:pPr>
              <w:jc w:val="center"/>
              <w:rPr>
                <w:b/>
              </w:rPr>
            </w:pPr>
            <w:r w:rsidRPr="00872A29">
              <w:rPr>
                <w:b/>
                <w:bCs/>
              </w:rPr>
              <w:t>Description</w:t>
            </w:r>
          </w:p>
        </w:tc>
        <w:tc>
          <w:tcPr>
            <w:tcW w:w="1170" w:type="dxa"/>
            <w:tcBorders>
              <w:top w:val="single" w:sz="4" w:space="0" w:color="auto"/>
              <w:left w:val="single" w:sz="4" w:space="0" w:color="auto"/>
              <w:bottom w:val="single" w:sz="4" w:space="0" w:color="auto"/>
              <w:right w:val="single" w:sz="4" w:space="0" w:color="auto"/>
            </w:tcBorders>
            <w:vAlign w:val="bottom"/>
            <w:hideMark/>
          </w:tcPr>
          <w:p w:rsidR="00C36A5B" w:rsidRPr="00872A29" w:rsidRDefault="00C36A5B" w:rsidP="00C36A5B">
            <w:pPr>
              <w:jc w:val="center"/>
              <w:rPr>
                <w:b/>
              </w:rPr>
            </w:pPr>
            <w:r w:rsidRPr="00872A29">
              <w:rPr>
                <w:b/>
                <w:bCs/>
              </w:rPr>
              <w:t>Acct. No.</w:t>
            </w:r>
          </w:p>
        </w:tc>
        <w:tc>
          <w:tcPr>
            <w:tcW w:w="1454" w:type="dxa"/>
            <w:tcBorders>
              <w:top w:val="single" w:sz="4" w:space="0" w:color="auto"/>
              <w:left w:val="single" w:sz="4" w:space="0" w:color="auto"/>
              <w:bottom w:val="single" w:sz="4" w:space="0" w:color="auto"/>
              <w:right w:val="single" w:sz="4" w:space="0" w:color="auto"/>
            </w:tcBorders>
            <w:vAlign w:val="bottom"/>
          </w:tcPr>
          <w:p w:rsidR="00C36A5B" w:rsidRPr="00E35A4B" w:rsidRDefault="00E35A4B" w:rsidP="00C36A5B">
            <w:pPr>
              <w:jc w:val="center"/>
              <w:rPr>
                <w:b/>
                <w:bCs/>
                <w:sz w:val="22"/>
                <w:szCs w:val="22"/>
              </w:rPr>
            </w:pPr>
            <w:r w:rsidRPr="00E35A4B">
              <w:rPr>
                <w:b/>
                <w:bCs/>
                <w:sz w:val="22"/>
                <w:szCs w:val="22"/>
              </w:rPr>
              <w:t>Commission</w:t>
            </w:r>
            <w:r w:rsidR="00C36A5B" w:rsidRPr="00E35A4B">
              <w:rPr>
                <w:b/>
                <w:bCs/>
                <w:sz w:val="22"/>
                <w:szCs w:val="22"/>
              </w:rPr>
              <w:t xml:space="preserve"> Adjustment</w:t>
            </w:r>
          </w:p>
        </w:tc>
      </w:tr>
      <w:tr w:rsidR="00C36A5B" w:rsidRPr="00872A29" w:rsidTr="00C36A5B">
        <w:trPr>
          <w:trHeight w:val="375"/>
          <w:jc w:val="center"/>
        </w:trPr>
        <w:tc>
          <w:tcPr>
            <w:tcW w:w="5721" w:type="dxa"/>
            <w:tcBorders>
              <w:top w:val="single" w:sz="4" w:space="0" w:color="auto"/>
              <w:left w:val="single" w:sz="4" w:space="0" w:color="auto"/>
              <w:bottom w:val="single" w:sz="4" w:space="0" w:color="auto"/>
              <w:right w:val="single" w:sz="4" w:space="0" w:color="auto"/>
            </w:tcBorders>
            <w:vAlign w:val="center"/>
          </w:tcPr>
          <w:p w:rsidR="00C36A5B" w:rsidRPr="00872A29" w:rsidRDefault="00C36A5B" w:rsidP="00C36A5B">
            <w:pPr>
              <w:autoSpaceDE w:val="0"/>
              <w:autoSpaceDN w:val="0"/>
              <w:adjustRightInd w:val="0"/>
              <w:jc w:val="center"/>
              <w:rPr>
                <w:b/>
                <w:bCs/>
                <w:u w:val="single"/>
              </w:rPr>
            </w:pPr>
            <w:r w:rsidRPr="00872A29">
              <w:rPr>
                <w:b/>
                <w:bCs/>
                <w:u w:val="single"/>
              </w:rPr>
              <w:t>Water</w:t>
            </w:r>
          </w:p>
        </w:tc>
        <w:tc>
          <w:tcPr>
            <w:tcW w:w="1170" w:type="dxa"/>
            <w:tcBorders>
              <w:top w:val="single" w:sz="4" w:space="0" w:color="auto"/>
              <w:left w:val="single" w:sz="4" w:space="0" w:color="auto"/>
              <w:bottom w:val="single" w:sz="4" w:space="0" w:color="auto"/>
              <w:right w:val="single" w:sz="4" w:space="0" w:color="auto"/>
            </w:tcBorders>
            <w:vAlign w:val="center"/>
          </w:tcPr>
          <w:p w:rsidR="00C36A5B" w:rsidRPr="00872A29" w:rsidRDefault="00C36A5B" w:rsidP="00C36A5B">
            <w:pPr>
              <w:autoSpaceDE w:val="0"/>
              <w:autoSpaceDN w:val="0"/>
              <w:adjustRightInd w:val="0"/>
              <w:jc w:val="center"/>
              <w:rPr>
                <w:bCs/>
              </w:rPr>
            </w:pPr>
          </w:p>
        </w:tc>
        <w:tc>
          <w:tcPr>
            <w:tcW w:w="1454" w:type="dxa"/>
            <w:tcBorders>
              <w:top w:val="single" w:sz="4" w:space="0" w:color="auto"/>
              <w:left w:val="single" w:sz="4" w:space="0" w:color="auto"/>
              <w:bottom w:val="single" w:sz="4" w:space="0" w:color="auto"/>
              <w:right w:val="single" w:sz="4" w:space="0" w:color="auto"/>
            </w:tcBorders>
            <w:vAlign w:val="center"/>
          </w:tcPr>
          <w:p w:rsidR="00C36A5B" w:rsidRPr="00872A29" w:rsidRDefault="00C36A5B" w:rsidP="00C36A5B">
            <w:pPr>
              <w:autoSpaceDE w:val="0"/>
              <w:autoSpaceDN w:val="0"/>
              <w:adjustRightInd w:val="0"/>
              <w:jc w:val="right"/>
              <w:rPr>
                <w:bCs/>
              </w:rPr>
            </w:pPr>
          </w:p>
        </w:tc>
      </w:tr>
      <w:tr w:rsidR="00C36A5B" w:rsidRPr="00872A29" w:rsidTr="00C36A5B">
        <w:trPr>
          <w:trHeight w:val="375"/>
          <w:jc w:val="center"/>
        </w:trPr>
        <w:tc>
          <w:tcPr>
            <w:tcW w:w="5721" w:type="dxa"/>
            <w:tcBorders>
              <w:top w:val="single" w:sz="4" w:space="0" w:color="auto"/>
              <w:left w:val="single" w:sz="4" w:space="0" w:color="auto"/>
              <w:bottom w:val="single" w:sz="4" w:space="0" w:color="auto"/>
              <w:right w:val="single" w:sz="4" w:space="0" w:color="auto"/>
            </w:tcBorders>
            <w:vAlign w:val="center"/>
            <w:hideMark/>
          </w:tcPr>
          <w:p w:rsidR="00C36A5B" w:rsidRPr="00872A29" w:rsidRDefault="00C36A5B" w:rsidP="00001195">
            <w:pPr>
              <w:autoSpaceDE w:val="0"/>
              <w:autoSpaceDN w:val="0"/>
              <w:adjustRightInd w:val="0"/>
              <w:jc w:val="both"/>
              <w:rPr>
                <w:bCs/>
              </w:rPr>
            </w:pPr>
            <w:r w:rsidRPr="00872A29">
              <w:rPr>
                <w:bCs/>
              </w:rPr>
              <w:t>Wells and Springs (</w:t>
            </w:r>
            <w:r w:rsidR="00001195">
              <w:rPr>
                <w:bCs/>
              </w:rPr>
              <w:t>Section</w:t>
            </w:r>
            <w:r w:rsidRPr="00872A29">
              <w:rPr>
                <w:bCs/>
              </w:rPr>
              <w:t xml:space="preserve"> 3)</w:t>
            </w:r>
          </w:p>
        </w:tc>
        <w:tc>
          <w:tcPr>
            <w:tcW w:w="1170" w:type="dxa"/>
            <w:tcBorders>
              <w:top w:val="single" w:sz="4" w:space="0" w:color="auto"/>
              <w:left w:val="single" w:sz="4" w:space="0" w:color="auto"/>
              <w:bottom w:val="single" w:sz="4" w:space="0" w:color="auto"/>
              <w:right w:val="single" w:sz="4" w:space="0" w:color="auto"/>
            </w:tcBorders>
            <w:vAlign w:val="center"/>
            <w:hideMark/>
          </w:tcPr>
          <w:p w:rsidR="00C36A5B" w:rsidRPr="00872A29" w:rsidRDefault="00C36A5B" w:rsidP="00C36A5B">
            <w:pPr>
              <w:autoSpaceDE w:val="0"/>
              <w:autoSpaceDN w:val="0"/>
              <w:adjustRightInd w:val="0"/>
              <w:jc w:val="center"/>
              <w:rPr>
                <w:bCs/>
              </w:rPr>
            </w:pPr>
            <w:r w:rsidRPr="00872A29">
              <w:rPr>
                <w:bCs/>
              </w:rPr>
              <w:t>307</w:t>
            </w:r>
          </w:p>
        </w:tc>
        <w:tc>
          <w:tcPr>
            <w:tcW w:w="1454" w:type="dxa"/>
            <w:tcBorders>
              <w:top w:val="single" w:sz="4" w:space="0" w:color="auto"/>
              <w:left w:val="single" w:sz="4" w:space="0" w:color="auto"/>
              <w:bottom w:val="single" w:sz="4" w:space="0" w:color="auto"/>
              <w:right w:val="single" w:sz="4" w:space="0" w:color="auto"/>
            </w:tcBorders>
            <w:vAlign w:val="center"/>
          </w:tcPr>
          <w:p w:rsidR="00C36A5B" w:rsidRPr="00872A29" w:rsidRDefault="00C36A5B" w:rsidP="00C36A5B">
            <w:pPr>
              <w:autoSpaceDE w:val="0"/>
              <w:autoSpaceDN w:val="0"/>
              <w:adjustRightInd w:val="0"/>
              <w:jc w:val="right"/>
              <w:rPr>
                <w:bCs/>
              </w:rPr>
            </w:pPr>
            <w:r w:rsidRPr="00872A29">
              <w:rPr>
                <w:bCs/>
              </w:rPr>
              <w:t>($299)</w:t>
            </w:r>
          </w:p>
        </w:tc>
      </w:tr>
      <w:tr w:rsidR="00C36A5B" w:rsidRPr="00872A29" w:rsidTr="00C36A5B">
        <w:trPr>
          <w:trHeight w:val="529"/>
          <w:jc w:val="center"/>
        </w:trPr>
        <w:tc>
          <w:tcPr>
            <w:tcW w:w="5721" w:type="dxa"/>
            <w:tcBorders>
              <w:top w:val="single" w:sz="4" w:space="0" w:color="auto"/>
              <w:left w:val="single" w:sz="4" w:space="0" w:color="auto"/>
              <w:bottom w:val="single" w:sz="4" w:space="0" w:color="auto"/>
              <w:right w:val="single" w:sz="4" w:space="0" w:color="auto"/>
            </w:tcBorders>
            <w:vAlign w:val="center"/>
          </w:tcPr>
          <w:p w:rsidR="00C36A5B" w:rsidRPr="00872A29" w:rsidRDefault="00C36A5B" w:rsidP="00001195">
            <w:pPr>
              <w:autoSpaceDE w:val="0"/>
              <w:autoSpaceDN w:val="0"/>
              <w:adjustRightInd w:val="0"/>
              <w:jc w:val="both"/>
              <w:rPr>
                <w:bCs/>
              </w:rPr>
            </w:pPr>
            <w:r w:rsidRPr="00872A29">
              <w:rPr>
                <w:bCs/>
              </w:rPr>
              <w:t>Water Treatment Equipment (</w:t>
            </w:r>
            <w:r w:rsidR="00001195">
              <w:rPr>
                <w:bCs/>
              </w:rPr>
              <w:t>Section</w:t>
            </w:r>
            <w:r w:rsidRPr="00872A29">
              <w:rPr>
                <w:bCs/>
              </w:rPr>
              <w:t xml:space="preserve"> 3) </w:t>
            </w:r>
          </w:p>
        </w:tc>
        <w:tc>
          <w:tcPr>
            <w:tcW w:w="1170" w:type="dxa"/>
            <w:tcBorders>
              <w:top w:val="single" w:sz="4" w:space="0" w:color="auto"/>
              <w:left w:val="single" w:sz="4" w:space="0" w:color="auto"/>
              <w:bottom w:val="single" w:sz="4" w:space="0" w:color="auto"/>
              <w:right w:val="single" w:sz="4" w:space="0" w:color="auto"/>
            </w:tcBorders>
            <w:vAlign w:val="center"/>
          </w:tcPr>
          <w:p w:rsidR="00C36A5B" w:rsidRPr="00872A29" w:rsidRDefault="00C36A5B" w:rsidP="00C36A5B">
            <w:pPr>
              <w:autoSpaceDE w:val="0"/>
              <w:autoSpaceDN w:val="0"/>
              <w:adjustRightInd w:val="0"/>
              <w:jc w:val="center"/>
              <w:rPr>
                <w:bCs/>
              </w:rPr>
            </w:pPr>
            <w:r w:rsidRPr="00872A29">
              <w:rPr>
                <w:bCs/>
              </w:rPr>
              <w:t>320</w:t>
            </w:r>
          </w:p>
        </w:tc>
        <w:tc>
          <w:tcPr>
            <w:tcW w:w="1454" w:type="dxa"/>
            <w:tcBorders>
              <w:top w:val="single" w:sz="4" w:space="0" w:color="auto"/>
              <w:left w:val="single" w:sz="4" w:space="0" w:color="auto"/>
              <w:bottom w:val="single" w:sz="4" w:space="0" w:color="auto"/>
              <w:right w:val="single" w:sz="4" w:space="0" w:color="auto"/>
            </w:tcBorders>
            <w:vAlign w:val="center"/>
          </w:tcPr>
          <w:p w:rsidR="00C36A5B" w:rsidRPr="00872A29" w:rsidRDefault="00C36A5B" w:rsidP="00C36A5B">
            <w:pPr>
              <w:autoSpaceDE w:val="0"/>
              <w:autoSpaceDN w:val="0"/>
              <w:adjustRightInd w:val="0"/>
              <w:jc w:val="right"/>
              <w:rPr>
                <w:bCs/>
              </w:rPr>
            </w:pPr>
            <w:r w:rsidRPr="00872A29">
              <w:rPr>
                <w:bCs/>
              </w:rPr>
              <w:t>(18)</w:t>
            </w:r>
          </w:p>
        </w:tc>
      </w:tr>
      <w:tr w:rsidR="00C36A5B" w:rsidRPr="00872A29" w:rsidTr="00C36A5B">
        <w:trPr>
          <w:trHeight w:val="375"/>
          <w:jc w:val="center"/>
        </w:trPr>
        <w:tc>
          <w:tcPr>
            <w:tcW w:w="5721" w:type="dxa"/>
            <w:tcBorders>
              <w:top w:val="single" w:sz="4" w:space="0" w:color="auto"/>
              <w:left w:val="single" w:sz="4" w:space="0" w:color="auto"/>
              <w:bottom w:val="single" w:sz="4" w:space="0" w:color="auto"/>
              <w:right w:val="single" w:sz="4" w:space="0" w:color="auto"/>
            </w:tcBorders>
            <w:vAlign w:val="center"/>
          </w:tcPr>
          <w:p w:rsidR="00C36A5B" w:rsidRPr="00872A29" w:rsidRDefault="00C36A5B" w:rsidP="00C36A5B">
            <w:pPr>
              <w:autoSpaceDE w:val="0"/>
              <w:autoSpaceDN w:val="0"/>
              <w:adjustRightInd w:val="0"/>
              <w:jc w:val="both"/>
              <w:rPr>
                <w:bCs/>
              </w:rPr>
            </w:pPr>
            <w:r w:rsidRPr="00872A29">
              <w:rPr>
                <w:bCs/>
              </w:rPr>
              <w:t>Transmission &amp; Distribution Lines</w:t>
            </w:r>
          </w:p>
        </w:tc>
        <w:tc>
          <w:tcPr>
            <w:tcW w:w="1170" w:type="dxa"/>
            <w:tcBorders>
              <w:top w:val="single" w:sz="4" w:space="0" w:color="auto"/>
              <w:left w:val="single" w:sz="4" w:space="0" w:color="auto"/>
              <w:bottom w:val="single" w:sz="4" w:space="0" w:color="auto"/>
              <w:right w:val="single" w:sz="4" w:space="0" w:color="auto"/>
            </w:tcBorders>
            <w:vAlign w:val="center"/>
          </w:tcPr>
          <w:p w:rsidR="00C36A5B" w:rsidRPr="00872A29" w:rsidRDefault="00C36A5B" w:rsidP="00C36A5B">
            <w:pPr>
              <w:autoSpaceDE w:val="0"/>
              <w:autoSpaceDN w:val="0"/>
              <w:adjustRightInd w:val="0"/>
              <w:jc w:val="center"/>
              <w:rPr>
                <w:bCs/>
              </w:rPr>
            </w:pPr>
            <w:r w:rsidRPr="00872A29">
              <w:rPr>
                <w:bCs/>
              </w:rPr>
              <w:t>331</w:t>
            </w:r>
          </w:p>
        </w:tc>
        <w:tc>
          <w:tcPr>
            <w:tcW w:w="1454" w:type="dxa"/>
            <w:tcBorders>
              <w:top w:val="single" w:sz="4" w:space="0" w:color="auto"/>
              <w:left w:val="single" w:sz="4" w:space="0" w:color="auto"/>
              <w:bottom w:val="single" w:sz="4" w:space="0" w:color="auto"/>
              <w:right w:val="single" w:sz="4" w:space="0" w:color="auto"/>
            </w:tcBorders>
            <w:vAlign w:val="center"/>
          </w:tcPr>
          <w:p w:rsidR="00C36A5B" w:rsidRPr="00872A29" w:rsidRDefault="00C36A5B" w:rsidP="00C36A5B">
            <w:pPr>
              <w:autoSpaceDE w:val="0"/>
              <w:autoSpaceDN w:val="0"/>
              <w:adjustRightInd w:val="0"/>
              <w:jc w:val="right"/>
              <w:rPr>
                <w:bCs/>
                <w:u w:val="single"/>
              </w:rPr>
            </w:pPr>
            <w:r w:rsidRPr="00872A29">
              <w:rPr>
                <w:bCs/>
                <w:u w:val="single"/>
              </w:rPr>
              <w:t>(237)</w:t>
            </w:r>
          </w:p>
        </w:tc>
      </w:tr>
      <w:tr w:rsidR="00C36A5B" w:rsidRPr="00872A29" w:rsidTr="00C36A5B">
        <w:trPr>
          <w:trHeight w:val="375"/>
          <w:jc w:val="center"/>
        </w:trPr>
        <w:tc>
          <w:tcPr>
            <w:tcW w:w="5721" w:type="dxa"/>
            <w:tcBorders>
              <w:top w:val="single" w:sz="4" w:space="0" w:color="auto"/>
              <w:left w:val="single" w:sz="4" w:space="0" w:color="auto"/>
              <w:bottom w:val="single" w:sz="4" w:space="0" w:color="auto"/>
              <w:right w:val="single" w:sz="4" w:space="0" w:color="auto"/>
            </w:tcBorders>
            <w:vAlign w:val="center"/>
          </w:tcPr>
          <w:p w:rsidR="00C36A5B" w:rsidRPr="00872A29" w:rsidRDefault="00C36A5B" w:rsidP="00C36A5B">
            <w:pPr>
              <w:autoSpaceDE w:val="0"/>
              <w:autoSpaceDN w:val="0"/>
              <w:adjustRightInd w:val="0"/>
              <w:jc w:val="both"/>
              <w:rPr>
                <w:bCs/>
              </w:rPr>
            </w:pPr>
            <w:r w:rsidRPr="00872A29">
              <w:rPr>
                <w:bCs/>
              </w:rPr>
              <w:t xml:space="preserve">    Net Water Adjustment</w:t>
            </w:r>
          </w:p>
        </w:tc>
        <w:tc>
          <w:tcPr>
            <w:tcW w:w="1170" w:type="dxa"/>
            <w:tcBorders>
              <w:top w:val="single" w:sz="4" w:space="0" w:color="auto"/>
              <w:left w:val="single" w:sz="4" w:space="0" w:color="auto"/>
              <w:bottom w:val="single" w:sz="4" w:space="0" w:color="auto"/>
              <w:right w:val="single" w:sz="4" w:space="0" w:color="auto"/>
            </w:tcBorders>
            <w:vAlign w:val="center"/>
          </w:tcPr>
          <w:p w:rsidR="00C36A5B" w:rsidRPr="00872A29" w:rsidRDefault="00C36A5B" w:rsidP="00C36A5B">
            <w:pPr>
              <w:autoSpaceDE w:val="0"/>
              <w:autoSpaceDN w:val="0"/>
              <w:adjustRightInd w:val="0"/>
              <w:jc w:val="center"/>
              <w:rPr>
                <w:bCs/>
              </w:rPr>
            </w:pPr>
          </w:p>
        </w:tc>
        <w:tc>
          <w:tcPr>
            <w:tcW w:w="1454" w:type="dxa"/>
            <w:tcBorders>
              <w:top w:val="single" w:sz="4" w:space="0" w:color="auto"/>
              <w:left w:val="single" w:sz="4" w:space="0" w:color="auto"/>
              <w:bottom w:val="single" w:sz="4" w:space="0" w:color="auto"/>
              <w:right w:val="single" w:sz="4" w:space="0" w:color="auto"/>
            </w:tcBorders>
            <w:vAlign w:val="center"/>
          </w:tcPr>
          <w:p w:rsidR="00C36A5B" w:rsidRPr="00872A29" w:rsidRDefault="00C36A5B" w:rsidP="00C36A5B">
            <w:pPr>
              <w:autoSpaceDE w:val="0"/>
              <w:autoSpaceDN w:val="0"/>
              <w:adjustRightInd w:val="0"/>
              <w:jc w:val="right"/>
              <w:rPr>
                <w:bCs/>
                <w:u w:val="double"/>
              </w:rPr>
            </w:pPr>
            <w:r w:rsidRPr="00872A29">
              <w:rPr>
                <w:bCs/>
                <w:u w:val="double"/>
              </w:rPr>
              <w:t>($554)</w:t>
            </w:r>
          </w:p>
        </w:tc>
      </w:tr>
      <w:tr w:rsidR="00C36A5B" w:rsidRPr="00872A29" w:rsidTr="00C36A5B">
        <w:trPr>
          <w:trHeight w:val="375"/>
          <w:jc w:val="center"/>
        </w:trPr>
        <w:tc>
          <w:tcPr>
            <w:tcW w:w="5721" w:type="dxa"/>
            <w:tcBorders>
              <w:top w:val="single" w:sz="4" w:space="0" w:color="auto"/>
              <w:left w:val="single" w:sz="4" w:space="0" w:color="auto"/>
              <w:bottom w:val="single" w:sz="4" w:space="0" w:color="auto"/>
              <w:right w:val="single" w:sz="4" w:space="0" w:color="auto"/>
            </w:tcBorders>
            <w:vAlign w:val="center"/>
          </w:tcPr>
          <w:p w:rsidR="00C36A5B" w:rsidRPr="00872A29" w:rsidRDefault="00C36A5B" w:rsidP="00C36A5B">
            <w:pPr>
              <w:autoSpaceDE w:val="0"/>
              <w:autoSpaceDN w:val="0"/>
              <w:adjustRightInd w:val="0"/>
              <w:jc w:val="center"/>
              <w:rPr>
                <w:b/>
                <w:bCs/>
                <w:u w:val="single"/>
              </w:rPr>
            </w:pPr>
            <w:r w:rsidRPr="00872A29">
              <w:rPr>
                <w:b/>
                <w:bCs/>
                <w:u w:val="single"/>
              </w:rPr>
              <w:t>Wastewater</w:t>
            </w:r>
          </w:p>
        </w:tc>
        <w:tc>
          <w:tcPr>
            <w:tcW w:w="1170" w:type="dxa"/>
            <w:tcBorders>
              <w:top w:val="single" w:sz="4" w:space="0" w:color="auto"/>
              <w:left w:val="single" w:sz="4" w:space="0" w:color="auto"/>
              <w:bottom w:val="single" w:sz="4" w:space="0" w:color="auto"/>
              <w:right w:val="single" w:sz="4" w:space="0" w:color="auto"/>
            </w:tcBorders>
            <w:vAlign w:val="center"/>
          </w:tcPr>
          <w:p w:rsidR="00C36A5B" w:rsidRPr="00872A29" w:rsidRDefault="00C36A5B" w:rsidP="00C36A5B">
            <w:pPr>
              <w:autoSpaceDE w:val="0"/>
              <w:autoSpaceDN w:val="0"/>
              <w:adjustRightInd w:val="0"/>
              <w:jc w:val="center"/>
              <w:rPr>
                <w:bCs/>
              </w:rPr>
            </w:pPr>
          </w:p>
        </w:tc>
        <w:tc>
          <w:tcPr>
            <w:tcW w:w="1454" w:type="dxa"/>
            <w:tcBorders>
              <w:top w:val="single" w:sz="4" w:space="0" w:color="auto"/>
              <w:left w:val="single" w:sz="4" w:space="0" w:color="auto"/>
              <w:bottom w:val="single" w:sz="4" w:space="0" w:color="auto"/>
              <w:right w:val="single" w:sz="4" w:space="0" w:color="auto"/>
            </w:tcBorders>
            <w:vAlign w:val="center"/>
          </w:tcPr>
          <w:p w:rsidR="00C36A5B" w:rsidRPr="00872A29" w:rsidRDefault="00C36A5B" w:rsidP="00C36A5B">
            <w:pPr>
              <w:autoSpaceDE w:val="0"/>
              <w:autoSpaceDN w:val="0"/>
              <w:adjustRightInd w:val="0"/>
              <w:jc w:val="right"/>
              <w:rPr>
                <w:bCs/>
                <w:u w:val="single"/>
              </w:rPr>
            </w:pPr>
          </w:p>
        </w:tc>
      </w:tr>
      <w:tr w:rsidR="00C36A5B" w:rsidRPr="00872A29" w:rsidTr="00C36A5B">
        <w:trPr>
          <w:trHeight w:val="375"/>
          <w:jc w:val="center"/>
        </w:trPr>
        <w:tc>
          <w:tcPr>
            <w:tcW w:w="5721" w:type="dxa"/>
            <w:tcBorders>
              <w:top w:val="single" w:sz="4" w:space="0" w:color="auto"/>
              <w:left w:val="single" w:sz="4" w:space="0" w:color="auto"/>
              <w:bottom w:val="single" w:sz="4" w:space="0" w:color="auto"/>
              <w:right w:val="single" w:sz="4" w:space="0" w:color="auto"/>
            </w:tcBorders>
            <w:vAlign w:val="center"/>
          </w:tcPr>
          <w:p w:rsidR="00C36A5B" w:rsidRPr="00872A29" w:rsidRDefault="00C36A5B" w:rsidP="00C36A5B">
            <w:pPr>
              <w:autoSpaceDE w:val="0"/>
              <w:autoSpaceDN w:val="0"/>
              <w:adjustRightInd w:val="0"/>
              <w:jc w:val="both"/>
              <w:rPr>
                <w:bCs/>
              </w:rPr>
            </w:pPr>
            <w:r w:rsidRPr="00872A29">
              <w:rPr>
                <w:bCs/>
              </w:rPr>
              <w:t xml:space="preserve">Collection Sewers Gravity </w:t>
            </w:r>
          </w:p>
        </w:tc>
        <w:tc>
          <w:tcPr>
            <w:tcW w:w="1170" w:type="dxa"/>
            <w:tcBorders>
              <w:top w:val="single" w:sz="4" w:space="0" w:color="auto"/>
              <w:left w:val="single" w:sz="4" w:space="0" w:color="auto"/>
              <w:bottom w:val="single" w:sz="4" w:space="0" w:color="auto"/>
              <w:right w:val="single" w:sz="4" w:space="0" w:color="auto"/>
            </w:tcBorders>
            <w:vAlign w:val="center"/>
          </w:tcPr>
          <w:p w:rsidR="00C36A5B" w:rsidRPr="00872A29" w:rsidRDefault="00C36A5B" w:rsidP="00C36A5B">
            <w:pPr>
              <w:autoSpaceDE w:val="0"/>
              <w:autoSpaceDN w:val="0"/>
              <w:adjustRightInd w:val="0"/>
              <w:jc w:val="center"/>
              <w:rPr>
                <w:bCs/>
              </w:rPr>
            </w:pPr>
            <w:r w:rsidRPr="00872A29">
              <w:rPr>
                <w:bCs/>
              </w:rPr>
              <w:t>361</w:t>
            </w:r>
          </w:p>
        </w:tc>
        <w:tc>
          <w:tcPr>
            <w:tcW w:w="1454" w:type="dxa"/>
            <w:tcBorders>
              <w:top w:val="single" w:sz="4" w:space="0" w:color="auto"/>
              <w:left w:val="single" w:sz="4" w:space="0" w:color="auto"/>
              <w:bottom w:val="single" w:sz="4" w:space="0" w:color="auto"/>
              <w:right w:val="single" w:sz="4" w:space="0" w:color="auto"/>
            </w:tcBorders>
            <w:vAlign w:val="center"/>
          </w:tcPr>
          <w:p w:rsidR="00C36A5B" w:rsidRPr="00872A29" w:rsidRDefault="00C36A5B" w:rsidP="00C36A5B">
            <w:pPr>
              <w:autoSpaceDE w:val="0"/>
              <w:autoSpaceDN w:val="0"/>
              <w:adjustRightInd w:val="0"/>
              <w:jc w:val="right"/>
              <w:rPr>
                <w:bCs/>
                <w:u w:val="single"/>
              </w:rPr>
            </w:pPr>
            <w:r w:rsidRPr="00872A29">
              <w:rPr>
                <w:bCs/>
                <w:u w:val="single"/>
              </w:rPr>
              <w:t>($1,666)</w:t>
            </w:r>
          </w:p>
        </w:tc>
      </w:tr>
      <w:tr w:rsidR="00C36A5B" w:rsidRPr="00872A29" w:rsidTr="00C36A5B">
        <w:trPr>
          <w:trHeight w:val="375"/>
          <w:jc w:val="center"/>
        </w:trPr>
        <w:tc>
          <w:tcPr>
            <w:tcW w:w="5721" w:type="dxa"/>
            <w:tcBorders>
              <w:top w:val="single" w:sz="4" w:space="0" w:color="auto"/>
              <w:left w:val="single" w:sz="4" w:space="0" w:color="auto"/>
              <w:bottom w:val="single" w:sz="4" w:space="0" w:color="auto"/>
              <w:right w:val="single" w:sz="4" w:space="0" w:color="auto"/>
            </w:tcBorders>
            <w:vAlign w:val="center"/>
          </w:tcPr>
          <w:p w:rsidR="00C36A5B" w:rsidRPr="00872A29" w:rsidRDefault="00C36A5B" w:rsidP="00C36A5B">
            <w:pPr>
              <w:autoSpaceDE w:val="0"/>
              <w:autoSpaceDN w:val="0"/>
              <w:adjustRightInd w:val="0"/>
              <w:jc w:val="both"/>
              <w:rPr>
                <w:bCs/>
              </w:rPr>
            </w:pPr>
            <w:r w:rsidRPr="00872A29">
              <w:rPr>
                <w:bCs/>
              </w:rPr>
              <w:t xml:space="preserve">    Net Wastewater Adjustment</w:t>
            </w:r>
          </w:p>
        </w:tc>
        <w:tc>
          <w:tcPr>
            <w:tcW w:w="1170" w:type="dxa"/>
            <w:tcBorders>
              <w:top w:val="single" w:sz="4" w:space="0" w:color="auto"/>
              <w:left w:val="single" w:sz="4" w:space="0" w:color="auto"/>
              <w:bottom w:val="single" w:sz="4" w:space="0" w:color="auto"/>
              <w:right w:val="single" w:sz="4" w:space="0" w:color="auto"/>
            </w:tcBorders>
          </w:tcPr>
          <w:p w:rsidR="00C36A5B" w:rsidRPr="00872A29" w:rsidRDefault="00C36A5B" w:rsidP="00C36A5B">
            <w:pPr>
              <w:autoSpaceDE w:val="0"/>
              <w:autoSpaceDN w:val="0"/>
              <w:adjustRightInd w:val="0"/>
              <w:jc w:val="center"/>
              <w:rPr>
                <w:bCs/>
              </w:rPr>
            </w:pPr>
          </w:p>
        </w:tc>
        <w:tc>
          <w:tcPr>
            <w:tcW w:w="1454" w:type="dxa"/>
            <w:tcBorders>
              <w:top w:val="single" w:sz="4" w:space="0" w:color="auto"/>
              <w:left w:val="single" w:sz="4" w:space="0" w:color="auto"/>
              <w:bottom w:val="single" w:sz="4" w:space="0" w:color="auto"/>
              <w:right w:val="single" w:sz="4" w:space="0" w:color="auto"/>
            </w:tcBorders>
            <w:vAlign w:val="center"/>
          </w:tcPr>
          <w:p w:rsidR="00C36A5B" w:rsidRPr="00872A29" w:rsidRDefault="00C36A5B" w:rsidP="00C36A5B">
            <w:pPr>
              <w:autoSpaceDE w:val="0"/>
              <w:autoSpaceDN w:val="0"/>
              <w:adjustRightInd w:val="0"/>
              <w:jc w:val="right"/>
              <w:rPr>
                <w:bCs/>
                <w:u w:val="double"/>
              </w:rPr>
            </w:pPr>
            <w:r w:rsidRPr="00872A29">
              <w:rPr>
                <w:bCs/>
                <w:u w:val="double"/>
              </w:rPr>
              <w:t>($1,666)</w:t>
            </w:r>
          </w:p>
        </w:tc>
      </w:tr>
    </w:tbl>
    <w:p w:rsidR="00C36A5B" w:rsidRDefault="00C36A5B" w:rsidP="00C36A5B">
      <w:pPr>
        <w:jc w:val="both"/>
        <w:rPr>
          <w:sz w:val="20"/>
          <w:szCs w:val="20"/>
        </w:rPr>
      </w:pPr>
      <w:r>
        <w:t xml:space="preserve">        </w:t>
      </w:r>
      <w:r w:rsidRPr="00872A29">
        <w:rPr>
          <w:sz w:val="20"/>
          <w:szCs w:val="20"/>
        </w:rPr>
        <w:t>Source: Document No. 08747-2017, FIMC Hideaway Audit Report.</w:t>
      </w:r>
    </w:p>
    <w:p w:rsidR="00C36A5B" w:rsidRDefault="00C36A5B" w:rsidP="00C36A5B">
      <w:pPr>
        <w:jc w:val="both"/>
      </w:pPr>
    </w:p>
    <w:p w:rsidR="00C36A5B" w:rsidRDefault="00C36A5B" w:rsidP="00C36A5B">
      <w:pPr>
        <w:jc w:val="both"/>
      </w:pPr>
      <w:r>
        <w:tab/>
      </w:r>
      <w:r w:rsidRPr="00872A29">
        <w:t xml:space="preserve">Based on the above, </w:t>
      </w:r>
      <w:r w:rsidR="00217EB4">
        <w:t>our</w:t>
      </w:r>
      <w:r w:rsidRPr="00872A29">
        <w:t xml:space="preserve"> net adjustment to depreciation expense are $2,831 ($3,385 - $554) and $3,447 ($5,100 + $13 - $1,666) for water and wastewater, respectively. </w:t>
      </w:r>
    </w:p>
    <w:p w:rsidR="00217EB4" w:rsidRDefault="00217EB4" w:rsidP="00C36A5B">
      <w:pPr>
        <w:jc w:val="both"/>
      </w:pPr>
    </w:p>
    <w:p w:rsidR="00C36A5B" w:rsidRDefault="00C36A5B" w:rsidP="00217EB4">
      <w:pPr>
        <w:jc w:val="both"/>
      </w:pPr>
      <w:r>
        <w:tab/>
      </w:r>
      <w:r w:rsidRPr="00872A29">
        <w:t xml:space="preserve">Given </w:t>
      </w:r>
      <w:r w:rsidR="00217EB4">
        <w:t>our</w:t>
      </w:r>
      <w:r w:rsidRPr="00872A29">
        <w:t xml:space="preserve"> adjustments, the net depreciation expense for water is $1,998 ($2,831 - $833 = $1,998), and the net depreciation expense for wastewater is $2,245 ($3,447 - $1,202 = $2,245). Therefore, </w:t>
      </w:r>
      <w:r w:rsidR="00217EB4">
        <w:t>we hereby approve a</w:t>
      </w:r>
      <w:r w:rsidRPr="00872A29">
        <w:t xml:space="preserve"> net depreciation expense of $1,998 for water and $2,245 for wastewater.</w:t>
      </w:r>
    </w:p>
    <w:p w:rsidR="00217EB4" w:rsidRPr="00872A29" w:rsidRDefault="00217EB4" w:rsidP="00217EB4">
      <w:pPr>
        <w:jc w:val="both"/>
      </w:pPr>
    </w:p>
    <w:p w:rsidR="00C36A5B" w:rsidRDefault="00EE33A0" w:rsidP="00217EB4">
      <w:pPr>
        <w:jc w:val="both"/>
        <w:rPr>
          <w:i/>
        </w:rPr>
      </w:pPr>
      <w:r>
        <w:rPr>
          <w:i/>
        </w:rPr>
        <w:t xml:space="preserve">Q. </w:t>
      </w:r>
      <w:r w:rsidR="00C36A5B" w:rsidRPr="00EE33A0">
        <w:rPr>
          <w:i/>
        </w:rPr>
        <w:t>Taxes Other Than Income (TOTI)</w:t>
      </w:r>
    </w:p>
    <w:p w:rsidR="002D35F1" w:rsidRPr="00EE33A0" w:rsidRDefault="002D35F1" w:rsidP="00217EB4">
      <w:pPr>
        <w:jc w:val="both"/>
        <w:rPr>
          <w:i/>
        </w:rPr>
      </w:pPr>
    </w:p>
    <w:p w:rsidR="00C36A5B" w:rsidRDefault="00C36A5B" w:rsidP="00217EB4">
      <w:pPr>
        <w:jc w:val="both"/>
      </w:pPr>
      <w:r>
        <w:tab/>
      </w:r>
      <w:r w:rsidRPr="00872A29">
        <w:t xml:space="preserve">FIMC recorded TOTI of $3,493 for water and $2,734 for wastewater for the test year. </w:t>
      </w:r>
      <w:r w:rsidR="00217EB4">
        <w:t>We</w:t>
      </w:r>
      <w:r w:rsidRPr="00872A29">
        <w:t xml:space="preserve"> increased these accounts by $42 for water and $328 for wastewater to reflect the appropriate test year </w:t>
      </w:r>
      <w:r>
        <w:t>regulatory assessment fees (</w:t>
      </w:r>
      <w:r w:rsidRPr="00872A29">
        <w:t>RAFs</w:t>
      </w:r>
      <w:r>
        <w:t>)</w:t>
      </w:r>
      <w:r w:rsidRPr="00872A29">
        <w:t xml:space="preserve">. </w:t>
      </w:r>
      <w:r w:rsidR="00217EB4">
        <w:t>We</w:t>
      </w:r>
      <w:r w:rsidRPr="00872A29">
        <w:t xml:space="preserve"> also increased TOTI by </w:t>
      </w:r>
      <w:r w:rsidR="002D35F1" w:rsidRPr="002D35F1">
        <w:t>$997</w:t>
      </w:r>
      <w:r w:rsidRPr="00872A29">
        <w:t xml:space="preserve"> for water and </w:t>
      </w:r>
      <w:r w:rsidR="002D35F1" w:rsidRPr="002D35F1">
        <w:t>$1,068</w:t>
      </w:r>
      <w:r w:rsidRPr="00872A29">
        <w:t xml:space="preserve"> for wastewater to reflect the pro forma payroll taxes discussed earlier in this </w:t>
      </w:r>
      <w:r w:rsidR="00217EB4">
        <w:t>section</w:t>
      </w:r>
      <w:r w:rsidRPr="00872A29">
        <w:t xml:space="preserve">. </w:t>
      </w:r>
    </w:p>
    <w:p w:rsidR="00217EB4" w:rsidRPr="00872A29" w:rsidRDefault="00217EB4" w:rsidP="00217EB4">
      <w:pPr>
        <w:jc w:val="both"/>
      </w:pPr>
    </w:p>
    <w:p w:rsidR="00C36A5B" w:rsidRPr="00872A29" w:rsidRDefault="00C36A5B" w:rsidP="00C36A5B">
      <w:pPr>
        <w:spacing w:after="120"/>
        <w:jc w:val="both"/>
      </w:pPr>
      <w:r>
        <w:tab/>
      </w:r>
      <w:r w:rsidRPr="00872A29">
        <w:t xml:space="preserve">As discussed in </w:t>
      </w:r>
      <w:r w:rsidR="00217EB4">
        <w:t>the Rate Base section</w:t>
      </w:r>
      <w:r w:rsidRPr="00872A29">
        <w:t xml:space="preserve">, the Hideaway and Springside water systems and wastewater systems were interconnected in 2013, and the Hideaway water and wastewater </w:t>
      </w:r>
      <w:r w:rsidRPr="00872A29">
        <w:lastRenderedPageBreak/>
        <w:t xml:space="preserve">systems were decommissioned. </w:t>
      </w:r>
      <w:r w:rsidR="00217EB4">
        <w:t>We find</w:t>
      </w:r>
      <w:r w:rsidRPr="00872A29">
        <w:t xml:space="preserve"> that corresponding adjustments are necessary to remove the property tax associated with the land related to the decommissioned plant. In addition, it appears the utility continues to pay the real estate taxes for the clubhouse parcel, which had nothing to do with either water or wastewater operations and is no longer in use. As such, the property taxes associated with the clubhouse sh</w:t>
      </w:r>
      <w:r w:rsidR="00217EB4">
        <w:t>all</w:t>
      </w:r>
      <w:r w:rsidRPr="00872A29">
        <w:t xml:space="preserve"> also be removed. An adjustment sh</w:t>
      </w:r>
      <w:r w:rsidR="00217EB4">
        <w:t>all</w:t>
      </w:r>
      <w:r w:rsidRPr="00872A29">
        <w:t xml:space="preserve"> also be made to reflect the property tax associated with the pro forma plant item also addressed in </w:t>
      </w:r>
      <w:r w:rsidR="00217EB4">
        <w:t>the Rate Base section</w:t>
      </w:r>
      <w:r w:rsidRPr="00872A29">
        <w:t xml:space="preserve">. Furthermore, </w:t>
      </w:r>
      <w:r w:rsidR="00217EB4">
        <w:t>we find</w:t>
      </w:r>
      <w:r w:rsidRPr="00872A29">
        <w:t xml:space="preserve"> that current property tax information is more reflective of the utility’s property taxes going forward. Accordingly, </w:t>
      </w:r>
      <w:r w:rsidR="00217EB4">
        <w:t>we</w:t>
      </w:r>
      <w:r w:rsidRPr="00872A29">
        <w:t xml:space="preserve"> used 2017 tax information to reflect the appropriate property taxes. </w:t>
      </w:r>
      <w:r w:rsidR="00217EB4">
        <w:t>Our</w:t>
      </w:r>
      <w:r w:rsidRPr="00872A29">
        <w:t xml:space="preserve"> adjustments to property taxes are reflected in Table </w:t>
      </w:r>
      <w:r w:rsidR="00EE33A0">
        <w:t>7</w:t>
      </w:r>
      <w:r w:rsidRPr="00872A29">
        <w:t>, below.</w:t>
      </w:r>
    </w:p>
    <w:p w:rsidR="00C36A5B" w:rsidRDefault="00C36A5B" w:rsidP="00C36A5B">
      <w:pPr>
        <w:jc w:val="both"/>
      </w:pPr>
    </w:p>
    <w:p w:rsidR="00C36A5B" w:rsidRPr="00EE33A0" w:rsidRDefault="00C36A5B" w:rsidP="00C36A5B">
      <w:pPr>
        <w:autoSpaceDE w:val="0"/>
        <w:autoSpaceDN w:val="0"/>
        <w:adjustRightInd w:val="0"/>
        <w:jc w:val="center"/>
        <w:rPr>
          <w:b/>
          <w:bCs/>
        </w:rPr>
      </w:pPr>
      <w:r w:rsidRPr="00EE33A0">
        <w:rPr>
          <w:b/>
          <w:bCs/>
        </w:rPr>
        <w:t xml:space="preserve">Table </w:t>
      </w:r>
      <w:r w:rsidR="00EE33A0" w:rsidRPr="00EE33A0">
        <w:rPr>
          <w:b/>
          <w:bCs/>
        </w:rPr>
        <w:t>7</w:t>
      </w:r>
    </w:p>
    <w:p w:rsidR="00C36A5B" w:rsidRPr="00EE33A0" w:rsidRDefault="00217EB4" w:rsidP="00C36A5B">
      <w:pPr>
        <w:autoSpaceDE w:val="0"/>
        <w:autoSpaceDN w:val="0"/>
        <w:adjustRightInd w:val="0"/>
        <w:jc w:val="center"/>
        <w:rPr>
          <w:b/>
        </w:rPr>
      </w:pPr>
      <w:r>
        <w:rPr>
          <w:b/>
          <w:bCs/>
        </w:rPr>
        <w:t>Commission</w:t>
      </w:r>
      <w:r w:rsidR="00C36A5B" w:rsidRPr="00EE33A0">
        <w:rPr>
          <w:b/>
          <w:bCs/>
        </w:rPr>
        <w:t xml:space="preserve"> Adjustments to Property Taxes</w:t>
      </w:r>
    </w:p>
    <w:tbl>
      <w:tblPr>
        <w:tblW w:w="8122" w:type="dxa"/>
        <w:jc w:val="center"/>
        <w:tblInd w:w="-64" w:type="dxa"/>
        <w:tblLook w:val="04A0" w:firstRow="1" w:lastRow="0" w:firstColumn="1" w:lastColumn="0" w:noHBand="0" w:noVBand="1"/>
      </w:tblPr>
      <w:tblGrid>
        <w:gridCol w:w="4577"/>
        <w:gridCol w:w="1220"/>
        <w:gridCol w:w="1483"/>
        <w:gridCol w:w="1563"/>
      </w:tblGrid>
      <w:tr w:rsidR="00C36A5B" w:rsidRPr="00872A29" w:rsidTr="00C36A5B">
        <w:trPr>
          <w:trHeight w:val="288"/>
          <w:jc w:val="center"/>
        </w:trPr>
        <w:tc>
          <w:tcPr>
            <w:tcW w:w="4577" w:type="dxa"/>
            <w:tcBorders>
              <w:top w:val="single" w:sz="4" w:space="0" w:color="auto"/>
              <w:left w:val="single" w:sz="4" w:space="0" w:color="auto"/>
              <w:bottom w:val="nil"/>
              <w:right w:val="single" w:sz="4" w:space="0" w:color="auto"/>
            </w:tcBorders>
            <w:shd w:val="clear" w:color="auto" w:fill="auto"/>
            <w:noWrap/>
            <w:vAlign w:val="bottom"/>
            <w:hideMark/>
          </w:tcPr>
          <w:p w:rsidR="00C36A5B" w:rsidRPr="00872A29" w:rsidRDefault="00C36A5B" w:rsidP="00C36A5B">
            <w:pPr>
              <w:rPr>
                <w:b/>
                <w:color w:val="000000"/>
              </w:rPr>
            </w:pPr>
            <w:r w:rsidRPr="00872A29">
              <w:rPr>
                <w:b/>
                <w:color w:val="000000"/>
              </w:rPr>
              <w:t> </w:t>
            </w:r>
          </w:p>
        </w:tc>
        <w:tc>
          <w:tcPr>
            <w:tcW w:w="1220" w:type="dxa"/>
            <w:tcBorders>
              <w:top w:val="single" w:sz="4" w:space="0" w:color="auto"/>
              <w:left w:val="nil"/>
              <w:bottom w:val="nil"/>
              <w:right w:val="single" w:sz="4" w:space="0" w:color="auto"/>
            </w:tcBorders>
            <w:shd w:val="clear" w:color="auto" w:fill="auto"/>
            <w:noWrap/>
            <w:vAlign w:val="bottom"/>
            <w:hideMark/>
          </w:tcPr>
          <w:p w:rsidR="00C36A5B" w:rsidRPr="00872A29" w:rsidRDefault="00C36A5B" w:rsidP="00C36A5B">
            <w:pPr>
              <w:jc w:val="center"/>
              <w:rPr>
                <w:b/>
                <w:color w:val="000000"/>
              </w:rPr>
            </w:pPr>
            <w:r w:rsidRPr="00872A29">
              <w:rPr>
                <w:b/>
                <w:color w:val="000000"/>
              </w:rPr>
              <w:t>Utility</w:t>
            </w:r>
          </w:p>
        </w:tc>
        <w:tc>
          <w:tcPr>
            <w:tcW w:w="1336" w:type="dxa"/>
            <w:tcBorders>
              <w:top w:val="single" w:sz="4" w:space="0" w:color="auto"/>
              <w:left w:val="nil"/>
              <w:bottom w:val="nil"/>
              <w:right w:val="single" w:sz="4" w:space="0" w:color="auto"/>
            </w:tcBorders>
            <w:shd w:val="clear" w:color="auto" w:fill="auto"/>
            <w:noWrap/>
            <w:vAlign w:val="bottom"/>
            <w:hideMark/>
          </w:tcPr>
          <w:p w:rsidR="00C36A5B" w:rsidRPr="00872A29" w:rsidRDefault="00217EB4" w:rsidP="00C36A5B">
            <w:pPr>
              <w:jc w:val="center"/>
              <w:rPr>
                <w:b/>
                <w:color w:val="000000"/>
              </w:rPr>
            </w:pPr>
            <w:r>
              <w:rPr>
                <w:b/>
                <w:color w:val="000000"/>
              </w:rPr>
              <w:t>Commission</w:t>
            </w:r>
          </w:p>
        </w:tc>
        <w:tc>
          <w:tcPr>
            <w:tcW w:w="989" w:type="dxa"/>
            <w:tcBorders>
              <w:top w:val="single" w:sz="4" w:space="0" w:color="auto"/>
              <w:left w:val="nil"/>
              <w:bottom w:val="nil"/>
              <w:right w:val="single" w:sz="4" w:space="0" w:color="auto"/>
            </w:tcBorders>
            <w:shd w:val="clear" w:color="auto" w:fill="auto"/>
            <w:noWrap/>
            <w:vAlign w:val="bottom"/>
            <w:hideMark/>
          </w:tcPr>
          <w:p w:rsidR="00C36A5B" w:rsidRPr="00872A29" w:rsidRDefault="00217EB4" w:rsidP="00C36A5B">
            <w:pPr>
              <w:jc w:val="center"/>
              <w:rPr>
                <w:b/>
                <w:color w:val="000000"/>
              </w:rPr>
            </w:pPr>
            <w:r>
              <w:rPr>
                <w:b/>
                <w:color w:val="000000"/>
              </w:rPr>
              <w:t>Commission-Approved</w:t>
            </w:r>
          </w:p>
        </w:tc>
      </w:tr>
      <w:tr w:rsidR="00C36A5B" w:rsidRPr="00872A29" w:rsidTr="00C36A5B">
        <w:trPr>
          <w:trHeight w:val="288"/>
          <w:jc w:val="center"/>
        </w:trPr>
        <w:tc>
          <w:tcPr>
            <w:tcW w:w="4577" w:type="dxa"/>
            <w:tcBorders>
              <w:top w:val="nil"/>
              <w:left w:val="single" w:sz="4" w:space="0" w:color="auto"/>
              <w:bottom w:val="single" w:sz="4" w:space="0" w:color="auto"/>
              <w:right w:val="single" w:sz="4" w:space="0" w:color="auto"/>
            </w:tcBorders>
            <w:shd w:val="clear" w:color="auto" w:fill="auto"/>
            <w:noWrap/>
            <w:vAlign w:val="bottom"/>
            <w:hideMark/>
          </w:tcPr>
          <w:p w:rsidR="00C36A5B" w:rsidRPr="00872A29" w:rsidRDefault="00C36A5B" w:rsidP="00C36A5B">
            <w:pPr>
              <w:jc w:val="center"/>
              <w:rPr>
                <w:b/>
                <w:color w:val="000000"/>
              </w:rPr>
            </w:pPr>
            <w:r w:rsidRPr="00872A29">
              <w:rPr>
                <w:b/>
                <w:color w:val="000000"/>
              </w:rPr>
              <w:t>Description</w:t>
            </w:r>
          </w:p>
        </w:tc>
        <w:tc>
          <w:tcPr>
            <w:tcW w:w="1220" w:type="dxa"/>
            <w:tcBorders>
              <w:top w:val="nil"/>
              <w:left w:val="nil"/>
              <w:bottom w:val="single" w:sz="4" w:space="0" w:color="auto"/>
              <w:right w:val="single" w:sz="4" w:space="0" w:color="auto"/>
            </w:tcBorders>
            <w:shd w:val="clear" w:color="auto" w:fill="auto"/>
            <w:noWrap/>
            <w:vAlign w:val="bottom"/>
            <w:hideMark/>
          </w:tcPr>
          <w:p w:rsidR="00C36A5B" w:rsidRPr="00872A29" w:rsidRDefault="00C36A5B" w:rsidP="00C36A5B">
            <w:pPr>
              <w:jc w:val="center"/>
              <w:rPr>
                <w:b/>
              </w:rPr>
            </w:pPr>
            <w:r w:rsidRPr="00872A29">
              <w:rPr>
                <w:b/>
              </w:rPr>
              <w:t>Balance</w:t>
            </w:r>
          </w:p>
        </w:tc>
        <w:tc>
          <w:tcPr>
            <w:tcW w:w="1336" w:type="dxa"/>
            <w:tcBorders>
              <w:top w:val="nil"/>
              <w:left w:val="nil"/>
              <w:bottom w:val="single" w:sz="4" w:space="0" w:color="auto"/>
              <w:right w:val="single" w:sz="4" w:space="0" w:color="auto"/>
            </w:tcBorders>
            <w:shd w:val="clear" w:color="auto" w:fill="auto"/>
            <w:noWrap/>
            <w:vAlign w:val="bottom"/>
            <w:hideMark/>
          </w:tcPr>
          <w:p w:rsidR="00C36A5B" w:rsidRPr="00872A29" w:rsidRDefault="00C36A5B" w:rsidP="00C36A5B">
            <w:pPr>
              <w:jc w:val="center"/>
              <w:rPr>
                <w:b/>
                <w:color w:val="000000"/>
              </w:rPr>
            </w:pPr>
            <w:r w:rsidRPr="00872A29">
              <w:rPr>
                <w:b/>
                <w:color w:val="000000"/>
              </w:rPr>
              <w:t>Adjustment</w:t>
            </w:r>
          </w:p>
        </w:tc>
        <w:tc>
          <w:tcPr>
            <w:tcW w:w="989" w:type="dxa"/>
            <w:tcBorders>
              <w:top w:val="nil"/>
              <w:left w:val="nil"/>
              <w:bottom w:val="single" w:sz="4" w:space="0" w:color="auto"/>
              <w:right w:val="single" w:sz="4" w:space="0" w:color="auto"/>
            </w:tcBorders>
            <w:shd w:val="clear" w:color="auto" w:fill="auto"/>
            <w:noWrap/>
            <w:vAlign w:val="bottom"/>
            <w:hideMark/>
          </w:tcPr>
          <w:p w:rsidR="00C36A5B" w:rsidRPr="00872A29" w:rsidRDefault="00C36A5B" w:rsidP="00C36A5B">
            <w:pPr>
              <w:jc w:val="center"/>
              <w:rPr>
                <w:b/>
                <w:color w:val="000000"/>
              </w:rPr>
            </w:pPr>
            <w:r w:rsidRPr="00872A29">
              <w:rPr>
                <w:b/>
                <w:color w:val="000000"/>
              </w:rPr>
              <w:t>Balance</w:t>
            </w:r>
          </w:p>
        </w:tc>
      </w:tr>
      <w:tr w:rsidR="00C36A5B" w:rsidRPr="00872A29" w:rsidTr="00C36A5B">
        <w:trPr>
          <w:trHeight w:val="288"/>
          <w:jc w:val="center"/>
        </w:trPr>
        <w:tc>
          <w:tcPr>
            <w:tcW w:w="4577" w:type="dxa"/>
            <w:tcBorders>
              <w:top w:val="nil"/>
              <w:left w:val="single" w:sz="4" w:space="0" w:color="auto"/>
              <w:bottom w:val="single" w:sz="4" w:space="0" w:color="auto"/>
              <w:right w:val="single" w:sz="4" w:space="0" w:color="auto"/>
            </w:tcBorders>
            <w:shd w:val="clear" w:color="auto" w:fill="auto"/>
            <w:noWrap/>
            <w:vAlign w:val="bottom"/>
            <w:hideMark/>
          </w:tcPr>
          <w:p w:rsidR="00C36A5B" w:rsidRPr="00872A29" w:rsidRDefault="00C36A5B" w:rsidP="00C36A5B">
            <w:pPr>
              <w:rPr>
                <w:color w:val="000000"/>
              </w:rPr>
            </w:pPr>
            <w:r w:rsidRPr="00872A29">
              <w:rPr>
                <w:color w:val="000000"/>
              </w:rPr>
              <w:t xml:space="preserve">Water </w:t>
            </w:r>
          </w:p>
        </w:tc>
        <w:tc>
          <w:tcPr>
            <w:tcW w:w="1220" w:type="dxa"/>
            <w:tcBorders>
              <w:top w:val="nil"/>
              <w:left w:val="nil"/>
              <w:bottom w:val="single" w:sz="4" w:space="0" w:color="auto"/>
              <w:right w:val="single" w:sz="4" w:space="0" w:color="auto"/>
            </w:tcBorders>
            <w:shd w:val="clear" w:color="auto" w:fill="auto"/>
            <w:noWrap/>
            <w:vAlign w:val="bottom"/>
            <w:hideMark/>
          </w:tcPr>
          <w:p w:rsidR="00C36A5B" w:rsidRPr="00872A29" w:rsidRDefault="00C36A5B" w:rsidP="00C36A5B">
            <w:pPr>
              <w:rPr>
                <w:color w:val="000000"/>
              </w:rPr>
            </w:pPr>
            <w:r w:rsidRPr="00872A29">
              <w:rPr>
                <w:color w:val="000000"/>
              </w:rPr>
              <w:t> </w:t>
            </w:r>
          </w:p>
        </w:tc>
        <w:tc>
          <w:tcPr>
            <w:tcW w:w="1336" w:type="dxa"/>
            <w:tcBorders>
              <w:top w:val="nil"/>
              <w:left w:val="nil"/>
              <w:bottom w:val="single" w:sz="4" w:space="0" w:color="auto"/>
              <w:right w:val="single" w:sz="4" w:space="0" w:color="auto"/>
            </w:tcBorders>
            <w:shd w:val="clear" w:color="auto" w:fill="auto"/>
            <w:noWrap/>
            <w:vAlign w:val="bottom"/>
            <w:hideMark/>
          </w:tcPr>
          <w:p w:rsidR="00C36A5B" w:rsidRPr="00872A29" w:rsidRDefault="00C36A5B" w:rsidP="00C36A5B">
            <w:pPr>
              <w:rPr>
                <w:color w:val="000000"/>
              </w:rPr>
            </w:pPr>
            <w:r w:rsidRPr="00872A29">
              <w:rPr>
                <w:color w:val="000000"/>
              </w:rPr>
              <w:t> </w:t>
            </w:r>
          </w:p>
        </w:tc>
        <w:tc>
          <w:tcPr>
            <w:tcW w:w="989" w:type="dxa"/>
            <w:tcBorders>
              <w:top w:val="nil"/>
              <w:left w:val="nil"/>
              <w:bottom w:val="single" w:sz="4" w:space="0" w:color="auto"/>
              <w:right w:val="single" w:sz="4" w:space="0" w:color="auto"/>
            </w:tcBorders>
            <w:shd w:val="clear" w:color="auto" w:fill="auto"/>
            <w:noWrap/>
            <w:vAlign w:val="bottom"/>
            <w:hideMark/>
          </w:tcPr>
          <w:p w:rsidR="00C36A5B" w:rsidRPr="00872A29" w:rsidRDefault="00C36A5B" w:rsidP="00C36A5B">
            <w:pPr>
              <w:rPr>
                <w:color w:val="000000"/>
              </w:rPr>
            </w:pPr>
            <w:r w:rsidRPr="00872A29">
              <w:rPr>
                <w:color w:val="000000"/>
              </w:rPr>
              <w:t> </w:t>
            </w:r>
          </w:p>
        </w:tc>
      </w:tr>
      <w:tr w:rsidR="00C36A5B" w:rsidRPr="00872A29" w:rsidTr="00C36A5B">
        <w:trPr>
          <w:trHeight w:val="288"/>
          <w:jc w:val="center"/>
        </w:trPr>
        <w:tc>
          <w:tcPr>
            <w:tcW w:w="4577" w:type="dxa"/>
            <w:tcBorders>
              <w:top w:val="nil"/>
              <w:left w:val="single" w:sz="4" w:space="0" w:color="auto"/>
              <w:bottom w:val="nil"/>
              <w:right w:val="nil"/>
            </w:tcBorders>
            <w:shd w:val="clear" w:color="auto" w:fill="auto"/>
            <w:noWrap/>
            <w:vAlign w:val="bottom"/>
            <w:hideMark/>
          </w:tcPr>
          <w:p w:rsidR="00C36A5B" w:rsidRPr="00872A29" w:rsidRDefault="00C36A5B" w:rsidP="00C36A5B">
            <w:pPr>
              <w:rPr>
                <w:color w:val="000000"/>
              </w:rPr>
            </w:pPr>
            <w:r w:rsidRPr="00872A29">
              <w:rPr>
                <w:color w:val="000000"/>
              </w:rPr>
              <w:t>Remove Hideaway-WTP and Clubhouse</w:t>
            </w:r>
          </w:p>
        </w:tc>
        <w:tc>
          <w:tcPr>
            <w:tcW w:w="1220" w:type="dxa"/>
            <w:tcBorders>
              <w:top w:val="nil"/>
              <w:left w:val="single" w:sz="4" w:space="0" w:color="auto"/>
              <w:bottom w:val="nil"/>
              <w:right w:val="single" w:sz="4" w:space="0" w:color="auto"/>
            </w:tcBorders>
            <w:shd w:val="clear" w:color="auto" w:fill="auto"/>
            <w:noWrap/>
            <w:vAlign w:val="bottom"/>
            <w:hideMark/>
          </w:tcPr>
          <w:p w:rsidR="00C36A5B" w:rsidRPr="00872A29" w:rsidRDefault="00C36A5B" w:rsidP="00C36A5B">
            <w:pPr>
              <w:jc w:val="right"/>
            </w:pPr>
            <w:r w:rsidRPr="00872A29">
              <w:t xml:space="preserve">$1,082 </w:t>
            </w:r>
          </w:p>
        </w:tc>
        <w:tc>
          <w:tcPr>
            <w:tcW w:w="1336" w:type="dxa"/>
            <w:tcBorders>
              <w:top w:val="nil"/>
              <w:left w:val="nil"/>
              <w:bottom w:val="nil"/>
              <w:right w:val="single" w:sz="4" w:space="0" w:color="auto"/>
            </w:tcBorders>
            <w:shd w:val="clear" w:color="auto" w:fill="auto"/>
            <w:noWrap/>
            <w:vAlign w:val="bottom"/>
            <w:hideMark/>
          </w:tcPr>
          <w:p w:rsidR="00C36A5B" w:rsidRPr="00872A29" w:rsidRDefault="00C36A5B" w:rsidP="00C36A5B">
            <w:pPr>
              <w:jc w:val="right"/>
              <w:rPr>
                <w:color w:val="000000"/>
              </w:rPr>
            </w:pPr>
            <w:r w:rsidRPr="00872A29">
              <w:rPr>
                <w:color w:val="000000"/>
              </w:rPr>
              <w:t>($1,082)</w:t>
            </w:r>
          </w:p>
        </w:tc>
        <w:tc>
          <w:tcPr>
            <w:tcW w:w="989" w:type="dxa"/>
            <w:tcBorders>
              <w:top w:val="nil"/>
              <w:left w:val="nil"/>
              <w:bottom w:val="nil"/>
              <w:right w:val="single" w:sz="4" w:space="0" w:color="auto"/>
            </w:tcBorders>
            <w:shd w:val="clear" w:color="auto" w:fill="auto"/>
            <w:noWrap/>
            <w:vAlign w:val="bottom"/>
            <w:hideMark/>
          </w:tcPr>
          <w:p w:rsidR="00C36A5B" w:rsidRPr="00872A29" w:rsidRDefault="00C36A5B" w:rsidP="00C36A5B">
            <w:pPr>
              <w:jc w:val="right"/>
              <w:rPr>
                <w:color w:val="000000"/>
              </w:rPr>
            </w:pPr>
            <w:r w:rsidRPr="00872A29">
              <w:rPr>
                <w:color w:val="000000"/>
              </w:rPr>
              <w:t xml:space="preserve">$0 </w:t>
            </w:r>
          </w:p>
        </w:tc>
      </w:tr>
      <w:tr w:rsidR="00C36A5B" w:rsidRPr="00872A29" w:rsidTr="00C36A5B">
        <w:trPr>
          <w:trHeight w:val="288"/>
          <w:jc w:val="center"/>
        </w:trPr>
        <w:tc>
          <w:tcPr>
            <w:tcW w:w="4577" w:type="dxa"/>
            <w:tcBorders>
              <w:top w:val="nil"/>
              <w:left w:val="single" w:sz="4" w:space="0" w:color="auto"/>
              <w:bottom w:val="nil"/>
              <w:right w:val="nil"/>
            </w:tcBorders>
            <w:shd w:val="clear" w:color="auto" w:fill="auto"/>
            <w:noWrap/>
            <w:vAlign w:val="bottom"/>
            <w:hideMark/>
          </w:tcPr>
          <w:p w:rsidR="00C36A5B" w:rsidRPr="00872A29" w:rsidRDefault="00C36A5B" w:rsidP="00C36A5B">
            <w:pPr>
              <w:rPr>
                <w:color w:val="000000"/>
              </w:rPr>
            </w:pPr>
            <w:r w:rsidRPr="00872A29">
              <w:rPr>
                <w:color w:val="000000"/>
              </w:rPr>
              <w:t>Reflect appropriate 2017 property tax</w:t>
            </w:r>
          </w:p>
        </w:tc>
        <w:tc>
          <w:tcPr>
            <w:tcW w:w="1220" w:type="dxa"/>
            <w:tcBorders>
              <w:top w:val="nil"/>
              <w:left w:val="single" w:sz="4" w:space="0" w:color="auto"/>
              <w:bottom w:val="nil"/>
              <w:right w:val="single" w:sz="4" w:space="0" w:color="auto"/>
            </w:tcBorders>
            <w:shd w:val="clear" w:color="auto" w:fill="auto"/>
            <w:noWrap/>
            <w:vAlign w:val="bottom"/>
            <w:hideMark/>
          </w:tcPr>
          <w:p w:rsidR="00C36A5B" w:rsidRPr="00872A29" w:rsidRDefault="00C36A5B" w:rsidP="00C36A5B">
            <w:pPr>
              <w:jc w:val="right"/>
              <w:rPr>
                <w:u w:val="single"/>
              </w:rPr>
            </w:pPr>
            <w:r w:rsidRPr="00872A29">
              <w:rPr>
                <w:u w:val="single"/>
              </w:rPr>
              <w:t xml:space="preserve">271 </w:t>
            </w:r>
          </w:p>
        </w:tc>
        <w:tc>
          <w:tcPr>
            <w:tcW w:w="1336" w:type="dxa"/>
            <w:tcBorders>
              <w:top w:val="nil"/>
              <w:left w:val="nil"/>
              <w:bottom w:val="nil"/>
              <w:right w:val="single" w:sz="4" w:space="0" w:color="auto"/>
            </w:tcBorders>
            <w:shd w:val="clear" w:color="auto" w:fill="auto"/>
            <w:noWrap/>
            <w:vAlign w:val="bottom"/>
            <w:hideMark/>
          </w:tcPr>
          <w:p w:rsidR="00C36A5B" w:rsidRPr="00872A29" w:rsidRDefault="00C36A5B" w:rsidP="00C36A5B">
            <w:pPr>
              <w:jc w:val="right"/>
              <w:rPr>
                <w:color w:val="000000"/>
                <w:u w:val="single"/>
              </w:rPr>
            </w:pPr>
            <w:r w:rsidRPr="00872A29">
              <w:rPr>
                <w:color w:val="000000"/>
                <w:u w:val="single"/>
              </w:rPr>
              <w:t>(68)</w:t>
            </w:r>
          </w:p>
        </w:tc>
        <w:tc>
          <w:tcPr>
            <w:tcW w:w="989" w:type="dxa"/>
            <w:tcBorders>
              <w:top w:val="nil"/>
              <w:left w:val="nil"/>
              <w:bottom w:val="nil"/>
              <w:right w:val="single" w:sz="4" w:space="0" w:color="auto"/>
            </w:tcBorders>
            <w:shd w:val="clear" w:color="auto" w:fill="auto"/>
            <w:noWrap/>
            <w:vAlign w:val="bottom"/>
            <w:hideMark/>
          </w:tcPr>
          <w:p w:rsidR="00C36A5B" w:rsidRPr="00872A29" w:rsidRDefault="00C36A5B" w:rsidP="00C36A5B">
            <w:pPr>
              <w:jc w:val="right"/>
              <w:rPr>
                <w:color w:val="000000"/>
                <w:u w:val="single"/>
              </w:rPr>
            </w:pPr>
            <w:r w:rsidRPr="00872A29">
              <w:rPr>
                <w:color w:val="000000"/>
                <w:u w:val="single"/>
              </w:rPr>
              <w:t xml:space="preserve">203 </w:t>
            </w:r>
          </w:p>
        </w:tc>
      </w:tr>
      <w:tr w:rsidR="00C36A5B" w:rsidRPr="00872A29" w:rsidTr="00C36A5B">
        <w:trPr>
          <w:trHeight w:val="333"/>
          <w:jc w:val="center"/>
        </w:trPr>
        <w:tc>
          <w:tcPr>
            <w:tcW w:w="4577" w:type="dxa"/>
            <w:tcBorders>
              <w:top w:val="nil"/>
              <w:left w:val="single" w:sz="4" w:space="0" w:color="auto"/>
              <w:bottom w:val="nil"/>
              <w:right w:val="nil"/>
            </w:tcBorders>
            <w:shd w:val="clear" w:color="auto" w:fill="auto"/>
            <w:noWrap/>
            <w:vAlign w:val="center"/>
            <w:hideMark/>
          </w:tcPr>
          <w:p w:rsidR="00C36A5B" w:rsidRPr="00872A29" w:rsidRDefault="00C36A5B" w:rsidP="00C36A5B">
            <w:pPr>
              <w:rPr>
                <w:b/>
                <w:color w:val="000000"/>
              </w:rPr>
            </w:pPr>
            <w:r w:rsidRPr="00872A29">
              <w:rPr>
                <w:b/>
                <w:color w:val="000000"/>
              </w:rPr>
              <w:t xml:space="preserve">    Total </w:t>
            </w:r>
          </w:p>
        </w:tc>
        <w:tc>
          <w:tcPr>
            <w:tcW w:w="1220" w:type="dxa"/>
            <w:tcBorders>
              <w:top w:val="nil"/>
              <w:left w:val="single" w:sz="4" w:space="0" w:color="auto"/>
              <w:bottom w:val="nil"/>
              <w:right w:val="single" w:sz="4" w:space="0" w:color="auto"/>
            </w:tcBorders>
            <w:shd w:val="clear" w:color="auto" w:fill="auto"/>
            <w:noWrap/>
            <w:vAlign w:val="center"/>
            <w:hideMark/>
          </w:tcPr>
          <w:p w:rsidR="00C36A5B" w:rsidRPr="00872A29" w:rsidRDefault="00C36A5B" w:rsidP="00C36A5B">
            <w:pPr>
              <w:jc w:val="right"/>
              <w:rPr>
                <w:b/>
              </w:rPr>
            </w:pPr>
            <w:r w:rsidRPr="00872A29">
              <w:rPr>
                <w:b/>
              </w:rPr>
              <w:t> </w:t>
            </w:r>
            <w:r w:rsidRPr="00872A29">
              <w:rPr>
                <w:color w:val="000000"/>
                <w:u w:val="double"/>
              </w:rPr>
              <w:t>$1,353</w:t>
            </w:r>
          </w:p>
        </w:tc>
        <w:tc>
          <w:tcPr>
            <w:tcW w:w="1336" w:type="dxa"/>
            <w:tcBorders>
              <w:top w:val="nil"/>
              <w:left w:val="nil"/>
              <w:bottom w:val="nil"/>
              <w:right w:val="single" w:sz="4" w:space="0" w:color="auto"/>
            </w:tcBorders>
            <w:shd w:val="clear" w:color="auto" w:fill="auto"/>
            <w:noWrap/>
            <w:vAlign w:val="center"/>
            <w:hideMark/>
          </w:tcPr>
          <w:p w:rsidR="00C36A5B" w:rsidRPr="00872A29" w:rsidRDefault="00C36A5B" w:rsidP="00C36A5B">
            <w:pPr>
              <w:jc w:val="right"/>
              <w:rPr>
                <w:color w:val="000000"/>
                <w:u w:val="double"/>
              </w:rPr>
            </w:pPr>
            <w:r w:rsidRPr="00872A29">
              <w:rPr>
                <w:color w:val="000000"/>
                <w:u w:val="double"/>
              </w:rPr>
              <w:t>($1,150)</w:t>
            </w:r>
          </w:p>
        </w:tc>
        <w:tc>
          <w:tcPr>
            <w:tcW w:w="989" w:type="dxa"/>
            <w:tcBorders>
              <w:top w:val="nil"/>
              <w:left w:val="nil"/>
              <w:bottom w:val="nil"/>
              <w:right w:val="single" w:sz="4" w:space="0" w:color="auto"/>
            </w:tcBorders>
            <w:shd w:val="clear" w:color="auto" w:fill="auto"/>
            <w:noWrap/>
            <w:vAlign w:val="center"/>
            <w:hideMark/>
          </w:tcPr>
          <w:p w:rsidR="00C36A5B" w:rsidRPr="00872A29" w:rsidRDefault="00C36A5B" w:rsidP="00C36A5B">
            <w:pPr>
              <w:jc w:val="right"/>
              <w:rPr>
                <w:color w:val="000000"/>
              </w:rPr>
            </w:pPr>
            <w:r w:rsidRPr="00872A29">
              <w:rPr>
                <w:color w:val="000000"/>
              </w:rPr>
              <w:t> </w:t>
            </w:r>
            <w:r w:rsidRPr="00872A29">
              <w:rPr>
                <w:color w:val="000000"/>
                <w:u w:val="double"/>
              </w:rPr>
              <w:t>$203</w:t>
            </w:r>
          </w:p>
        </w:tc>
      </w:tr>
      <w:tr w:rsidR="00C36A5B" w:rsidRPr="00872A29" w:rsidTr="00C36A5B">
        <w:trPr>
          <w:trHeight w:val="288"/>
          <w:jc w:val="center"/>
        </w:trPr>
        <w:tc>
          <w:tcPr>
            <w:tcW w:w="4577" w:type="dxa"/>
            <w:tcBorders>
              <w:top w:val="single" w:sz="4" w:space="0" w:color="auto"/>
              <w:left w:val="single" w:sz="4" w:space="0" w:color="auto"/>
              <w:bottom w:val="single" w:sz="4" w:space="0" w:color="auto"/>
              <w:right w:val="nil"/>
            </w:tcBorders>
            <w:shd w:val="clear" w:color="auto" w:fill="auto"/>
            <w:noWrap/>
            <w:vAlign w:val="bottom"/>
            <w:hideMark/>
          </w:tcPr>
          <w:p w:rsidR="00C36A5B" w:rsidRPr="00872A29" w:rsidRDefault="00C36A5B" w:rsidP="00C36A5B">
            <w:pPr>
              <w:rPr>
                <w:color w:val="000000"/>
              </w:rPr>
            </w:pPr>
            <w:r w:rsidRPr="00872A29">
              <w:rPr>
                <w:color w:val="000000"/>
              </w:rPr>
              <w:t>Wastewater</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6A5B" w:rsidRPr="00872A29" w:rsidRDefault="00C36A5B" w:rsidP="00C36A5B">
            <w:pPr>
              <w:rPr>
                <w:color w:val="000000"/>
              </w:rPr>
            </w:pPr>
            <w:r w:rsidRPr="00872A29">
              <w:rPr>
                <w:color w:val="000000"/>
              </w:rPr>
              <w:t> </w:t>
            </w:r>
          </w:p>
        </w:tc>
        <w:tc>
          <w:tcPr>
            <w:tcW w:w="1336" w:type="dxa"/>
            <w:tcBorders>
              <w:top w:val="single" w:sz="4" w:space="0" w:color="auto"/>
              <w:left w:val="nil"/>
              <w:bottom w:val="single" w:sz="4" w:space="0" w:color="auto"/>
              <w:right w:val="single" w:sz="4" w:space="0" w:color="auto"/>
            </w:tcBorders>
            <w:shd w:val="clear" w:color="auto" w:fill="auto"/>
            <w:noWrap/>
            <w:vAlign w:val="bottom"/>
            <w:hideMark/>
          </w:tcPr>
          <w:p w:rsidR="00C36A5B" w:rsidRPr="00872A29" w:rsidRDefault="00C36A5B" w:rsidP="00C36A5B">
            <w:pPr>
              <w:rPr>
                <w:color w:val="000000"/>
              </w:rPr>
            </w:pPr>
            <w:r w:rsidRPr="00872A29">
              <w:rPr>
                <w:color w:val="000000"/>
              </w:rPr>
              <w:t> </w:t>
            </w:r>
          </w:p>
        </w:tc>
        <w:tc>
          <w:tcPr>
            <w:tcW w:w="989" w:type="dxa"/>
            <w:tcBorders>
              <w:top w:val="single" w:sz="4" w:space="0" w:color="auto"/>
              <w:left w:val="nil"/>
              <w:bottom w:val="single" w:sz="4" w:space="0" w:color="auto"/>
              <w:right w:val="single" w:sz="4" w:space="0" w:color="auto"/>
            </w:tcBorders>
            <w:shd w:val="clear" w:color="auto" w:fill="auto"/>
            <w:noWrap/>
            <w:vAlign w:val="bottom"/>
            <w:hideMark/>
          </w:tcPr>
          <w:p w:rsidR="00C36A5B" w:rsidRPr="00872A29" w:rsidRDefault="00C36A5B" w:rsidP="00C36A5B">
            <w:pPr>
              <w:rPr>
                <w:color w:val="000000"/>
              </w:rPr>
            </w:pPr>
            <w:r w:rsidRPr="00872A29">
              <w:rPr>
                <w:color w:val="000000"/>
              </w:rPr>
              <w:t> </w:t>
            </w:r>
          </w:p>
        </w:tc>
      </w:tr>
      <w:tr w:rsidR="00C36A5B" w:rsidRPr="00872A29" w:rsidTr="00C36A5B">
        <w:trPr>
          <w:trHeight w:val="288"/>
          <w:jc w:val="center"/>
        </w:trPr>
        <w:tc>
          <w:tcPr>
            <w:tcW w:w="4577" w:type="dxa"/>
            <w:tcBorders>
              <w:top w:val="nil"/>
              <w:left w:val="single" w:sz="4" w:space="0" w:color="auto"/>
              <w:bottom w:val="nil"/>
              <w:right w:val="nil"/>
            </w:tcBorders>
            <w:shd w:val="clear" w:color="auto" w:fill="auto"/>
            <w:noWrap/>
            <w:vAlign w:val="bottom"/>
            <w:hideMark/>
          </w:tcPr>
          <w:p w:rsidR="00C36A5B" w:rsidRPr="00872A29" w:rsidRDefault="00C36A5B" w:rsidP="00C36A5B">
            <w:pPr>
              <w:rPr>
                <w:color w:val="000000"/>
              </w:rPr>
            </w:pPr>
            <w:r w:rsidRPr="00872A29">
              <w:rPr>
                <w:color w:val="000000"/>
              </w:rPr>
              <w:t>Remove Hideaway-WWTP</w:t>
            </w:r>
          </w:p>
        </w:tc>
        <w:tc>
          <w:tcPr>
            <w:tcW w:w="1220" w:type="dxa"/>
            <w:tcBorders>
              <w:top w:val="nil"/>
              <w:left w:val="single" w:sz="4" w:space="0" w:color="auto"/>
              <w:bottom w:val="nil"/>
              <w:right w:val="single" w:sz="4" w:space="0" w:color="auto"/>
            </w:tcBorders>
            <w:shd w:val="clear" w:color="auto" w:fill="auto"/>
            <w:noWrap/>
            <w:vAlign w:val="bottom"/>
            <w:hideMark/>
          </w:tcPr>
          <w:p w:rsidR="00C36A5B" w:rsidRPr="00872A29" w:rsidRDefault="00C36A5B" w:rsidP="00C36A5B">
            <w:pPr>
              <w:jc w:val="right"/>
            </w:pPr>
            <w:r w:rsidRPr="00872A29">
              <w:t xml:space="preserve">$648 </w:t>
            </w:r>
          </w:p>
        </w:tc>
        <w:tc>
          <w:tcPr>
            <w:tcW w:w="1336" w:type="dxa"/>
            <w:tcBorders>
              <w:top w:val="nil"/>
              <w:left w:val="nil"/>
              <w:bottom w:val="nil"/>
              <w:right w:val="single" w:sz="4" w:space="0" w:color="auto"/>
            </w:tcBorders>
            <w:shd w:val="clear" w:color="auto" w:fill="auto"/>
            <w:noWrap/>
            <w:vAlign w:val="bottom"/>
            <w:hideMark/>
          </w:tcPr>
          <w:p w:rsidR="00C36A5B" w:rsidRPr="00872A29" w:rsidRDefault="00C36A5B" w:rsidP="00C36A5B">
            <w:pPr>
              <w:jc w:val="right"/>
              <w:rPr>
                <w:color w:val="000000"/>
              </w:rPr>
            </w:pPr>
            <w:r w:rsidRPr="00872A29">
              <w:rPr>
                <w:color w:val="000000"/>
              </w:rPr>
              <w:t>($289)</w:t>
            </w:r>
          </w:p>
        </w:tc>
        <w:tc>
          <w:tcPr>
            <w:tcW w:w="989" w:type="dxa"/>
            <w:tcBorders>
              <w:top w:val="nil"/>
              <w:left w:val="nil"/>
              <w:bottom w:val="nil"/>
              <w:right w:val="single" w:sz="4" w:space="0" w:color="auto"/>
            </w:tcBorders>
            <w:shd w:val="clear" w:color="auto" w:fill="auto"/>
            <w:noWrap/>
            <w:vAlign w:val="bottom"/>
            <w:hideMark/>
          </w:tcPr>
          <w:p w:rsidR="00C36A5B" w:rsidRPr="00872A29" w:rsidRDefault="00C36A5B" w:rsidP="00C36A5B">
            <w:pPr>
              <w:jc w:val="right"/>
              <w:rPr>
                <w:color w:val="000000"/>
              </w:rPr>
            </w:pPr>
            <w:r w:rsidRPr="00872A29">
              <w:rPr>
                <w:color w:val="000000"/>
              </w:rPr>
              <w:t xml:space="preserve">$359 </w:t>
            </w:r>
          </w:p>
        </w:tc>
      </w:tr>
      <w:tr w:rsidR="00C36A5B" w:rsidRPr="00872A29" w:rsidTr="00C36A5B">
        <w:trPr>
          <w:trHeight w:val="288"/>
          <w:jc w:val="center"/>
        </w:trPr>
        <w:tc>
          <w:tcPr>
            <w:tcW w:w="4577" w:type="dxa"/>
            <w:tcBorders>
              <w:top w:val="nil"/>
              <w:left w:val="single" w:sz="4" w:space="0" w:color="auto"/>
              <w:bottom w:val="nil"/>
              <w:right w:val="nil"/>
            </w:tcBorders>
            <w:shd w:val="clear" w:color="auto" w:fill="auto"/>
            <w:noWrap/>
            <w:vAlign w:val="bottom"/>
            <w:hideMark/>
          </w:tcPr>
          <w:p w:rsidR="00C36A5B" w:rsidRPr="00872A29" w:rsidRDefault="00C36A5B" w:rsidP="00C36A5B">
            <w:pPr>
              <w:rPr>
                <w:color w:val="000000"/>
              </w:rPr>
            </w:pPr>
            <w:r w:rsidRPr="00872A29">
              <w:rPr>
                <w:color w:val="000000"/>
              </w:rPr>
              <w:t>Reflect appropriate 2017 property tax</w:t>
            </w:r>
          </w:p>
        </w:tc>
        <w:tc>
          <w:tcPr>
            <w:tcW w:w="1220" w:type="dxa"/>
            <w:tcBorders>
              <w:top w:val="nil"/>
              <w:left w:val="single" w:sz="4" w:space="0" w:color="auto"/>
              <w:bottom w:val="nil"/>
              <w:right w:val="single" w:sz="4" w:space="0" w:color="auto"/>
            </w:tcBorders>
            <w:shd w:val="clear" w:color="auto" w:fill="auto"/>
            <w:noWrap/>
            <w:vAlign w:val="bottom"/>
            <w:hideMark/>
          </w:tcPr>
          <w:p w:rsidR="00C36A5B" w:rsidRPr="00872A29" w:rsidRDefault="00C36A5B" w:rsidP="00C36A5B">
            <w:pPr>
              <w:jc w:val="right"/>
            </w:pPr>
            <w:r w:rsidRPr="00872A29">
              <w:t xml:space="preserve">319 </w:t>
            </w:r>
          </w:p>
        </w:tc>
        <w:tc>
          <w:tcPr>
            <w:tcW w:w="1336" w:type="dxa"/>
            <w:tcBorders>
              <w:top w:val="nil"/>
              <w:left w:val="nil"/>
              <w:bottom w:val="nil"/>
              <w:right w:val="single" w:sz="4" w:space="0" w:color="auto"/>
            </w:tcBorders>
            <w:shd w:val="clear" w:color="auto" w:fill="auto"/>
            <w:noWrap/>
            <w:vAlign w:val="bottom"/>
            <w:hideMark/>
          </w:tcPr>
          <w:p w:rsidR="00C36A5B" w:rsidRPr="00872A29" w:rsidRDefault="00C36A5B" w:rsidP="00C36A5B">
            <w:pPr>
              <w:jc w:val="right"/>
              <w:rPr>
                <w:color w:val="000000"/>
              </w:rPr>
            </w:pPr>
            <w:r w:rsidRPr="00872A29">
              <w:rPr>
                <w:color w:val="000000"/>
              </w:rPr>
              <w:t>(8)</w:t>
            </w:r>
          </w:p>
        </w:tc>
        <w:tc>
          <w:tcPr>
            <w:tcW w:w="989" w:type="dxa"/>
            <w:tcBorders>
              <w:top w:val="nil"/>
              <w:left w:val="nil"/>
              <w:bottom w:val="nil"/>
              <w:right w:val="single" w:sz="4" w:space="0" w:color="auto"/>
            </w:tcBorders>
            <w:shd w:val="clear" w:color="auto" w:fill="auto"/>
            <w:noWrap/>
            <w:vAlign w:val="bottom"/>
            <w:hideMark/>
          </w:tcPr>
          <w:p w:rsidR="00C36A5B" w:rsidRPr="00872A29" w:rsidRDefault="00C36A5B" w:rsidP="00C36A5B">
            <w:pPr>
              <w:jc w:val="right"/>
              <w:rPr>
                <w:color w:val="000000"/>
              </w:rPr>
            </w:pPr>
            <w:r w:rsidRPr="00872A29">
              <w:rPr>
                <w:color w:val="000000"/>
              </w:rPr>
              <w:t xml:space="preserve">311 </w:t>
            </w:r>
          </w:p>
        </w:tc>
      </w:tr>
      <w:tr w:rsidR="00C36A5B" w:rsidRPr="00872A29" w:rsidTr="00C36A5B">
        <w:trPr>
          <w:trHeight w:val="288"/>
          <w:jc w:val="center"/>
        </w:trPr>
        <w:tc>
          <w:tcPr>
            <w:tcW w:w="4577" w:type="dxa"/>
            <w:tcBorders>
              <w:top w:val="nil"/>
              <w:left w:val="single" w:sz="4" w:space="0" w:color="auto"/>
              <w:bottom w:val="nil"/>
              <w:right w:val="nil"/>
            </w:tcBorders>
            <w:shd w:val="clear" w:color="auto" w:fill="auto"/>
            <w:noWrap/>
            <w:vAlign w:val="bottom"/>
            <w:hideMark/>
          </w:tcPr>
          <w:p w:rsidR="00C36A5B" w:rsidRPr="00872A29" w:rsidRDefault="00C36A5B" w:rsidP="00C36A5B">
            <w:pPr>
              <w:rPr>
                <w:color w:val="000000"/>
              </w:rPr>
            </w:pPr>
            <w:r w:rsidRPr="00872A29">
              <w:rPr>
                <w:color w:val="000000"/>
              </w:rPr>
              <w:t>Reflect property tax associated w/pro forma</w:t>
            </w:r>
          </w:p>
        </w:tc>
        <w:tc>
          <w:tcPr>
            <w:tcW w:w="1220" w:type="dxa"/>
            <w:tcBorders>
              <w:top w:val="nil"/>
              <w:left w:val="single" w:sz="4" w:space="0" w:color="auto"/>
              <w:bottom w:val="nil"/>
              <w:right w:val="single" w:sz="4" w:space="0" w:color="auto"/>
            </w:tcBorders>
            <w:shd w:val="clear" w:color="auto" w:fill="auto"/>
            <w:noWrap/>
            <w:vAlign w:val="bottom"/>
            <w:hideMark/>
          </w:tcPr>
          <w:p w:rsidR="00C36A5B" w:rsidRPr="00872A29" w:rsidRDefault="00C36A5B" w:rsidP="00C36A5B">
            <w:pPr>
              <w:jc w:val="right"/>
              <w:rPr>
                <w:u w:val="single"/>
              </w:rPr>
            </w:pPr>
            <w:r w:rsidRPr="00872A29">
              <w:rPr>
                <w:u w:val="single"/>
              </w:rPr>
              <w:t xml:space="preserve">0 </w:t>
            </w:r>
          </w:p>
        </w:tc>
        <w:tc>
          <w:tcPr>
            <w:tcW w:w="1336" w:type="dxa"/>
            <w:tcBorders>
              <w:top w:val="nil"/>
              <w:left w:val="nil"/>
              <w:bottom w:val="nil"/>
              <w:right w:val="single" w:sz="4" w:space="0" w:color="auto"/>
            </w:tcBorders>
            <w:shd w:val="clear" w:color="auto" w:fill="auto"/>
            <w:noWrap/>
            <w:vAlign w:val="bottom"/>
            <w:hideMark/>
          </w:tcPr>
          <w:p w:rsidR="00C36A5B" w:rsidRPr="00872A29" w:rsidRDefault="00C36A5B" w:rsidP="00C36A5B">
            <w:pPr>
              <w:jc w:val="right"/>
              <w:rPr>
                <w:color w:val="000000"/>
                <w:u w:val="single"/>
              </w:rPr>
            </w:pPr>
            <w:r w:rsidRPr="00872A29">
              <w:rPr>
                <w:color w:val="000000"/>
                <w:u w:val="single"/>
              </w:rPr>
              <w:t xml:space="preserve">7 </w:t>
            </w:r>
          </w:p>
        </w:tc>
        <w:tc>
          <w:tcPr>
            <w:tcW w:w="989" w:type="dxa"/>
            <w:tcBorders>
              <w:top w:val="nil"/>
              <w:left w:val="nil"/>
              <w:bottom w:val="nil"/>
              <w:right w:val="single" w:sz="4" w:space="0" w:color="auto"/>
            </w:tcBorders>
            <w:shd w:val="clear" w:color="auto" w:fill="auto"/>
            <w:noWrap/>
            <w:vAlign w:val="bottom"/>
            <w:hideMark/>
          </w:tcPr>
          <w:p w:rsidR="00C36A5B" w:rsidRPr="00872A29" w:rsidRDefault="00C36A5B" w:rsidP="00C36A5B">
            <w:pPr>
              <w:jc w:val="right"/>
              <w:rPr>
                <w:color w:val="000000"/>
                <w:u w:val="single"/>
              </w:rPr>
            </w:pPr>
            <w:r w:rsidRPr="00872A29">
              <w:rPr>
                <w:color w:val="000000"/>
                <w:u w:val="single"/>
              </w:rPr>
              <w:t xml:space="preserve">7 </w:t>
            </w:r>
          </w:p>
        </w:tc>
      </w:tr>
      <w:tr w:rsidR="00C36A5B" w:rsidRPr="00872A29" w:rsidTr="00C36A5B">
        <w:trPr>
          <w:trHeight w:val="315"/>
          <w:jc w:val="center"/>
        </w:trPr>
        <w:tc>
          <w:tcPr>
            <w:tcW w:w="4577" w:type="dxa"/>
            <w:tcBorders>
              <w:top w:val="nil"/>
              <w:left w:val="single" w:sz="4" w:space="0" w:color="auto"/>
              <w:bottom w:val="single" w:sz="4" w:space="0" w:color="auto"/>
              <w:right w:val="nil"/>
            </w:tcBorders>
            <w:shd w:val="clear" w:color="auto" w:fill="auto"/>
            <w:noWrap/>
            <w:vAlign w:val="center"/>
            <w:hideMark/>
          </w:tcPr>
          <w:p w:rsidR="00C36A5B" w:rsidRPr="00872A29" w:rsidRDefault="00C36A5B" w:rsidP="00C36A5B">
            <w:pPr>
              <w:rPr>
                <w:b/>
                <w:color w:val="000000"/>
              </w:rPr>
            </w:pPr>
            <w:r w:rsidRPr="00872A29">
              <w:rPr>
                <w:color w:val="000000"/>
              </w:rPr>
              <w:t xml:space="preserve">    </w:t>
            </w:r>
            <w:r w:rsidRPr="00872A29">
              <w:rPr>
                <w:b/>
                <w:color w:val="000000"/>
              </w:rPr>
              <w:t xml:space="preserve">Total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C36A5B" w:rsidRPr="00872A29" w:rsidRDefault="00C36A5B" w:rsidP="00C36A5B">
            <w:pPr>
              <w:jc w:val="right"/>
              <w:rPr>
                <w:color w:val="000000"/>
                <w:u w:val="double"/>
              </w:rPr>
            </w:pPr>
            <w:r w:rsidRPr="00872A29">
              <w:rPr>
                <w:color w:val="000000"/>
                <w:u w:val="double"/>
              </w:rPr>
              <w:t> $967</w:t>
            </w:r>
          </w:p>
        </w:tc>
        <w:tc>
          <w:tcPr>
            <w:tcW w:w="1336" w:type="dxa"/>
            <w:tcBorders>
              <w:top w:val="nil"/>
              <w:left w:val="nil"/>
              <w:bottom w:val="single" w:sz="4" w:space="0" w:color="auto"/>
              <w:right w:val="single" w:sz="4" w:space="0" w:color="auto"/>
            </w:tcBorders>
            <w:shd w:val="clear" w:color="auto" w:fill="auto"/>
            <w:noWrap/>
            <w:vAlign w:val="center"/>
            <w:hideMark/>
          </w:tcPr>
          <w:p w:rsidR="00C36A5B" w:rsidRPr="00872A29" w:rsidRDefault="00C36A5B" w:rsidP="00C36A5B">
            <w:pPr>
              <w:jc w:val="right"/>
              <w:rPr>
                <w:color w:val="000000"/>
                <w:u w:val="double"/>
              </w:rPr>
            </w:pPr>
            <w:r w:rsidRPr="00872A29">
              <w:rPr>
                <w:color w:val="000000"/>
                <w:u w:val="double"/>
              </w:rPr>
              <w:t>($290)</w:t>
            </w:r>
          </w:p>
        </w:tc>
        <w:tc>
          <w:tcPr>
            <w:tcW w:w="989" w:type="dxa"/>
            <w:tcBorders>
              <w:top w:val="nil"/>
              <w:left w:val="nil"/>
              <w:bottom w:val="single" w:sz="4" w:space="0" w:color="auto"/>
              <w:right w:val="single" w:sz="4" w:space="0" w:color="auto"/>
            </w:tcBorders>
            <w:shd w:val="clear" w:color="auto" w:fill="auto"/>
            <w:noWrap/>
            <w:vAlign w:val="center"/>
            <w:hideMark/>
          </w:tcPr>
          <w:p w:rsidR="00C36A5B" w:rsidRPr="00872A29" w:rsidRDefault="00C36A5B" w:rsidP="00C36A5B">
            <w:pPr>
              <w:jc w:val="right"/>
              <w:rPr>
                <w:color w:val="000000"/>
                <w:u w:val="double"/>
              </w:rPr>
            </w:pPr>
            <w:r w:rsidRPr="00872A29">
              <w:rPr>
                <w:color w:val="000000"/>
                <w:u w:val="double"/>
              </w:rPr>
              <w:t> $677</w:t>
            </w:r>
          </w:p>
        </w:tc>
      </w:tr>
    </w:tbl>
    <w:p w:rsidR="00C36A5B" w:rsidRDefault="00C36A5B" w:rsidP="00C36A5B">
      <w:pPr>
        <w:spacing w:after="120"/>
        <w:jc w:val="both"/>
        <w:rPr>
          <w:sz w:val="20"/>
          <w:szCs w:val="20"/>
        </w:rPr>
      </w:pPr>
      <w:r w:rsidRPr="00872A29">
        <w:t xml:space="preserve">         </w:t>
      </w:r>
      <w:r w:rsidRPr="000C6BA8">
        <w:rPr>
          <w:sz w:val="20"/>
          <w:szCs w:val="20"/>
        </w:rPr>
        <w:t>Source: FIMC Hideaway audit work papers, Levy County Property Appraiser/Tax Collector.</w:t>
      </w:r>
    </w:p>
    <w:p w:rsidR="00051C30" w:rsidRPr="000C6BA8" w:rsidRDefault="00051C30" w:rsidP="00C36A5B">
      <w:pPr>
        <w:spacing w:after="120"/>
        <w:jc w:val="both"/>
        <w:rPr>
          <w:sz w:val="20"/>
          <w:szCs w:val="20"/>
        </w:rPr>
      </w:pPr>
    </w:p>
    <w:p w:rsidR="00C36A5B" w:rsidRPr="00C36A5B" w:rsidRDefault="00C36A5B" w:rsidP="00C36A5B">
      <w:pPr>
        <w:spacing w:after="120"/>
        <w:jc w:val="both"/>
      </w:pPr>
      <w:r>
        <w:tab/>
      </w:r>
      <w:r w:rsidR="00217EB4">
        <w:t>Our</w:t>
      </w:r>
      <w:r w:rsidRPr="00C36A5B">
        <w:t xml:space="preserve"> total adjustments to TOTI reflect </w:t>
      </w:r>
      <w:r w:rsidR="002D35F1" w:rsidRPr="002D35F1">
        <w:t>a decrease</w:t>
      </w:r>
      <w:r w:rsidRPr="00C36A5B">
        <w:t xml:space="preserve"> of </w:t>
      </w:r>
      <w:r w:rsidR="002D35F1" w:rsidRPr="002D35F1">
        <w:t>$110</w:t>
      </w:r>
      <w:r w:rsidRPr="00C36A5B">
        <w:t xml:space="preserve"> ($42 + </w:t>
      </w:r>
      <w:r w:rsidR="002D35F1" w:rsidRPr="002D35F1">
        <w:t>$997</w:t>
      </w:r>
      <w:r w:rsidRPr="00C36A5B">
        <w:t xml:space="preserve"> - $1,150) </w:t>
      </w:r>
      <w:r w:rsidR="002D35F1" w:rsidRPr="002D35F1">
        <w:t>for</w:t>
      </w:r>
      <w:r w:rsidRPr="00C36A5B">
        <w:t xml:space="preserve"> water and </w:t>
      </w:r>
      <w:r w:rsidR="002D35F1" w:rsidRPr="002D35F1">
        <w:t>an increase of $1,106</w:t>
      </w:r>
      <w:r w:rsidRPr="00C36A5B">
        <w:t xml:space="preserve"> ($328 + </w:t>
      </w:r>
      <w:r w:rsidR="002D35F1" w:rsidRPr="002D35F1">
        <w:t>$1,068</w:t>
      </w:r>
      <w:r w:rsidRPr="00C36A5B">
        <w:t xml:space="preserve"> - $290) </w:t>
      </w:r>
      <w:r w:rsidR="002D35F1" w:rsidRPr="002D35F1">
        <w:t>for</w:t>
      </w:r>
      <w:r w:rsidRPr="00C36A5B">
        <w:t xml:space="preserve"> wastewater.</w:t>
      </w:r>
    </w:p>
    <w:p w:rsidR="00C36A5B" w:rsidRDefault="00C36A5B" w:rsidP="00217EB4">
      <w:pPr>
        <w:jc w:val="both"/>
      </w:pPr>
      <w:r>
        <w:tab/>
      </w:r>
      <w:r w:rsidRPr="00C36A5B">
        <w:t xml:space="preserve">As discussed in </w:t>
      </w:r>
      <w:r w:rsidR="00217EB4">
        <w:t>the Revenue Requirement section</w:t>
      </w:r>
      <w:r w:rsidRPr="00C36A5B">
        <w:t xml:space="preserve">, revenues have been increased by </w:t>
      </w:r>
      <w:r w:rsidR="002D35F1" w:rsidRPr="002D35F1">
        <w:t>$5,247</w:t>
      </w:r>
      <w:r w:rsidRPr="00C36A5B">
        <w:t xml:space="preserve"> for water and </w:t>
      </w:r>
      <w:r w:rsidR="002D35F1" w:rsidRPr="002D35F1">
        <w:t>$4,023</w:t>
      </w:r>
      <w:r w:rsidRPr="00C36A5B">
        <w:t xml:space="preserve"> for wastewater to reflect the change in revenue required to cover expenses and allow an opportunity to recover the operating margin on water and wastewater. As a result, TOTI sh</w:t>
      </w:r>
      <w:r w:rsidR="00217EB4">
        <w:t>all</w:t>
      </w:r>
      <w:r w:rsidRPr="00C36A5B">
        <w:t xml:space="preserve"> be increased by </w:t>
      </w:r>
      <w:r w:rsidR="002D35F1" w:rsidRPr="002D35F1">
        <w:t>$236</w:t>
      </w:r>
      <w:r w:rsidRPr="00C36A5B">
        <w:t xml:space="preserve"> for water and </w:t>
      </w:r>
      <w:r w:rsidR="002D35F1" w:rsidRPr="002D35F1">
        <w:t>$181</w:t>
      </w:r>
      <w:r w:rsidRPr="00C36A5B">
        <w:t xml:space="preserve"> for wastewater to reflect RAFs of 4.5 percent of the change in revenues. Therefore, </w:t>
      </w:r>
      <w:r w:rsidR="00217EB4">
        <w:t>we hereby approve a</w:t>
      </w:r>
      <w:r w:rsidRPr="00C36A5B">
        <w:t xml:space="preserve"> TOTI of </w:t>
      </w:r>
      <w:r w:rsidR="002D35F1" w:rsidRPr="002D35F1">
        <w:t>$3,619</w:t>
      </w:r>
      <w:r w:rsidRPr="00C36A5B">
        <w:t xml:space="preserve"> for water and </w:t>
      </w:r>
      <w:r w:rsidR="002D35F1" w:rsidRPr="002D35F1">
        <w:t>$4,021</w:t>
      </w:r>
      <w:r w:rsidRPr="00C36A5B">
        <w:t xml:space="preserve"> for wastewater.</w:t>
      </w:r>
    </w:p>
    <w:p w:rsidR="00217EB4" w:rsidRPr="00C36A5B" w:rsidRDefault="00217EB4" w:rsidP="00217EB4">
      <w:pPr>
        <w:jc w:val="both"/>
      </w:pPr>
    </w:p>
    <w:p w:rsidR="00C36A5B" w:rsidRDefault="00EE33A0" w:rsidP="00217EB4">
      <w:pPr>
        <w:jc w:val="both"/>
        <w:rPr>
          <w:i/>
        </w:rPr>
      </w:pPr>
      <w:r>
        <w:rPr>
          <w:i/>
        </w:rPr>
        <w:t>R. Conclusion</w:t>
      </w:r>
    </w:p>
    <w:p w:rsidR="00EE33A0" w:rsidRPr="00EE33A0" w:rsidRDefault="00EE33A0" w:rsidP="00217EB4">
      <w:pPr>
        <w:jc w:val="both"/>
        <w:rPr>
          <w:i/>
        </w:rPr>
      </w:pPr>
    </w:p>
    <w:p w:rsidR="00C36A5B" w:rsidRDefault="00C36A5B" w:rsidP="00217EB4">
      <w:pPr>
        <w:jc w:val="both"/>
      </w:pPr>
      <w:r>
        <w:tab/>
      </w:r>
      <w:r w:rsidRPr="00C36A5B">
        <w:t xml:space="preserve">The application of </w:t>
      </w:r>
      <w:r w:rsidR="00217EB4">
        <w:t>our approved</w:t>
      </w:r>
      <w:r w:rsidRPr="00C36A5B">
        <w:t xml:space="preserve"> adjustments to FIMC’s test year operating expenses results in operating expenses of </w:t>
      </w:r>
      <w:r w:rsidR="002D35F1" w:rsidRPr="002D35F1">
        <w:t>$43,563</w:t>
      </w:r>
      <w:r w:rsidRPr="00C36A5B">
        <w:t xml:space="preserve"> for water and </w:t>
      </w:r>
      <w:r w:rsidR="002D35F1" w:rsidRPr="002D35F1">
        <w:t>$51,958</w:t>
      </w:r>
      <w:r w:rsidRPr="00C36A5B">
        <w:t xml:space="preserve"> for wastewater. Operating expenses are shown on Schedule Nos. 3-A and 3-B. The adjustments are shown on Schedule No. 3-C.</w:t>
      </w:r>
    </w:p>
    <w:p w:rsidR="00217EB4" w:rsidRPr="00C36A5B" w:rsidRDefault="00217EB4" w:rsidP="00217EB4">
      <w:pPr>
        <w:jc w:val="both"/>
      </w:pPr>
    </w:p>
    <w:p w:rsidR="00C36A5B" w:rsidRPr="00EE33A0" w:rsidRDefault="00EE33A0" w:rsidP="00C36A5B">
      <w:pPr>
        <w:spacing w:after="240"/>
        <w:jc w:val="both"/>
        <w:rPr>
          <w:u w:val="single"/>
        </w:rPr>
      </w:pPr>
      <w:r>
        <w:rPr>
          <w:bCs/>
          <w:kern w:val="32"/>
          <w:szCs w:val="32"/>
          <w:u w:val="single"/>
        </w:rPr>
        <w:lastRenderedPageBreak/>
        <w:t>7. Operating Ratio Methodology</w:t>
      </w:r>
    </w:p>
    <w:p w:rsidR="00C36A5B" w:rsidRPr="00C36A5B" w:rsidRDefault="00C36A5B" w:rsidP="00EE33A0">
      <w:pPr>
        <w:spacing w:after="240"/>
        <w:ind w:firstLine="720"/>
        <w:jc w:val="both"/>
        <w:rPr>
          <w:bCs/>
        </w:rPr>
      </w:pPr>
      <w:r w:rsidRPr="00C36A5B">
        <w:rPr>
          <w:bCs/>
        </w:rPr>
        <w:t>Section 367.0</w:t>
      </w:r>
      <w:r w:rsidR="00217EB4">
        <w:rPr>
          <w:bCs/>
        </w:rPr>
        <w:t>814(9), F.S., provides that this</w:t>
      </w:r>
      <w:r w:rsidRPr="00C36A5B">
        <w:rPr>
          <w:bCs/>
        </w:rPr>
        <w:t xml:space="preserve"> Commission may, by rule, establish standards and procedures for setting rates and charges of small utilities using criteria other than those set forth in Sections 367.081(1), (2)(a), and (3), F.S. Rule 25-30.456, F.A.C., provides an alternative to a staff-assisted rate case as described in Rule 25-30.455, F.A.C. As an alternative, utilities with total gross annual operating revenue of $275,000 or </w:t>
      </w:r>
      <w:r w:rsidR="00217EB4">
        <w:rPr>
          <w:bCs/>
        </w:rPr>
        <w:t>less per system may petition this</w:t>
      </w:r>
      <w:r w:rsidRPr="00C36A5B">
        <w:rPr>
          <w:bCs/>
        </w:rPr>
        <w:t xml:space="preserve"> Commission for staff assistance using alternative rate setting.</w:t>
      </w:r>
      <w:r w:rsidRPr="00C36A5B">
        <w:rPr>
          <w:bCs/>
          <w:vertAlign w:val="superscript"/>
        </w:rPr>
        <w:footnoteReference w:id="27"/>
      </w:r>
      <w:r w:rsidRPr="00C36A5B">
        <w:rPr>
          <w:bCs/>
        </w:rPr>
        <w:t xml:space="preserve">  </w:t>
      </w:r>
    </w:p>
    <w:p w:rsidR="00C36A5B" w:rsidRPr="00C36A5B" w:rsidRDefault="00805898" w:rsidP="00C36A5B">
      <w:pPr>
        <w:spacing w:after="240"/>
        <w:jc w:val="both"/>
        <w:rPr>
          <w:bCs/>
        </w:rPr>
      </w:pPr>
      <w:r>
        <w:rPr>
          <w:bCs/>
        </w:rPr>
        <w:tab/>
      </w:r>
      <w:r w:rsidR="00217EB4">
        <w:rPr>
          <w:bCs/>
        </w:rPr>
        <w:t>FIMC did not petition this</w:t>
      </w:r>
      <w:r w:rsidR="00C36A5B" w:rsidRPr="00C36A5B">
        <w:rPr>
          <w:bCs/>
        </w:rPr>
        <w:t xml:space="preserve"> Commission for alternative rate setting under the aforementioned rule, but </w:t>
      </w:r>
      <w:r w:rsidR="00217EB4">
        <w:rPr>
          <w:bCs/>
        </w:rPr>
        <w:t>we shall</w:t>
      </w:r>
      <w:r w:rsidR="00C36A5B" w:rsidRPr="00C36A5B">
        <w:rPr>
          <w:bCs/>
        </w:rPr>
        <w:t xml:space="preserve"> employ the operating ratio methodology to set wastewater rates in this case. The operating ratio methodology is an alternative to the traditional calculation of revenue requirements. Under this methodology, instead of applying a return on the utility’s rate base, the revenue requirement is based on FIMC’s O&amp;M expenses plus a margin. This methodology has been applied in cases in which the traditional calculation of the revenue requirement would not provide sufficient revenue to protect against potential variances in revenues and expenses.</w:t>
      </w:r>
    </w:p>
    <w:p w:rsidR="00C36A5B" w:rsidRPr="00C36A5B" w:rsidRDefault="00805898" w:rsidP="00C36A5B">
      <w:pPr>
        <w:spacing w:after="240"/>
        <w:jc w:val="both"/>
        <w:rPr>
          <w:bCs/>
        </w:rPr>
      </w:pPr>
      <w:r>
        <w:rPr>
          <w:bCs/>
        </w:rPr>
        <w:tab/>
      </w:r>
      <w:r w:rsidR="00C36A5B" w:rsidRPr="00C36A5B">
        <w:rPr>
          <w:bCs/>
        </w:rPr>
        <w:t>By Order No. PSC-96-0357-FOF-WU,</w:t>
      </w:r>
      <w:r w:rsidR="00C36A5B" w:rsidRPr="00C36A5B">
        <w:rPr>
          <w:bCs/>
          <w:vertAlign w:val="superscript"/>
        </w:rPr>
        <w:footnoteReference w:id="28"/>
      </w:r>
      <w:r w:rsidR="00217EB4">
        <w:rPr>
          <w:bCs/>
        </w:rPr>
        <w:t xml:space="preserve"> this</w:t>
      </w:r>
      <w:r w:rsidR="00C36A5B" w:rsidRPr="00C36A5B">
        <w:rPr>
          <w:bCs/>
        </w:rPr>
        <w:t xml:space="preserve"> Commission, for the first time, utilized the operating ratio methodology as an alternative means for setting rates. This order also established criteria to determine the use of the operating ratio methodology and a guideline margin of 10 percent of O&amp;M expense. This criterion was applied again in Order No. PSC-97-0130-FOF-SU.</w:t>
      </w:r>
      <w:r w:rsidR="00C36A5B" w:rsidRPr="00C36A5B">
        <w:rPr>
          <w:bCs/>
          <w:vertAlign w:val="superscript"/>
        </w:rPr>
        <w:footnoteReference w:id="29"/>
      </w:r>
      <w:r w:rsidR="00C36A5B" w:rsidRPr="00C36A5B">
        <w:rPr>
          <w:bCs/>
        </w:rPr>
        <w:t xml:space="preserve"> Recently, </w:t>
      </w:r>
      <w:r w:rsidR="00217EB4">
        <w:rPr>
          <w:bCs/>
        </w:rPr>
        <w:t>we</w:t>
      </w:r>
      <w:r w:rsidR="00C36A5B" w:rsidRPr="00C36A5B">
        <w:rPr>
          <w:bCs/>
        </w:rPr>
        <w:t xml:space="preserve"> approved the operating ratio methodology for setting rates in Order No. PSC-2017-0459-PAA-WS.</w:t>
      </w:r>
      <w:r w:rsidR="00C36A5B" w:rsidRPr="00C36A5B">
        <w:rPr>
          <w:bCs/>
          <w:vertAlign w:val="superscript"/>
        </w:rPr>
        <w:footnoteReference w:id="30"/>
      </w:r>
      <w:r w:rsidR="00C36A5B" w:rsidRPr="00C36A5B">
        <w:rPr>
          <w:bCs/>
        </w:rPr>
        <w:t xml:space="preserve">  </w:t>
      </w:r>
    </w:p>
    <w:p w:rsidR="00C36A5B" w:rsidRPr="00C36A5B" w:rsidRDefault="00805898" w:rsidP="00C36A5B">
      <w:pPr>
        <w:spacing w:after="240"/>
        <w:jc w:val="both"/>
        <w:rPr>
          <w:bCs/>
        </w:rPr>
      </w:pPr>
      <w:r>
        <w:rPr>
          <w:bCs/>
        </w:rPr>
        <w:tab/>
      </w:r>
      <w:r w:rsidR="00C36A5B" w:rsidRPr="00C36A5B">
        <w:rPr>
          <w:bCs/>
        </w:rPr>
        <w:t>By O</w:t>
      </w:r>
      <w:r w:rsidR="00217EB4">
        <w:rPr>
          <w:bCs/>
        </w:rPr>
        <w:t>rder No. PSC-96-0357-FOF-WU, this</w:t>
      </w:r>
      <w:r w:rsidR="00C36A5B" w:rsidRPr="00C36A5B">
        <w:rPr>
          <w:bCs/>
        </w:rPr>
        <w:t xml:space="preserve"> Commission established criteria to determine whether to utilize the operating ratio methodology for those utilities with low or non-existent rate base. The qualifying criteria established by Order No. PSC-96-0357-FOF-WU and how they apply to the utility are discussed below:</w:t>
      </w:r>
    </w:p>
    <w:p w:rsidR="00C36A5B" w:rsidRPr="00C36A5B" w:rsidRDefault="00C36A5B" w:rsidP="00C36A5B">
      <w:pPr>
        <w:numPr>
          <w:ilvl w:val="0"/>
          <w:numId w:val="1"/>
        </w:numPr>
        <w:spacing w:after="240"/>
        <w:jc w:val="both"/>
        <w:outlineLvl w:val="0"/>
        <w:rPr>
          <w:bCs/>
          <w:kern w:val="32"/>
          <w:szCs w:val="32"/>
        </w:rPr>
      </w:pPr>
      <w:r w:rsidRPr="00C36A5B">
        <w:rPr>
          <w:bCs/>
          <w:kern w:val="32"/>
          <w:szCs w:val="32"/>
          <w:u w:val="single"/>
        </w:rPr>
        <w:t>Whether the utility’s O&amp;M expense exceeds rate base</w:t>
      </w:r>
      <w:r w:rsidRPr="00C36A5B">
        <w:rPr>
          <w:bCs/>
          <w:kern w:val="32"/>
          <w:szCs w:val="32"/>
        </w:rPr>
        <w:t xml:space="preserve">. The operating ratio method substitutes O&amp;M expense for rate base in calculating the amount of return. A utility generally would not benefit from the operating ratio method if rate base exceeds O&amp;M expense. In the instant case, rate base is less than the level of O&amp;M expense. The utility’s primary risk resides with covering its operating expense. Based on </w:t>
      </w:r>
      <w:r w:rsidR="00217EB4">
        <w:rPr>
          <w:bCs/>
          <w:kern w:val="32"/>
          <w:szCs w:val="32"/>
        </w:rPr>
        <w:t>our findings</w:t>
      </w:r>
      <w:r w:rsidRPr="00C36A5B">
        <w:rPr>
          <w:bCs/>
          <w:kern w:val="32"/>
          <w:szCs w:val="32"/>
        </w:rPr>
        <w:t>, the adjusted wastewater rate base for the test year is $7,935, while adjusted O&amp;M expenses are $45,693.</w:t>
      </w:r>
    </w:p>
    <w:p w:rsidR="00C36A5B" w:rsidRPr="00C36A5B" w:rsidRDefault="00C36A5B" w:rsidP="002D35F1">
      <w:pPr>
        <w:numPr>
          <w:ilvl w:val="0"/>
          <w:numId w:val="1"/>
        </w:numPr>
        <w:spacing w:after="240"/>
        <w:jc w:val="both"/>
        <w:outlineLvl w:val="0"/>
        <w:rPr>
          <w:bCs/>
          <w:kern w:val="32"/>
          <w:szCs w:val="32"/>
        </w:rPr>
      </w:pPr>
      <w:r w:rsidRPr="00C36A5B">
        <w:rPr>
          <w:bCs/>
          <w:kern w:val="32"/>
          <w:szCs w:val="32"/>
          <w:u w:val="single"/>
        </w:rPr>
        <w:lastRenderedPageBreak/>
        <w:t>Whether the utility is expected to become a Class B utility in the foreseeable future</w:t>
      </w:r>
      <w:r w:rsidRPr="00C36A5B">
        <w:rPr>
          <w:bCs/>
          <w:kern w:val="32"/>
          <w:szCs w:val="32"/>
        </w:rPr>
        <w:t xml:space="preserve">. Pursuant to Section 367.0814(9), F.S., the alternative form of regulation being considered in this case only applies to small utilities with gross annual revenue of $275,000 or less per systems. FIMC is a Class C utility and the recommended revenue requirement of </w:t>
      </w:r>
      <w:r w:rsidR="002D35F1" w:rsidRPr="002D35F1">
        <w:rPr>
          <w:bCs/>
          <w:kern w:val="32"/>
          <w:szCs w:val="32"/>
        </w:rPr>
        <w:t>$56,527</w:t>
      </w:r>
      <w:r w:rsidRPr="00C36A5B">
        <w:rPr>
          <w:bCs/>
          <w:kern w:val="32"/>
          <w:szCs w:val="32"/>
        </w:rPr>
        <w:t xml:space="preserve"> for wastewater is substantially below the threshold level for Class B status ($200,000 per system). The utility’s service area has not had any significant growth in the last five years. Therefore, it appears the utility will not become a Class B utility in the foreseeable future.</w:t>
      </w:r>
    </w:p>
    <w:p w:rsidR="00C36A5B" w:rsidRPr="00C36A5B" w:rsidRDefault="00C36A5B" w:rsidP="00C36A5B">
      <w:pPr>
        <w:numPr>
          <w:ilvl w:val="0"/>
          <w:numId w:val="1"/>
        </w:numPr>
        <w:spacing w:after="240"/>
        <w:jc w:val="both"/>
        <w:outlineLvl w:val="0"/>
        <w:rPr>
          <w:bCs/>
          <w:kern w:val="32"/>
          <w:szCs w:val="32"/>
        </w:rPr>
      </w:pPr>
      <w:r w:rsidRPr="00C36A5B">
        <w:rPr>
          <w:bCs/>
          <w:kern w:val="32"/>
          <w:szCs w:val="32"/>
          <w:u w:val="single"/>
        </w:rPr>
        <w:t>Quality of service and condition of plant</w:t>
      </w:r>
      <w:r w:rsidRPr="00C36A5B">
        <w:rPr>
          <w:bCs/>
          <w:kern w:val="32"/>
          <w:szCs w:val="32"/>
        </w:rPr>
        <w:t xml:space="preserve">. As discussed in </w:t>
      </w:r>
      <w:r w:rsidR="00217EB4">
        <w:rPr>
          <w:bCs/>
          <w:kern w:val="32"/>
          <w:szCs w:val="32"/>
        </w:rPr>
        <w:t>the Quality of Service section</w:t>
      </w:r>
      <w:r w:rsidRPr="00C36A5B">
        <w:rPr>
          <w:bCs/>
          <w:kern w:val="32"/>
          <w:szCs w:val="32"/>
        </w:rPr>
        <w:t xml:space="preserve">, </w:t>
      </w:r>
      <w:r w:rsidR="00217EB4">
        <w:rPr>
          <w:bCs/>
          <w:kern w:val="32"/>
          <w:szCs w:val="32"/>
        </w:rPr>
        <w:t>we found</w:t>
      </w:r>
      <w:r w:rsidRPr="00C36A5B">
        <w:rPr>
          <w:bCs/>
          <w:kern w:val="32"/>
          <w:szCs w:val="32"/>
        </w:rPr>
        <w:t xml:space="preserve"> the quality of service </w:t>
      </w:r>
      <w:r w:rsidR="00217EB4">
        <w:rPr>
          <w:bCs/>
          <w:kern w:val="32"/>
          <w:szCs w:val="32"/>
        </w:rPr>
        <w:t xml:space="preserve">to be </w:t>
      </w:r>
      <w:r w:rsidRPr="00C36A5B">
        <w:rPr>
          <w:bCs/>
          <w:kern w:val="32"/>
          <w:szCs w:val="32"/>
        </w:rPr>
        <w:t>marginal until the utility can sufficiently demonstrate that it meets DEP’s secondary water standards.</w:t>
      </w:r>
    </w:p>
    <w:p w:rsidR="00C36A5B" w:rsidRPr="00C36A5B" w:rsidRDefault="00C36A5B" w:rsidP="00C36A5B">
      <w:pPr>
        <w:numPr>
          <w:ilvl w:val="0"/>
          <w:numId w:val="1"/>
        </w:numPr>
        <w:spacing w:after="240"/>
        <w:jc w:val="both"/>
        <w:outlineLvl w:val="0"/>
        <w:rPr>
          <w:bCs/>
          <w:kern w:val="32"/>
          <w:szCs w:val="32"/>
        </w:rPr>
      </w:pPr>
      <w:r w:rsidRPr="00C36A5B">
        <w:rPr>
          <w:bCs/>
          <w:kern w:val="32"/>
          <w:szCs w:val="32"/>
          <w:u w:val="single"/>
        </w:rPr>
        <w:t>Whether the utility is developer-owned</w:t>
      </w:r>
      <w:r w:rsidRPr="00C36A5B">
        <w:rPr>
          <w:bCs/>
          <w:kern w:val="32"/>
          <w:szCs w:val="32"/>
        </w:rPr>
        <w:t>. The current utility owner is not a developer.</w:t>
      </w:r>
    </w:p>
    <w:p w:rsidR="00C36A5B" w:rsidRPr="00C36A5B" w:rsidRDefault="00C36A5B" w:rsidP="00C36A5B">
      <w:pPr>
        <w:numPr>
          <w:ilvl w:val="0"/>
          <w:numId w:val="1"/>
        </w:numPr>
        <w:spacing w:after="240"/>
        <w:jc w:val="both"/>
        <w:outlineLvl w:val="0"/>
        <w:rPr>
          <w:bCs/>
          <w:kern w:val="32"/>
          <w:szCs w:val="32"/>
        </w:rPr>
      </w:pPr>
      <w:r w:rsidRPr="00C36A5B">
        <w:rPr>
          <w:bCs/>
          <w:kern w:val="32"/>
          <w:szCs w:val="32"/>
          <w:u w:val="single"/>
        </w:rPr>
        <w:t>Whether the utility operates treatment facilities or is simply a distribution and/or collection system</w:t>
      </w:r>
      <w:r w:rsidRPr="00C36A5B">
        <w:rPr>
          <w:bCs/>
          <w:kern w:val="32"/>
          <w:szCs w:val="32"/>
        </w:rPr>
        <w:t>. The issue is whether or not purchased water and/or wastewater costs sh</w:t>
      </w:r>
      <w:r w:rsidR="00217EB4">
        <w:rPr>
          <w:bCs/>
          <w:kern w:val="32"/>
          <w:szCs w:val="32"/>
        </w:rPr>
        <w:t>all</w:t>
      </w:r>
      <w:r w:rsidRPr="00C36A5B">
        <w:rPr>
          <w:bCs/>
          <w:kern w:val="32"/>
          <w:szCs w:val="32"/>
        </w:rPr>
        <w:t xml:space="preserve"> be excluded in the computation of the operating margin. FIMC operates the water and wastewater treatment plants.</w:t>
      </w:r>
    </w:p>
    <w:p w:rsidR="00805898" w:rsidRPr="008F395B" w:rsidRDefault="00805898" w:rsidP="00EE33A0">
      <w:pPr>
        <w:pStyle w:val="BodyText"/>
        <w:ind w:firstLine="720"/>
        <w:jc w:val="both"/>
        <w:rPr>
          <w:bCs/>
        </w:rPr>
      </w:pPr>
      <w:r w:rsidRPr="008F395B">
        <w:rPr>
          <w:bCs/>
        </w:rPr>
        <w:t xml:space="preserve">Based on </w:t>
      </w:r>
      <w:r w:rsidR="00217EB4">
        <w:rPr>
          <w:bCs/>
        </w:rPr>
        <w:t>our</w:t>
      </w:r>
      <w:r w:rsidRPr="008F395B">
        <w:rPr>
          <w:bCs/>
        </w:rPr>
        <w:t xml:space="preserve"> revie</w:t>
      </w:r>
      <w:r>
        <w:rPr>
          <w:bCs/>
        </w:rPr>
        <w:t>w of the u</w:t>
      </w:r>
      <w:r w:rsidRPr="008F395B">
        <w:rPr>
          <w:bCs/>
        </w:rPr>
        <w:t xml:space="preserve">tility’s situation relative to the above criteria, </w:t>
      </w:r>
      <w:r w:rsidR="00217EB4">
        <w:rPr>
          <w:bCs/>
        </w:rPr>
        <w:t>we find</w:t>
      </w:r>
      <w:r w:rsidRPr="008F395B">
        <w:rPr>
          <w:bCs/>
        </w:rPr>
        <w:t xml:space="preserve"> that FIMC is a viable candidate for the operating ratio methodology.</w:t>
      </w:r>
    </w:p>
    <w:p w:rsidR="00805898" w:rsidRPr="008F395B" w:rsidRDefault="00805898" w:rsidP="00EE33A0">
      <w:pPr>
        <w:pStyle w:val="BodyText"/>
        <w:ind w:firstLine="720"/>
        <w:jc w:val="both"/>
        <w:rPr>
          <w:bCs/>
        </w:rPr>
      </w:pPr>
      <w:r>
        <w:rPr>
          <w:bCs/>
        </w:rPr>
        <w:t>By Order Nos. PSC-96-0357-FOF-WU and PSC-97-0130-FOF-S</w:t>
      </w:r>
      <w:r w:rsidRPr="008F395B">
        <w:rPr>
          <w:bCs/>
        </w:rPr>
        <w:t xml:space="preserve">U, </w:t>
      </w:r>
      <w:r w:rsidR="00217EB4">
        <w:rPr>
          <w:bCs/>
        </w:rPr>
        <w:t>we</w:t>
      </w:r>
      <w:r w:rsidRPr="008F395B">
        <w:rPr>
          <w:bCs/>
        </w:rPr>
        <w:t xml:space="preserve"> determined that a margin of 10 percent shall be used unless unique circumstances justify the use of a greater or lesser margin. The important question is not what the return percentage should be, but what level of o</w:t>
      </w:r>
      <w:r>
        <w:rPr>
          <w:bCs/>
        </w:rPr>
        <w:t>perating margin will allow the u</w:t>
      </w:r>
      <w:r w:rsidRPr="008F395B">
        <w:rPr>
          <w:bCs/>
        </w:rPr>
        <w:t>tility to provide safe and reliable service and remain a viable entity. The answer to this question requires a great deal of judgment based upon the p</w:t>
      </w:r>
      <w:r>
        <w:rPr>
          <w:bCs/>
        </w:rPr>
        <w:t>articular circumstances of the u</w:t>
      </w:r>
      <w:r w:rsidRPr="008F395B">
        <w:rPr>
          <w:bCs/>
        </w:rPr>
        <w:t>tility.</w:t>
      </w:r>
    </w:p>
    <w:p w:rsidR="00805898" w:rsidRPr="008F395B" w:rsidRDefault="00805898" w:rsidP="00EE33A0">
      <w:pPr>
        <w:pStyle w:val="BodyText"/>
        <w:ind w:firstLine="720"/>
        <w:jc w:val="both"/>
        <w:rPr>
          <w:bCs/>
        </w:rPr>
      </w:pPr>
      <w:r w:rsidRPr="008F395B">
        <w:rPr>
          <w:bCs/>
        </w:rPr>
        <w:t>Several factors must be considered in determining the reasonableness of a margin. First, the margin must provide</w:t>
      </w:r>
      <w:r>
        <w:rPr>
          <w:bCs/>
        </w:rPr>
        <w:t xml:space="preserve"> sufficient revenue for the u</w:t>
      </w:r>
      <w:r w:rsidRPr="008F395B">
        <w:rPr>
          <w:bCs/>
        </w:rPr>
        <w:t>tility to cover its interest expense. FIMC’s interest expense is not a concern in this case.</w:t>
      </w:r>
    </w:p>
    <w:p w:rsidR="00805898" w:rsidRPr="008F395B" w:rsidRDefault="00805898" w:rsidP="00EE33A0">
      <w:pPr>
        <w:pStyle w:val="BodyText"/>
        <w:ind w:firstLine="720"/>
        <w:jc w:val="both"/>
        <w:rPr>
          <w:bCs/>
        </w:rPr>
      </w:pPr>
      <w:r w:rsidRPr="008F395B">
        <w:rPr>
          <w:bCs/>
        </w:rPr>
        <w:t>Second, the operating ratio method recognizes that a major issue for small utilities is cash flow; therefore, the operating ratio method focuses more on cash flow than on invest</w:t>
      </w:r>
      <w:r>
        <w:rPr>
          <w:bCs/>
        </w:rPr>
        <w:t>ment. In the instant case, the u</w:t>
      </w:r>
      <w:r w:rsidRPr="008F395B">
        <w:rPr>
          <w:bCs/>
        </w:rPr>
        <w:t>tility</w:t>
      </w:r>
      <w:r>
        <w:rPr>
          <w:bCs/>
        </w:rPr>
        <w:t>’</w:t>
      </w:r>
      <w:r w:rsidRPr="008F395B">
        <w:rPr>
          <w:bCs/>
        </w:rPr>
        <w:t xml:space="preserve">s primary risk resides with covering its operating expense. A traditional calculation of the revenue requirement may not provide sufficient revenue to protect against potential variances in revenues and expenses. Under the rate base methodology, the return to FIMC would be $740 for wastewater. </w:t>
      </w:r>
      <w:r w:rsidR="00217EB4">
        <w:rPr>
          <w:bCs/>
        </w:rPr>
        <w:t>We find that</w:t>
      </w:r>
      <w:r w:rsidRPr="008F395B">
        <w:rPr>
          <w:bCs/>
        </w:rPr>
        <w:t xml:space="preserve"> this would</w:t>
      </w:r>
      <w:r w:rsidR="00217EB4">
        <w:rPr>
          <w:bCs/>
        </w:rPr>
        <w:t xml:space="preserve"> not</w:t>
      </w:r>
      <w:r w:rsidRPr="008F395B">
        <w:rPr>
          <w:bCs/>
        </w:rPr>
        <w:t xml:space="preserve"> provide the necessary financial cushion to successfully operate this utility.</w:t>
      </w:r>
    </w:p>
    <w:p w:rsidR="00805898" w:rsidRPr="00805898" w:rsidRDefault="00805898" w:rsidP="00EE33A0">
      <w:pPr>
        <w:spacing w:after="240"/>
        <w:jc w:val="both"/>
        <w:rPr>
          <w:bCs/>
        </w:rPr>
      </w:pPr>
      <w:r>
        <w:rPr>
          <w:bCs/>
        </w:rPr>
        <w:tab/>
      </w:r>
      <w:r w:rsidRPr="00805898">
        <w:rPr>
          <w:bCs/>
        </w:rPr>
        <w:t xml:space="preserve">Third, if the return on rate base method was applied, FIMC could be left with insufficient funds to cover operating expenses in the event revenues or expenses vary from </w:t>
      </w:r>
      <w:r w:rsidR="00217EB4">
        <w:rPr>
          <w:bCs/>
        </w:rPr>
        <w:t>our</w:t>
      </w:r>
      <w:r w:rsidRPr="00805898">
        <w:rPr>
          <w:bCs/>
        </w:rPr>
        <w:t xml:space="preserve"> estimates. Therefore, the margin sh</w:t>
      </w:r>
      <w:r w:rsidR="00217EB4">
        <w:rPr>
          <w:bCs/>
        </w:rPr>
        <w:t>all</w:t>
      </w:r>
      <w:r w:rsidRPr="00805898">
        <w:rPr>
          <w:bCs/>
        </w:rPr>
        <w:t xml:space="preserve"> provide adequate revenue to protect against potential variability in revenues and expenses. If the utility’s operating expenses increase or revenues decrease, FIMC may not have the funds required for day-to-day operations. Using a 10 percent margin in this </w:t>
      </w:r>
      <w:r w:rsidRPr="00805898">
        <w:rPr>
          <w:bCs/>
        </w:rPr>
        <w:lastRenderedPageBreak/>
        <w:t xml:space="preserve">docket produces an operating margin of $4,569. As such, </w:t>
      </w:r>
      <w:r w:rsidR="00217EB4">
        <w:rPr>
          <w:bCs/>
        </w:rPr>
        <w:t>we hereby find it appropriate to use</w:t>
      </w:r>
      <w:r w:rsidRPr="00805898">
        <w:rPr>
          <w:bCs/>
        </w:rPr>
        <w:t xml:space="preserve"> a 10 percent margin for wastewater in this case.</w:t>
      </w:r>
    </w:p>
    <w:p w:rsidR="00805898" w:rsidRPr="00805898" w:rsidRDefault="00805898" w:rsidP="00EE33A0">
      <w:pPr>
        <w:spacing w:after="240"/>
        <w:jc w:val="both"/>
      </w:pPr>
      <w:r>
        <w:rPr>
          <w:bCs/>
        </w:rPr>
        <w:tab/>
      </w:r>
      <w:r w:rsidRPr="00805898">
        <w:rPr>
          <w:bCs/>
        </w:rPr>
        <w:t xml:space="preserve">In conclusion, </w:t>
      </w:r>
      <w:r w:rsidR="00217EB4">
        <w:rPr>
          <w:bCs/>
        </w:rPr>
        <w:t>we find that</w:t>
      </w:r>
      <w:r w:rsidRPr="00805898">
        <w:rPr>
          <w:bCs/>
        </w:rPr>
        <w:t xml:space="preserve"> the above factors show that the utility needs a higher margin of revenue over operating expenses than the traditional return on rate base method would allow. Therefore, in order to provide FIMC with adequate cash flow to provide some assurance of safe and reliable service, the operating ratio methodology</w:t>
      </w:r>
      <w:r w:rsidR="00217EB4">
        <w:rPr>
          <w:bCs/>
        </w:rPr>
        <w:t xml:space="preserve"> shall be applied</w:t>
      </w:r>
      <w:r w:rsidRPr="00805898">
        <w:rPr>
          <w:bCs/>
        </w:rPr>
        <w:t xml:space="preserve"> at a margin of 10 percent of O&amp;M expense for determining the wastewater revenue requirement</w:t>
      </w:r>
      <w:r w:rsidRPr="00805898">
        <w:t>.</w:t>
      </w:r>
    </w:p>
    <w:p w:rsidR="00805898" w:rsidRPr="00FA27F8" w:rsidRDefault="00FA27F8" w:rsidP="00805898">
      <w:pPr>
        <w:spacing w:after="240"/>
        <w:jc w:val="both"/>
        <w:rPr>
          <w:u w:val="single"/>
        </w:rPr>
      </w:pPr>
      <w:r>
        <w:rPr>
          <w:bCs/>
          <w:kern w:val="32"/>
          <w:szCs w:val="32"/>
          <w:u w:val="single"/>
        </w:rPr>
        <w:t>8. Revenue Requirement</w:t>
      </w:r>
    </w:p>
    <w:p w:rsidR="00805898" w:rsidRPr="00805898" w:rsidRDefault="00805898" w:rsidP="008150E3">
      <w:pPr>
        <w:ind w:firstLine="720"/>
        <w:jc w:val="both"/>
      </w:pPr>
      <w:r w:rsidRPr="00805898">
        <w:t>FIMC sh</w:t>
      </w:r>
      <w:r w:rsidR="00217EB4">
        <w:t>all</w:t>
      </w:r>
      <w:r w:rsidRPr="00805898">
        <w:t xml:space="preserve"> be allowed an annual increase of </w:t>
      </w:r>
      <w:r w:rsidR="002D35F1" w:rsidRPr="002D35F1">
        <w:t>$5,247</w:t>
      </w:r>
      <w:r w:rsidRPr="00805898">
        <w:t xml:space="preserve"> for water (</w:t>
      </w:r>
      <w:r w:rsidR="002D35F1" w:rsidRPr="002D35F1">
        <w:t>12.59</w:t>
      </w:r>
      <w:r w:rsidRPr="00805898">
        <w:t xml:space="preserve"> percent) and </w:t>
      </w:r>
      <w:r w:rsidR="002D35F1" w:rsidRPr="002D35F1">
        <w:t>$4,023</w:t>
      </w:r>
      <w:r w:rsidRPr="00805898">
        <w:t xml:space="preserve"> for wastewater (</w:t>
      </w:r>
      <w:r w:rsidR="002D35F1" w:rsidRPr="002D35F1">
        <w:t>7.66</w:t>
      </w:r>
      <w:r w:rsidRPr="00805898">
        <w:t xml:space="preserve"> percent). </w:t>
      </w:r>
      <w:r w:rsidR="00FA27F8" w:rsidRPr="00FA27F8">
        <w:t xml:space="preserve">The appropriate revenue requirement is $46,927 </w:t>
      </w:r>
      <w:r w:rsidR="00022C0C">
        <w:t>for water and $56,52</w:t>
      </w:r>
      <w:r w:rsidR="00FA27F8">
        <w:t>7</w:t>
      </w:r>
      <w:r w:rsidR="00FA27F8" w:rsidRPr="00FA27F8">
        <w:t xml:space="preserve"> for wastewater</w:t>
      </w:r>
      <w:r w:rsidR="00FA27F8">
        <w:t>.</w:t>
      </w:r>
      <w:r w:rsidR="00FA27F8" w:rsidRPr="00FA27F8">
        <w:t xml:space="preserve"> </w:t>
      </w:r>
      <w:r w:rsidRPr="00805898">
        <w:t xml:space="preserve">This will allow the utility the opportunity to recover its expenses, and earn a 9.33 percent return on its water system investment and a 10 percent margin over its wastewater O&amp;M expenses. The calculations are shown below, in Tables 8 and </w:t>
      </w:r>
      <w:r w:rsidR="00217EB4">
        <w:t>9</w:t>
      </w:r>
      <w:r w:rsidRPr="00805898">
        <w:t xml:space="preserve"> for water and wastewater, respectively:</w:t>
      </w:r>
    </w:p>
    <w:p w:rsidR="00C36A5B" w:rsidRDefault="00C36A5B" w:rsidP="00C36A5B">
      <w:pPr>
        <w:jc w:val="both"/>
      </w:pPr>
    </w:p>
    <w:p w:rsidR="00805898" w:rsidRPr="00FA27F8" w:rsidRDefault="00805898" w:rsidP="00805898">
      <w:pPr>
        <w:jc w:val="center"/>
        <w:rPr>
          <w:b/>
        </w:rPr>
      </w:pPr>
      <w:r w:rsidRPr="00FA27F8">
        <w:rPr>
          <w:b/>
        </w:rPr>
        <w:t xml:space="preserve">Table </w:t>
      </w:r>
      <w:r w:rsidR="00FA27F8" w:rsidRPr="00FA27F8">
        <w:rPr>
          <w:b/>
        </w:rPr>
        <w:t>8</w:t>
      </w:r>
    </w:p>
    <w:p w:rsidR="00805898" w:rsidRPr="00FA27F8" w:rsidRDefault="00805898" w:rsidP="00805898">
      <w:pPr>
        <w:jc w:val="center"/>
        <w:rPr>
          <w:b/>
        </w:rPr>
      </w:pPr>
      <w:r w:rsidRPr="00FA27F8">
        <w:rPr>
          <w:b/>
        </w:rPr>
        <w:t>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3681"/>
        <w:gridCol w:w="791"/>
        <w:gridCol w:w="1231"/>
      </w:tblGrid>
      <w:tr w:rsidR="00805898" w:rsidRPr="00805898" w:rsidTr="00445218">
        <w:trPr>
          <w:cantSplit/>
          <w:jc w:val="center"/>
        </w:trPr>
        <w:tc>
          <w:tcPr>
            <w:tcW w:w="3681" w:type="dxa"/>
            <w:tcBorders>
              <w:top w:val="single" w:sz="4" w:space="0" w:color="auto"/>
              <w:left w:val="single" w:sz="4" w:space="0" w:color="auto"/>
              <w:bottom w:val="nil"/>
              <w:right w:val="nil"/>
            </w:tcBorders>
            <w:hideMark/>
          </w:tcPr>
          <w:p w:rsidR="00805898" w:rsidRPr="00805898" w:rsidRDefault="00805898" w:rsidP="00805898">
            <w:pPr>
              <w:spacing w:before="116" w:after="44"/>
            </w:pPr>
            <w:r w:rsidRPr="00805898">
              <w:t>Adjusted Rate Base</w:t>
            </w:r>
          </w:p>
        </w:tc>
        <w:tc>
          <w:tcPr>
            <w:tcW w:w="791" w:type="dxa"/>
            <w:tcBorders>
              <w:top w:val="single" w:sz="4" w:space="0" w:color="auto"/>
              <w:left w:val="nil"/>
              <w:bottom w:val="nil"/>
              <w:right w:val="nil"/>
            </w:tcBorders>
          </w:tcPr>
          <w:p w:rsidR="00805898" w:rsidRPr="00805898" w:rsidRDefault="00805898" w:rsidP="00805898">
            <w:pPr>
              <w:spacing w:before="116" w:after="44"/>
              <w:jc w:val="center"/>
            </w:pPr>
          </w:p>
        </w:tc>
        <w:tc>
          <w:tcPr>
            <w:tcW w:w="1231" w:type="dxa"/>
            <w:tcBorders>
              <w:top w:val="single" w:sz="4" w:space="0" w:color="auto"/>
              <w:left w:val="nil"/>
              <w:bottom w:val="nil"/>
              <w:right w:val="single" w:sz="4" w:space="0" w:color="auto"/>
            </w:tcBorders>
            <w:hideMark/>
          </w:tcPr>
          <w:p w:rsidR="00805898" w:rsidRPr="00805898" w:rsidRDefault="00805898" w:rsidP="00805898">
            <w:pPr>
              <w:spacing w:before="116" w:after="44"/>
              <w:jc w:val="right"/>
            </w:pPr>
            <w:r w:rsidRPr="00805898">
              <w:t>$36,054</w:t>
            </w:r>
          </w:p>
        </w:tc>
      </w:tr>
      <w:tr w:rsidR="00805898" w:rsidRPr="00805898" w:rsidTr="00445218">
        <w:trPr>
          <w:cantSplit/>
          <w:jc w:val="center"/>
        </w:trPr>
        <w:tc>
          <w:tcPr>
            <w:tcW w:w="3681" w:type="dxa"/>
            <w:tcBorders>
              <w:top w:val="nil"/>
              <w:left w:val="single" w:sz="4" w:space="0" w:color="auto"/>
              <w:bottom w:val="nil"/>
              <w:right w:val="nil"/>
            </w:tcBorders>
            <w:hideMark/>
          </w:tcPr>
          <w:p w:rsidR="00805898" w:rsidRPr="00805898" w:rsidRDefault="00805898" w:rsidP="00805898">
            <w:pPr>
              <w:spacing w:before="116" w:after="44"/>
            </w:pPr>
            <w:r w:rsidRPr="00805898">
              <w:t>Rate of Return</w:t>
            </w:r>
          </w:p>
        </w:tc>
        <w:tc>
          <w:tcPr>
            <w:tcW w:w="791" w:type="dxa"/>
            <w:tcBorders>
              <w:top w:val="nil"/>
              <w:left w:val="nil"/>
              <w:bottom w:val="nil"/>
              <w:right w:val="nil"/>
            </w:tcBorders>
          </w:tcPr>
          <w:p w:rsidR="00805898" w:rsidRPr="00805898" w:rsidRDefault="00805898" w:rsidP="00805898">
            <w:pPr>
              <w:spacing w:before="116" w:after="44"/>
              <w:jc w:val="center"/>
            </w:pPr>
          </w:p>
        </w:tc>
        <w:tc>
          <w:tcPr>
            <w:tcW w:w="1231" w:type="dxa"/>
            <w:tcBorders>
              <w:top w:val="nil"/>
              <w:left w:val="nil"/>
              <w:bottom w:val="single" w:sz="4" w:space="0" w:color="auto"/>
              <w:right w:val="single" w:sz="4" w:space="0" w:color="auto"/>
            </w:tcBorders>
            <w:hideMark/>
          </w:tcPr>
          <w:p w:rsidR="00805898" w:rsidRPr="00805898" w:rsidRDefault="00805898" w:rsidP="00805898">
            <w:pPr>
              <w:spacing w:before="116" w:after="44"/>
              <w:jc w:val="right"/>
            </w:pPr>
            <w:r w:rsidRPr="00805898">
              <w:t>x 9.33%</w:t>
            </w:r>
          </w:p>
        </w:tc>
      </w:tr>
      <w:tr w:rsidR="00805898" w:rsidRPr="00805898" w:rsidTr="00445218">
        <w:trPr>
          <w:cantSplit/>
          <w:jc w:val="center"/>
        </w:trPr>
        <w:tc>
          <w:tcPr>
            <w:tcW w:w="3681" w:type="dxa"/>
            <w:tcBorders>
              <w:top w:val="nil"/>
              <w:left w:val="single" w:sz="4" w:space="0" w:color="auto"/>
              <w:bottom w:val="nil"/>
              <w:right w:val="nil"/>
            </w:tcBorders>
            <w:hideMark/>
          </w:tcPr>
          <w:p w:rsidR="00805898" w:rsidRPr="00805898" w:rsidRDefault="00805898" w:rsidP="00805898">
            <w:pPr>
              <w:spacing w:before="116" w:after="44"/>
            </w:pPr>
            <w:r w:rsidRPr="00805898">
              <w:t>Return on Rate Base</w:t>
            </w:r>
          </w:p>
        </w:tc>
        <w:tc>
          <w:tcPr>
            <w:tcW w:w="791" w:type="dxa"/>
            <w:tcBorders>
              <w:top w:val="nil"/>
              <w:left w:val="nil"/>
              <w:bottom w:val="nil"/>
              <w:right w:val="nil"/>
            </w:tcBorders>
          </w:tcPr>
          <w:p w:rsidR="00805898" w:rsidRPr="00805898" w:rsidRDefault="00805898" w:rsidP="00805898">
            <w:pPr>
              <w:spacing w:before="116" w:after="44"/>
              <w:jc w:val="center"/>
            </w:pPr>
          </w:p>
        </w:tc>
        <w:tc>
          <w:tcPr>
            <w:tcW w:w="1231" w:type="dxa"/>
            <w:tcBorders>
              <w:top w:val="single" w:sz="4" w:space="0" w:color="auto"/>
              <w:left w:val="nil"/>
              <w:bottom w:val="nil"/>
              <w:right w:val="single" w:sz="4" w:space="0" w:color="auto"/>
            </w:tcBorders>
            <w:hideMark/>
          </w:tcPr>
          <w:p w:rsidR="00805898" w:rsidRPr="00805898" w:rsidRDefault="00805898" w:rsidP="00805898">
            <w:pPr>
              <w:spacing w:before="116" w:after="44"/>
              <w:jc w:val="right"/>
            </w:pPr>
            <w:r w:rsidRPr="00805898">
              <w:t xml:space="preserve">$3,364  </w:t>
            </w:r>
          </w:p>
        </w:tc>
      </w:tr>
      <w:tr w:rsidR="00805898" w:rsidRPr="00805898" w:rsidTr="00445218">
        <w:trPr>
          <w:cantSplit/>
          <w:jc w:val="center"/>
        </w:trPr>
        <w:tc>
          <w:tcPr>
            <w:tcW w:w="3681" w:type="dxa"/>
            <w:tcBorders>
              <w:top w:val="nil"/>
              <w:left w:val="single" w:sz="4" w:space="0" w:color="auto"/>
              <w:bottom w:val="nil"/>
              <w:right w:val="nil"/>
            </w:tcBorders>
            <w:hideMark/>
          </w:tcPr>
          <w:p w:rsidR="00805898" w:rsidRPr="00805898" w:rsidRDefault="00805898" w:rsidP="00805898">
            <w:pPr>
              <w:spacing w:before="116" w:after="44"/>
            </w:pPr>
            <w:r w:rsidRPr="00805898">
              <w:t>Adjusted O&amp;M Expense</w:t>
            </w:r>
          </w:p>
        </w:tc>
        <w:tc>
          <w:tcPr>
            <w:tcW w:w="791" w:type="dxa"/>
            <w:tcBorders>
              <w:top w:val="nil"/>
              <w:left w:val="nil"/>
              <w:bottom w:val="nil"/>
              <w:right w:val="nil"/>
            </w:tcBorders>
          </w:tcPr>
          <w:p w:rsidR="00805898" w:rsidRPr="00805898" w:rsidRDefault="00805898" w:rsidP="00805898">
            <w:pPr>
              <w:spacing w:before="116" w:after="44"/>
              <w:jc w:val="center"/>
            </w:pPr>
          </w:p>
        </w:tc>
        <w:tc>
          <w:tcPr>
            <w:tcW w:w="1231" w:type="dxa"/>
            <w:tcBorders>
              <w:top w:val="nil"/>
              <w:left w:val="nil"/>
              <w:bottom w:val="nil"/>
              <w:right w:val="single" w:sz="4" w:space="0" w:color="auto"/>
            </w:tcBorders>
            <w:hideMark/>
          </w:tcPr>
          <w:p w:rsidR="00805898" w:rsidRPr="00805898" w:rsidRDefault="00805898" w:rsidP="00805898">
            <w:pPr>
              <w:spacing w:before="116" w:after="44"/>
              <w:jc w:val="right"/>
            </w:pPr>
            <w:r w:rsidRPr="00805898">
              <w:t>37,947</w:t>
            </w:r>
          </w:p>
        </w:tc>
      </w:tr>
      <w:tr w:rsidR="00805898" w:rsidRPr="00805898" w:rsidTr="00445218">
        <w:trPr>
          <w:cantSplit/>
          <w:jc w:val="center"/>
        </w:trPr>
        <w:tc>
          <w:tcPr>
            <w:tcW w:w="3681" w:type="dxa"/>
            <w:tcBorders>
              <w:top w:val="nil"/>
              <w:left w:val="single" w:sz="4" w:space="0" w:color="auto"/>
              <w:bottom w:val="nil"/>
              <w:right w:val="nil"/>
            </w:tcBorders>
            <w:hideMark/>
          </w:tcPr>
          <w:p w:rsidR="00805898" w:rsidRPr="00805898" w:rsidRDefault="00805898" w:rsidP="00805898">
            <w:pPr>
              <w:spacing w:before="116" w:after="44"/>
            </w:pPr>
            <w:r w:rsidRPr="00805898">
              <w:t xml:space="preserve">Depreciation Expense </w:t>
            </w:r>
          </w:p>
        </w:tc>
        <w:tc>
          <w:tcPr>
            <w:tcW w:w="791" w:type="dxa"/>
            <w:tcBorders>
              <w:top w:val="nil"/>
              <w:left w:val="nil"/>
              <w:bottom w:val="nil"/>
              <w:right w:val="nil"/>
            </w:tcBorders>
          </w:tcPr>
          <w:p w:rsidR="00805898" w:rsidRPr="00805898" w:rsidRDefault="00805898" w:rsidP="00805898">
            <w:pPr>
              <w:spacing w:before="116" w:after="44"/>
              <w:jc w:val="center"/>
            </w:pPr>
          </w:p>
        </w:tc>
        <w:tc>
          <w:tcPr>
            <w:tcW w:w="1231" w:type="dxa"/>
            <w:tcBorders>
              <w:top w:val="nil"/>
              <w:left w:val="nil"/>
              <w:bottom w:val="nil"/>
              <w:right w:val="single" w:sz="4" w:space="0" w:color="auto"/>
            </w:tcBorders>
            <w:hideMark/>
          </w:tcPr>
          <w:p w:rsidR="00805898" w:rsidRPr="00805898" w:rsidRDefault="00805898" w:rsidP="00805898">
            <w:pPr>
              <w:spacing w:before="116" w:after="44"/>
              <w:jc w:val="right"/>
            </w:pPr>
            <w:r w:rsidRPr="00805898">
              <w:t>2,831</w:t>
            </w:r>
          </w:p>
        </w:tc>
      </w:tr>
      <w:tr w:rsidR="00805898" w:rsidRPr="00805898" w:rsidTr="00445218">
        <w:trPr>
          <w:cantSplit/>
          <w:jc w:val="center"/>
        </w:trPr>
        <w:tc>
          <w:tcPr>
            <w:tcW w:w="3681" w:type="dxa"/>
            <w:tcBorders>
              <w:top w:val="nil"/>
              <w:left w:val="single" w:sz="4" w:space="0" w:color="auto"/>
              <w:bottom w:val="nil"/>
              <w:right w:val="nil"/>
            </w:tcBorders>
          </w:tcPr>
          <w:p w:rsidR="00805898" w:rsidRPr="00805898" w:rsidRDefault="00805898" w:rsidP="00805898">
            <w:pPr>
              <w:spacing w:before="116" w:after="44"/>
            </w:pPr>
            <w:r w:rsidRPr="00805898">
              <w:t>Amortization</w:t>
            </w:r>
          </w:p>
        </w:tc>
        <w:tc>
          <w:tcPr>
            <w:tcW w:w="791" w:type="dxa"/>
            <w:tcBorders>
              <w:top w:val="nil"/>
              <w:left w:val="nil"/>
              <w:bottom w:val="nil"/>
              <w:right w:val="nil"/>
            </w:tcBorders>
          </w:tcPr>
          <w:p w:rsidR="00805898" w:rsidRPr="00805898" w:rsidRDefault="00805898" w:rsidP="00805898">
            <w:pPr>
              <w:spacing w:before="116" w:after="44"/>
              <w:jc w:val="center"/>
            </w:pPr>
          </w:p>
        </w:tc>
        <w:tc>
          <w:tcPr>
            <w:tcW w:w="1231" w:type="dxa"/>
            <w:tcBorders>
              <w:top w:val="nil"/>
              <w:left w:val="nil"/>
              <w:bottom w:val="nil"/>
              <w:right w:val="single" w:sz="4" w:space="0" w:color="auto"/>
            </w:tcBorders>
          </w:tcPr>
          <w:p w:rsidR="00805898" w:rsidRPr="00805898" w:rsidRDefault="00805898" w:rsidP="00805898">
            <w:pPr>
              <w:spacing w:before="116" w:after="44"/>
              <w:jc w:val="right"/>
            </w:pPr>
            <w:r w:rsidRPr="00805898">
              <w:t>(833)</w:t>
            </w:r>
          </w:p>
        </w:tc>
      </w:tr>
      <w:tr w:rsidR="00805898" w:rsidRPr="00805898" w:rsidTr="00445218">
        <w:trPr>
          <w:cantSplit/>
          <w:jc w:val="center"/>
        </w:trPr>
        <w:tc>
          <w:tcPr>
            <w:tcW w:w="3681" w:type="dxa"/>
            <w:tcBorders>
              <w:top w:val="nil"/>
              <w:left w:val="single" w:sz="4" w:space="0" w:color="auto"/>
              <w:bottom w:val="nil"/>
              <w:right w:val="nil"/>
            </w:tcBorders>
          </w:tcPr>
          <w:p w:rsidR="00805898" w:rsidRPr="00805898" w:rsidRDefault="00805898" w:rsidP="00805898">
            <w:pPr>
              <w:spacing w:before="116" w:after="44"/>
            </w:pPr>
            <w:r w:rsidRPr="00805898">
              <w:t>Taxes Other Than Income</w:t>
            </w:r>
          </w:p>
        </w:tc>
        <w:tc>
          <w:tcPr>
            <w:tcW w:w="791" w:type="dxa"/>
            <w:tcBorders>
              <w:top w:val="nil"/>
              <w:left w:val="nil"/>
              <w:bottom w:val="nil"/>
              <w:right w:val="nil"/>
            </w:tcBorders>
          </w:tcPr>
          <w:p w:rsidR="00805898" w:rsidRPr="00805898" w:rsidRDefault="00805898" w:rsidP="00805898">
            <w:pPr>
              <w:spacing w:before="116" w:after="44"/>
              <w:jc w:val="center"/>
            </w:pPr>
          </w:p>
        </w:tc>
        <w:tc>
          <w:tcPr>
            <w:tcW w:w="1231" w:type="dxa"/>
            <w:tcBorders>
              <w:top w:val="nil"/>
              <w:left w:val="nil"/>
              <w:bottom w:val="nil"/>
              <w:right w:val="single" w:sz="4" w:space="0" w:color="auto"/>
            </w:tcBorders>
          </w:tcPr>
          <w:p w:rsidR="00805898" w:rsidRPr="00805898" w:rsidRDefault="002D35F1" w:rsidP="00805898">
            <w:pPr>
              <w:spacing w:before="116" w:after="44"/>
              <w:jc w:val="right"/>
            </w:pPr>
            <w:r w:rsidRPr="002D35F1">
              <w:t>3,619</w:t>
            </w:r>
          </w:p>
        </w:tc>
      </w:tr>
      <w:tr w:rsidR="00805898" w:rsidRPr="00805898" w:rsidTr="00445218">
        <w:trPr>
          <w:cantSplit/>
          <w:jc w:val="center"/>
        </w:trPr>
        <w:tc>
          <w:tcPr>
            <w:tcW w:w="3681" w:type="dxa"/>
            <w:tcBorders>
              <w:top w:val="nil"/>
              <w:left w:val="single" w:sz="4" w:space="0" w:color="auto"/>
              <w:bottom w:val="nil"/>
              <w:right w:val="nil"/>
            </w:tcBorders>
            <w:hideMark/>
          </w:tcPr>
          <w:p w:rsidR="00805898" w:rsidRPr="00805898" w:rsidRDefault="00805898" w:rsidP="00805898">
            <w:pPr>
              <w:spacing w:before="116" w:after="44"/>
            </w:pPr>
            <w:r w:rsidRPr="00805898">
              <w:t>Income Taxes</w:t>
            </w:r>
          </w:p>
        </w:tc>
        <w:tc>
          <w:tcPr>
            <w:tcW w:w="791" w:type="dxa"/>
            <w:tcBorders>
              <w:top w:val="nil"/>
              <w:left w:val="nil"/>
              <w:bottom w:val="nil"/>
              <w:right w:val="nil"/>
            </w:tcBorders>
          </w:tcPr>
          <w:p w:rsidR="00805898" w:rsidRPr="00805898" w:rsidRDefault="00805898" w:rsidP="00805898">
            <w:pPr>
              <w:spacing w:before="116" w:after="44"/>
              <w:jc w:val="center"/>
            </w:pPr>
          </w:p>
        </w:tc>
        <w:tc>
          <w:tcPr>
            <w:tcW w:w="1231" w:type="dxa"/>
            <w:tcBorders>
              <w:top w:val="nil"/>
              <w:left w:val="nil"/>
              <w:bottom w:val="single" w:sz="4" w:space="0" w:color="auto"/>
              <w:right w:val="single" w:sz="4" w:space="0" w:color="auto"/>
            </w:tcBorders>
            <w:hideMark/>
          </w:tcPr>
          <w:p w:rsidR="00805898" w:rsidRPr="00805898" w:rsidRDefault="00805898" w:rsidP="00805898">
            <w:pPr>
              <w:spacing w:before="116" w:after="44"/>
              <w:jc w:val="right"/>
            </w:pPr>
            <w:r w:rsidRPr="00805898">
              <w:t>0</w:t>
            </w:r>
          </w:p>
        </w:tc>
      </w:tr>
      <w:tr w:rsidR="00805898" w:rsidRPr="00805898" w:rsidTr="00445218">
        <w:trPr>
          <w:cantSplit/>
          <w:jc w:val="center"/>
        </w:trPr>
        <w:tc>
          <w:tcPr>
            <w:tcW w:w="3681" w:type="dxa"/>
            <w:tcBorders>
              <w:top w:val="nil"/>
              <w:left w:val="single" w:sz="4" w:space="0" w:color="auto"/>
              <w:bottom w:val="nil"/>
              <w:right w:val="nil"/>
            </w:tcBorders>
            <w:hideMark/>
          </w:tcPr>
          <w:p w:rsidR="00805898" w:rsidRPr="00805898" w:rsidRDefault="00805898" w:rsidP="00805898">
            <w:pPr>
              <w:spacing w:before="116" w:after="44"/>
            </w:pPr>
            <w:r w:rsidRPr="00805898">
              <w:t xml:space="preserve">Revenue Requirement </w:t>
            </w:r>
          </w:p>
        </w:tc>
        <w:tc>
          <w:tcPr>
            <w:tcW w:w="791" w:type="dxa"/>
            <w:tcBorders>
              <w:top w:val="nil"/>
              <w:left w:val="nil"/>
              <w:bottom w:val="nil"/>
              <w:right w:val="nil"/>
            </w:tcBorders>
          </w:tcPr>
          <w:p w:rsidR="00805898" w:rsidRPr="00805898" w:rsidRDefault="00805898" w:rsidP="00805898">
            <w:pPr>
              <w:spacing w:before="116" w:after="44"/>
              <w:jc w:val="center"/>
            </w:pPr>
          </w:p>
        </w:tc>
        <w:tc>
          <w:tcPr>
            <w:tcW w:w="1231" w:type="dxa"/>
            <w:tcBorders>
              <w:top w:val="single" w:sz="4" w:space="0" w:color="auto"/>
              <w:left w:val="nil"/>
              <w:bottom w:val="nil"/>
              <w:right w:val="single" w:sz="4" w:space="0" w:color="auto"/>
            </w:tcBorders>
            <w:hideMark/>
          </w:tcPr>
          <w:p w:rsidR="00805898" w:rsidRPr="00805898" w:rsidRDefault="002D35F1" w:rsidP="00805898">
            <w:pPr>
              <w:spacing w:before="116" w:after="44"/>
              <w:jc w:val="right"/>
            </w:pPr>
            <w:r w:rsidRPr="002D35F1">
              <w:t>$46,927</w:t>
            </w:r>
          </w:p>
        </w:tc>
      </w:tr>
      <w:tr w:rsidR="00805898" w:rsidRPr="00805898" w:rsidTr="00445218">
        <w:trPr>
          <w:cantSplit/>
          <w:jc w:val="center"/>
        </w:trPr>
        <w:tc>
          <w:tcPr>
            <w:tcW w:w="3681" w:type="dxa"/>
            <w:tcBorders>
              <w:top w:val="nil"/>
              <w:left w:val="single" w:sz="4" w:space="0" w:color="auto"/>
              <w:bottom w:val="nil"/>
              <w:right w:val="nil"/>
            </w:tcBorders>
            <w:hideMark/>
          </w:tcPr>
          <w:p w:rsidR="00805898" w:rsidRPr="00805898" w:rsidRDefault="00805898" w:rsidP="00805898">
            <w:pPr>
              <w:spacing w:before="116" w:after="44"/>
            </w:pPr>
            <w:r w:rsidRPr="00805898">
              <w:t>Less Adjusted Test Year Revenues</w:t>
            </w:r>
          </w:p>
        </w:tc>
        <w:tc>
          <w:tcPr>
            <w:tcW w:w="791" w:type="dxa"/>
            <w:tcBorders>
              <w:top w:val="nil"/>
              <w:left w:val="nil"/>
              <w:bottom w:val="nil"/>
              <w:right w:val="nil"/>
            </w:tcBorders>
          </w:tcPr>
          <w:p w:rsidR="00805898" w:rsidRPr="00805898" w:rsidRDefault="00805898" w:rsidP="00805898">
            <w:pPr>
              <w:spacing w:before="116" w:after="44"/>
              <w:jc w:val="center"/>
            </w:pPr>
          </w:p>
        </w:tc>
        <w:tc>
          <w:tcPr>
            <w:tcW w:w="1231" w:type="dxa"/>
            <w:tcBorders>
              <w:top w:val="nil"/>
              <w:left w:val="nil"/>
              <w:bottom w:val="single" w:sz="4" w:space="0" w:color="auto"/>
              <w:right w:val="single" w:sz="4" w:space="0" w:color="auto"/>
            </w:tcBorders>
            <w:hideMark/>
          </w:tcPr>
          <w:p w:rsidR="00805898" w:rsidRPr="00805898" w:rsidRDefault="00805898" w:rsidP="00805898">
            <w:pPr>
              <w:spacing w:before="116" w:after="44"/>
              <w:jc w:val="right"/>
            </w:pPr>
            <w:r w:rsidRPr="00805898">
              <w:t>41,680</w:t>
            </w:r>
          </w:p>
        </w:tc>
      </w:tr>
      <w:tr w:rsidR="00805898" w:rsidRPr="00805898" w:rsidTr="00445218">
        <w:trPr>
          <w:cantSplit/>
          <w:jc w:val="center"/>
        </w:trPr>
        <w:tc>
          <w:tcPr>
            <w:tcW w:w="3681" w:type="dxa"/>
            <w:tcBorders>
              <w:top w:val="nil"/>
              <w:left w:val="single" w:sz="4" w:space="0" w:color="auto"/>
              <w:bottom w:val="nil"/>
              <w:right w:val="nil"/>
            </w:tcBorders>
            <w:hideMark/>
          </w:tcPr>
          <w:p w:rsidR="00805898" w:rsidRPr="00805898" w:rsidRDefault="00805898" w:rsidP="00805898">
            <w:pPr>
              <w:spacing w:before="116" w:after="44"/>
            </w:pPr>
            <w:r w:rsidRPr="00805898">
              <w:t>Annual Increase</w:t>
            </w:r>
          </w:p>
        </w:tc>
        <w:tc>
          <w:tcPr>
            <w:tcW w:w="791" w:type="dxa"/>
            <w:tcBorders>
              <w:top w:val="nil"/>
              <w:left w:val="nil"/>
              <w:bottom w:val="nil"/>
              <w:right w:val="nil"/>
            </w:tcBorders>
          </w:tcPr>
          <w:p w:rsidR="00805898" w:rsidRPr="00805898" w:rsidRDefault="00805898" w:rsidP="00805898">
            <w:pPr>
              <w:spacing w:before="116" w:after="44"/>
              <w:jc w:val="center"/>
            </w:pPr>
          </w:p>
        </w:tc>
        <w:tc>
          <w:tcPr>
            <w:tcW w:w="1231" w:type="dxa"/>
            <w:tcBorders>
              <w:top w:val="single" w:sz="4" w:space="0" w:color="auto"/>
              <w:left w:val="nil"/>
              <w:bottom w:val="nil"/>
              <w:right w:val="single" w:sz="4" w:space="0" w:color="auto"/>
            </w:tcBorders>
            <w:hideMark/>
          </w:tcPr>
          <w:p w:rsidR="00805898" w:rsidRPr="00805898" w:rsidRDefault="002D35F1" w:rsidP="00805898">
            <w:pPr>
              <w:spacing w:before="116" w:after="44"/>
              <w:jc w:val="right"/>
              <w:rPr>
                <w:u w:val="double"/>
              </w:rPr>
            </w:pPr>
            <w:r w:rsidRPr="002D35F1">
              <w:rPr>
                <w:u w:val="double"/>
              </w:rPr>
              <w:t>$5,247</w:t>
            </w:r>
          </w:p>
        </w:tc>
      </w:tr>
      <w:tr w:rsidR="00805898" w:rsidRPr="00805898" w:rsidTr="00445218">
        <w:trPr>
          <w:cantSplit/>
          <w:trHeight w:val="372"/>
          <w:jc w:val="center"/>
        </w:trPr>
        <w:tc>
          <w:tcPr>
            <w:tcW w:w="3681" w:type="dxa"/>
            <w:tcBorders>
              <w:top w:val="nil"/>
              <w:left w:val="single" w:sz="4" w:space="0" w:color="auto"/>
              <w:bottom w:val="single" w:sz="4" w:space="0" w:color="auto"/>
              <w:right w:val="nil"/>
            </w:tcBorders>
            <w:hideMark/>
          </w:tcPr>
          <w:p w:rsidR="00805898" w:rsidRPr="00805898" w:rsidRDefault="00805898" w:rsidP="00805898">
            <w:pPr>
              <w:spacing w:before="116" w:after="44"/>
            </w:pPr>
            <w:r w:rsidRPr="00805898">
              <w:t>Percent Increase</w:t>
            </w:r>
          </w:p>
        </w:tc>
        <w:tc>
          <w:tcPr>
            <w:tcW w:w="791" w:type="dxa"/>
            <w:tcBorders>
              <w:top w:val="nil"/>
              <w:left w:val="nil"/>
              <w:bottom w:val="single" w:sz="4" w:space="0" w:color="auto"/>
              <w:right w:val="nil"/>
            </w:tcBorders>
          </w:tcPr>
          <w:p w:rsidR="00805898" w:rsidRPr="00805898" w:rsidRDefault="00805898" w:rsidP="00805898">
            <w:pPr>
              <w:spacing w:before="116" w:after="44"/>
              <w:jc w:val="center"/>
            </w:pPr>
          </w:p>
        </w:tc>
        <w:tc>
          <w:tcPr>
            <w:tcW w:w="1231" w:type="dxa"/>
            <w:tcBorders>
              <w:top w:val="nil"/>
              <w:left w:val="nil"/>
              <w:bottom w:val="single" w:sz="4" w:space="0" w:color="auto"/>
              <w:right w:val="single" w:sz="4" w:space="0" w:color="auto"/>
            </w:tcBorders>
            <w:hideMark/>
          </w:tcPr>
          <w:p w:rsidR="00805898" w:rsidRPr="00805898" w:rsidRDefault="002D35F1" w:rsidP="00805898">
            <w:pPr>
              <w:spacing w:before="116" w:after="44"/>
              <w:jc w:val="right"/>
            </w:pPr>
            <w:r w:rsidRPr="002D35F1">
              <w:t>12.59%</w:t>
            </w:r>
          </w:p>
        </w:tc>
      </w:tr>
    </w:tbl>
    <w:p w:rsidR="00805898" w:rsidRDefault="00805898" w:rsidP="00805898">
      <w:pPr>
        <w:spacing w:after="240"/>
        <w:jc w:val="both"/>
      </w:pPr>
    </w:p>
    <w:p w:rsidR="00051C30" w:rsidRDefault="00051C30" w:rsidP="00805898">
      <w:pPr>
        <w:spacing w:after="240"/>
        <w:jc w:val="both"/>
      </w:pPr>
    </w:p>
    <w:p w:rsidR="00051C30" w:rsidRDefault="00051C30" w:rsidP="00805898">
      <w:pPr>
        <w:spacing w:after="240"/>
        <w:jc w:val="both"/>
      </w:pPr>
    </w:p>
    <w:p w:rsidR="00051C30" w:rsidRPr="00805898" w:rsidRDefault="00051C30" w:rsidP="00805898">
      <w:pPr>
        <w:spacing w:after="240"/>
        <w:jc w:val="both"/>
      </w:pPr>
    </w:p>
    <w:p w:rsidR="00805898" w:rsidRPr="00FA27F8" w:rsidRDefault="00805898" w:rsidP="00805898">
      <w:pPr>
        <w:jc w:val="center"/>
        <w:rPr>
          <w:b/>
        </w:rPr>
      </w:pPr>
      <w:r w:rsidRPr="00FA27F8">
        <w:rPr>
          <w:b/>
        </w:rPr>
        <w:lastRenderedPageBreak/>
        <w:t xml:space="preserve">Table </w:t>
      </w:r>
      <w:r w:rsidR="00FA27F8" w:rsidRPr="00FA27F8">
        <w:rPr>
          <w:b/>
        </w:rPr>
        <w:t>9</w:t>
      </w:r>
    </w:p>
    <w:p w:rsidR="00805898" w:rsidRPr="00FA27F8" w:rsidRDefault="00805898" w:rsidP="00805898">
      <w:pPr>
        <w:jc w:val="center"/>
        <w:rPr>
          <w:b/>
        </w:rPr>
      </w:pPr>
      <w:r w:rsidRPr="00FA27F8">
        <w:rPr>
          <w:b/>
        </w:rPr>
        <w:t>Wastewater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3681"/>
        <w:gridCol w:w="701"/>
        <w:gridCol w:w="1321"/>
      </w:tblGrid>
      <w:tr w:rsidR="00805898" w:rsidRPr="00805898" w:rsidTr="00445218">
        <w:trPr>
          <w:cantSplit/>
          <w:jc w:val="center"/>
        </w:trPr>
        <w:tc>
          <w:tcPr>
            <w:tcW w:w="3681" w:type="dxa"/>
            <w:tcBorders>
              <w:top w:val="single" w:sz="4" w:space="0" w:color="auto"/>
              <w:left w:val="single" w:sz="4" w:space="0" w:color="auto"/>
              <w:bottom w:val="nil"/>
              <w:right w:val="nil"/>
            </w:tcBorders>
            <w:hideMark/>
          </w:tcPr>
          <w:p w:rsidR="00805898" w:rsidRPr="00805898" w:rsidRDefault="00805898" w:rsidP="00805898">
            <w:pPr>
              <w:spacing w:before="116" w:after="44"/>
            </w:pPr>
            <w:r w:rsidRPr="00805898">
              <w:t>Adjusted O&amp;M Expense</w:t>
            </w:r>
          </w:p>
        </w:tc>
        <w:tc>
          <w:tcPr>
            <w:tcW w:w="701" w:type="dxa"/>
            <w:tcBorders>
              <w:top w:val="single" w:sz="4" w:space="0" w:color="auto"/>
              <w:left w:val="nil"/>
              <w:bottom w:val="nil"/>
              <w:right w:val="nil"/>
            </w:tcBorders>
          </w:tcPr>
          <w:p w:rsidR="00805898" w:rsidRPr="00805898" w:rsidRDefault="00805898" w:rsidP="00805898">
            <w:pPr>
              <w:spacing w:before="116" w:after="44"/>
              <w:jc w:val="center"/>
            </w:pPr>
          </w:p>
        </w:tc>
        <w:tc>
          <w:tcPr>
            <w:tcW w:w="1321" w:type="dxa"/>
            <w:tcBorders>
              <w:top w:val="single" w:sz="4" w:space="0" w:color="auto"/>
              <w:left w:val="nil"/>
              <w:bottom w:val="nil"/>
              <w:right w:val="single" w:sz="4" w:space="0" w:color="auto"/>
            </w:tcBorders>
            <w:hideMark/>
          </w:tcPr>
          <w:p w:rsidR="00805898" w:rsidRPr="00805898" w:rsidRDefault="00805898" w:rsidP="00805898">
            <w:pPr>
              <w:spacing w:before="116" w:after="44"/>
              <w:jc w:val="right"/>
            </w:pPr>
            <w:r w:rsidRPr="00805898">
              <w:t>$45,693</w:t>
            </w:r>
          </w:p>
        </w:tc>
      </w:tr>
      <w:tr w:rsidR="00805898" w:rsidRPr="00805898" w:rsidTr="00445218">
        <w:trPr>
          <w:cantSplit/>
          <w:jc w:val="center"/>
        </w:trPr>
        <w:tc>
          <w:tcPr>
            <w:tcW w:w="3681" w:type="dxa"/>
            <w:tcBorders>
              <w:top w:val="nil"/>
              <w:left w:val="single" w:sz="4" w:space="0" w:color="auto"/>
              <w:bottom w:val="nil"/>
              <w:right w:val="nil"/>
            </w:tcBorders>
            <w:hideMark/>
          </w:tcPr>
          <w:p w:rsidR="00805898" w:rsidRPr="00805898" w:rsidRDefault="00805898" w:rsidP="00805898">
            <w:pPr>
              <w:spacing w:before="116" w:after="44"/>
            </w:pPr>
            <w:r w:rsidRPr="00805898">
              <w:t>Operating Margin (%)</w:t>
            </w:r>
          </w:p>
        </w:tc>
        <w:tc>
          <w:tcPr>
            <w:tcW w:w="701" w:type="dxa"/>
            <w:tcBorders>
              <w:top w:val="nil"/>
              <w:left w:val="nil"/>
              <w:bottom w:val="nil"/>
              <w:right w:val="nil"/>
            </w:tcBorders>
          </w:tcPr>
          <w:p w:rsidR="00805898" w:rsidRPr="00805898" w:rsidRDefault="00805898" w:rsidP="00805898">
            <w:pPr>
              <w:spacing w:before="116" w:after="44"/>
              <w:jc w:val="center"/>
            </w:pPr>
          </w:p>
        </w:tc>
        <w:tc>
          <w:tcPr>
            <w:tcW w:w="1321" w:type="dxa"/>
            <w:tcBorders>
              <w:top w:val="nil"/>
              <w:left w:val="nil"/>
              <w:bottom w:val="single" w:sz="4" w:space="0" w:color="auto"/>
              <w:right w:val="single" w:sz="4" w:space="0" w:color="auto"/>
            </w:tcBorders>
            <w:hideMark/>
          </w:tcPr>
          <w:p w:rsidR="00805898" w:rsidRPr="00805898" w:rsidRDefault="00805898" w:rsidP="00805898">
            <w:pPr>
              <w:spacing w:before="116" w:after="44"/>
              <w:jc w:val="right"/>
            </w:pPr>
            <w:r w:rsidRPr="00805898">
              <w:t>x 10.00%</w:t>
            </w:r>
          </w:p>
        </w:tc>
      </w:tr>
      <w:tr w:rsidR="00805898" w:rsidRPr="00805898" w:rsidTr="00445218">
        <w:trPr>
          <w:cantSplit/>
          <w:jc w:val="center"/>
        </w:trPr>
        <w:tc>
          <w:tcPr>
            <w:tcW w:w="3681" w:type="dxa"/>
            <w:tcBorders>
              <w:top w:val="nil"/>
              <w:left w:val="single" w:sz="4" w:space="0" w:color="auto"/>
              <w:bottom w:val="nil"/>
              <w:right w:val="nil"/>
            </w:tcBorders>
            <w:hideMark/>
          </w:tcPr>
          <w:p w:rsidR="00805898" w:rsidRPr="00805898" w:rsidRDefault="00805898" w:rsidP="00805898">
            <w:pPr>
              <w:spacing w:before="116" w:after="44"/>
            </w:pPr>
            <w:r w:rsidRPr="00805898">
              <w:t>Operating Margin ($10,000 Cap)</w:t>
            </w:r>
          </w:p>
        </w:tc>
        <w:tc>
          <w:tcPr>
            <w:tcW w:w="701" w:type="dxa"/>
            <w:tcBorders>
              <w:top w:val="nil"/>
              <w:left w:val="nil"/>
              <w:bottom w:val="nil"/>
              <w:right w:val="nil"/>
            </w:tcBorders>
          </w:tcPr>
          <w:p w:rsidR="00805898" w:rsidRPr="00805898" w:rsidRDefault="00805898" w:rsidP="00805898">
            <w:pPr>
              <w:spacing w:before="116" w:after="44"/>
              <w:jc w:val="center"/>
            </w:pPr>
          </w:p>
        </w:tc>
        <w:tc>
          <w:tcPr>
            <w:tcW w:w="1321" w:type="dxa"/>
            <w:tcBorders>
              <w:top w:val="single" w:sz="4" w:space="0" w:color="auto"/>
              <w:left w:val="nil"/>
              <w:bottom w:val="nil"/>
              <w:right w:val="single" w:sz="4" w:space="0" w:color="auto"/>
            </w:tcBorders>
            <w:hideMark/>
          </w:tcPr>
          <w:p w:rsidR="00805898" w:rsidRPr="00805898" w:rsidRDefault="00805898" w:rsidP="00805898">
            <w:pPr>
              <w:spacing w:before="116" w:after="44"/>
              <w:jc w:val="right"/>
            </w:pPr>
            <w:r w:rsidRPr="00805898">
              <w:t xml:space="preserve">$4,569  </w:t>
            </w:r>
          </w:p>
        </w:tc>
      </w:tr>
      <w:tr w:rsidR="00805898" w:rsidRPr="00805898" w:rsidTr="00445218">
        <w:trPr>
          <w:cantSplit/>
          <w:jc w:val="center"/>
        </w:trPr>
        <w:tc>
          <w:tcPr>
            <w:tcW w:w="3681" w:type="dxa"/>
            <w:tcBorders>
              <w:top w:val="nil"/>
              <w:left w:val="single" w:sz="4" w:space="0" w:color="auto"/>
              <w:bottom w:val="nil"/>
              <w:right w:val="nil"/>
            </w:tcBorders>
            <w:hideMark/>
          </w:tcPr>
          <w:p w:rsidR="00805898" w:rsidRPr="00805898" w:rsidRDefault="00805898" w:rsidP="00805898">
            <w:pPr>
              <w:spacing w:before="116" w:after="44"/>
            </w:pPr>
            <w:r w:rsidRPr="00805898">
              <w:t>Adjusted O&amp;M Expense</w:t>
            </w:r>
          </w:p>
        </w:tc>
        <w:tc>
          <w:tcPr>
            <w:tcW w:w="701" w:type="dxa"/>
            <w:tcBorders>
              <w:top w:val="nil"/>
              <w:left w:val="nil"/>
              <w:bottom w:val="nil"/>
              <w:right w:val="nil"/>
            </w:tcBorders>
          </w:tcPr>
          <w:p w:rsidR="00805898" w:rsidRPr="00805898" w:rsidRDefault="00805898" w:rsidP="00805898">
            <w:pPr>
              <w:spacing w:before="116" w:after="44"/>
              <w:jc w:val="center"/>
            </w:pPr>
          </w:p>
        </w:tc>
        <w:tc>
          <w:tcPr>
            <w:tcW w:w="1321" w:type="dxa"/>
            <w:tcBorders>
              <w:top w:val="nil"/>
              <w:left w:val="nil"/>
              <w:bottom w:val="nil"/>
              <w:right w:val="single" w:sz="4" w:space="0" w:color="auto"/>
            </w:tcBorders>
            <w:hideMark/>
          </w:tcPr>
          <w:p w:rsidR="00805898" w:rsidRPr="00805898" w:rsidRDefault="00805898" w:rsidP="00805898">
            <w:pPr>
              <w:spacing w:before="116" w:after="44"/>
              <w:jc w:val="right"/>
            </w:pPr>
            <w:r w:rsidRPr="00805898">
              <w:t>45,693</w:t>
            </w:r>
          </w:p>
        </w:tc>
      </w:tr>
      <w:tr w:rsidR="00805898" w:rsidRPr="00805898" w:rsidTr="00445218">
        <w:trPr>
          <w:cantSplit/>
          <w:jc w:val="center"/>
        </w:trPr>
        <w:tc>
          <w:tcPr>
            <w:tcW w:w="3681" w:type="dxa"/>
            <w:tcBorders>
              <w:top w:val="nil"/>
              <w:left w:val="single" w:sz="4" w:space="0" w:color="auto"/>
              <w:bottom w:val="nil"/>
              <w:right w:val="nil"/>
            </w:tcBorders>
            <w:hideMark/>
          </w:tcPr>
          <w:p w:rsidR="00805898" w:rsidRPr="00805898" w:rsidRDefault="00805898" w:rsidP="00805898">
            <w:pPr>
              <w:spacing w:before="116" w:after="44"/>
            </w:pPr>
            <w:r w:rsidRPr="00805898">
              <w:t xml:space="preserve">Depreciation Expense </w:t>
            </w:r>
          </w:p>
        </w:tc>
        <w:tc>
          <w:tcPr>
            <w:tcW w:w="701" w:type="dxa"/>
            <w:tcBorders>
              <w:top w:val="nil"/>
              <w:left w:val="nil"/>
              <w:bottom w:val="nil"/>
              <w:right w:val="nil"/>
            </w:tcBorders>
          </w:tcPr>
          <w:p w:rsidR="00805898" w:rsidRPr="00805898" w:rsidRDefault="00805898" w:rsidP="00805898">
            <w:pPr>
              <w:spacing w:before="116" w:after="44"/>
              <w:jc w:val="center"/>
            </w:pPr>
          </w:p>
        </w:tc>
        <w:tc>
          <w:tcPr>
            <w:tcW w:w="1321" w:type="dxa"/>
            <w:tcBorders>
              <w:top w:val="nil"/>
              <w:left w:val="nil"/>
              <w:bottom w:val="nil"/>
              <w:right w:val="single" w:sz="4" w:space="0" w:color="auto"/>
            </w:tcBorders>
            <w:hideMark/>
          </w:tcPr>
          <w:p w:rsidR="00805898" w:rsidRPr="00805898" w:rsidRDefault="00805898" w:rsidP="00805898">
            <w:pPr>
              <w:spacing w:before="116" w:after="44"/>
              <w:jc w:val="right"/>
            </w:pPr>
            <w:r w:rsidRPr="00805898">
              <w:t>3,447</w:t>
            </w:r>
          </w:p>
        </w:tc>
      </w:tr>
      <w:tr w:rsidR="00805898" w:rsidRPr="00805898" w:rsidTr="00445218">
        <w:trPr>
          <w:cantSplit/>
          <w:jc w:val="center"/>
        </w:trPr>
        <w:tc>
          <w:tcPr>
            <w:tcW w:w="3681" w:type="dxa"/>
            <w:tcBorders>
              <w:top w:val="nil"/>
              <w:left w:val="single" w:sz="4" w:space="0" w:color="auto"/>
              <w:bottom w:val="nil"/>
              <w:right w:val="nil"/>
            </w:tcBorders>
          </w:tcPr>
          <w:p w:rsidR="00805898" w:rsidRPr="00805898" w:rsidRDefault="00805898" w:rsidP="00805898">
            <w:pPr>
              <w:spacing w:before="116" w:after="44"/>
            </w:pPr>
            <w:r w:rsidRPr="00805898">
              <w:t>Amortization</w:t>
            </w:r>
          </w:p>
        </w:tc>
        <w:tc>
          <w:tcPr>
            <w:tcW w:w="701" w:type="dxa"/>
            <w:tcBorders>
              <w:top w:val="nil"/>
              <w:left w:val="nil"/>
              <w:bottom w:val="nil"/>
              <w:right w:val="nil"/>
            </w:tcBorders>
          </w:tcPr>
          <w:p w:rsidR="00805898" w:rsidRPr="00805898" w:rsidRDefault="00805898" w:rsidP="00805898">
            <w:pPr>
              <w:spacing w:before="116" w:after="44"/>
              <w:jc w:val="center"/>
            </w:pPr>
          </w:p>
        </w:tc>
        <w:tc>
          <w:tcPr>
            <w:tcW w:w="1321" w:type="dxa"/>
            <w:tcBorders>
              <w:top w:val="nil"/>
              <w:left w:val="nil"/>
              <w:bottom w:val="nil"/>
              <w:right w:val="single" w:sz="4" w:space="0" w:color="auto"/>
            </w:tcBorders>
          </w:tcPr>
          <w:p w:rsidR="00805898" w:rsidRPr="00805898" w:rsidRDefault="00805898" w:rsidP="00805898">
            <w:pPr>
              <w:spacing w:before="116" w:after="44"/>
              <w:jc w:val="right"/>
            </w:pPr>
            <w:r w:rsidRPr="00805898">
              <w:t>(1,202)</w:t>
            </w:r>
          </w:p>
        </w:tc>
      </w:tr>
      <w:tr w:rsidR="00805898" w:rsidRPr="00805898" w:rsidTr="00445218">
        <w:trPr>
          <w:cantSplit/>
          <w:jc w:val="center"/>
        </w:trPr>
        <w:tc>
          <w:tcPr>
            <w:tcW w:w="3681" w:type="dxa"/>
            <w:tcBorders>
              <w:top w:val="nil"/>
              <w:left w:val="single" w:sz="4" w:space="0" w:color="auto"/>
              <w:bottom w:val="nil"/>
              <w:right w:val="nil"/>
            </w:tcBorders>
            <w:hideMark/>
          </w:tcPr>
          <w:p w:rsidR="00805898" w:rsidRPr="00805898" w:rsidRDefault="00805898" w:rsidP="00805898">
            <w:pPr>
              <w:spacing w:before="116" w:after="44"/>
            </w:pPr>
            <w:r w:rsidRPr="00805898">
              <w:t>Taxes Other Than Income</w:t>
            </w:r>
          </w:p>
        </w:tc>
        <w:tc>
          <w:tcPr>
            <w:tcW w:w="701" w:type="dxa"/>
            <w:tcBorders>
              <w:top w:val="nil"/>
              <w:left w:val="nil"/>
              <w:bottom w:val="nil"/>
              <w:right w:val="nil"/>
            </w:tcBorders>
          </w:tcPr>
          <w:p w:rsidR="00805898" w:rsidRPr="00805898" w:rsidRDefault="00805898" w:rsidP="00805898">
            <w:pPr>
              <w:spacing w:before="116" w:after="44"/>
              <w:jc w:val="center"/>
            </w:pPr>
          </w:p>
        </w:tc>
        <w:tc>
          <w:tcPr>
            <w:tcW w:w="1321" w:type="dxa"/>
            <w:tcBorders>
              <w:top w:val="nil"/>
              <w:left w:val="nil"/>
              <w:bottom w:val="nil"/>
              <w:right w:val="single" w:sz="4" w:space="0" w:color="auto"/>
            </w:tcBorders>
            <w:hideMark/>
          </w:tcPr>
          <w:p w:rsidR="00805898" w:rsidRPr="00805898" w:rsidRDefault="002D35F1" w:rsidP="00805898">
            <w:pPr>
              <w:spacing w:before="116" w:after="44"/>
              <w:jc w:val="right"/>
            </w:pPr>
            <w:r w:rsidRPr="002D35F1">
              <w:t>4,021</w:t>
            </w:r>
          </w:p>
        </w:tc>
      </w:tr>
      <w:tr w:rsidR="00805898" w:rsidRPr="00805898" w:rsidTr="00445218">
        <w:trPr>
          <w:cantSplit/>
          <w:jc w:val="center"/>
        </w:trPr>
        <w:tc>
          <w:tcPr>
            <w:tcW w:w="3681" w:type="dxa"/>
            <w:tcBorders>
              <w:top w:val="nil"/>
              <w:left w:val="single" w:sz="4" w:space="0" w:color="auto"/>
              <w:bottom w:val="nil"/>
              <w:right w:val="nil"/>
            </w:tcBorders>
            <w:hideMark/>
          </w:tcPr>
          <w:p w:rsidR="00805898" w:rsidRPr="00805898" w:rsidRDefault="00805898" w:rsidP="00805898">
            <w:pPr>
              <w:spacing w:before="116" w:after="44"/>
            </w:pPr>
            <w:r w:rsidRPr="00805898">
              <w:t>Income Taxes</w:t>
            </w:r>
          </w:p>
        </w:tc>
        <w:tc>
          <w:tcPr>
            <w:tcW w:w="701" w:type="dxa"/>
            <w:tcBorders>
              <w:top w:val="nil"/>
              <w:left w:val="nil"/>
              <w:bottom w:val="nil"/>
              <w:right w:val="nil"/>
            </w:tcBorders>
          </w:tcPr>
          <w:p w:rsidR="00805898" w:rsidRPr="00805898" w:rsidRDefault="00805898" w:rsidP="00805898">
            <w:pPr>
              <w:spacing w:before="116" w:after="44"/>
              <w:jc w:val="center"/>
            </w:pPr>
          </w:p>
        </w:tc>
        <w:tc>
          <w:tcPr>
            <w:tcW w:w="1321" w:type="dxa"/>
            <w:tcBorders>
              <w:top w:val="nil"/>
              <w:left w:val="nil"/>
              <w:bottom w:val="single" w:sz="4" w:space="0" w:color="auto"/>
              <w:right w:val="single" w:sz="4" w:space="0" w:color="auto"/>
            </w:tcBorders>
            <w:hideMark/>
          </w:tcPr>
          <w:p w:rsidR="00805898" w:rsidRPr="00805898" w:rsidRDefault="00805898" w:rsidP="00805898">
            <w:pPr>
              <w:spacing w:before="116" w:after="44"/>
              <w:jc w:val="right"/>
            </w:pPr>
            <w:r w:rsidRPr="00805898">
              <w:t>0</w:t>
            </w:r>
          </w:p>
        </w:tc>
      </w:tr>
      <w:tr w:rsidR="00805898" w:rsidRPr="00805898" w:rsidTr="00445218">
        <w:trPr>
          <w:cantSplit/>
          <w:jc w:val="center"/>
        </w:trPr>
        <w:tc>
          <w:tcPr>
            <w:tcW w:w="3681" w:type="dxa"/>
            <w:tcBorders>
              <w:top w:val="nil"/>
              <w:left w:val="single" w:sz="4" w:space="0" w:color="auto"/>
              <w:bottom w:val="nil"/>
              <w:right w:val="nil"/>
            </w:tcBorders>
            <w:hideMark/>
          </w:tcPr>
          <w:p w:rsidR="00805898" w:rsidRPr="00805898" w:rsidRDefault="00805898" w:rsidP="00805898">
            <w:pPr>
              <w:spacing w:before="116" w:after="44"/>
            </w:pPr>
            <w:r w:rsidRPr="00805898">
              <w:t xml:space="preserve">Revenue Requirement </w:t>
            </w:r>
          </w:p>
        </w:tc>
        <w:tc>
          <w:tcPr>
            <w:tcW w:w="701" w:type="dxa"/>
            <w:tcBorders>
              <w:top w:val="nil"/>
              <w:left w:val="nil"/>
              <w:bottom w:val="nil"/>
              <w:right w:val="nil"/>
            </w:tcBorders>
          </w:tcPr>
          <w:p w:rsidR="00805898" w:rsidRPr="00805898" w:rsidRDefault="00805898" w:rsidP="00805898">
            <w:pPr>
              <w:spacing w:before="116" w:after="44"/>
              <w:jc w:val="center"/>
            </w:pPr>
          </w:p>
        </w:tc>
        <w:tc>
          <w:tcPr>
            <w:tcW w:w="1321" w:type="dxa"/>
            <w:tcBorders>
              <w:top w:val="single" w:sz="4" w:space="0" w:color="auto"/>
              <w:left w:val="nil"/>
              <w:bottom w:val="nil"/>
              <w:right w:val="single" w:sz="4" w:space="0" w:color="auto"/>
            </w:tcBorders>
            <w:hideMark/>
          </w:tcPr>
          <w:p w:rsidR="00805898" w:rsidRPr="00805898" w:rsidRDefault="00022C0C" w:rsidP="00805898">
            <w:pPr>
              <w:spacing w:before="116" w:after="44"/>
              <w:jc w:val="right"/>
            </w:pPr>
            <w:r>
              <w:t>$56,52</w:t>
            </w:r>
            <w:r w:rsidR="002D35F1" w:rsidRPr="002D35F1">
              <w:t>7</w:t>
            </w:r>
          </w:p>
        </w:tc>
      </w:tr>
      <w:tr w:rsidR="00805898" w:rsidRPr="00805898" w:rsidTr="00445218">
        <w:trPr>
          <w:cantSplit/>
          <w:jc w:val="center"/>
        </w:trPr>
        <w:tc>
          <w:tcPr>
            <w:tcW w:w="3681" w:type="dxa"/>
            <w:tcBorders>
              <w:top w:val="nil"/>
              <w:left w:val="single" w:sz="4" w:space="0" w:color="auto"/>
              <w:bottom w:val="nil"/>
              <w:right w:val="nil"/>
            </w:tcBorders>
            <w:hideMark/>
          </w:tcPr>
          <w:p w:rsidR="00805898" w:rsidRPr="00805898" w:rsidRDefault="00805898" w:rsidP="00805898">
            <w:pPr>
              <w:spacing w:before="116" w:after="44"/>
            </w:pPr>
            <w:r w:rsidRPr="00805898">
              <w:t>Less Adjusted Test Year Revenues</w:t>
            </w:r>
          </w:p>
        </w:tc>
        <w:tc>
          <w:tcPr>
            <w:tcW w:w="701" w:type="dxa"/>
            <w:tcBorders>
              <w:top w:val="nil"/>
              <w:left w:val="nil"/>
              <w:bottom w:val="nil"/>
              <w:right w:val="nil"/>
            </w:tcBorders>
          </w:tcPr>
          <w:p w:rsidR="00805898" w:rsidRPr="00805898" w:rsidRDefault="00805898" w:rsidP="00805898">
            <w:pPr>
              <w:spacing w:before="116" w:after="44"/>
              <w:jc w:val="center"/>
            </w:pPr>
          </w:p>
        </w:tc>
        <w:tc>
          <w:tcPr>
            <w:tcW w:w="1321" w:type="dxa"/>
            <w:tcBorders>
              <w:top w:val="nil"/>
              <w:left w:val="nil"/>
              <w:bottom w:val="single" w:sz="4" w:space="0" w:color="auto"/>
              <w:right w:val="single" w:sz="4" w:space="0" w:color="auto"/>
            </w:tcBorders>
            <w:hideMark/>
          </w:tcPr>
          <w:p w:rsidR="00805898" w:rsidRPr="00805898" w:rsidRDefault="00805898" w:rsidP="00805898">
            <w:pPr>
              <w:spacing w:before="116" w:after="44"/>
              <w:jc w:val="right"/>
            </w:pPr>
            <w:r w:rsidRPr="00805898">
              <w:t>52,504</w:t>
            </w:r>
          </w:p>
        </w:tc>
      </w:tr>
      <w:tr w:rsidR="00805898" w:rsidRPr="00805898" w:rsidTr="00445218">
        <w:trPr>
          <w:cantSplit/>
          <w:jc w:val="center"/>
        </w:trPr>
        <w:tc>
          <w:tcPr>
            <w:tcW w:w="3681" w:type="dxa"/>
            <w:tcBorders>
              <w:top w:val="nil"/>
              <w:left w:val="single" w:sz="4" w:space="0" w:color="auto"/>
              <w:bottom w:val="nil"/>
              <w:right w:val="nil"/>
            </w:tcBorders>
            <w:hideMark/>
          </w:tcPr>
          <w:p w:rsidR="00805898" w:rsidRPr="00805898" w:rsidRDefault="00805898" w:rsidP="00805898">
            <w:pPr>
              <w:spacing w:before="116" w:after="44"/>
            </w:pPr>
            <w:r w:rsidRPr="00805898">
              <w:t>Annual Increase</w:t>
            </w:r>
          </w:p>
        </w:tc>
        <w:tc>
          <w:tcPr>
            <w:tcW w:w="701" w:type="dxa"/>
            <w:tcBorders>
              <w:top w:val="nil"/>
              <w:left w:val="nil"/>
              <w:bottom w:val="nil"/>
              <w:right w:val="nil"/>
            </w:tcBorders>
          </w:tcPr>
          <w:p w:rsidR="00805898" w:rsidRPr="00805898" w:rsidRDefault="00805898" w:rsidP="00805898">
            <w:pPr>
              <w:spacing w:before="116" w:after="44"/>
              <w:jc w:val="center"/>
            </w:pPr>
          </w:p>
        </w:tc>
        <w:tc>
          <w:tcPr>
            <w:tcW w:w="1321" w:type="dxa"/>
            <w:tcBorders>
              <w:top w:val="single" w:sz="4" w:space="0" w:color="auto"/>
              <w:left w:val="nil"/>
              <w:bottom w:val="nil"/>
              <w:right w:val="single" w:sz="4" w:space="0" w:color="auto"/>
            </w:tcBorders>
            <w:hideMark/>
          </w:tcPr>
          <w:p w:rsidR="00805898" w:rsidRPr="00805898" w:rsidRDefault="002D35F1" w:rsidP="00805898">
            <w:pPr>
              <w:spacing w:before="116" w:after="44"/>
              <w:jc w:val="right"/>
              <w:rPr>
                <w:u w:val="double"/>
              </w:rPr>
            </w:pPr>
            <w:r w:rsidRPr="002D35F1">
              <w:rPr>
                <w:u w:val="double"/>
              </w:rPr>
              <w:t>$4,023</w:t>
            </w:r>
          </w:p>
        </w:tc>
      </w:tr>
      <w:tr w:rsidR="00805898" w:rsidRPr="00805898" w:rsidTr="00445218">
        <w:trPr>
          <w:cantSplit/>
          <w:trHeight w:val="372"/>
          <w:jc w:val="center"/>
        </w:trPr>
        <w:tc>
          <w:tcPr>
            <w:tcW w:w="3681" w:type="dxa"/>
            <w:tcBorders>
              <w:top w:val="nil"/>
              <w:left w:val="single" w:sz="4" w:space="0" w:color="auto"/>
              <w:bottom w:val="single" w:sz="4" w:space="0" w:color="auto"/>
              <w:right w:val="nil"/>
            </w:tcBorders>
            <w:hideMark/>
          </w:tcPr>
          <w:p w:rsidR="00805898" w:rsidRPr="00805898" w:rsidRDefault="00805898" w:rsidP="00805898">
            <w:pPr>
              <w:spacing w:before="116" w:after="44"/>
            </w:pPr>
            <w:r w:rsidRPr="00805898">
              <w:t>Percent Increase</w:t>
            </w:r>
          </w:p>
        </w:tc>
        <w:tc>
          <w:tcPr>
            <w:tcW w:w="701" w:type="dxa"/>
            <w:tcBorders>
              <w:top w:val="nil"/>
              <w:left w:val="nil"/>
              <w:bottom w:val="single" w:sz="4" w:space="0" w:color="auto"/>
              <w:right w:val="nil"/>
            </w:tcBorders>
          </w:tcPr>
          <w:p w:rsidR="00805898" w:rsidRPr="00805898" w:rsidRDefault="00805898" w:rsidP="00805898">
            <w:pPr>
              <w:spacing w:before="116" w:after="44"/>
              <w:jc w:val="center"/>
            </w:pPr>
          </w:p>
        </w:tc>
        <w:tc>
          <w:tcPr>
            <w:tcW w:w="1321" w:type="dxa"/>
            <w:tcBorders>
              <w:top w:val="nil"/>
              <w:left w:val="nil"/>
              <w:bottom w:val="single" w:sz="4" w:space="0" w:color="auto"/>
              <w:right w:val="single" w:sz="4" w:space="0" w:color="auto"/>
            </w:tcBorders>
            <w:hideMark/>
          </w:tcPr>
          <w:p w:rsidR="00805898" w:rsidRPr="00805898" w:rsidRDefault="002D35F1" w:rsidP="00805898">
            <w:pPr>
              <w:spacing w:before="116" w:after="44"/>
              <w:jc w:val="right"/>
            </w:pPr>
            <w:r w:rsidRPr="002D35F1">
              <w:t>7.66%</w:t>
            </w:r>
          </w:p>
        </w:tc>
      </w:tr>
    </w:tbl>
    <w:p w:rsidR="00805898" w:rsidRDefault="00805898" w:rsidP="00C36A5B">
      <w:pPr>
        <w:jc w:val="both"/>
      </w:pPr>
    </w:p>
    <w:p w:rsidR="00051C30" w:rsidRDefault="00051C30" w:rsidP="00C36A5B">
      <w:pPr>
        <w:jc w:val="both"/>
      </w:pPr>
    </w:p>
    <w:p w:rsidR="00805898" w:rsidRDefault="00FA27F8" w:rsidP="00FA27F8">
      <w:pPr>
        <w:jc w:val="both"/>
        <w:rPr>
          <w:bCs/>
          <w:kern w:val="32"/>
          <w:szCs w:val="32"/>
          <w:u w:val="single"/>
        </w:rPr>
      </w:pPr>
      <w:r>
        <w:rPr>
          <w:bCs/>
          <w:kern w:val="32"/>
          <w:szCs w:val="32"/>
          <w:u w:val="single"/>
        </w:rPr>
        <w:t>9. Rates and Rate Stru</w:t>
      </w:r>
      <w:r w:rsidRPr="00FA27F8">
        <w:rPr>
          <w:bCs/>
          <w:kern w:val="32"/>
          <w:szCs w:val="32"/>
          <w:u w:val="single"/>
        </w:rPr>
        <w:t>cture</w:t>
      </w:r>
    </w:p>
    <w:p w:rsidR="00FA27F8" w:rsidRPr="00FA27F8" w:rsidRDefault="00FA27F8" w:rsidP="00FA27F8">
      <w:pPr>
        <w:jc w:val="both"/>
        <w:rPr>
          <w:u w:val="single"/>
        </w:rPr>
      </w:pPr>
    </w:p>
    <w:p w:rsidR="00805898" w:rsidRPr="00FA27F8" w:rsidRDefault="00FA27F8" w:rsidP="00FA27F8">
      <w:pPr>
        <w:jc w:val="both"/>
        <w:outlineLvl w:val="2"/>
        <w:rPr>
          <w:bCs/>
          <w:i/>
          <w:iCs/>
          <w:szCs w:val="28"/>
        </w:rPr>
      </w:pPr>
      <w:r>
        <w:rPr>
          <w:bCs/>
          <w:i/>
          <w:iCs/>
          <w:szCs w:val="28"/>
        </w:rPr>
        <w:t xml:space="preserve">A. </w:t>
      </w:r>
      <w:r w:rsidR="00805898" w:rsidRPr="00FA27F8">
        <w:rPr>
          <w:bCs/>
          <w:i/>
          <w:iCs/>
          <w:szCs w:val="28"/>
        </w:rPr>
        <w:t>Water Rates</w:t>
      </w:r>
    </w:p>
    <w:p w:rsidR="00FA27F8" w:rsidRPr="00FA27F8" w:rsidRDefault="00FA27F8" w:rsidP="00FA27F8">
      <w:pPr>
        <w:jc w:val="both"/>
        <w:outlineLvl w:val="2"/>
        <w:rPr>
          <w:b/>
          <w:bCs/>
          <w:iCs/>
          <w:szCs w:val="28"/>
        </w:rPr>
      </w:pPr>
    </w:p>
    <w:p w:rsidR="00805898" w:rsidRDefault="00805898" w:rsidP="00FA27F8">
      <w:pPr>
        <w:jc w:val="both"/>
      </w:pPr>
      <w:r w:rsidRPr="00FA27F8">
        <w:tab/>
        <w:t xml:space="preserve">FIMC is located </w:t>
      </w:r>
      <w:r w:rsidRPr="00805898">
        <w:t>in Levy County within the SRWMD. The utility provides water service to approximately 183 residential customers and a clubhouse in the Hideaway and Springside service areas. Approximately 24 percent of the residential customer bills during the test year had zero gallons, indicating the customer base is seasonal. The average residential water demand is approximately 2,488 gallons per customer. The average demand excluding zero gallon bills is approximately 3,022 gallons per customer.</w:t>
      </w:r>
    </w:p>
    <w:p w:rsidR="00180828" w:rsidRPr="00805898" w:rsidRDefault="00180828" w:rsidP="00FA27F8">
      <w:pPr>
        <w:jc w:val="both"/>
      </w:pPr>
    </w:p>
    <w:p w:rsidR="00805898" w:rsidRPr="00805898" w:rsidRDefault="00805898" w:rsidP="00805898">
      <w:pPr>
        <w:spacing w:after="240"/>
        <w:jc w:val="both"/>
      </w:pPr>
      <w:r>
        <w:tab/>
      </w:r>
      <w:r w:rsidRPr="00805898">
        <w:t xml:space="preserve">The Hideaway and Springside customers currently have separate water rates as shown on Schedule No. 4-A. The current rate structures for the residential and general service water customers consist of base facility charges (BFC) based on meter size and uniform gallonage charges. Approximately 77 residential customers in the Springside service area also have separate irrigation meters. The residential irrigation rate structure includes a uniform gallonage charge without a BFC. </w:t>
      </w:r>
    </w:p>
    <w:p w:rsidR="00805898" w:rsidRPr="00805898" w:rsidRDefault="00805898" w:rsidP="00805898">
      <w:pPr>
        <w:spacing w:after="240"/>
        <w:jc w:val="both"/>
      </w:pPr>
      <w:r>
        <w:tab/>
      </w:r>
      <w:r w:rsidR="00217EB4">
        <w:t>We</w:t>
      </w:r>
      <w:r w:rsidRPr="00805898">
        <w:t xml:space="preserve"> performed an analysis of the utility’s billing data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non-</w:t>
      </w:r>
      <w:r w:rsidRPr="00805898">
        <w:lastRenderedPageBreak/>
        <w:t xml:space="preserve">discretionary usage threshold for restricting repression; and (4) implement, where appropriate, water conserving rate structures consistent with </w:t>
      </w:r>
      <w:r w:rsidR="00217EB4">
        <w:t xml:space="preserve">this </w:t>
      </w:r>
      <w:r w:rsidRPr="00805898">
        <w:t>Commission</w:t>
      </w:r>
      <w:r w:rsidR="00217EB4">
        <w:t>’s</w:t>
      </w:r>
      <w:r w:rsidRPr="00805898">
        <w:t xml:space="preserve"> practice.</w:t>
      </w:r>
    </w:p>
    <w:p w:rsidR="00805898" w:rsidRPr="00805898" w:rsidRDefault="00805898" w:rsidP="00805898">
      <w:pPr>
        <w:spacing w:after="240"/>
        <w:jc w:val="both"/>
      </w:pPr>
      <w:r>
        <w:tab/>
      </w:r>
      <w:r w:rsidRPr="00805898">
        <w:t xml:space="preserve">The utility requested uniform rates for its Hideaway and Springside systems. Hideaway customers currently pay $5.17 per month more than Springside customers for 2,000 gallons of water. </w:t>
      </w:r>
      <w:r w:rsidR="00217EB4">
        <w:t>We find that</w:t>
      </w:r>
      <w:r w:rsidRPr="00805898">
        <w:t xml:space="preserve"> uniform rates are appropriate since Hideaway and Springside customers are served by a single WTP. On a uniform basis with the recommended percentage increase, the Springside system receives an increase while the Hideaway system receives a decrease at the 2,000 gallon consumption level. Additionally, billing and accounting functions would be simpler with uniform rates which could mitigate these administrative costs. As a result, </w:t>
      </w:r>
      <w:r w:rsidR="00217EB4">
        <w:t>we hereby find that</w:t>
      </w:r>
      <w:r w:rsidRPr="00805898">
        <w:t xml:space="preserve"> uniform rates for the FIMC water system</w:t>
      </w:r>
      <w:r w:rsidR="00217EB4">
        <w:t xml:space="preserve"> are appropriate</w:t>
      </w:r>
      <w:r w:rsidRPr="00805898">
        <w:t>.</w:t>
      </w:r>
    </w:p>
    <w:p w:rsidR="00805898" w:rsidRPr="00805898" w:rsidRDefault="00805898" w:rsidP="00805898">
      <w:pPr>
        <w:spacing w:after="240"/>
        <w:jc w:val="both"/>
      </w:pPr>
      <w:r>
        <w:tab/>
      </w:r>
      <w:r w:rsidRPr="00805898">
        <w:t>Due to the customers’ low average monthly consumption and somewhat seasonal customer base, 50 percent of the revenue requirement sh</w:t>
      </w:r>
      <w:r w:rsidR="00217EB4">
        <w:t>all</w:t>
      </w:r>
      <w:r w:rsidRPr="00805898">
        <w:t xml:space="preserve"> be recovered through the BFC in an effort to provide revenue stability. In addition, the average number of  persons  per household served by the water  system  is two and one half; therefore, based  on  the number of persons per household, 50 gallons per day per person, and the number of days per month, the non-discretionary usage threshold would be 3,000 gallons per month. However, </w:t>
      </w:r>
      <w:r w:rsidR="00217EB4">
        <w:t>we find that</w:t>
      </w:r>
      <w:r w:rsidRPr="00805898">
        <w:t xml:space="preserve"> a non-discretionary threshold or repression adjustment</w:t>
      </w:r>
      <w:r w:rsidR="00217EB4">
        <w:t xml:space="preserve"> is inappropriate</w:t>
      </w:r>
      <w:r w:rsidRPr="00805898">
        <w:t xml:space="preserve"> because of the low average monthly demand. </w:t>
      </w:r>
      <w:r w:rsidR="00217EB4">
        <w:t>We hereby approve a</w:t>
      </w:r>
      <w:r w:rsidRPr="00805898">
        <w:t xml:space="preserve"> continuation of the BFC and uniform gallonage charge rate structure for residential and general service customers. </w:t>
      </w:r>
    </w:p>
    <w:p w:rsidR="00805898" w:rsidRDefault="00805898" w:rsidP="00180828">
      <w:pPr>
        <w:jc w:val="both"/>
      </w:pPr>
      <w:r>
        <w:tab/>
      </w:r>
      <w:r w:rsidR="00A528BA">
        <w:t>We</w:t>
      </w:r>
      <w:r w:rsidRPr="00805898">
        <w:t xml:space="preserve"> evaluated whether residential irrigation customers should be assessed a BFC. Typically, the configuration of irrigation meters determines whether or not it is appropriate to assess a BFC. Based on </w:t>
      </w:r>
      <w:r w:rsidR="00A528BA">
        <w:t>our</w:t>
      </w:r>
      <w:r w:rsidRPr="00805898">
        <w:t xml:space="preserve"> analysis, the residential irrigation customers’ average demand is 754 gallons per month, which does not indicate high usage for irrigation customers with separate meters. Based on the above, </w:t>
      </w:r>
      <w:r w:rsidR="00A528BA">
        <w:t>we find</w:t>
      </w:r>
      <w:r w:rsidRPr="00805898">
        <w:t xml:space="preserve"> that the irrigation customers</w:t>
      </w:r>
      <w:r w:rsidR="00A528BA">
        <w:t xml:space="preserve"> shall</w:t>
      </w:r>
      <w:r w:rsidRPr="00805898">
        <w:t xml:space="preserve"> continue a gallonage charge only rate structure. The gallonage charge for irrigation service sh</w:t>
      </w:r>
      <w:r w:rsidR="00A528BA">
        <w:t>all</w:t>
      </w:r>
      <w:r w:rsidRPr="00805898">
        <w:t xml:space="preserve"> be consistent with the gallonage charge for resid</w:t>
      </w:r>
      <w:r w:rsidRPr="00180828">
        <w:t xml:space="preserve">ential service. </w:t>
      </w:r>
    </w:p>
    <w:p w:rsidR="00180828" w:rsidRPr="00180828" w:rsidRDefault="00180828" w:rsidP="00180828">
      <w:pPr>
        <w:jc w:val="both"/>
      </w:pPr>
    </w:p>
    <w:p w:rsidR="00805898" w:rsidRPr="00180828" w:rsidRDefault="00180828" w:rsidP="00180828">
      <w:pPr>
        <w:jc w:val="both"/>
        <w:outlineLvl w:val="2"/>
        <w:rPr>
          <w:bCs/>
          <w:i/>
          <w:iCs/>
          <w:szCs w:val="28"/>
        </w:rPr>
      </w:pPr>
      <w:r>
        <w:rPr>
          <w:bCs/>
          <w:i/>
          <w:iCs/>
          <w:szCs w:val="28"/>
        </w:rPr>
        <w:t xml:space="preserve">B. </w:t>
      </w:r>
      <w:r w:rsidR="00805898" w:rsidRPr="00180828">
        <w:rPr>
          <w:bCs/>
          <w:i/>
          <w:iCs/>
          <w:szCs w:val="28"/>
        </w:rPr>
        <w:t>Wastewater Rates</w:t>
      </w:r>
    </w:p>
    <w:p w:rsidR="00180828" w:rsidRPr="00180828" w:rsidRDefault="00180828" w:rsidP="00180828">
      <w:pPr>
        <w:jc w:val="both"/>
        <w:outlineLvl w:val="2"/>
        <w:rPr>
          <w:b/>
          <w:bCs/>
          <w:iCs/>
          <w:szCs w:val="28"/>
        </w:rPr>
      </w:pPr>
    </w:p>
    <w:p w:rsidR="00805898" w:rsidRDefault="00805898" w:rsidP="00180828">
      <w:pPr>
        <w:jc w:val="both"/>
      </w:pPr>
      <w:r w:rsidRPr="00180828">
        <w:tab/>
        <w:t>The utility provides wastewater service to 197 customers. As previously described, the Hideaway and Springside service area</w:t>
      </w:r>
      <w:r w:rsidRPr="00805898">
        <w:t xml:space="preserve">s also have separate wastewater rates as shown on Schedule No. 4-B. The current rate structures for wastewater service consist of uniform BFCs for all residential meter sizes and gallonage charges with caps of 6,000 gallons per month for Hideaway and 10,000 gallons per month for Springside. In addition, there are approximately 13 customers in the service area that are wastewater only customers because they have their own wells. These customers are billed a flat monthly rate for wastewater service. The general service rates include a BFC by meter size and a gallonage charge that is higher than the residential gallonage charge. </w:t>
      </w:r>
    </w:p>
    <w:p w:rsidR="00180828" w:rsidRPr="00805898" w:rsidRDefault="00180828" w:rsidP="00180828">
      <w:pPr>
        <w:jc w:val="both"/>
      </w:pPr>
    </w:p>
    <w:p w:rsidR="00805898" w:rsidRPr="00805898" w:rsidRDefault="00805898" w:rsidP="00805898">
      <w:pPr>
        <w:spacing w:after="240"/>
        <w:jc w:val="both"/>
      </w:pPr>
      <w:r>
        <w:tab/>
      </w:r>
      <w:r w:rsidR="00A528BA">
        <w:t>We</w:t>
      </w:r>
      <w:r w:rsidRPr="00805898">
        <w:t xml:space="preserve"> performed an analysis of the utility’s billing data to evaluate various BFC cost recovery percentages and gallonage caps for the residential customers. The goal of the evaluation was to select the rate design parameters that: (1) produce the recommended revenue requirement; </w:t>
      </w:r>
      <w:r w:rsidRPr="00805898">
        <w:lastRenderedPageBreak/>
        <w:t>(2) equitably distribute cost recovery among the utility’s customers; and (3) implement a gallonage cap that considers approximately the amount of water that may return to the wastewater system.</w:t>
      </w:r>
    </w:p>
    <w:p w:rsidR="00805898" w:rsidRPr="00805898" w:rsidRDefault="00805898" w:rsidP="00805898">
      <w:pPr>
        <w:spacing w:after="240"/>
        <w:jc w:val="both"/>
      </w:pPr>
      <w:r>
        <w:tab/>
      </w:r>
      <w:r w:rsidRPr="00805898">
        <w:t xml:space="preserve">As previously discussed, the Hideaway and Springside customers are served by a single WWTP. Currently, Springside wastewater customers pay $12.22 per month more than Hideaway customers for 2,000 gallons per month. On a uniform basis with the recommended percentage increase, the Hideaway system receives an increase while the Springside system receives a decrease in contrast to the typical bills for water at the 2,000 gallon consumption level. Consistent with </w:t>
      </w:r>
      <w:r w:rsidR="00A528BA">
        <w:t>our findings</w:t>
      </w:r>
      <w:r w:rsidRPr="00805898">
        <w:t xml:space="preserve"> for the water system, uniform rates </w:t>
      </w:r>
      <w:r w:rsidR="00A528BA">
        <w:t>are hereby</w:t>
      </w:r>
      <w:r w:rsidRPr="00805898">
        <w:t xml:space="preserve"> approved for the Hideaway and Springside wastewater customers. </w:t>
      </w:r>
    </w:p>
    <w:p w:rsidR="00805898" w:rsidRDefault="00805898" w:rsidP="00180828">
      <w:pPr>
        <w:jc w:val="both"/>
      </w:pPr>
      <w:r>
        <w:tab/>
      </w:r>
      <w:r w:rsidRPr="00805898">
        <w:t>As mentioned earlier, the customer base is somewhat seasonal; therefore, 50 percent of the wastewater revenue sh</w:t>
      </w:r>
      <w:r w:rsidR="00A528BA">
        <w:t>all</w:t>
      </w:r>
      <w:r w:rsidRPr="00805898">
        <w:t xml:space="preserve"> be allocated to the BFC to help provide revenue stability. FIMC’s current residential wastewater caps are 6,000 gallons for the Hideaway and 10,000 gallons for the Springside customers. It is </w:t>
      </w:r>
      <w:r w:rsidR="00A528BA">
        <w:t xml:space="preserve">this </w:t>
      </w:r>
      <w:r w:rsidRPr="00805898">
        <w:t>Commission</w:t>
      </w:r>
      <w:r w:rsidR="00A528BA">
        <w:t>’s</w:t>
      </w:r>
      <w:r w:rsidRPr="00805898">
        <w:t xml:space="preserve"> practice to set the wastewater cap at approximately 80 percent of residential water gallons sold, which typically results in gallonage caps of 6,000, 8,000, or 10,000. The wastewater gallonage cap recognizes that not all water used by the residential customers is returned to the wastewater system. However, due to the seasonality of the utility’s customer base, 86 percent of the total water sold is captured at 4,000 gallons which is lower than gallonage caps typically approved for wastewater systems. Therefore, </w:t>
      </w:r>
      <w:r w:rsidR="00A528BA">
        <w:t>we hereby approve</w:t>
      </w:r>
      <w:r w:rsidRPr="00805898">
        <w:t xml:space="preserve"> a residential wastewater gallonage cap of 6,000 gallons for the H</w:t>
      </w:r>
      <w:r w:rsidR="00A528BA">
        <w:t>ideaway and Springside systems. N</w:t>
      </w:r>
      <w:r w:rsidRPr="00805898">
        <w:t xml:space="preserve">o repression adjustment </w:t>
      </w:r>
      <w:r w:rsidR="00A528BA">
        <w:t xml:space="preserve">shall be applied </w:t>
      </w:r>
      <w:r w:rsidRPr="00805898">
        <w:t xml:space="preserve">for the WWTP. </w:t>
      </w:r>
      <w:r w:rsidR="00A528BA">
        <w:t>We further approve</w:t>
      </w:r>
      <w:r w:rsidRPr="00805898">
        <w:t xml:space="preserve"> a residential flat rate based on the </w:t>
      </w:r>
      <w:r w:rsidR="00A528BA">
        <w:t>Commission-approved</w:t>
      </w:r>
      <w:r w:rsidRPr="00805898">
        <w:t xml:space="preserve"> BFC and average consumption of 2,488 gallons per month. Additionally, the general service gallonage charge </w:t>
      </w:r>
      <w:r w:rsidR="00A528BA">
        <w:t xml:space="preserve">shall </w:t>
      </w:r>
      <w:r w:rsidRPr="00805898">
        <w:t xml:space="preserve">be 1.2 times greater than the residential gallonage charge which is consistent with </w:t>
      </w:r>
      <w:r w:rsidR="00A528BA">
        <w:t xml:space="preserve">this </w:t>
      </w:r>
      <w:r w:rsidRPr="00805898">
        <w:t>Commission</w:t>
      </w:r>
      <w:r w:rsidR="00A528BA">
        <w:t>’s</w:t>
      </w:r>
      <w:r w:rsidRPr="00805898">
        <w:t xml:space="preserve"> </w:t>
      </w:r>
      <w:r w:rsidRPr="00180828">
        <w:t>practice.</w:t>
      </w:r>
    </w:p>
    <w:p w:rsidR="00180828" w:rsidRPr="00180828" w:rsidRDefault="00180828" w:rsidP="00180828">
      <w:pPr>
        <w:jc w:val="both"/>
      </w:pPr>
    </w:p>
    <w:p w:rsidR="00805898" w:rsidRPr="00180828" w:rsidRDefault="00180828" w:rsidP="00180828">
      <w:pPr>
        <w:jc w:val="both"/>
        <w:outlineLvl w:val="2"/>
        <w:rPr>
          <w:bCs/>
          <w:i/>
          <w:iCs/>
          <w:szCs w:val="28"/>
        </w:rPr>
      </w:pPr>
      <w:r>
        <w:rPr>
          <w:bCs/>
          <w:i/>
          <w:iCs/>
          <w:szCs w:val="28"/>
        </w:rPr>
        <w:t xml:space="preserve">C. </w:t>
      </w:r>
      <w:r w:rsidR="00805898" w:rsidRPr="00180828">
        <w:rPr>
          <w:bCs/>
          <w:i/>
          <w:iCs/>
          <w:szCs w:val="28"/>
        </w:rPr>
        <w:t>Conclusion</w:t>
      </w:r>
    </w:p>
    <w:p w:rsidR="00180828" w:rsidRPr="00180828" w:rsidRDefault="00180828" w:rsidP="00180828">
      <w:pPr>
        <w:jc w:val="both"/>
        <w:outlineLvl w:val="2"/>
        <w:rPr>
          <w:b/>
          <w:bCs/>
          <w:iCs/>
          <w:szCs w:val="28"/>
        </w:rPr>
      </w:pPr>
    </w:p>
    <w:p w:rsidR="00805898" w:rsidRDefault="00805898" w:rsidP="00180828">
      <w:pPr>
        <w:jc w:val="both"/>
      </w:pPr>
      <w:r w:rsidRPr="00180828">
        <w:tab/>
        <w:t>Based on th</w:t>
      </w:r>
      <w:r w:rsidRPr="00805898">
        <w:t xml:space="preserve">e above, the </w:t>
      </w:r>
      <w:r w:rsidR="00F54EE2">
        <w:t>Commission-approved</w:t>
      </w:r>
      <w:r w:rsidRPr="00805898">
        <w:t xml:space="preserve"> rate structures and monthly water and wastewater rates are shown on Schedule Nos. 4-A and 4-B. The utility sh</w:t>
      </w:r>
      <w:r w:rsidR="00F54EE2">
        <w:t>all</w:t>
      </w:r>
      <w:r w:rsidRPr="00805898">
        <w:t xml:space="preserve"> file revised tariff sheets and a proposed customer notice to reflect the Commission-approved rates. The approved rates sh</w:t>
      </w:r>
      <w:r w:rsidR="00F54EE2">
        <w:t>all</w:t>
      </w:r>
      <w:r w:rsidRPr="00805898">
        <w:t xml:space="preserve"> be effective for service rendered on or after the stamped approval date on the tariff sheet pursuant to Rule 25-30.475(1), F.A.C. In addition, the approved rates sh</w:t>
      </w:r>
      <w:r w:rsidR="00F54EE2">
        <w:t>all</w:t>
      </w:r>
      <w:r w:rsidRPr="00805898">
        <w:t xml:space="preserve"> not be implemented until </w:t>
      </w:r>
      <w:r w:rsidR="0069765B">
        <w:t>our</w:t>
      </w:r>
      <w:r w:rsidR="00F54EE2">
        <w:t xml:space="preserve"> </w:t>
      </w:r>
      <w:r w:rsidRPr="00805898">
        <w:t>staff has approved the proposed customer notice and the notice has been received by the customers. The utility sh</w:t>
      </w:r>
      <w:r w:rsidR="00F54EE2">
        <w:t>all</w:t>
      </w:r>
      <w:r w:rsidRPr="00805898">
        <w:t xml:space="preserve"> provide proof of the date notice was given within 10 days of the date of this notice.</w:t>
      </w:r>
    </w:p>
    <w:p w:rsidR="00180828" w:rsidRPr="00805898" w:rsidRDefault="00180828" w:rsidP="00180828">
      <w:pPr>
        <w:jc w:val="both"/>
      </w:pPr>
    </w:p>
    <w:p w:rsidR="00805898" w:rsidRPr="00180828" w:rsidRDefault="00180828" w:rsidP="00805898">
      <w:pPr>
        <w:spacing w:after="240"/>
        <w:jc w:val="both"/>
      </w:pPr>
      <w:r>
        <w:rPr>
          <w:bCs/>
          <w:kern w:val="32"/>
          <w:szCs w:val="32"/>
          <w:u w:val="single"/>
        </w:rPr>
        <w:t>10. Customer Deposits</w:t>
      </w:r>
    </w:p>
    <w:p w:rsidR="00805898" w:rsidRPr="00805898" w:rsidRDefault="00805898" w:rsidP="00180828">
      <w:pPr>
        <w:ind w:firstLine="720"/>
        <w:jc w:val="both"/>
      </w:pPr>
      <w:r w:rsidRPr="00805898">
        <w:t>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w:t>
      </w:r>
      <w:r w:rsidR="00F54EE2">
        <w:t>ost causer. Historically, this</w:t>
      </w:r>
      <w:r w:rsidRPr="00805898">
        <w:t xml:space="preserve"> </w:t>
      </w:r>
      <w:r w:rsidRPr="00805898">
        <w:lastRenderedPageBreak/>
        <w:t>Commission has set initial customer deposits equal to two times the average estimated bill.</w:t>
      </w:r>
      <w:r w:rsidRPr="00805898">
        <w:rPr>
          <w:color w:val="000000"/>
          <w:vertAlign w:val="superscript"/>
        </w:rPr>
        <w:footnoteReference w:id="31"/>
      </w:r>
      <w:r w:rsidRPr="00805898">
        <w:rPr>
          <w:color w:val="000000"/>
        </w:rPr>
        <w:t xml:space="preserve"> </w:t>
      </w:r>
      <w:r w:rsidRPr="00805898">
        <w:t xml:space="preserve">Currently, the utility does not have initial deposits. Based on the </w:t>
      </w:r>
      <w:r w:rsidR="00F54EE2">
        <w:t>Commission-approved</w:t>
      </w:r>
      <w:r w:rsidRPr="00805898">
        <w:t xml:space="preserve"> water rates, the appropriate initial customer deposit for water sh</w:t>
      </w:r>
      <w:r w:rsidR="00F54EE2">
        <w:t>all</w:t>
      </w:r>
      <w:r w:rsidRPr="00805898">
        <w:t xml:space="preserve"> be $43 to reflect an average residential customer bill for two months. The appropriate initial customer deposit for wastewater sh</w:t>
      </w:r>
      <w:r w:rsidR="00F54EE2">
        <w:t>all</w:t>
      </w:r>
      <w:r w:rsidRPr="00805898">
        <w:t xml:space="preserve"> be $55 to reflect an average residential customer bill for two months. </w:t>
      </w:r>
    </w:p>
    <w:p w:rsidR="00805898" w:rsidRPr="00805898" w:rsidRDefault="00805898" w:rsidP="00805898">
      <w:pPr>
        <w:jc w:val="both"/>
      </w:pPr>
    </w:p>
    <w:p w:rsidR="00805898" w:rsidRPr="00805898" w:rsidRDefault="00805898" w:rsidP="00805898">
      <w:pPr>
        <w:spacing w:after="240"/>
        <w:jc w:val="both"/>
      </w:pPr>
      <w:r>
        <w:tab/>
      </w:r>
      <w:r w:rsidR="00F54EE2">
        <w:t>T</w:t>
      </w:r>
      <w:r w:rsidRPr="00805898">
        <w:t>he appropriate initial customer deposits sh</w:t>
      </w:r>
      <w:r w:rsidR="00F54EE2">
        <w:t>all</w:t>
      </w:r>
      <w:r w:rsidRPr="00805898">
        <w:t xml:space="preserve"> be $43 for water and $55 for wastewater for the residential 5/8 inch x 3/4 inch meter size. The initial customer deposits for all other residential meter sizes and all general service meter sizes sh</w:t>
      </w:r>
      <w:r w:rsidR="00F54EE2">
        <w:t>all</w:t>
      </w:r>
      <w:r w:rsidRPr="00805898">
        <w:t xml:space="preserve"> be two times the average estimated monthly bill. The approved initial customer deposits sh</w:t>
      </w:r>
      <w:r w:rsidR="00F54EE2">
        <w:t>all</w:t>
      </w:r>
      <w:r w:rsidRPr="00805898">
        <w:t xml:space="preserve"> be effective for services rendered or connections made on or after the stamped approval date on the tariff sheets pursuant to Rule 25-30.475, F.A.C. The utility sh</w:t>
      </w:r>
      <w:r w:rsidR="00F54EE2">
        <w:t>all</w:t>
      </w:r>
      <w:r w:rsidRPr="00805898">
        <w:t xml:space="preserve"> be required to collect the approved deposits until authorized to change them by </w:t>
      </w:r>
      <w:r w:rsidR="00F54EE2">
        <w:t>us</w:t>
      </w:r>
      <w:r w:rsidRPr="00805898">
        <w:t xml:space="preserve"> in a subsequent proceeding.</w:t>
      </w:r>
    </w:p>
    <w:p w:rsidR="00805898" w:rsidRPr="00180828" w:rsidRDefault="00180828" w:rsidP="00805898">
      <w:pPr>
        <w:spacing w:after="240"/>
        <w:jc w:val="both"/>
        <w:rPr>
          <w:u w:val="single"/>
        </w:rPr>
      </w:pPr>
      <w:r>
        <w:rPr>
          <w:bCs/>
          <w:kern w:val="32"/>
          <w:szCs w:val="32"/>
          <w:u w:val="single"/>
        </w:rPr>
        <w:t>11. Service Availability Charges</w:t>
      </w:r>
    </w:p>
    <w:p w:rsidR="00805898" w:rsidRPr="00805898" w:rsidRDefault="00805898" w:rsidP="004012D2">
      <w:pPr>
        <w:spacing w:after="240"/>
        <w:ind w:firstLine="720"/>
        <w:jc w:val="both"/>
      </w:pPr>
      <w:r w:rsidRPr="00805898">
        <w:t>The utility’s existing service availability charges were approved in separate dockets for each system.</w:t>
      </w:r>
      <w:r w:rsidRPr="00805898">
        <w:rPr>
          <w:vertAlign w:val="superscript"/>
        </w:rPr>
        <w:footnoteReference w:id="32"/>
      </w:r>
      <w:r w:rsidRPr="00805898">
        <w:t xml:space="preserve"> The utility currently is authorized to charge new connections in the Hideaway system main extension charges of $600 for water and $725 for wastewater. The authorized charges for the Springside system consist of system capacity charges of $325 for water and $950 for wastewater. The meter installation charges are $100 for Hideaway and $105 for Springside. Approximately five lots in the utility’s service area are vacant. </w:t>
      </w:r>
    </w:p>
    <w:p w:rsidR="00805898" w:rsidRDefault="00805898" w:rsidP="004012D2">
      <w:pPr>
        <w:jc w:val="both"/>
      </w:pPr>
      <w:r>
        <w:tab/>
      </w:r>
      <w:r w:rsidRPr="00805898">
        <w:t>Rule 25-30.580, F.A.C., establishes guidelines for designing service availability charges. Pursuant to the Rule, the maximum amount of contributions-in-aid-of construction (CIAC), net of amortization, sh</w:t>
      </w:r>
      <w:r w:rsidR="00F54EE2">
        <w:t>all</w:t>
      </w:r>
      <w:r w:rsidRPr="00805898">
        <w:t xml:space="preserve"> not exceed 75 percent of the total original cost, net of accumulated depreciation, of the utility’s facilities and plant when the facilities and plant are at their designed capacity. The minimum amount of CIAC sh</w:t>
      </w:r>
      <w:r w:rsidR="00F54EE2">
        <w:t>all</w:t>
      </w:r>
      <w:r w:rsidRPr="00805898">
        <w:t xml:space="preserve"> not be less than the percentage of such facilities and plant that is represented by the water transmission and distribution and wastewater collection systems. The maximum guideline is designed to ensure that the utility retains an investment in the system. The utility’s current contribution levels are 48 percent for water and 123 percent for wastewater. </w:t>
      </w:r>
    </w:p>
    <w:p w:rsidR="004012D2" w:rsidRPr="00805898" w:rsidRDefault="004012D2" w:rsidP="004012D2">
      <w:pPr>
        <w:jc w:val="both"/>
      </w:pPr>
    </w:p>
    <w:p w:rsidR="00805898" w:rsidRDefault="004012D2" w:rsidP="004012D2">
      <w:pPr>
        <w:jc w:val="both"/>
        <w:rPr>
          <w:i/>
        </w:rPr>
      </w:pPr>
      <w:r>
        <w:rPr>
          <w:i/>
        </w:rPr>
        <w:t xml:space="preserve">A. </w:t>
      </w:r>
      <w:r w:rsidR="00805898" w:rsidRPr="004012D2">
        <w:rPr>
          <w:i/>
        </w:rPr>
        <w:t>Meter Installation Charge</w:t>
      </w:r>
    </w:p>
    <w:p w:rsidR="004012D2" w:rsidRPr="004012D2" w:rsidRDefault="004012D2" w:rsidP="004012D2">
      <w:pPr>
        <w:jc w:val="both"/>
        <w:rPr>
          <w:i/>
        </w:rPr>
      </w:pPr>
    </w:p>
    <w:p w:rsidR="00805898" w:rsidRPr="00805898" w:rsidRDefault="00805898" w:rsidP="004012D2">
      <w:pPr>
        <w:jc w:val="both"/>
      </w:pPr>
      <w:r>
        <w:tab/>
      </w:r>
      <w:r w:rsidRPr="00805898">
        <w:t xml:space="preserve">A meter installation charge is designed to recover the cost of the meter and the installation. FIMC is requesting an increase in its meter installation charges to reflect the current costs of installing a meter along with the associated labor and parts. The utility provided the necessary cost justification for its requested $142.40 meter installation charge for a 5/8 inch x 3/4 </w:t>
      </w:r>
      <w:r w:rsidRPr="00805898">
        <w:lastRenderedPageBreak/>
        <w:t>inch meter, which includes $97.40 for the meter and fittings and $45 for labor. The utility’s requested meter installation charge is reasonable and sh</w:t>
      </w:r>
      <w:r w:rsidR="00F54EE2">
        <w:t>all</w:t>
      </w:r>
      <w:r w:rsidRPr="00805898">
        <w:t xml:space="preserve"> be approved. Therefore, </w:t>
      </w:r>
      <w:r w:rsidR="00F54EE2">
        <w:t>we find that</w:t>
      </w:r>
      <w:r w:rsidRPr="00805898">
        <w:t xml:space="preserve"> meter installation charges of $142.40 for a 5/8 inch x 3/4 inch meter and actual cost for all other meter sizes sh</w:t>
      </w:r>
      <w:r w:rsidR="00F54EE2">
        <w:t>all</w:t>
      </w:r>
      <w:r w:rsidRPr="00805898">
        <w:t xml:space="preserve"> be approved. </w:t>
      </w:r>
    </w:p>
    <w:p w:rsidR="00805898" w:rsidRDefault="00805898" w:rsidP="004012D2">
      <w:pPr>
        <w:jc w:val="both"/>
      </w:pPr>
    </w:p>
    <w:p w:rsidR="00805898" w:rsidRDefault="004012D2" w:rsidP="004012D2">
      <w:pPr>
        <w:jc w:val="both"/>
        <w:rPr>
          <w:i/>
        </w:rPr>
      </w:pPr>
      <w:r>
        <w:rPr>
          <w:i/>
        </w:rPr>
        <w:t xml:space="preserve">B. </w:t>
      </w:r>
      <w:r w:rsidR="00805898" w:rsidRPr="004012D2">
        <w:rPr>
          <w:i/>
        </w:rPr>
        <w:t>Main Extension Charge</w:t>
      </w:r>
    </w:p>
    <w:p w:rsidR="004012D2" w:rsidRPr="004012D2" w:rsidRDefault="004012D2" w:rsidP="004012D2">
      <w:pPr>
        <w:jc w:val="both"/>
        <w:rPr>
          <w:i/>
        </w:rPr>
      </w:pPr>
    </w:p>
    <w:p w:rsidR="00805898" w:rsidRPr="00805898" w:rsidRDefault="00805898" w:rsidP="004012D2">
      <w:pPr>
        <w:jc w:val="both"/>
      </w:pPr>
      <w:r>
        <w:tab/>
      </w:r>
      <w:r w:rsidRPr="00805898">
        <w:t xml:space="preserve">A main extension charge allows the utility to recover a portion of the cost of the utility’s distribution and collection lines from future customers. The water distribution system has a design capacity of 200 ERCs and the average cost of the lines per ERC is approximately $375. Therefore, </w:t>
      </w:r>
      <w:r w:rsidR="00F54EE2">
        <w:t>we hereby find</w:t>
      </w:r>
      <w:r w:rsidRPr="00805898">
        <w:t xml:space="preserve"> that the Hideaway water main extension charge of $600 and the Springside water system capacity charge of $325 sh</w:t>
      </w:r>
      <w:r w:rsidR="00F54EE2">
        <w:t>all</w:t>
      </w:r>
      <w:r w:rsidRPr="00805898">
        <w:t xml:space="preserve"> be discontinued. A uniform main extension charge for the water system of $375 per ERC sh</w:t>
      </w:r>
      <w:r w:rsidR="00F54EE2">
        <w:t>all</w:t>
      </w:r>
      <w:r w:rsidRPr="00805898">
        <w:t xml:space="preserve"> be approved. However, because the utility has fully recovered the cost of the collection lines and the utility’s current contribution level exceeds, the maximum guideline in Rule 25-30.580, F.A.C., that the utility’s wastewater main extension charge of $725 for the Hideaway system and the $900 system capacity charge for the Springside wastewater system </w:t>
      </w:r>
      <w:r w:rsidR="00F54EE2">
        <w:t xml:space="preserve">shall </w:t>
      </w:r>
      <w:r w:rsidRPr="00805898">
        <w:t xml:space="preserve">be discontinued. </w:t>
      </w:r>
    </w:p>
    <w:p w:rsidR="00805898" w:rsidRPr="00805898" w:rsidRDefault="00805898" w:rsidP="004012D2">
      <w:pPr>
        <w:jc w:val="both"/>
        <w:rPr>
          <w:u w:val="single"/>
        </w:rPr>
      </w:pPr>
    </w:p>
    <w:p w:rsidR="00805898" w:rsidRDefault="004012D2" w:rsidP="004012D2">
      <w:pPr>
        <w:jc w:val="both"/>
        <w:rPr>
          <w:i/>
        </w:rPr>
      </w:pPr>
      <w:r>
        <w:rPr>
          <w:i/>
        </w:rPr>
        <w:t>C. Conclusion</w:t>
      </w:r>
    </w:p>
    <w:p w:rsidR="004012D2" w:rsidRPr="004012D2" w:rsidRDefault="004012D2" w:rsidP="004012D2">
      <w:pPr>
        <w:jc w:val="both"/>
        <w:rPr>
          <w:i/>
        </w:rPr>
      </w:pPr>
    </w:p>
    <w:p w:rsidR="00805898" w:rsidRPr="00805898" w:rsidRDefault="00805898" w:rsidP="0097271A">
      <w:pPr>
        <w:jc w:val="both"/>
      </w:pPr>
      <w:r>
        <w:rPr>
          <w:bCs/>
        </w:rPr>
        <w:tab/>
      </w:r>
      <w:r w:rsidR="00F54EE2">
        <w:rPr>
          <w:bCs/>
        </w:rPr>
        <w:t>This Commission finds</w:t>
      </w:r>
      <w:r w:rsidRPr="00805898">
        <w:rPr>
          <w:bCs/>
        </w:rPr>
        <w:t xml:space="preserve"> that FIMC’s existing service availability charges </w:t>
      </w:r>
      <w:r w:rsidR="00F54EE2">
        <w:rPr>
          <w:bCs/>
        </w:rPr>
        <w:t xml:space="preserve">shall </w:t>
      </w:r>
      <w:r w:rsidRPr="00805898">
        <w:rPr>
          <w:bCs/>
        </w:rPr>
        <w:t xml:space="preserve">be revised. </w:t>
      </w:r>
      <w:r w:rsidR="00F54EE2">
        <w:rPr>
          <w:bCs/>
        </w:rPr>
        <w:t>We hereby approve</w:t>
      </w:r>
      <w:r w:rsidRPr="00805898">
        <w:rPr>
          <w:bCs/>
        </w:rPr>
        <w:t xml:space="preserve"> a meter installation charge of $142.40 for a 5/8 inch x </w:t>
      </w:r>
      <w:r w:rsidRPr="00805898">
        <w:t>3/4</w:t>
      </w:r>
      <w:r w:rsidRPr="00805898">
        <w:rPr>
          <w:bCs/>
        </w:rPr>
        <w:t xml:space="preserve"> inch meter and actual cost for all other meter sizes. </w:t>
      </w:r>
      <w:r w:rsidR="00F54EE2">
        <w:rPr>
          <w:bCs/>
        </w:rPr>
        <w:t>We further approve</w:t>
      </w:r>
      <w:r w:rsidRPr="00805898">
        <w:rPr>
          <w:bCs/>
        </w:rPr>
        <w:t xml:space="preserve"> a uniform water main extension charge of $375 per ERC (ERC = 350 gpd). All other prior service availability charges sh</w:t>
      </w:r>
      <w:r w:rsidR="00F54EE2">
        <w:rPr>
          <w:bCs/>
        </w:rPr>
        <w:t>all</w:t>
      </w:r>
      <w:r w:rsidRPr="00805898">
        <w:rPr>
          <w:bCs/>
        </w:rPr>
        <w:t xml:space="preserve"> be discontinued. FIMC sh</w:t>
      </w:r>
      <w:r w:rsidR="00F54EE2">
        <w:rPr>
          <w:bCs/>
        </w:rPr>
        <w:t>all</w:t>
      </w:r>
      <w:r w:rsidRPr="00805898">
        <w:rPr>
          <w:bCs/>
        </w:rPr>
        <w:t xml:space="preserve"> provide notice to customers who have requested service within 12 calendar months prior to the month the application was filed to the present. The approved charges sh</w:t>
      </w:r>
      <w:r w:rsidR="00F54EE2">
        <w:rPr>
          <w:bCs/>
        </w:rPr>
        <w:t>all</w:t>
      </w:r>
      <w:r w:rsidRPr="00805898">
        <w:rPr>
          <w:bCs/>
        </w:rPr>
        <w:t xml:space="preserve"> be effective for connections made on or after the stamped approval date on the tariff sheets. The utility sh</w:t>
      </w:r>
      <w:r w:rsidR="00F54EE2">
        <w:rPr>
          <w:bCs/>
        </w:rPr>
        <w:t>all</w:t>
      </w:r>
      <w:r w:rsidRPr="00805898">
        <w:rPr>
          <w:bCs/>
        </w:rPr>
        <w:t xml:space="preserve"> provide proof of the date notice was given within 10 days of the date of the notice.</w:t>
      </w:r>
    </w:p>
    <w:p w:rsidR="00805898" w:rsidRDefault="00805898" w:rsidP="0097271A">
      <w:pPr>
        <w:jc w:val="both"/>
      </w:pPr>
    </w:p>
    <w:p w:rsidR="00805898" w:rsidRPr="00F54EE2" w:rsidRDefault="0097271A" w:rsidP="0097271A">
      <w:pPr>
        <w:jc w:val="both"/>
        <w:rPr>
          <w:bCs/>
          <w:kern w:val="32"/>
          <w:szCs w:val="32"/>
        </w:rPr>
      </w:pPr>
      <w:r>
        <w:rPr>
          <w:bCs/>
          <w:kern w:val="32"/>
          <w:szCs w:val="32"/>
          <w:u w:val="single"/>
        </w:rPr>
        <w:t>12. Rate Case Expense</w:t>
      </w:r>
      <w:r w:rsidR="00F54EE2">
        <w:rPr>
          <w:bCs/>
          <w:kern w:val="32"/>
          <w:szCs w:val="32"/>
        </w:rPr>
        <w:tab/>
        <w:t>(Final Agency Action)</w:t>
      </w:r>
    </w:p>
    <w:p w:rsidR="0097271A" w:rsidRPr="0097271A" w:rsidRDefault="0097271A" w:rsidP="0097271A">
      <w:pPr>
        <w:jc w:val="both"/>
      </w:pPr>
    </w:p>
    <w:p w:rsidR="00805898" w:rsidRPr="00805898" w:rsidRDefault="00805898" w:rsidP="0097271A">
      <w:pPr>
        <w:spacing w:after="240"/>
        <w:ind w:firstLine="720"/>
        <w:jc w:val="both"/>
      </w:pPr>
      <w:r w:rsidRPr="00805898">
        <w:t>FIMC’s water and wastewater rates sh</w:t>
      </w:r>
      <w:r w:rsidR="00F54EE2">
        <w:t>all</w:t>
      </w:r>
      <w:r w:rsidRPr="00805898">
        <w:t xml:space="preserve"> be reduced immediately following the expiration of the four-year rate case expense recovery period by the amount of the rate case expense previously included in the rates, pursuant to Section 367.081(8), F.S. The reduction will reflect the removal of revenues associated with the amortization of rate case expense and the gross-up for RAFs which is $328 and $202 for water and wastewater, respectively. Using the utility’s current revenues, expenses, and customer base, the reduction in revenues will result in the rate decrease shown on Schedule Nos. 4-A and 4-B.</w:t>
      </w:r>
    </w:p>
    <w:p w:rsidR="00805898" w:rsidRDefault="00805898" w:rsidP="0097271A">
      <w:pPr>
        <w:jc w:val="both"/>
      </w:pPr>
      <w:r>
        <w:tab/>
      </w:r>
      <w:r w:rsidRPr="00805898">
        <w:t>The utility sh</w:t>
      </w:r>
      <w:r w:rsidR="00F54EE2">
        <w:t>all</w:t>
      </w:r>
      <w:r w:rsidRPr="00805898">
        <w:t xml:space="preserve"> be required to file revised tariff sheets no later than one month prior to the actual date of the required rate reduction. The utility sh</w:t>
      </w:r>
      <w:r w:rsidR="00F54EE2">
        <w:t>all</w:t>
      </w:r>
      <w:r w:rsidRPr="00805898">
        <w:t xml:space="preserve"> also be required to file a proposed customer notice setting forth the lower rates and the reason for the reduction. If FIMC files this reduction in conjunction with a price index or pass-through rate adjustment, separate data sh</w:t>
      </w:r>
      <w:r w:rsidR="00F54EE2">
        <w:t>all</w:t>
      </w:r>
      <w:r w:rsidRPr="00805898">
        <w:t xml:space="preserve"> </w:t>
      </w:r>
      <w:r w:rsidRPr="00805898">
        <w:lastRenderedPageBreak/>
        <w:t>be filed for the price index and/or pass-through increase or decrease and the reduction in the rat</w:t>
      </w:r>
      <w:r w:rsidRPr="0097271A">
        <w:t>es due to the amortized rate case expense.</w:t>
      </w:r>
    </w:p>
    <w:p w:rsidR="0097271A" w:rsidRPr="0097271A" w:rsidRDefault="0097271A" w:rsidP="0097271A">
      <w:pPr>
        <w:jc w:val="both"/>
      </w:pPr>
    </w:p>
    <w:p w:rsidR="00805898" w:rsidRPr="00F54EE2" w:rsidRDefault="00F54EE2" w:rsidP="0097271A">
      <w:pPr>
        <w:jc w:val="both"/>
        <w:rPr>
          <w:bCs/>
          <w:kern w:val="32"/>
          <w:szCs w:val="32"/>
        </w:rPr>
      </w:pPr>
      <w:r>
        <w:rPr>
          <w:bCs/>
          <w:kern w:val="32"/>
          <w:szCs w:val="32"/>
          <w:u w:val="single"/>
        </w:rPr>
        <w:t>13. Temporary Rates</w:t>
      </w:r>
      <w:r>
        <w:rPr>
          <w:bCs/>
          <w:kern w:val="32"/>
          <w:szCs w:val="32"/>
        </w:rPr>
        <w:tab/>
      </w:r>
      <w:r>
        <w:rPr>
          <w:bCs/>
          <w:kern w:val="32"/>
          <w:szCs w:val="32"/>
        </w:rPr>
        <w:tab/>
        <w:t>(Final Agency Action)</w:t>
      </w:r>
    </w:p>
    <w:p w:rsidR="0097271A" w:rsidRPr="0097271A" w:rsidRDefault="0097271A" w:rsidP="0097271A">
      <w:pPr>
        <w:jc w:val="both"/>
        <w:rPr>
          <w:u w:val="single"/>
        </w:rPr>
      </w:pPr>
    </w:p>
    <w:p w:rsidR="00805898" w:rsidRPr="00805898" w:rsidRDefault="00805898" w:rsidP="0097271A">
      <w:pPr>
        <w:spacing w:after="240"/>
        <w:ind w:firstLine="720"/>
        <w:jc w:val="both"/>
      </w:pPr>
      <w:r w:rsidRPr="00805898">
        <w:t xml:space="preserve">This </w:t>
      </w:r>
      <w:r w:rsidR="00F54EE2">
        <w:t>Order approves</w:t>
      </w:r>
      <w:r w:rsidRPr="00805898">
        <w:t xml:space="preserve"> an increase in rates. A timely protest might delay what may be a justified rate increase resulting in an unrecoverable loss of revenue to the utility. Therefore, pursuant to Section 367.0814(7), F.S., in the event of a protest filed by a party other than the utility, the </w:t>
      </w:r>
      <w:r w:rsidR="00F54EE2">
        <w:t>Commission-approved</w:t>
      </w:r>
      <w:r w:rsidRPr="00805898">
        <w:t xml:space="preserve"> rates</w:t>
      </w:r>
      <w:r w:rsidR="00F54EE2">
        <w:t xml:space="preserve"> shall</w:t>
      </w:r>
      <w:r w:rsidRPr="00805898">
        <w:t xml:space="preserve"> be approved as temporary rates. The utility sh</w:t>
      </w:r>
      <w:r w:rsidR="00010C60">
        <w:t>all</w:t>
      </w:r>
      <w:r w:rsidRPr="00805898">
        <w:t xml:space="preserve"> file revised tariff sheets and a proposed customer notice to reflect the Commission-approved rates. The approved rates sh</w:t>
      </w:r>
      <w:r w:rsidR="00010C60">
        <w:t>all</w:t>
      </w:r>
      <w:r w:rsidRPr="00805898">
        <w:t xml:space="preserve"> be effective for service rendered on or after the stamped approval date on the tariff sheet, pursuant to Rule 25-30.475(1), F.A.C. In addition, the temporary rates sh</w:t>
      </w:r>
      <w:r w:rsidR="00010C60">
        <w:t>all</w:t>
      </w:r>
      <w:r w:rsidRPr="00805898">
        <w:t xml:space="preserve"> not be implemented until </w:t>
      </w:r>
      <w:r w:rsidR="0069765B">
        <w:t>our</w:t>
      </w:r>
      <w:r w:rsidR="00010C60">
        <w:t xml:space="preserve"> </w:t>
      </w:r>
      <w:r w:rsidRPr="00805898">
        <w:t>staff has approved the proposed notice, and the notice has been received by the customers. The recommended rates collected by the utility sh</w:t>
      </w:r>
      <w:r w:rsidR="00010C60">
        <w:t>all</w:t>
      </w:r>
      <w:r w:rsidRPr="00805898">
        <w:t xml:space="preserve"> be subject to the refund provisions discussed below.</w:t>
      </w:r>
    </w:p>
    <w:p w:rsidR="00805898" w:rsidRPr="00805898" w:rsidRDefault="00805898" w:rsidP="00805898">
      <w:pPr>
        <w:spacing w:after="240"/>
        <w:jc w:val="both"/>
      </w:pPr>
      <w:r>
        <w:tab/>
      </w:r>
      <w:r w:rsidRPr="00805898">
        <w:t>The utility sh</w:t>
      </w:r>
      <w:r w:rsidR="00010C60">
        <w:t>all</w:t>
      </w:r>
      <w:r w:rsidRPr="00805898">
        <w:t xml:space="preserve"> be authorized to collect the temporary rates upon</w:t>
      </w:r>
      <w:r w:rsidR="00010C60">
        <w:t xml:space="preserve"> our</w:t>
      </w:r>
      <w:r w:rsidRPr="00805898">
        <w:t xml:space="preserve"> staff’s approval of an appropriate security for the potential refund and the proposed customer notice. Security sh</w:t>
      </w:r>
      <w:r w:rsidR="00010C60">
        <w:t>all</w:t>
      </w:r>
      <w:r w:rsidRPr="00805898">
        <w:t xml:space="preserve"> be in the form of a bond or letter of credit in the amount of </w:t>
      </w:r>
      <w:r w:rsidR="002D35F1" w:rsidRPr="002D35F1">
        <w:t>$6,258</w:t>
      </w:r>
      <w:r w:rsidRPr="00805898">
        <w:t>. Alternatively, the utility could establish an escrow agreement with an independent financial institution.</w:t>
      </w:r>
    </w:p>
    <w:p w:rsidR="00805898" w:rsidRPr="00805898" w:rsidRDefault="00805898" w:rsidP="00805898">
      <w:pPr>
        <w:jc w:val="both"/>
      </w:pPr>
      <w:r>
        <w:tab/>
      </w:r>
      <w:r w:rsidRPr="00805898">
        <w:t>If the utility chooses a bond as security, the bond sh</w:t>
      </w:r>
      <w:r w:rsidR="00010C60">
        <w:t>all</w:t>
      </w:r>
      <w:r w:rsidRPr="00805898">
        <w:t xml:space="preserve"> contain wording to the effect that it will be terminated only under the following conditions:</w:t>
      </w:r>
    </w:p>
    <w:p w:rsidR="00805898" w:rsidRPr="00805898" w:rsidRDefault="00805898" w:rsidP="00805898">
      <w:pPr>
        <w:numPr>
          <w:ilvl w:val="0"/>
          <w:numId w:val="2"/>
        </w:numPr>
        <w:jc w:val="both"/>
      </w:pPr>
      <w:r w:rsidRPr="00805898">
        <w:t>The Commission approves the rate increase; or,</w:t>
      </w:r>
    </w:p>
    <w:p w:rsidR="00805898" w:rsidRPr="00805898" w:rsidRDefault="00805898" w:rsidP="00805898">
      <w:pPr>
        <w:numPr>
          <w:ilvl w:val="0"/>
          <w:numId w:val="2"/>
        </w:numPr>
        <w:spacing w:after="240"/>
        <w:jc w:val="both"/>
      </w:pPr>
      <w:r w:rsidRPr="00805898">
        <w:t>If the Commission denies the increase, the utility shall refund the amount collected that is attributable to the increase.</w:t>
      </w:r>
    </w:p>
    <w:p w:rsidR="00805898" w:rsidRPr="00805898" w:rsidRDefault="00805898" w:rsidP="00805898">
      <w:pPr>
        <w:jc w:val="both"/>
      </w:pPr>
      <w:r>
        <w:tab/>
      </w:r>
      <w:r w:rsidRPr="00805898">
        <w:t>If the utility chooses a letter of credit as a security, it sh</w:t>
      </w:r>
      <w:r w:rsidR="008664E4">
        <w:t>all</w:t>
      </w:r>
      <w:r w:rsidRPr="00805898">
        <w:t xml:space="preserve"> contain the following conditions:</w:t>
      </w:r>
    </w:p>
    <w:p w:rsidR="00805898" w:rsidRPr="00805898" w:rsidRDefault="00805898" w:rsidP="00805898">
      <w:pPr>
        <w:numPr>
          <w:ilvl w:val="0"/>
          <w:numId w:val="3"/>
        </w:numPr>
        <w:jc w:val="both"/>
      </w:pPr>
      <w:r w:rsidRPr="00805898">
        <w:t>The letter of credit is irrevocable for the period it is in effect.</w:t>
      </w:r>
    </w:p>
    <w:p w:rsidR="00805898" w:rsidRPr="00805898" w:rsidRDefault="00805898" w:rsidP="00805898">
      <w:pPr>
        <w:numPr>
          <w:ilvl w:val="0"/>
          <w:numId w:val="3"/>
        </w:numPr>
        <w:jc w:val="both"/>
      </w:pPr>
      <w:r w:rsidRPr="00805898">
        <w:t>The letter of credit will be in effect until a final Commission order is rendered, either approving or denying the rate increase.</w:t>
      </w:r>
    </w:p>
    <w:p w:rsidR="00805898" w:rsidRPr="00805898" w:rsidRDefault="00805898" w:rsidP="00805898">
      <w:pPr>
        <w:ind w:left="1080"/>
        <w:jc w:val="both"/>
      </w:pPr>
    </w:p>
    <w:p w:rsidR="00805898" w:rsidRPr="00805898" w:rsidRDefault="00805898" w:rsidP="00805898">
      <w:pPr>
        <w:jc w:val="both"/>
      </w:pPr>
      <w:r>
        <w:tab/>
      </w:r>
      <w:r w:rsidRPr="00805898">
        <w:t>If security is provided through an escrow agreement, the following conditions sh</w:t>
      </w:r>
      <w:r w:rsidR="008664E4">
        <w:t>all</w:t>
      </w:r>
      <w:r w:rsidRPr="00805898">
        <w:t xml:space="preserve"> be part of the agreement:</w:t>
      </w:r>
    </w:p>
    <w:p w:rsidR="00805898" w:rsidRPr="00805898" w:rsidRDefault="00805898" w:rsidP="00805898">
      <w:pPr>
        <w:numPr>
          <w:ilvl w:val="0"/>
          <w:numId w:val="4"/>
        </w:numPr>
        <w:jc w:val="both"/>
      </w:pPr>
      <w:r w:rsidRPr="00805898">
        <w:t>The Commission Clerk, or his or her designee, must be a signatory to the escrow agreement.</w:t>
      </w:r>
    </w:p>
    <w:p w:rsidR="00805898" w:rsidRPr="00805898" w:rsidRDefault="00805898" w:rsidP="00805898">
      <w:pPr>
        <w:numPr>
          <w:ilvl w:val="0"/>
          <w:numId w:val="4"/>
        </w:numPr>
        <w:jc w:val="both"/>
      </w:pPr>
      <w:r w:rsidRPr="00805898">
        <w:t xml:space="preserve">No monies in the escrow account may be withdrawn by the utility without the prior written authorization of the Commission Clerk, or his or her designee. </w:t>
      </w:r>
    </w:p>
    <w:p w:rsidR="00805898" w:rsidRPr="00805898" w:rsidRDefault="00805898" w:rsidP="00805898">
      <w:pPr>
        <w:numPr>
          <w:ilvl w:val="0"/>
          <w:numId w:val="4"/>
        </w:numPr>
        <w:jc w:val="both"/>
      </w:pPr>
      <w:r w:rsidRPr="00805898">
        <w:t>The escrow account shall be an interest bearing account.</w:t>
      </w:r>
    </w:p>
    <w:p w:rsidR="00805898" w:rsidRPr="00805898" w:rsidRDefault="00805898" w:rsidP="00805898">
      <w:pPr>
        <w:numPr>
          <w:ilvl w:val="0"/>
          <w:numId w:val="4"/>
        </w:numPr>
        <w:jc w:val="both"/>
      </w:pPr>
      <w:r w:rsidRPr="00805898">
        <w:t>If a refund to the customers is required, all interest earned by the escrow account shall be distributed to the customers.</w:t>
      </w:r>
    </w:p>
    <w:p w:rsidR="00805898" w:rsidRPr="00805898" w:rsidRDefault="00805898" w:rsidP="00805898">
      <w:pPr>
        <w:numPr>
          <w:ilvl w:val="0"/>
          <w:numId w:val="4"/>
        </w:numPr>
        <w:jc w:val="both"/>
      </w:pPr>
      <w:r w:rsidRPr="00805898">
        <w:t>If a refund to the customers is not required, the interest earned by the escrow account shall revert to the utility.</w:t>
      </w:r>
    </w:p>
    <w:p w:rsidR="00805898" w:rsidRPr="00805898" w:rsidRDefault="00805898" w:rsidP="00805898">
      <w:pPr>
        <w:numPr>
          <w:ilvl w:val="0"/>
          <w:numId w:val="4"/>
        </w:numPr>
        <w:jc w:val="both"/>
      </w:pPr>
      <w:r w:rsidRPr="00805898">
        <w:lastRenderedPageBreak/>
        <w:t>All information on the escrow account shall be available from the holder of the escrow account to a Commission representative at all times.</w:t>
      </w:r>
    </w:p>
    <w:p w:rsidR="00805898" w:rsidRPr="00805898" w:rsidRDefault="00805898" w:rsidP="00805898">
      <w:pPr>
        <w:numPr>
          <w:ilvl w:val="0"/>
          <w:numId w:val="4"/>
        </w:numPr>
        <w:jc w:val="both"/>
      </w:pPr>
      <w:r w:rsidRPr="00805898">
        <w:t>The amount of revenue subject to refund shall be deposited in the escrow account within seven days of receipt.</w:t>
      </w:r>
    </w:p>
    <w:p w:rsidR="00805898" w:rsidRPr="00805898" w:rsidRDefault="00805898" w:rsidP="00805898">
      <w:pPr>
        <w:numPr>
          <w:ilvl w:val="0"/>
          <w:numId w:val="4"/>
        </w:numPr>
        <w:jc w:val="both"/>
      </w:pPr>
      <w:r w:rsidRPr="00805898">
        <w:t xml:space="preserve">This escrow account is established by the direction of the Florida Public Service Commission for the purpose(s) set forth in its order requiring such account. Pursuant to </w:t>
      </w:r>
      <w:r w:rsidRPr="0097271A">
        <w:rPr>
          <w:i/>
        </w:rPr>
        <w:t>Cosentino v. Elson</w:t>
      </w:r>
      <w:r w:rsidRPr="00805898">
        <w:t>, 263 So. 2d 253 (Fla. 3d DCA 1972), escrow accounts are not subject to garnishments.</w:t>
      </w:r>
    </w:p>
    <w:p w:rsidR="00805898" w:rsidRPr="00805898" w:rsidRDefault="00805898" w:rsidP="00805898">
      <w:pPr>
        <w:numPr>
          <w:ilvl w:val="0"/>
          <w:numId w:val="4"/>
        </w:numPr>
        <w:jc w:val="both"/>
      </w:pPr>
      <w:r w:rsidRPr="00805898">
        <w:t>The account must specify by whom and on whose behalf such monies were paid.</w:t>
      </w:r>
    </w:p>
    <w:p w:rsidR="00805898" w:rsidRPr="00805898" w:rsidRDefault="00805898" w:rsidP="00805898">
      <w:pPr>
        <w:ind w:left="1080"/>
        <w:jc w:val="both"/>
      </w:pPr>
    </w:p>
    <w:p w:rsidR="00805898" w:rsidRPr="00805898" w:rsidRDefault="00805898" w:rsidP="00805898">
      <w:pPr>
        <w:spacing w:after="240"/>
        <w:jc w:val="both"/>
      </w:pPr>
      <w:r>
        <w:tab/>
      </w:r>
      <w:r w:rsidR="008664E4">
        <w:t>In no instance shall</w:t>
      </w:r>
      <w:r w:rsidRPr="00805898">
        <w:t xml:space="preserve"> the maintenance and administrative costs associated with the refund be borne by the customers. These costs are the responsibility of, and sh</w:t>
      </w:r>
      <w:r w:rsidR="00010C60">
        <w:t>all</w:t>
      </w:r>
      <w:r w:rsidRPr="00805898">
        <w:t xml:space="preserve"> be borne by, the utility. Irrespective of the form of security chosen by the utility, an account of all monies received as a result of the rate increase sh</w:t>
      </w:r>
      <w:r w:rsidR="00010C60">
        <w:t>all</w:t>
      </w:r>
      <w:r w:rsidRPr="00805898">
        <w:t xml:space="preserve"> be maintained by the utility. If a refund is ultimately required, it sh</w:t>
      </w:r>
      <w:r w:rsidR="00010C60">
        <w:t>all</w:t>
      </w:r>
      <w:r w:rsidRPr="00805898">
        <w:t xml:space="preserve"> be paid with interest calculated pursuant to Rule 25-30.360(4), F.A.C.</w:t>
      </w:r>
    </w:p>
    <w:p w:rsidR="00805898" w:rsidRPr="00805898" w:rsidRDefault="00805898" w:rsidP="00805898">
      <w:pPr>
        <w:spacing w:after="240"/>
        <w:jc w:val="both"/>
      </w:pPr>
      <w:r>
        <w:tab/>
      </w:r>
      <w:r w:rsidRPr="00805898">
        <w:t>The utility sh</w:t>
      </w:r>
      <w:r w:rsidR="00010C60">
        <w:t>all</w:t>
      </w:r>
      <w:r w:rsidRPr="00805898">
        <w:t xml:space="preserve"> maintain a record of the amount of the security, and the amount of revenues that are subject to refund. In addition, after the increased rates are in effect, pursuant to Rule 25-30.360(6), F.A.C., the utility sh</w:t>
      </w:r>
      <w:r w:rsidR="00010C60">
        <w:t>all</w:t>
      </w:r>
      <w:r w:rsidRPr="00805898">
        <w:t xml:space="preserve"> file reports with the Commission Clerk’s office no later than the 20th of every month indicating the monthly and total amount of money subject to refund at the end of the preceding month. The report filed sh</w:t>
      </w:r>
      <w:r w:rsidR="00010C60">
        <w:t>all</w:t>
      </w:r>
      <w:r w:rsidRPr="00805898">
        <w:t xml:space="preserve"> also indicate the status of the security being used to guarantee repayment of any potential refund.</w:t>
      </w:r>
    </w:p>
    <w:p w:rsidR="00805898" w:rsidRPr="00010C60" w:rsidRDefault="00FA30FE" w:rsidP="00805898">
      <w:pPr>
        <w:spacing w:after="240"/>
        <w:jc w:val="both"/>
      </w:pPr>
      <w:r>
        <w:rPr>
          <w:bCs/>
          <w:kern w:val="32"/>
          <w:szCs w:val="32"/>
          <w:u w:val="single"/>
        </w:rPr>
        <w:t>14. Adjustments to NARUC USOA Primary Accounts</w:t>
      </w:r>
      <w:r w:rsidR="00010C60">
        <w:rPr>
          <w:bCs/>
          <w:kern w:val="32"/>
          <w:szCs w:val="32"/>
        </w:rPr>
        <w:tab/>
        <w:t>(Final Agency Action)</w:t>
      </w:r>
    </w:p>
    <w:p w:rsidR="00805898" w:rsidRDefault="00805898" w:rsidP="00FA30FE">
      <w:pPr>
        <w:spacing w:after="240"/>
        <w:ind w:firstLine="720"/>
        <w:jc w:val="both"/>
        <w:rPr>
          <w:rFonts w:cs="Calibri"/>
        </w:rPr>
      </w:pPr>
      <w:r w:rsidRPr="00805898">
        <w:rPr>
          <w:rFonts w:cs="Calibri"/>
        </w:rPr>
        <w:t>FIMC sh</w:t>
      </w:r>
      <w:r w:rsidR="00010C60">
        <w:rPr>
          <w:rFonts w:cs="Calibri"/>
        </w:rPr>
        <w:t>all be required to notify this</w:t>
      </w:r>
      <w:r w:rsidRPr="00805898">
        <w:rPr>
          <w:rFonts w:cs="Calibri"/>
        </w:rPr>
        <w:t xml:space="preserve"> Commission, in writing, that it has adjusted its books in accordance with </w:t>
      </w:r>
      <w:r w:rsidR="00010C60">
        <w:rPr>
          <w:rFonts w:cs="Calibri"/>
        </w:rPr>
        <w:t>our</w:t>
      </w:r>
      <w:r w:rsidRPr="00805898">
        <w:rPr>
          <w:rFonts w:cs="Calibri"/>
        </w:rPr>
        <w:t xml:space="preserve"> decision. </w:t>
      </w:r>
      <w:r w:rsidRPr="00805898">
        <w:t xml:space="preserve">Schedule Nos. 5-A and 5-B reflect the accumulated plant, depreciation, CIAC, and amortization of CIAC balances as of June 30, 2017. </w:t>
      </w:r>
      <w:r w:rsidRPr="00805898">
        <w:rPr>
          <w:rFonts w:cs="Calibri"/>
        </w:rPr>
        <w:t>FIMC sh</w:t>
      </w:r>
      <w:r w:rsidR="00010C60">
        <w:rPr>
          <w:rFonts w:cs="Calibri"/>
        </w:rPr>
        <w:t>all</w:t>
      </w:r>
      <w:r w:rsidRPr="00805898">
        <w:rPr>
          <w:rFonts w:cs="Calibri"/>
        </w:rPr>
        <w:t xml:space="preserve"> submit a letter within 90 days of the final order in this docket, confirming that the adjustments to all the applicable NARUC USOA primary accounts</w:t>
      </w:r>
      <w:r w:rsidRPr="00805898">
        <w:t xml:space="preserve">, as shown on Schedule Nos. 5-A and 5-B, </w:t>
      </w:r>
      <w:r w:rsidRPr="00805898">
        <w:rPr>
          <w:rFonts w:cs="Calibri"/>
        </w:rPr>
        <w:t xml:space="preserve">have been made to the utility’s books and records. In the event the utility needs additional time to complete the adjustments, </w:t>
      </w:r>
      <w:r w:rsidRPr="00805898">
        <w:t>notice sh</w:t>
      </w:r>
      <w:r w:rsidR="00010C60">
        <w:t>all</w:t>
      </w:r>
      <w:r w:rsidRPr="00805898">
        <w:t xml:space="preserve"> be provided not less than seven days prior to the deadline</w:t>
      </w:r>
      <w:r w:rsidRPr="00805898">
        <w:rPr>
          <w:rFonts w:cs="Calibri"/>
        </w:rPr>
        <w:t xml:space="preserve">. Upon providing good cause, </w:t>
      </w:r>
      <w:r w:rsidR="00010C60">
        <w:rPr>
          <w:rFonts w:cs="Calibri"/>
        </w:rPr>
        <w:t xml:space="preserve">our </w:t>
      </w:r>
      <w:r w:rsidRPr="00805898">
        <w:rPr>
          <w:rFonts w:cs="Calibri"/>
        </w:rPr>
        <w:t>staff s</w:t>
      </w:r>
      <w:r w:rsidR="00010C60">
        <w:rPr>
          <w:rFonts w:cs="Calibri"/>
        </w:rPr>
        <w:t>hall</w:t>
      </w:r>
      <w:r w:rsidRPr="00805898">
        <w:rPr>
          <w:rFonts w:cs="Calibri"/>
        </w:rPr>
        <w:t xml:space="preserve"> be given administrative authority to grant an extension of up to 60 days.</w:t>
      </w:r>
    </w:p>
    <w:p w:rsidR="00FA2A2A" w:rsidRDefault="00FA2A2A" w:rsidP="00FA2A2A">
      <w:pPr>
        <w:pStyle w:val="OrderBody"/>
      </w:pPr>
      <w:r>
        <w:tab/>
        <w:t>Based on the foregoing, it is</w:t>
      </w:r>
    </w:p>
    <w:p w:rsidR="00D01935" w:rsidRDefault="00D01935" w:rsidP="00FA2A2A">
      <w:pPr>
        <w:pStyle w:val="OrderBody"/>
      </w:pPr>
    </w:p>
    <w:p w:rsidR="00D01935" w:rsidRDefault="00D01935" w:rsidP="00FA2A2A">
      <w:pPr>
        <w:pStyle w:val="OrderBody"/>
      </w:pPr>
      <w:r>
        <w:tab/>
        <w:t xml:space="preserve">ORDERED by the Florida Public Service Commission that the overall quality of service provided by FIMC Hideaway, Inc. shall be considered </w:t>
      </w:r>
      <w:r w:rsidRPr="00632484">
        <w:t xml:space="preserve">marginal until the utility can sufficiently demonstrate that it meets </w:t>
      </w:r>
      <w:r>
        <w:t>the Department of Environmental Protection’s</w:t>
      </w:r>
      <w:r w:rsidRPr="00632484">
        <w:t xml:space="preserve"> secondary water standards.</w:t>
      </w:r>
      <w:r w:rsidR="00001195">
        <w:t xml:space="preserve">  </w:t>
      </w:r>
      <w:r w:rsidR="00022C0C" w:rsidRPr="00022C0C">
        <w:t>The utility shall file the results of its next primary and secondary water standards tests with this Commission in this docket by November 1, 2018. If the results are unfavorable, our staff will bring this item to this Commission by March 1, 2019, for further action.</w:t>
      </w:r>
      <w:r w:rsidR="00156516">
        <w:t xml:space="preserve">  It is further</w:t>
      </w:r>
      <w:r w:rsidR="00E52A44">
        <w:t>,</w:t>
      </w:r>
    </w:p>
    <w:p w:rsidR="00156516" w:rsidRDefault="00156516" w:rsidP="00FA2A2A">
      <w:pPr>
        <w:pStyle w:val="OrderBody"/>
      </w:pPr>
    </w:p>
    <w:p w:rsidR="00156516" w:rsidRDefault="00156516" w:rsidP="00FA2A2A">
      <w:pPr>
        <w:pStyle w:val="OrderBody"/>
      </w:pPr>
      <w:r>
        <w:lastRenderedPageBreak/>
        <w:tab/>
        <w:t xml:space="preserve">ORDERED </w:t>
      </w:r>
      <w:r w:rsidR="00E52A44">
        <w:t xml:space="preserve">that </w:t>
      </w:r>
      <w:r w:rsidR="00E52A44" w:rsidRPr="00E52A44">
        <w:t>FIMC Hideaway, Inc.</w:t>
      </w:r>
      <w:r w:rsidR="00E52A44">
        <w:t>’s</w:t>
      </w:r>
      <w:r w:rsidR="00E52A44" w:rsidRPr="00632484">
        <w:t xml:space="preserve"> </w:t>
      </w:r>
      <w:r w:rsidR="00E52A44">
        <w:t>water treatment plant</w:t>
      </w:r>
      <w:r w:rsidR="00E52A44" w:rsidRPr="00632484">
        <w:t xml:space="preserve">, </w:t>
      </w:r>
      <w:r w:rsidR="00E52A44">
        <w:t>wastewater treatment plant</w:t>
      </w:r>
      <w:r w:rsidR="00E52A44" w:rsidRPr="00632484">
        <w:t>, water distribution system, and wastewater collection system sh</w:t>
      </w:r>
      <w:r w:rsidR="00E52A44">
        <w:t>all</w:t>
      </w:r>
      <w:r w:rsidR="00E52A44" w:rsidRPr="00632484">
        <w:t xml:space="preserve"> be considered 100 percent </w:t>
      </w:r>
      <w:r w:rsidR="00E52A44">
        <w:t>used and useful.  It is further,</w:t>
      </w:r>
    </w:p>
    <w:p w:rsidR="00E52A44" w:rsidRDefault="00E52A44" w:rsidP="00FA2A2A">
      <w:pPr>
        <w:pStyle w:val="OrderBody"/>
      </w:pPr>
    </w:p>
    <w:p w:rsidR="00E52A44" w:rsidRDefault="00E52A44" w:rsidP="00FA2A2A">
      <w:pPr>
        <w:pStyle w:val="OrderBody"/>
      </w:pPr>
      <w:r>
        <w:tab/>
        <w:t xml:space="preserve">ORDERED </w:t>
      </w:r>
      <w:r w:rsidRPr="00E52A44">
        <w:t xml:space="preserve">that no adjustment </w:t>
      </w:r>
      <w:r>
        <w:t xml:space="preserve">shall </w:t>
      </w:r>
      <w:r w:rsidRPr="00E52A44">
        <w:t xml:space="preserve">be made to purchased power and chemical expenses for </w:t>
      </w:r>
      <w:r>
        <w:t>excessive unaccounted for water</w:t>
      </w:r>
      <w:r w:rsidRPr="00E52A44">
        <w:t xml:space="preserve"> or </w:t>
      </w:r>
      <w:r>
        <w:t>inflow and infiltration.  It is further,</w:t>
      </w:r>
    </w:p>
    <w:p w:rsidR="00E52A44" w:rsidRDefault="00E52A44" w:rsidP="00FA2A2A">
      <w:pPr>
        <w:pStyle w:val="OrderBody"/>
      </w:pPr>
    </w:p>
    <w:p w:rsidR="00E52A44" w:rsidRDefault="00E52A44" w:rsidP="00FA2A2A">
      <w:pPr>
        <w:pStyle w:val="OrderBody"/>
      </w:pPr>
      <w:r>
        <w:tab/>
        <w:t xml:space="preserve">ORDERED that </w:t>
      </w:r>
      <w:r w:rsidR="002E2BDC" w:rsidRPr="002E2BDC">
        <w:t>FIMC Hideaway, Inc.</w:t>
      </w:r>
      <w:r w:rsidR="002E2BDC">
        <w:t>’s</w:t>
      </w:r>
      <w:r w:rsidR="002E2BDC" w:rsidRPr="002E2BDC">
        <w:t xml:space="preserve"> appropriate average test year rate base for water is $36,054 and the average test year rate base for wastewater is $7,935.</w:t>
      </w:r>
      <w:r w:rsidR="000949CE">
        <w:t xml:space="preserve">  </w:t>
      </w:r>
      <w:r w:rsidR="000949CE" w:rsidRPr="000949CE">
        <w:t>FIMC Hideaway, Inc.</w:t>
      </w:r>
      <w:r w:rsidR="000949CE">
        <w:t xml:space="preserve"> shall </w:t>
      </w:r>
      <w:r w:rsidR="00BD69B1" w:rsidRPr="00BD69B1">
        <w:t>notify this Commission of any future sale, transfer, or reassignment of the land within 60 days of any such transaction.</w:t>
      </w:r>
      <w:r w:rsidR="002E2BDC">
        <w:t xml:space="preserve">  It is further,</w:t>
      </w:r>
    </w:p>
    <w:p w:rsidR="002E2BDC" w:rsidRDefault="002E2BDC" w:rsidP="00FA2A2A">
      <w:pPr>
        <w:pStyle w:val="OrderBody"/>
      </w:pPr>
    </w:p>
    <w:p w:rsidR="002E2BDC" w:rsidRDefault="002E2BDC" w:rsidP="00FA2A2A">
      <w:pPr>
        <w:pStyle w:val="OrderBody"/>
      </w:pPr>
      <w:r>
        <w:tab/>
        <w:t xml:space="preserve">ORDERED </w:t>
      </w:r>
      <w:r w:rsidR="00953E4A">
        <w:t xml:space="preserve">that the approved return on equity for </w:t>
      </w:r>
      <w:r w:rsidR="00953E4A" w:rsidRPr="002E2BDC">
        <w:t>FIMC Hideaway, Inc.</w:t>
      </w:r>
      <w:r w:rsidR="00953E4A" w:rsidRPr="00953E4A">
        <w:t xml:space="preserve"> </w:t>
      </w:r>
      <w:r w:rsidR="00953E4A">
        <w:t>is</w:t>
      </w:r>
      <w:r w:rsidR="00953E4A" w:rsidRPr="00953E4A">
        <w:t xml:space="preserve"> 9.01 percent, with a range of</w:t>
      </w:r>
      <w:r w:rsidR="00953E4A">
        <w:t xml:space="preserve"> 8.01 percent to 10.01 percent.  The approved </w:t>
      </w:r>
      <w:r w:rsidR="00953E4A" w:rsidRPr="00953E4A">
        <w:t xml:space="preserve">overall rate of return </w:t>
      </w:r>
      <w:r w:rsidR="00953E4A">
        <w:t>is</w:t>
      </w:r>
      <w:r w:rsidR="00953E4A" w:rsidRPr="00953E4A">
        <w:t xml:space="preserve"> 9.33 percent</w:t>
      </w:r>
      <w:r w:rsidR="00953E4A">
        <w:t>.  It is further,</w:t>
      </w:r>
    </w:p>
    <w:p w:rsidR="00953E4A" w:rsidRDefault="00953E4A" w:rsidP="00FA2A2A">
      <w:pPr>
        <w:pStyle w:val="OrderBody"/>
      </w:pPr>
    </w:p>
    <w:p w:rsidR="00953E4A" w:rsidRDefault="00953E4A" w:rsidP="00FA2A2A">
      <w:pPr>
        <w:pStyle w:val="OrderBody"/>
      </w:pPr>
      <w:r>
        <w:tab/>
        <w:t xml:space="preserve">ORDERED that </w:t>
      </w:r>
      <w:r w:rsidRPr="00953E4A">
        <w:t xml:space="preserve">the </w:t>
      </w:r>
      <w:r>
        <w:t xml:space="preserve">approved </w:t>
      </w:r>
      <w:r w:rsidRPr="00953E4A">
        <w:t>test year revenues for FIMC Hideaway, Inc. are $41,680 for the water system and $52,504 for the wastewater system.</w:t>
      </w:r>
      <w:r>
        <w:t xml:space="preserve">  It is further,</w:t>
      </w:r>
    </w:p>
    <w:p w:rsidR="00953E4A" w:rsidRDefault="00953E4A" w:rsidP="00FA2A2A">
      <w:pPr>
        <w:pStyle w:val="OrderBody"/>
      </w:pPr>
    </w:p>
    <w:p w:rsidR="00953E4A" w:rsidRDefault="00953E4A" w:rsidP="00FA2A2A">
      <w:pPr>
        <w:pStyle w:val="OrderBody"/>
      </w:pPr>
      <w:r>
        <w:tab/>
        <w:t xml:space="preserve">ORDERED </w:t>
      </w:r>
      <w:r w:rsidR="008150E3">
        <w:t xml:space="preserve">that </w:t>
      </w:r>
      <w:r w:rsidR="008150E3" w:rsidRPr="008150E3">
        <w:t>FIMC Hideaway, Inc.</w:t>
      </w:r>
      <w:r w:rsidR="008150E3">
        <w:t xml:space="preserve"> approved</w:t>
      </w:r>
      <w:r w:rsidR="008150E3" w:rsidRPr="008150E3">
        <w:t xml:space="preserve"> operating expenses </w:t>
      </w:r>
      <w:r w:rsidR="008150E3">
        <w:t>are</w:t>
      </w:r>
      <w:r w:rsidR="008150E3" w:rsidRPr="008150E3">
        <w:t xml:space="preserve"> $43,563 for water and $51,958 for wastewater.</w:t>
      </w:r>
      <w:r w:rsidR="008150E3">
        <w:t xml:space="preserve">  It is further,</w:t>
      </w:r>
    </w:p>
    <w:p w:rsidR="000F442C" w:rsidRDefault="000F442C" w:rsidP="00FA2A2A">
      <w:pPr>
        <w:pStyle w:val="OrderBody"/>
      </w:pPr>
    </w:p>
    <w:p w:rsidR="000F442C" w:rsidRDefault="000F442C" w:rsidP="00FA2A2A">
      <w:pPr>
        <w:pStyle w:val="OrderBody"/>
      </w:pPr>
      <w:r>
        <w:tab/>
        <w:t xml:space="preserve">ORDERED that </w:t>
      </w:r>
      <w:r w:rsidRPr="000F442C">
        <w:t>the operating ratio methodology</w:t>
      </w:r>
      <w:r>
        <w:t xml:space="preserve"> shall be applied</w:t>
      </w:r>
      <w:r w:rsidRPr="000F442C">
        <w:t xml:space="preserve"> at a margin of 10 percent of operation and maintenance expense for determining the wastewater revenue requirement.</w:t>
      </w:r>
      <w:r>
        <w:t xml:space="preserve">  It is further,</w:t>
      </w:r>
    </w:p>
    <w:p w:rsidR="008150E3" w:rsidRDefault="008150E3" w:rsidP="00FA2A2A">
      <w:pPr>
        <w:pStyle w:val="OrderBody"/>
      </w:pPr>
    </w:p>
    <w:p w:rsidR="008150E3" w:rsidRDefault="008150E3" w:rsidP="00FA2A2A">
      <w:pPr>
        <w:pStyle w:val="OrderBody"/>
      </w:pPr>
      <w:r>
        <w:tab/>
        <w:t>ORDERED that t</w:t>
      </w:r>
      <w:r w:rsidRPr="008150E3">
        <w:t xml:space="preserve">he </w:t>
      </w:r>
      <w:r>
        <w:t>approved</w:t>
      </w:r>
      <w:r w:rsidRPr="008150E3">
        <w:t xml:space="preserve"> revenue requirement</w:t>
      </w:r>
      <w:r>
        <w:t xml:space="preserve"> for </w:t>
      </w:r>
      <w:r w:rsidRPr="008150E3">
        <w:t>FIMC Hideaway, Inc.</w:t>
      </w:r>
      <w:r w:rsidR="00CA4739">
        <w:t xml:space="preserve"> is $46,927 for water and $56,52</w:t>
      </w:r>
      <w:r w:rsidRPr="008150E3">
        <w:t>7 for wastewater</w:t>
      </w:r>
      <w:r w:rsidR="000910CC">
        <w:t xml:space="preserve">, resulting in </w:t>
      </w:r>
      <w:r w:rsidRPr="008150E3">
        <w:t>an annual increase of $5,247 for water (12.59 percent) and $4,023</w:t>
      </w:r>
      <w:r w:rsidR="000910CC">
        <w:t xml:space="preserve"> for wastewater (7.66 percent).  It is further,</w:t>
      </w:r>
    </w:p>
    <w:p w:rsidR="000910CC" w:rsidRDefault="000910CC" w:rsidP="00FA2A2A">
      <w:pPr>
        <w:pStyle w:val="OrderBody"/>
      </w:pPr>
    </w:p>
    <w:p w:rsidR="000910CC" w:rsidRDefault="000910CC" w:rsidP="00FA2A2A">
      <w:pPr>
        <w:pStyle w:val="OrderBody"/>
      </w:pPr>
      <w:r>
        <w:tab/>
        <w:t xml:space="preserve">ORDERED that </w:t>
      </w:r>
      <w:r w:rsidR="00186982" w:rsidRPr="00186982">
        <w:t>FIMC Hideaway, Inc.</w:t>
      </w:r>
      <w:r w:rsidR="00186982">
        <w:t xml:space="preserve">’s approved </w:t>
      </w:r>
      <w:r w:rsidR="00186982" w:rsidRPr="00186982">
        <w:t>rate structures and monthly water and wastewater rates are shown on Schedule Nos. 4-A and 4-B</w:t>
      </w:r>
      <w:r w:rsidR="00186982">
        <w:t>.  It is further,</w:t>
      </w:r>
    </w:p>
    <w:p w:rsidR="00186982" w:rsidRDefault="00186982" w:rsidP="00FA2A2A">
      <w:pPr>
        <w:pStyle w:val="OrderBody"/>
      </w:pPr>
    </w:p>
    <w:p w:rsidR="00186982" w:rsidRDefault="00186982" w:rsidP="00FA2A2A">
      <w:pPr>
        <w:pStyle w:val="OrderBody"/>
      </w:pPr>
      <w:r>
        <w:tab/>
        <w:t xml:space="preserve">ORDERED that </w:t>
      </w:r>
      <w:r w:rsidRPr="00186982">
        <w:t>FIMC Hideaway, Inc. sh</w:t>
      </w:r>
      <w:r>
        <w:t>all</w:t>
      </w:r>
      <w:r w:rsidRPr="00186982">
        <w:t xml:space="preserve"> file revised tariff sheets and a proposed customer notice to reflect the Commission-approved </w:t>
      </w:r>
      <w:r>
        <w:t>rates. The approved rates shall</w:t>
      </w:r>
      <w:r w:rsidRPr="00186982">
        <w:t xml:space="preserve"> be effective for service rendered on or after the stamped approval date on the tariff sheet pursuant to Rule 25-30.475(1), F.A.C. In addition, the approved rates sh</w:t>
      </w:r>
      <w:r>
        <w:t>all</w:t>
      </w:r>
      <w:r w:rsidRPr="00186982">
        <w:t xml:space="preserve"> not be implemented until </w:t>
      </w:r>
      <w:r w:rsidR="0069765B">
        <w:t>our</w:t>
      </w:r>
      <w:r>
        <w:t xml:space="preserve"> </w:t>
      </w:r>
      <w:r w:rsidRPr="00186982">
        <w:t>staff has approved the proposed customer notice and the notice has been received by the customers. FIMC Hideaway, Inc. sh</w:t>
      </w:r>
      <w:r>
        <w:t>all</w:t>
      </w:r>
      <w:r w:rsidRPr="00186982">
        <w:t xml:space="preserve"> provide proof of the date notice was given within 10 days of the date of this notice</w:t>
      </w:r>
      <w:r>
        <w:t>.  It is further,</w:t>
      </w:r>
    </w:p>
    <w:p w:rsidR="000F442C" w:rsidRDefault="000F442C" w:rsidP="00FA2A2A">
      <w:pPr>
        <w:pStyle w:val="OrderBody"/>
      </w:pPr>
    </w:p>
    <w:p w:rsidR="000F442C" w:rsidRDefault="000F442C" w:rsidP="00FA2A2A">
      <w:pPr>
        <w:pStyle w:val="OrderBody"/>
      </w:pPr>
      <w:r>
        <w:tab/>
        <w:t xml:space="preserve">ORDERED that </w:t>
      </w:r>
      <w:r w:rsidRPr="00805898">
        <w:t>the app</w:t>
      </w:r>
      <w:r>
        <w:t>ropriate</w:t>
      </w:r>
      <w:r w:rsidRPr="00805898">
        <w:t xml:space="preserve"> initial customer deposits sh</w:t>
      </w:r>
      <w:r>
        <w:t>all</w:t>
      </w:r>
      <w:r w:rsidRPr="00805898">
        <w:t xml:space="preserve"> be $43 for water and $55 for wastewater for the residential 5/8 inch x 3/4 inch meter size. The initial customer deposits for all other residential meter sizes and all general service meter sizes sh</w:t>
      </w:r>
      <w:r>
        <w:t>all</w:t>
      </w:r>
      <w:r w:rsidRPr="00805898">
        <w:t xml:space="preserve"> be two times the average estimated monthly bill. The approved initial customer deposits sh</w:t>
      </w:r>
      <w:r>
        <w:t>all</w:t>
      </w:r>
      <w:r w:rsidRPr="00805898">
        <w:t xml:space="preserve"> be effective for services </w:t>
      </w:r>
      <w:r w:rsidRPr="00805898">
        <w:lastRenderedPageBreak/>
        <w:t xml:space="preserve">rendered or connections made on or after the stamped approval date on the tariff sheets pursuant to Rule 25-30.475, F.A.C. </w:t>
      </w:r>
      <w:r w:rsidRPr="000F442C">
        <w:t>FIMC Hideaway, Inc.</w:t>
      </w:r>
      <w:r w:rsidRPr="00805898">
        <w:t xml:space="preserve"> sh</w:t>
      </w:r>
      <w:r>
        <w:t>all</w:t>
      </w:r>
      <w:r w:rsidRPr="00805898">
        <w:t xml:space="preserve"> be required to collect the approved deposits until </w:t>
      </w:r>
      <w:r>
        <w:t>authorized to change them by this</w:t>
      </w:r>
      <w:r w:rsidRPr="00805898">
        <w:t xml:space="preserve"> Commission in a subsequent proceeding.</w:t>
      </w:r>
      <w:r>
        <w:t xml:space="preserve">  It is further,</w:t>
      </w:r>
    </w:p>
    <w:p w:rsidR="000F442C" w:rsidRDefault="000F442C" w:rsidP="00FA2A2A">
      <w:pPr>
        <w:pStyle w:val="OrderBody"/>
      </w:pPr>
    </w:p>
    <w:p w:rsidR="000F442C" w:rsidRDefault="000F442C" w:rsidP="00FA2A2A">
      <w:pPr>
        <w:pStyle w:val="OrderBody"/>
      </w:pPr>
      <w:r>
        <w:tab/>
        <w:t>ORDERED that</w:t>
      </w:r>
      <w:r w:rsidRPr="000F442C">
        <w:t xml:space="preserve"> a meter installation charge of $142.40 for a 5/8 inch x 3/4 inch meter and actual cost for all other </w:t>
      </w:r>
      <w:r>
        <w:t>meter sizes is hereby approved.</w:t>
      </w:r>
      <w:r w:rsidRPr="000F442C">
        <w:t xml:space="preserve"> </w:t>
      </w:r>
      <w:r>
        <w:t xml:space="preserve"> A</w:t>
      </w:r>
      <w:r w:rsidRPr="000F442C">
        <w:t xml:space="preserve"> uniform water main extension charge of $375 per ERC (ERC = 350 gpd)</w:t>
      </w:r>
      <w:r>
        <w:t xml:space="preserve"> is hereby approved</w:t>
      </w:r>
      <w:r w:rsidRPr="000F442C">
        <w:t>. All other prior service availability charges sh</w:t>
      </w:r>
      <w:r>
        <w:t>all</w:t>
      </w:r>
      <w:r w:rsidRPr="000F442C">
        <w:t xml:space="preserve"> be discontinued. FIMC Hideaway, Inc. sh</w:t>
      </w:r>
      <w:r>
        <w:t>all</w:t>
      </w:r>
      <w:r w:rsidRPr="000F442C">
        <w:t xml:space="preserve"> provide notice to customers who have requested service within 12 calendar months prior to the month the application was filed to the present. The approved charges sh</w:t>
      </w:r>
      <w:r>
        <w:t>all</w:t>
      </w:r>
      <w:r w:rsidRPr="000F442C">
        <w:t xml:space="preserve"> be effective for connections made on or after the stamped approval date on the tariff sheets. FIMC Hideaway, Inc. sh</w:t>
      </w:r>
      <w:r>
        <w:t>all</w:t>
      </w:r>
      <w:r w:rsidRPr="000F442C">
        <w:t xml:space="preserve"> provide proof of the date notice was given within 10 days of the date of the notice.</w:t>
      </w:r>
      <w:r>
        <w:t xml:space="preserve">  It is further,</w:t>
      </w:r>
    </w:p>
    <w:p w:rsidR="00186982" w:rsidRDefault="00186982" w:rsidP="00FA2A2A">
      <w:pPr>
        <w:pStyle w:val="OrderBody"/>
      </w:pPr>
    </w:p>
    <w:p w:rsidR="00186982" w:rsidRDefault="00186982" w:rsidP="00186982">
      <w:pPr>
        <w:pStyle w:val="OrderBody"/>
      </w:pPr>
      <w:r>
        <w:tab/>
        <w:t xml:space="preserve">ORDERED that </w:t>
      </w:r>
      <w:r w:rsidRPr="00186982">
        <w:t>FIMC Hideaway, Inc.</w:t>
      </w:r>
      <w:r>
        <w:t xml:space="preserve">’s water and wastewater rates shall be reduced as shown on Schedule Nos. 4-A and 4-B immediately following the expiration of the four-year rate case expense recovery period.  </w:t>
      </w:r>
      <w:r w:rsidRPr="00186982">
        <w:t>FIMC Hideaway, Inc.</w:t>
      </w:r>
      <w:r>
        <w:t xml:space="preserve"> shall file revised tariff sheets no later than one month prior to the actual date of the required rate reduction. </w:t>
      </w:r>
      <w:r w:rsidRPr="00186982">
        <w:t>FIMC Hideaway, Inc.</w:t>
      </w:r>
      <w:r>
        <w:t xml:space="preserve"> shall also be required to file a proposed customer notice setting forth the lower rates and the reason for the reduction. If </w:t>
      </w:r>
      <w:r w:rsidRPr="00186982">
        <w:t>FIMC Hideaway, Inc.</w:t>
      </w:r>
      <w:r>
        <w:t xml:space="preserve"> files this reduction in conjunction with a price index or pass-through rate adjustment, separate data shall be filed for the price index and/or pass-through increase or decrease and the reduction in the rates due to the amortized rate case expense.  It is further,</w:t>
      </w:r>
    </w:p>
    <w:p w:rsidR="00186982" w:rsidRDefault="00186982" w:rsidP="00186982">
      <w:pPr>
        <w:pStyle w:val="OrderBody"/>
      </w:pPr>
    </w:p>
    <w:p w:rsidR="00186982" w:rsidRDefault="00186982" w:rsidP="00186982">
      <w:pPr>
        <w:pStyle w:val="OrderBody"/>
      </w:pPr>
      <w:r>
        <w:tab/>
        <w:t xml:space="preserve">ORDERED that </w:t>
      </w:r>
      <w:r w:rsidR="00BE09AF">
        <w:t xml:space="preserve">the rates for </w:t>
      </w:r>
      <w:r w:rsidR="00BE09AF" w:rsidRPr="00BE09AF">
        <w:t>FIMC Hideaway, Inc.</w:t>
      </w:r>
      <w:r w:rsidR="00BE09AF">
        <w:t xml:space="preserve"> are approved on a temporary basis, subject to refund with interest, in the event of a protest filed by a party other than the utility.  </w:t>
      </w:r>
      <w:r w:rsidR="00D70A61" w:rsidRPr="00D70A61">
        <w:t>FIMC Hideaway, Inc. sh</w:t>
      </w:r>
      <w:r w:rsidR="00D70A61">
        <w:t>all</w:t>
      </w:r>
      <w:r w:rsidR="00D70A61" w:rsidRPr="00D70A61">
        <w:t xml:space="preserve"> file revised tariff sheets and a proposed customer notice to reflect the Commission-approved rates. The approved rates s</w:t>
      </w:r>
      <w:r w:rsidR="00D70A61">
        <w:t>hall</w:t>
      </w:r>
      <w:r w:rsidR="00D70A61" w:rsidRPr="00D70A61">
        <w:t xml:space="preserve"> be effective for service rendered on or after the stamped approval date on the tariff sheet, pursuant to Rule 25-30.475(1), F.A.C. </w:t>
      </w:r>
      <w:r w:rsidR="00D70A61">
        <w:t xml:space="preserve">The </w:t>
      </w:r>
      <w:r w:rsidR="00D70A61" w:rsidRPr="00D70A61">
        <w:t>temporary rates sh</w:t>
      </w:r>
      <w:r w:rsidR="00D70A61">
        <w:t>all</w:t>
      </w:r>
      <w:r w:rsidR="00D70A61" w:rsidRPr="00D70A61">
        <w:t xml:space="preserve"> not be implemented until </w:t>
      </w:r>
      <w:r w:rsidR="0069765B">
        <w:t>our</w:t>
      </w:r>
      <w:r w:rsidR="00D70A61">
        <w:t xml:space="preserve"> </w:t>
      </w:r>
      <w:r w:rsidR="00D70A61" w:rsidRPr="00D70A61">
        <w:t>staff has approved the proposed notice, and the notice has been received by the customers.</w:t>
      </w:r>
      <w:r w:rsidR="00D70A61">
        <w:t xml:space="preserve">  It is further,</w:t>
      </w:r>
    </w:p>
    <w:p w:rsidR="00D70A61" w:rsidRDefault="00D70A61" w:rsidP="00186982">
      <w:pPr>
        <w:pStyle w:val="OrderBody"/>
      </w:pPr>
    </w:p>
    <w:p w:rsidR="00D70A61" w:rsidRDefault="00D70A61" w:rsidP="00186982">
      <w:pPr>
        <w:pStyle w:val="OrderBody"/>
      </w:pPr>
      <w:r>
        <w:tab/>
        <w:t xml:space="preserve">ORDERED that </w:t>
      </w:r>
      <w:r w:rsidRPr="00D70A61">
        <w:t>FIMC Hideaway, Inc.</w:t>
      </w:r>
      <w:r>
        <w:t xml:space="preserve"> shall provide appropriate security.  Temporary rates collected by </w:t>
      </w:r>
      <w:r w:rsidRPr="00BE09AF">
        <w:t>FIMC Hideaway, Inc.</w:t>
      </w:r>
      <w:r>
        <w:t xml:space="preserve"> shall be subject to refund as provided in the body of this Order.  It is further,</w:t>
      </w:r>
    </w:p>
    <w:p w:rsidR="00D70A61" w:rsidRDefault="00D70A61" w:rsidP="00186982">
      <w:pPr>
        <w:pStyle w:val="OrderBody"/>
      </w:pPr>
    </w:p>
    <w:p w:rsidR="00D70A61" w:rsidRDefault="00D70A61" w:rsidP="00D70A61">
      <w:pPr>
        <w:spacing w:after="240"/>
        <w:jc w:val="both"/>
      </w:pPr>
      <w:r>
        <w:tab/>
        <w:t xml:space="preserve">ORDERED that </w:t>
      </w:r>
      <w:r w:rsidRPr="00805898">
        <w:t xml:space="preserve">after the increased rates are in effect, pursuant to Rule 25-30.360(6), F.A.C., the </w:t>
      </w:r>
      <w:r w:rsidRPr="00D70A61">
        <w:t>FIMC Hideaway, Inc.</w:t>
      </w:r>
      <w:r w:rsidRPr="00805898">
        <w:t xml:space="preserve"> s</w:t>
      </w:r>
      <w:r>
        <w:t>hall</w:t>
      </w:r>
      <w:r w:rsidRPr="00805898">
        <w:t xml:space="preserve"> file reports with the Commission Clerk’s office no later than the 20th of every month indicating the monthly and total amount of money subject to refund at the end of the preceding month. The report filed sh</w:t>
      </w:r>
      <w:r>
        <w:t>all</w:t>
      </w:r>
      <w:r w:rsidRPr="00805898">
        <w:t xml:space="preserve"> also indicate the status of the security being used to guarantee repayment of any potential refund.</w:t>
      </w:r>
      <w:r>
        <w:t xml:space="preserve">  It is further,</w:t>
      </w:r>
    </w:p>
    <w:p w:rsidR="00D01935" w:rsidRDefault="00D70A61" w:rsidP="009B31FE">
      <w:pPr>
        <w:spacing w:after="240"/>
        <w:jc w:val="both"/>
      </w:pPr>
      <w:r>
        <w:tab/>
        <w:t xml:space="preserve">ORDERED that </w:t>
      </w:r>
      <w:r w:rsidRPr="00D70A61">
        <w:t>FIMC Hideaway, Inc. sh</w:t>
      </w:r>
      <w:r>
        <w:t>all</w:t>
      </w:r>
      <w:r w:rsidRPr="00D70A61">
        <w:t xml:space="preserve"> </w:t>
      </w:r>
      <w:r>
        <w:t>notify this</w:t>
      </w:r>
      <w:r w:rsidRPr="00D70A61">
        <w:t xml:space="preserve"> Commission, in writing, that it has adjusted its books in accordance with </w:t>
      </w:r>
      <w:r>
        <w:t>our</w:t>
      </w:r>
      <w:r w:rsidRPr="00D70A61">
        <w:t xml:space="preserve"> decision. </w:t>
      </w:r>
      <w:r>
        <w:t xml:space="preserve"> </w:t>
      </w:r>
      <w:r w:rsidRPr="00D70A61">
        <w:t>FIMC Hideaway, Inc. sh</w:t>
      </w:r>
      <w:r>
        <w:t>all</w:t>
      </w:r>
      <w:r w:rsidRPr="00D70A61">
        <w:t xml:space="preserve"> submit a letter within 90 days of the final order in this docket, confirming that the adjustments to all the </w:t>
      </w:r>
      <w:r w:rsidRPr="00D70A61">
        <w:lastRenderedPageBreak/>
        <w:t>applicable NARUC USOA primary accounts, as shown on Schedule Nos. 5-A and 5-B, have been made to the utility’s books and records. In the event the utility needs additional time to complete the adjustments, notice sh</w:t>
      </w:r>
      <w:r>
        <w:t>all</w:t>
      </w:r>
      <w:r w:rsidRPr="00D70A61">
        <w:t xml:space="preserve"> be provided not less than seven days prior to the deadline. Upon providing good cause, </w:t>
      </w:r>
      <w:r w:rsidR="0069765B">
        <w:t>our</w:t>
      </w:r>
      <w:r>
        <w:t xml:space="preserve"> </w:t>
      </w:r>
      <w:r w:rsidRPr="00D70A61">
        <w:t xml:space="preserve">staff </w:t>
      </w:r>
      <w:r w:rsidR="009B31FE">
        <w:t>is hereby</w:t>
      </w:r>
      <w:r w:rsidRPr="00D70A61">
        <w:t xml:space="preserve"> given administrative authority to grant an extension of up to 60 days.</w:t>
      </w:r>
      <w:r w:rsidR="009B31FE">
        <w:t xml:space="preserve">  It is further,</w:t>
      </w:r>
    </w:p>
    <w:p w:rsidR="00D01935" w:rsidRDefault="00D01935" w:rsidP="00FA2A2A">
      <w:pPr>
        <w:pStyle w:val="OrderBody"/>
      </w:pPr>
      <w:r>
        <w:tab/>
        <w:t>ORDERED that i</w:t>
      </w:r>
      <w:r w:rsidRPr="00B22AD8">
        <w:t>f no person whose substantial interests are affected by the proposed agency action files a protest within 21 days of the issuance of the order, a consummating order sh</w:t>
      </w:r>
      <w:r>
        <w:t>all</w:t>
      </w:r>
      <w:r w:rsidRPr="00B22AD8">
        <w:t xml:space="preserve"> be issued. The docket sh</w:t>
      </w:r>
      <w:r>
        <w:t>all</w:t>
      </w:r>
      <w:r w:rsidRPr="00B22AD8">
        <w:t xml:space="preserve"> remain open for </w:t>
      </w:r>
      <w:r w:rsidR="0069765B">
        <w:t>our</w:t>
      </w:r>
      <w:r w:rsidR="00001195">
        <w:t xml:space="preserve"> </w:t>
      </w:r>
      <w:r w:rsidRPr="00B22AD8">
        <w:t xml:space="preserve">staff’s verification that the revised tariff sheets and customer notice have been filed by the utility and approved by </w:t>
      </w:r>
      <w:r w:rsidR="00001195">
        <w:t xml:space="preserve">our </w:t>
      </w:r>
      <w:r w:rsidRPr="00B22AD8">
        <w:t xml:space="preserve">staff, the utility has provided </w:t>
      </w:r>
      <w:r w:rsidR="0069765B">
        <w:t>our</w:t>
      </w:r>
      <w:r w:rsidR="00001195">
        <w:t xml:space="preserve"> </w:t>
      </w:r>
      <w:r w:rsidRPr="00B22AD8">
        <w:t>staff with proof that the adjustments for all the applicable NARUC USOA p</w:t>
      </w:r>
      <w:r>
        <w:t xml:space="preserve">rimary accounts have been made, </w:t>
      </w:r>
      <w:r w:rsidR="009B31FE">
        <w:t xml:space="preserve">and the </w:t>
      </w:r>
      <w:r w:rsidR="009B31FE" w:rsidRPr="009B31FE">
        <w:t xml:space="preserve">utility </w:t>
      </w:r>
      <w:r w:rsidR="009B31FE">
        <w:t>has provided</w:t>
      </w:r>
      <w:r w:rsidR="009B31FE" w:rsidRPr="009B31FE">
        <w:t xml:space="preserve"> </w:t>
      </w:r>
      <w:r w:rsidR="009B31FE">
        <w:t xml:space="preserve">us </w:t>
      </w:r>
      <w:r w:rsidR="009B31FE" w:rsidRPr="009B31FE">
        <w:t>with the results of its next primary and secondary water standards tests</w:t>
      </w:r>
      <w:r w:rsidR="009B31FE">
        <w:t>.  Once these actions are complete, and if the</w:t>
      </w:r>
      <w:r w:rsidR="000F442C">
        <w:t xml:space="preserve"> results of the</w:t>
      </w:r>
      <w:r w:rsidR="009B31FE">
        <w:t xml:space="preserve"> </w:t>
      </w:r>
      <w:r w:rsidR="009B31FE" w:rsidRPr="009B31FE">
        <w:t>primary and secondary water standards tests</w:t>
      </w:r>
      <w:r w:rsidR="009B31FE">
        <w:t xml:space="preserve"> are favorable, this docket shall be closed administratively.  If </w:t>
      </w:r>
      <w:r w:rsidR="000F442C">
        <w:t>the results of the primary and secondary water standards tests are unfavorable this docket shall remain open for further action.</w:t>
      </w:r>
    </w:p>
    <w:p w:rsidR="00AD0A94" w:rsidRDefault="00AD0A94" w:rsidP="00FA2A2A">
      <w:pPr>
        <w:pStyle w:val="OrderBody"/>
      </w:pPr>
    </w:p>
    <w:p w:rsidR="0098494A" w:rsidRDefault="0098494A" w:rsidP="0098494A">
      <w:pPr>
        <w:keepNext/>
        <w:keepLines/>
        <w:jc w:val="both"/>
      </w:pPr>
      <w:r>
        <w:tab/>
        <w:t xml:space="preserve">By ORDER of the Florida Public Service Commission this </w:t>
      </w:r>
      <w:bookmarkStart w:id="8" w:name="replaceDate"/>
      <w:bookmarkEnd w:id="8"/>
      <w:r w:rsidR="00E86240">
        <w:rPr>
          <w:u w:val="single"/>
        </w:rPr>
        <w:t>2nd</w:t>
      </w:r>
      <w:r w:rsidR="00E86240">
        <w:t xml:space="preserve"> day of </w:t>
      </w:r>
      <w:r w:rsidR="00E86240">
        <w:rPr>
          <w:u w:val="single"/>
        </w:rPr>
        <w:t>August</w:t>
      </w:r>
      <w:r w:rsidR="00E86240">
        <w:t xml:space="preserve">, </w:t>
      </w:r>
      <w:r w:rsidR="00E86240">
        <w:rPr>
          <w:u w:val="single"/>
        </w:rPr>
        <w:t>2018</w:t>
      </w:r>
      <w:r w:rsidR="00E86240">
        <w:t>.</w:t>
      </w:r>
    </w:p>
    <w:p w:rsidR="00E86240" w:rsidRPr="00E86240" w:rsidRDefault="00E86240" w:rsidP="0098494A">
      <w:pPr>
        <w:keepNext/>
        <w:keepLines/>
        <w:jc w:val="both"/>
      </w:pPr>
    </w:p>
    <w:p w:rsidR="0098494A" w:rsidRDefault="0098494A" w:rsidP="0098494A">
      <w:pPr>
        <w:keepNext/>
        <w:keepLines/>
        <w:jc w:val="both"/>
      </w:pPr>
    </w:p>
    <w:p w:rsidR="0098494A" w:rsidRDefault="0098494A" w:rsidP="0098494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8494A" w:rsidTr="0098494A">
        <w:tc>
          <w:tcPr>
            <w:tcW w:w="720" w:type="dxa"/>
            <w:shd w:val="clear" w:color="auto" w:fill="auto"/>
          </w:tcPr>
          <w:p w:rsidR="0098494A" w:rsidRDefault="0098494A" w:rsidP="0098494A">
            <w:pPr>
              <w:keepNext/>
              <w:keepLines/>
              <w:jc w:val="both"/>
            </w:pPr>
            <w:bookmarkStart w:id="9" w:name="bkmrkSignature" w:colFirst="0" w:colLast="0"/>
          </w:p>
        </w:tc>
        <w:tc>
          <w:tcPr>
            <w:tcW w:w="4320" w:type="dxa"/>
            <w:tcBorders>
              <w:bottom w:val="single" w:sz="4" w:space="0" w:color="auto"/>
            </w:tcBorders>
            <w:shd w:val="clear" w:color="auto" w:fill="auto"/>
          </w:tcPr>
          <w:p w:rsidR="0098494A" w:rsidRDefault="00E86240" w:rsidP="0098494A">
            <w:pPr>
              <w:keepNext/>
              <w:keepLines/>
              <w:jc w:val="both"/>
            </w:pPr>
            <w:r>
              <w:t>/s/ Carlotta S. Stauffer</w:t>
            </w:r>
            <w:bookmarkStart w:id="10" w:name="_GoBack"/>
            <w:bookmarkEnd w:id="10"/>
          </w:p>
        </w:tc>
      </w:tr>
      <w:bookmarkEnd w:id="9"/>
      <w:tr w:rsidR="0098494A" w:rsidTr="0098494A">
        <w:tc>
          <w:tcPr>
            <w:tcW w:w="720" w:type="dxa"/>
            <w:shd w:val="clear" w:color="auto" w:fill="auto"/>
          </w:tcPr>
          <w:p w:rsidR="0098494A" w:rsidRDefault="0098494A" w:rsidP="0098494A">
            <w:pPr>
              <w:keepNext/>
              <w:keepLines/>
              <w:jc w:val="both"/>
            </w:pPr>
          </w:p>
        </w:tc>
        <w:tc>
          <w:tcPr>
            <w:tcW w:w="4320" w:type="dxa"/>
            <w:tcBorders>
              <w:top w:val="single" w:sz="4" w:space="0" w:color="auto"/>
            </w:tcBorders>
            <w:shd w:val="clear" w:color="auto" w:fill="auto"/>
          </w:tcPr>
          <w:p w:rsidR="0098494A" w:rsidRDefault="0098494A" w:rsidP="0098494A">
            <w:pPr>
              <w:keepNext/>
              <w:keepLines/>
              <w:jc w:val="both"/>
            </w:pPr>
            <w:r>
              <w:t>CARLOTTA S. STAUFFER</w:t>
            </w:r>
          </w:p>
          <w:p w:rsidR="0098494A" w:rsidRDefault="0098494A" w:rsidP="0098494A">
            <w:pPr>
              <w:keepNext/>
              <w:keepLines/>
              <w:jc w:val="both"/>
            </w:pPr>
            <w:r>
              <w:t>Commission Clerk</w:t>
            </w:r>
          </w:p>
        </w:tc>
      </w:tr>
    </w:tbl>
    <w:p w:rsidR="0098494A" w:rsidRDefault="0098494A" w:rsidP="0098494A">
      <w:pPr>
        <w:pStyle w:val="OrderSigInfo"/>
        <w:keepNext/>
        <w:keepLines/>
      </w:pPr>
      <w:r>
        <w:t>Florida Public Service Commission</w:t>
      </w:r>
    </w:p>
    <w:p w:rsidR="0098494A" w:rsidRDefault="0098494A" w:rsidP="0098494A">
      <w:pPr>
        <w:pStyle w:val="OrderSigInfo"/>
        <w:keepNext/>
        <w:keepLines/>
      </w:pPr>
      <w:r>
        <w:t>2540 Shumard Oak Boulevard</w:t>
      </w:r>
    </w:p>
    <w:p w:rsidR="0098494A" w:rsidRDefault="0098494A" w:rsidP="0098494A">
      <w:pPr>
        <w:pStyle w:val="OrderSigInfo"/>
        <w:keepNext/>
        <w:keepLines/>
      </w:pPr>
      <w:r>
        <w:t>Tallahassee, Florida 32399</w:t>
      </w:r>
    </w:p>
    <w:p w:rsidR="0098494A" w:rsidRDefault="0098494A" w:rsidP="0098494A">
      <w:pPr>
        <w:pStyle w:val="OrderSigInfo"/>
        <w:keepNext/>
        <w:keepLines/>
      </w:pPr>
      <w:r>
        <w:t>(850) 413</w:t>
      </w:r>
      <w:r>
        <w:noBreakHyphen/>
        <w:t>6770</w:t>
      </w:r>
    </w:p>
    <w:p w:rsidR="0098494A" w:rsidRDefault="0098494A" w:rsidP="0098494A">
      <w:pPr>
        <w:pStyle w:val="OrderSigInfo"/>
        <w:keepNext/>
        <w:keepLines/>
      </w:pPr>
      <w:r>
        <w:t>www.floridapsc.com</w:t>
      </w:r>
    </w:p>
    <w:p w:rsidR="0098494A" w:rsidRDefault="0098494A" w:rsidP="0098494A">
      <w:pPr>
        <w:pStyle w:val="OrderSigInfo"/>
        <w:keepNext/>
        <w:keepLines/>
      </w:pPr>
    </w:p>
    <w:p w:rsidR="0098494A" w:rsidRDefault="0098494A" w:rsidP="0098494A">
      <w:pPr>
        <w:pStyle w:val="OrderSigInfo"/>
        <w:keepNext/>
        <w:keepLines/>
      </w:pPr>
      <w:r>
        <w:t>Copies furnished:  A copy of this document is provided to the parties of record at the time of issuance and, if applicable, interested persons.</w:t>
      </w:r>
    </w:p>
    <w:p w:rsidR="0098494A" w:rsidRDefault="0098494A" w:rsidP="0098494A">
      <w:pPr>
        <w:pStyle w:val="OrderBody"/>
        <w:keepNext/>
        <w:keepLines/>
      </w:pPr>
    </w:p>
    <w:p w:rsidR="0098494A" w:rsidRDefault="0098494A" w:rsidP="00FA2A2A">
      <w:pPr>
        <w:keepNext/>
        <w:keepLines/>
        <w:spacing w:after="240"/>
        <w:jc w:val="both"/>
      </w:pPr>
    </w:p>
    <w:p w:rsidR="00FA2A2A" w:rsidRDefault="00FA2A2A" w:rsidP="00FA2A2A">
      <w:pPr>
        <w:keepNext/>
        <w:keepLines/>
        <w:spacing w:after="240"/>
        <w:jc w:val="both"/>
      </w:pPr>
      <w:r>
        <w:t>MAD</w:t>
      </w:r>
    </w:p>
    <w:p w:rsidR="00FA2A2A" w:rsidRDefault="00FA2A2A" w:rsidP="00B22AD8">
      <w:pPr>
        <w:spacing w:after="240"/>
        <w:jc w:val="both"/>
      </w:pPr>
    </w:p>
    <w:p w:rsidR="0098494A" w:rsidRDefault="0098494A" w:rsidP="00B22AD8">
      <w:pPr>
        <w:spacing w:after="240"/>
        <w:jc w:val="both"/>
      </w:pPr>
    </w:p>
    <w:p w:rsidR="0098494A" w:rsidRDefault="0098494A" w:rsidP="00B22AD8">
      <w:pPr>
        <w:spacing w:after="240"/>
        <w:jc w:val="both"/>
      </w:pPr>
    </w:p>
    <w:p w:rsidR="00E86240" w:rsidRDefault="00E86240" w:rsidP="0098494A">
      <w:pPr>
        <w:pStyle w:val="CenterUnderline"/>
      </w:pPr>
    </w:p>
    <w:p w:rsidR="00E86240" w:rsidRDefault="00E86240" w:rsidP="0098494A">
      <w:pPr>
        <w:pStyle w:val="CenterUnderline"/>
      </w:pPr>
    </w:p>
    <w:p w:rsidR="0098494A" w:rsidRDefault="0098494A" w:rsidP="0098494A">
      <w:pPr>
        <w:pStyle w:val="CenterUnderline"/>
      </w:pPr>
      <w:r>
        <w:lastRenderedPageBreak/>
        <w:t>NOTICE OF FURTHER PROCEEDINGS OR JUDICIAL REVIEW</w:t>
      </w:r>
    </w:p>
    <w:p w:rsidR="00FA2A2A" w:rsidRDefault="00FA2A2A" w:rsidP="0098494A">
      <w:pPr>
        <w:pStyle w:val="CenterUnderline"/>
      </w:pPr>
    </w:p>
    <w:p w:rsidR="0098494A" w:rsidRDefault="0098494A" w:rsidP="0098494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8494A" w:rsidRDefault="0098494A" w:rsidP="0098494A">
      <w:pPr>
        <w:pStyle w:val="OrderBody"/>
      </w:pPr>
    </w:p>
    <w:p w:rsidR="0098494A" w:rsidRDefault="0098494A" w:rsidP="0098494A">
      <w:pPr>
        <w:pStyle w:val="OrderBody"/>
      </w:pPr>
      <w:r>
        <w:tab/>
        <w:t>As identified in the body of this order, our action</w:t>
      </w:r>
      <w:r w:rsidR="00D733C8">
        <w:t>s are</w:t>
      </w:r>
      <w:r>
        <w:t xml:space="preserve"> preliminary in nature</w:t>
      </w:r>
      <w:r w:rsidR="00D733C8">
        <w:t xml:space="preserve">, </w:t>
      </w:r>
      <w:r w:rsidR="00D733C8" w:rsidRPr="00F673BF">
        <w:t xml:space="preserve">except for (1) </w:t>
      </w:r>
      <w:r w:rsidR="00D733C8" w:rsidRPr="009166D7">
        <w:t>the reduction of rates after four years based upon the recovery of rate case expense</w:t>
      </w:r>
      <w:r w:rsidR="00D733C8" w:rsidRPr="00F673BF">
        <w:t xml:space="preserve">, (2) the granting of temporary rates in the event of protest, and (3) </w:t>
      </w:r>
      <w:r w:rsidR="00D733C8">
        <w:t xml:space="preserve">the requirement for </w:t>
      </w:r>
      <w:r w:rsidR="00D733C8" w:rsidRPr="00F673BF">
        <w:t>proof of adjustment of books and records</w:t>
      </w:r>
      <w:r>
        <w:t xml:space="preserv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E86240">
        <w:rPr>
          <w:u w:val="single"/>
        </w:rPr>
        <w:t>August 23, 2018</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98494A" w:rsidRDefault="0098494A" w:rsidP="0098494A">
      <w:pPr>
        <w:pStyle w:val="OrderBody"/>
      </w:pPr>
    </w:p>
    <w:p w:rsidR="0098494A" w:rsidRDefault="0098494A" w:rsidP="0098494A">
      <w:pPr>
        <w:pStyle w:val="OrderBody"/>
      </w:pPr>
      <w:r>
        <w:tab/>
        <w:t>Any objection or protest filed in this docket before the issuance date of this order is considered abandoned unless it satisfies the foregoing conditions and is renewed within the specified protest period.</w:t>
      </w:r>
    </w:p>
    <w:p w:rsidR="0098494A" w:rsidRDefault="0098494A" w:rsidP="0098494A">
      <w:pPr>
        <w:pStyle w:val="OrderBody"/>
      </w:pPr>
    </w:p>
    <w:p w:rsidR="0098494A" w:rsidRDefault="0098494A" w:rsidP="0098494A">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8494A" w:rsidRDefault="0098494A" w:rsidP="0098494A">
      <w:pPr>
        <w:pStyle w:val="OrderBody"/>
      </w:pPr>
    </w:p>
    <w:p w:rsidR="0098494A" w:rsidRDefault="0098494A" w:rsidP="0098494A">
      <w:pPr>
        <w:pStyle w:val="OrderBody"/>
      </w:pPr>
    </w:p>
    <w:p w:rsidR="0098494A" w:rsidRPr="0098494A" w:rsidRDefault="0098494A" w:rsidP="0098494A">
      <w:pPr>
        <w:pStyle w:val="OrderBody"/>
      </w:pPr>
    </w:p>
    <w:p w:rsidR="00FA2A2A" w:rsidRDefault="00FA2A2A" w:rsidP="00FA2A2A">
      <w:pPr>
        <w:pStyle w:val="OrderBody"/>
      </w:pPr>
    </w:p>
    <w:p w:rsidR="00FA2A2A" w:rsidRPr="00FA2A2A" w:rsidRDefault="00FA2A2A" w:rsidP="00FA2A2A">
      <w:pPr>
        <w:pStyle w:val="OrderBody"/>
      </w:pPr>
    </w:p>
    <w:p w:rsidR="00FA2A2A" w:rsidRDefault="00FA2A2A" w:rsidP="00B22AD8">
      <w:pPr>
        <w:spacing w:after="240"/>
        <w:jc w:val="both"/>
      </w:pPr>
    </w:p>
    <w:p w:rsidR="00FA2A2A" w:rsidRDefault="00FA2A2A" w:rsidP="00B22AD8">
      <w:pPr>
        <w:spacing w:after="240"/>
        <w:jc w:val="both"/>
      </w:pPr>
    </w:p>
    <w:p w:rsidR="00FA2A2A" w:rsidRPr="00FA2A2A" w:rsidRDefault="00FA2A2A" w:rsidP="00B22AD8">
      <w:pPr>
        <w:spacing w:after="240"/>
        <w:jc w:val="both"/>
        <w:sectPr w:rsidR="00FA2A2A" w:rsidRPr="00FA2A2A" w:rsidSect="00B22AD8">
          <w:headerReference w:type="default" r:id="rId9"/>
          <w:footerReference w:type="first" r:id="rId10"/>
          <w:type w:val="continuous"/>
          <w:pgSz w:w="12240" w:h="15840" w:code="1"/>
          <w:pgMar w:top="1440" w:right="1440" w:bottom="1440" w:left="1440" w:header="720" w:footer="720" w:gutter="0"/>
          <w:cols w:space="720"/>
          <w:titlePg/>
          <w:docGrid w:linePitch="360"/>
        </w:sectPr>
      </w:pPr>
    </w:p>
    <w:tbl>
      <w:tblPr>
        <w:tblW w:w="9010" w:type="dxa"/>
        <w:tblInd w:w="98" w:type="dxa"/>
        <w:tblLook w:val="04A0" w:firstRow="1" w:lastRow="0" w:firstColumn="1" w:lastColumn="0" w:noHBand="0" w:noVBand="1"/>
      </w:tblPr>
      <w:tblGrid>
        <w:gridCol w:w="3908"/>
        <w:gridCol w:w="422"/>
        <w:gridCol w:w="1194"/>
        <w:gridCol w:w="1886"/>
        <w:gridCol w:w="1780"/>
      </w:tblGrid>
      <w:tr w:rsidR="00B22AD8" w:rsidRPr="00F82CB6" w:rsidTr="00445218">
        <w:trPr>
          <w:trHeight w:val="300"/>
        </w:trPr>
        <w:tc>
          <w:tcPr>
            <w:tcW w:w="3908" w:type="dxa"/>
            <w:tcBorders>
              <w:top w:val="single" w:sz="8" w:space="0" w:color="auto"/>
              <w:left w:val="single" w:sz="8" w:space="0" w:color="auto"/>
              <w:bottom w:val="nil"/>
              <w:right w:val="nil"/>
            </w:tcBorders>
            <w:shd w:val="clear" w:color="auto" w:fill="auto"/>
            <w:noWrap/>
            <w:vAlign w:val="bottom"/>
            <w:hideMark/>
          </w:tcPr>
          <w:p w:rsidR="00B22AD8" w:rsidRPr="00B22AD8" w:rsidRDefault="00B22AD8" w:rsidP="00445218">
            <w:pPr>
              <w:rPr>
                <w:rFonts w:cs="Calibri"/>
                <w:b/>
                <w:bCs/>
                <w:sz w:val="20"/>
                <w:szCs w:val="20"/>
              </w:rPr>
            </w:pPr>
            <w:r w:rsidRPr="00B22AD8">
              <w:rPr>
                <w:rFonts w:cs="Calibri"/>
                <w:b/>
                <w:bCs/>
                <w:sz w:val="20"/>
                <w:szCs w:val="20"/>
              </w:rPr>
              <w:lastRenderedPageBreak/>
              <w:t>FIMC HIDEAWAY, INC.</w:t>
            </w:r>
          </w:p>
        </w:tc>
        <w:tc>
          <w:tcPr>
            <w:tcW w:w="1436" w:type="dxa"/>
            <w:gridSpan w:val="2"/>
            <w:tcBorders>
              <w:top w:val="single" w:sz="8" w:space="0" w:color="auto"/>
              <w:left w:val="nil"/>
              <w:bottom w:val="nil"/>
              <w:right w:val="nil"/>
            </w:tcBorders>
            <w:shd w:val="clear" w:color="auto" w:fill="auto"/>
            <w:noWrap/>
            <w:vAlign w:val="bottom"/>
            <w:hideMark/>
          </w:tcPr>
          <w:p w:rsidR="00B22AD8" w:rsidRPr="00B22AD8" w:rsidRDefault="00B22AD8" w:rsidP="00445218">
            <w:pPr>
              <w:rPr>
                <w:rFonts w:cs="Calibri"/>
                <w:sz w:val="20"/>
                <w:szCs w:val="20"/>
              </w:rPr>
            </w:pPr>
            <w:r w:rsidRPr="00B22AD8">
              <w:rPr>
                <w:rFonts w:cs="Calibri"/>
                <w:sz w:val="20"/>
                <w:szCs w:val="20"/>
              </w:rPr>
              <w:t> </w:t>
            </w:r>
          </w:p>
        </w:tc>
        <w:tc>
          <w:tcPr>
            <w:tcW w:w="3666" w:type="dxa"/>
            <w:gridSpan w:val="2"/>
            <w:tcBorders>
              <w:top w:val="single" w:sz="8" w:space="0" w:color="auto"/>
              <w:left w:val="nil"/>
              <w:bottom w:val="nil"/>
              <w:right w:val="single" w:sz="8" w:space="0" w:color="000000"/>
            </w:tcBorders>
            <w:shd w:val="clear" w:color="auto" w:fill="auto"/>
            <w:noWrap/>
            <w:vAlign w:val="center"/>
            <w:hideMark/>
          </w:tcPr>
          <w:p w:rsidR="00B22AD8" w:rsidRPr="00B22AD8" w:rsidRDefault="00B22AD8" w:rsidP="00445218">
            <w:pPr>
              <w:jc w:val="right"/>
              <w:rPr>
                <w:rFonts w:cs="Calibri"/>
                <w:b/>
                <w:bCs/>
                <w:sz w:val="20"/>
                <w:szCs w:val="20"/>
              </w:rPr>
            </w:pPr>
            <w:r w:rsidRPr="00B22AD8">
              <w:rPr>
                <w:rFonts w:cs="Calibri"/>
                <w:b/>
                <w:bCs/>
                <w:sz w:val="20"/>
                <w:szCs w:val="20"/>
              </w:rPr>
              <w:t>SCHEDULE NO. 1-A</w:t>
            </w:r>
          </w:p>
        </w:tc>
      </w:tr>
      <w:tr w:rsidR="00B22AD8" w:rsidRPr="00F82CB6" w:rsidTr="00445218">
        <w:trPr>
          <w:trHeight w:val="300"/>
        </w:trPr>
        <w:tc>
          <w:tcPr>
            <w:tcW w:w="5344" w:type="dxa"/>
            <w:gridSpan w:val="3"/>
            <w:tcBorders>
              <w:top w:val="nil"/>
              <w:left w:val="single" w:sz="8" w:space="0" w:color="auto"/>
              <w:bottom w:val="nil"/>
              <w:right w:val="nil"/>
            </w:tcBorders>
            <w:shd w:val="clear" w:color="auto" w:fill="auto"/>
            <w:noWrap/>
            <w:vAlign w:val="bottom"/>
            <w:hideMark/>
          </w:tcPr>
          <w:p w:rsidR="00B22AD8" w:rsidRPr="00B22AD8" w:rsidRDefault="00B22AD8" w:rsidP="00445218">
            <w:pPr>
              <w:rPr>
                <w:rFonts w:cs="Calibri"/>
                <w:b/>
                <w:bCs/>
                <w:sz w:val="20"/>
                <w:szCs w:val="20"/>
              </w:rPr>
            </w:pPr>
            <w:r w:rsidRPr="00B22AD8">
              <w:rPr>
                <w:rFonts w:cs="Calibri"/>
                <w:b/>
                <w:bCs/>
                <w:sz w:val="20"/>
                <w:szCs w:val="20"/>
              </w:rPr>
              <w:t>TEST YEAR ENDED June 30, 2017</w:t>
            </w:r>
          </w:p>
        </w:tc>
        <w:tc>
          <w:tcPr>
            <w:tcW w:w="3666" w:type="dxa"/>
            <w:gridSpan w:val="2"/>
            <w:tcBorders>
              <w:top w:val="nil"/>
              <w:left w:val="nil"/>
              <w:bottom w:val="nil"/>
              <w:right w:val="single" w:sz="8" w:space="0" w:color="000000"/>
            </w:tcBorders>
            <w:shd w:val="clear" w:color="auto" w:fill="auto"/>
            <w:noWrap/>
            <w:vAlign w:val="center"/>
            <w:hideMark/>
          </w:tcPr>
          <w:p w:rsidR="00B22AD8" w:rsidRPr="00B22AD8" w:rsidRDefault="00B22AD8" w:rsidP="00445218">
            <w:pPr>
              <w:jc w:val="right"/>
              <w:rPr>
                <w:rFonts w:cs="Calibri"/>
                <w:b/>
                <w:bCs/>
                <w:sz w:val="20"/>
                <w:szCs w:val="20"/>
              </w:rPr>
            </w:pPr>
            <w:r w:rsidRPr="00B22AD8">
              <w:rPr>
                <w:rFonts w:cs="Calibri"/>
                <w:b/>
                <w:bCs/>
                <w:sz w:val="20"/>
                <w:szCs w:val="20"/>
              </w:rPr>
              <w:t>DOCKET NO. 20170147-WS</w:t>
            </w:r>
          </w:p>
        </w:tc>
      </w:tr>
      <w:tr w:rsidR="00B22AD8" w:rsidRPr="00F82CB6" w:rsidTr="00445218">
        <w:trPr>
          <w:trHeight w:val="324"/>
        </w:trPr>
        <w:tc>
          <w:tcPr>
            <w:tcW w:w="5344" w:type="dxa"/>
            <w:gridSpan w:val="3"/>
            <w:tcBorders>
              <w:top w:val="nil"/>
              <w:left w:val="single" w:sz="8" w:space="0" w:color="auto"/>
              <w:bottom w:val="single" w:sz="8" w:space="0" w:color="auto"/>
              <w:right w:val="nil"/>
            </w:tcBorders>
            <w:shd w:val="clear" w:color="auto" w:fill="auto"/>
            <w:noWrap/>
            <w:vAlign w:val="bottom"/>
            <w:hideMark/>
          </w:tcPr>
          <w:p w:rsidR="00B22AD8" w:rsidRPr="00B22AD8" w:rsidRDefault="00B22AD8" w:rsidP="00445218">
            <w:pPr>
              <w:rPr>
                <w:rFonts w:cs="Calibri"/>
                <w:b/>
                <w:bCs/>
                <w:sz w:val="20"/>
                <w:szCs w:val="20"/>
              </w:rPr>
            </w:pPr>
            <w:r w:rsidRPr="00B22AD8">
              <w:rPr>
                <w:rFonts w:cs="Calibri"/>
                <w:b/>
                <w:bCs/>
                <w:sz w:val="20"/>
                <w:szCs w:val="20"/>
              </w:rPr>
              <w:t>SCHEDULE OF COMBINED WATER RATE BASE</w:t>
            </w:r>
          </w:p>
        </w:tc>
        <w:tc>
          <w:tcPr>
            <w:tcW w:w="1886" w:type="dxa"/>
            <w:tcBorders>
              <w:top w:val="nil"/>
              <w:left w:val="nil"/>
              <w:bottom w:val="nil"/>
              <w:right w:val="nil"/>
            </w:tcBorders>
            <w:shd w:val="clear" w:color="auto" w:fill="auto"/>
            <w:noWrap/>
            <w:vAlign w:val="bottom"/>
            <w:hideMark/>
          </w:tcPr>
          <w:p w:rsidR="00B22AD8" w:rsidRPr="00B22AD8" w:rsidRDefault="00B22AD8" w:rsidP="00445218">
            <w:pPr>
              <w:rPr>
                <w:rFonts w:cs="Calibri"/>
                <w:sz w:val="20"/>
                <w:szCs w:val="20"/>
              </w:rPr>
            </w:pPr>
          </w:p>
        </w:tc>
        <w:tc>
          <w:tcPr>
            <w:tcW w:w="1780" w:type="dxa"/>
            <w:tcBorders>
              <w:top w:val="nil"/>
              <w:left w:val="nil"/>
              <w:bottom w:val="nil"/>
              <w:right w:val="single" w:sz="8" w:space="0" w:color="auto"/>
            </w:tcBorders>
            <w:shd w:val="clear" w:color="auto" w:fill="auto"/>
            <w:noWrap/>
            <w:vAlign w:val="bottom"/>
            <w:hideMark/>
          </w:tcPr>
          <w:p w:rsidR="00B22AD8" w:rsidRPr="00B22AD8" w:rsidRDefault="00B22AD8" w:rsidP="00445218">
            <w:pPr>
              <w:rPr>
                <w:rFonts w:cs="Calibri"/>
                <w:sz w:val="20"/>
                <w:szCs w:val="20"/>
              </w:rPr>
            </w:pPr>
            <w:r w:rsidRPr="00B22AD8">
              <w:rPr>
                <w:rFonts w:cs="Calibri"/>
                <w:sz w:val="20"/>
                <w:szCs w:val="20"/>
              </w:rPr>
              <w:t> </w:t>
            </w:r>
          </w:p>
        </w:tc>
      </w:tr>
      <w:tr w:rsidR="00B22AD8" w:rsidRPr="00F82CB6" w:rsidTr="00445218">
        <w:trPr>
          <w:trHeight w:val="312"/>
        </w:trPr>
        <w:tc>
          <w:tcPr>
            <w:tcW w:w="4330" w:type="dxa"/>
            <w:gridSpan w:val="2"/>
            <w:tcBorders>
              <w:top w:val="nil"/>
              <w:left w:val="single" w:sz="8" w:space="0" w:color="auto"/>
              <w:bottom w:val="nil"/>
              <w:right w:val="nil"/>
            </w:tcBorders>
            <w:shd w:val="clear" w:color="auto" w:fill="auto"/>
            <w:noWrap/>
            <w:vAlign w:val="bottom"/>
            <w:hideMark/>
          </w:tcPr>
          <w:p w:rsidR="00B22AD8" w:rsidRPr="00B22AD8" w:rsidRDefault="00B22AD8" w:rsidP="00445218">
            <w:pPr>
              <w:rPr>
                <w:rFonts w:cs="Calibri"/>
                <w:sz w:val="20"/>
                <w:szCs w:val="20"/>
              </w:rPr>
            </w:pPr>
            <w:r w:rsidRPr="00B22AD8">
              <w:rPr>
                <w:rFonts w:cs="Calibri"/>
                <w:sz w:val="20"/>
                <w:szCs w:val="20"/>
              </w:rPr>
              <w:t> </w:t>
            </w:r>
          </w:p>
        </w:tc>
        <w:tc>
          <w:tcPr>
            <w:tcW w:w="1014" w:type="dxa"/>
            <w:tcBorders>
              <w:top w:val="nil"/>
              <w:left w:val="nil"/>
              <w:bottom w:val="nil"/>
              <w:right w:val="nil"/>
            </w:tcBorders>
            <w:shd w:val="clear" w:color="auto" w:fill="auto"/>
            <w:noWrap/>
            <w:vAlign w:val="bottom"/>
            <w:hideMark/>
          </w:tcPr>
          <w:p w:rsidR="00B22AD8" w:rsidRPr="00B22AD8" w:rsidRDefault="00B22AD8" w:rsidP="00445218">
            <w:pPr>
              <w:jc w:val="center"/>
              <w:rPr>
                <w:rFonts w:cs="Calibri"/>
                <w:b/>
                <w:bCs/>
                <w:sz w:val="20"/>
                <w:szCs w:val="20"/>
              </w:rPr>
            </w:pPr>
            <w:r w:rsidRPr="00B22AD8">
              <w:rPr>
                <w:rFonts w:cs="Calibri"/>
                <w:b/>
                <w:bCs/>
                <w:sz w:val="20"/>
                <w:szCs w:val="20"/>
              </w:rPr>
              <w:t>BALANCE</w:t>
            </w:r>
          </w:p>
        </w:tc>
        <w:tc>
          <w:tcPr>
            <w:tcW w:w="1886" w:type="dxa"/>
            <w:tcBorders>
              <w:top w:val="single" w:sz="8" w:space="0" w:color="auto"/>
              <w:left w:val="nil"/>
              <w:bottom w:val="nil"/>
              <w:right w:val="nil"/>
            </w:tcBorders>
            <w:shd w:val="clear" w:color="auto" w:fill="auto"/>
            <w:noWrap/>
            <w:vAlign w:val="bottom"/>
            <w:hideMark/>
          </w:tcPr>
          <w:p w:rsidR="00B22AD8" w:rsidRPr="00B22AD8" w:rsidRDefault="00636751" w:rsidP="00445218">
            <w:pPr>
              <w:jc w:val="center"/>
              <w:rPr>
                <w:rFonts w:cs="Calibri"/>
                <w:b/>
                <w:bCs/>
                <w:sz w:val="20"/>
                <w:szCs w:val="20"/>
              </w:rPr>
            </w:pPr>
            <w:r>
              <w:rPr>
                <w:rFonts w:cs="Calibri"/>
                <w:b/>
                <w:bCs/>
                <w:sz w:val="20"/>
                <w:szCs w:val="20"/>
              </w:rPr>
              <w:t>COMMISSION</w:t>
            </w:r>
          </w:p>
        </w:tc>
        <w:tc>
          <w:tcPr>
            <w:tcW w:w="1780" w:type="dxa"/>
            <w:tcBorders>
              <w:top w:val="single" w:sz="8" w:space="0" w:color="auto"/>
              <w:left w:val="nil"/>
              <w:bottom w:val="nil"/>
              <w:right w:val="single" w:sz="8" w:space="0" w:color="auto"/>
            </w:tcBorders>
            <w:shd w:val="clear" w:color="auto" w:fill="auto"/>
            <w:noWrap/>
            <w:vAlign w:val="bottom"/>
            <w:hideMark/>
          </w:tcPr>
          <w:p w:rsidR="00B22AD8" w:rsidRPr="00B22AD8" w:rsidRDefault="00636751" w:rsidP="00445218">
            <w:pPr>
              <w:jc w:val="center"/>
              <w:rPr>
                <w:rFonts w:cs="Calibri"/>
                <w:b/>
                <w:bCs/>
                <w:sz w:val="20"/>
                <w:szCs w:val="20"/>
              </w:rPr>
            </w:pPr>
            <w:r>
              <w:rPr>
                <w:rFonts w:cs="Calibri"/>
                <w:b/>
                <w:bCs/>
                <w:sz w:val="20"/>
                <w:szCs w:val="20"/>
              </w:rPr>
              <w:t>BALANCE</w:t>
            </w:r>
          </w:p>
        </w:tc>
      </w:tr>
      <w:tr w:rsidR="00B22AD8" w:rsidRPr="00F82CB6" w:rsidTr="00636751">
        <w:trPr>
          <w:trHeight w:val="300"/>
        </w:trPr>
        <w:tc>
          <w:tcPr>
            <w:tcW w:w="4330" w:type="dxa"/>
            <w:gridSpan w:val="2"/>
            <w:tcBorders>
              <w:top w:val="nil"/>
              <w:left w:val="single" w:sz="8" w:space="0" w:color="auto"/>
              <w:bottom w:val="nil"/>
              <w:right w:val="nil"/>
            </w:tcBorders>
            <w:shd w:val="clear" w:color="auto" w:fill="auto"/>
            <w:noWrap/>
            <w:vAlign w:val="bottom"/>
            <w:hideMark/>
          </w:tcPr>
          <w:p w:rsidR="00B22AD8" w:rsidRPr="00B22AD8" w:rsidRDefault="00B22AD8" w:rsidP="00445218">
            <w:pPr>
              <w:rPr>
                <w:rFonts w:cs="Calibri"/>
              </w:rPr>
            </w:pPr>
            <w:r w:rsidRPr="00B22AD8">
              <w:rPr>
                <w:rFonts w:cs="Calibri"/>
              </w:rPr>
              <w:t> </w:t>
            </w:r>
          </w:p>
        </w:tc>
        <w:tc>
          <w:tcPr>
            <w:tcW w:w="1014" w:type="dxa"/>
            <w:tcBorders>
              <w:top w:val="nil"/>
              <w:left w:val="nil"/>
              <w:bottom w:val="nil"/>
              <w:right w:val="nil"/>
            </w:tcBorders>
            <w:shd w:val="clear" w:color="auto" w:fill="auto"/>
            <w:noWrap/>
            <w:vAlign w:val="bottom"/>
            <w:hideMark/>
          </w:tcPr>
          <w:p w:rsidR="00B22AD8" w:rsidRPr="00B22AD8" w:rsidRDefault="00B22AD8" w:rsidP="00445218">
            <w:pPr>
              <w:jc w:val="center"/>
              <w:rPr>
                <w:rFonts w:cs="Calibri"/>
                <w:b/>
                <w:bCs/>
                <w:sz w:val="20"/>
                <w:szCs w:val="20"/>
              </w:rPr>
            </w:pPr>
            <w:r w:rsidRPr="00B22AD8">
              <w:rPr>
                <w:rFonts w:cs="Calibri"/>
                <w:b/>
                <w:bCs/>
                <w:sz w:val="20"/>
                <w:szCs w:val="20"/>
              </w:rPr>
              <w:t>PER</w:t>
            </w:r>
          </w:p>
        </w:tc>
        <w:tc>
          <w:tcPr>
            <w:tcW w:w="1886" w:type="dxa"/>
            <w:tcBorders>
              <w:top w:val="nil"/>
              <w:left w:val="nil"/>
              <w:bottom w:val="nil"/>
              <w:right w:val="nil"/>
            </w:tcBorders>
            <w:shd w:val="clear" w:color="auto" w:fill="auto"/>
            <w:noWrap/>
            <w:vAlign w:val="bottom"/>
            <w:hideMark/>
          </w:tcPr>
          <w:p w:rsidR="00B22AD8" w:rsidRPr="00B22AD8" w:rsidRDefault="00B22AD8" w:rsidP="00445218">
            <w:pPr>
              <w:jc w:val="center"/>
              <w:rPr>
                <w:rFonts w:cs="Calibri"/>
                <w:b/>
                <w:bCs/>
                <w:sz w:val="20"/>
                <w:szCs w:val="20"/>
              </w:rPr>
            </w:pPr>
            <w:r w:rsidRPr="00B22AD8">
              <w:rPr>
                <w:rFonts w:cs="Calibri"/>
                <w:b/>
                <w:bCs/>
                <w:sz w:val="20"/>
                <w:szCs w:val="20"/>
              </w:rPr>
              <w:t>ADJUSTMENTS</w:t>
            </w:r>
          </w:p>
        </w:tc>
        <w:tc>
          <w:tcPr>
            <w:tcW w:w="1780" w:type="dxa"/>
            <w:tcBorders>
              <w:top w:val="nil"/>
              <w:left w:val="nil"/>
              <w:bottom w:val="nil"/>
              <w:right w:val="single" w:sz="8" w:space="0" w:color="auto"/>
            </w:tcBorders>
            <w:shd w:val="clear" w:color="auto" w:fill="auto"/>
            <w:noWrap/>
            <w:vAlign w:val="bottom"/>
          </w:tcPr>
          <w:p w:rsidR="00B22AD8" w:rsidRPr="00B22AD8" w:rsidRDefault="00636751" w:rsidP="00445218">
            <w:pPr>
              <w:jc w:val="center"/>
              <w:rPr>
                <w:rFonts w:cs="Calibri"/>
                <w:b/>
                <w:bCs/>
                <w:sz w:val="20"/>
                <w:szCs w:val="20"/>
              </w:rPr>
            </w:pPr>
            <w:r>
              <w:rPr>
                <w:rFonts w:cs="Calibri"/>
                <w:b/>
                <w:bCs/>
                <w:sz w:val="20"/>
                <w:szCs w:val="20"/>
              </w:rPr>
              <w:t>PER</w:t>
            </w:r>
          </w:p>
        </w:tc>
      </w:tr>
      <w:tr w:rsidR="00B22AD8" w:rsidRPr="00F82CB6" w:rsidTr="00636751">
        <w:trPr>
          <w:trHeight w:val="312"/>
        </w:trPr>
        <w:tc>
          <w:tcPr>
            <w:tcW w:w="4330" w:type="dxa"/>
            <w:gridSpan w:val="2"/>
            <w:tcBorders>
              <w:top w:val="nil"/>
              <w:left w:val="single" w:sz="8" w:space="0" w:color="auto"/>
              <w:bottom w:val="single" w:sz="8" w:space="0" w:color="auto"/>
              <w:right w:val="nil"/>
            </w:tcBorders>
            <w:shd w:val="clear" w:color="auto" w:fill="auto"/>
            <w:noWrap/>
            <w:vAlign w:val="bottom"/>
            <w:hideMark/>
          </w:tcPr>
          <w:p w:rsidR="00B22AD8" w:rsidRPr="00B22AD8" w:rsidRDefault="00B22AD8" w:rsidP="00445218">
            <w:pPr>
              <w:rPr>
                <w:rFonts w:cs="Calibri"/>
                <w:b/>
                <w:bCs/>
                <w:sz w:val="20"/>
                <w:szCs w:val="20"/>
              </w:rPr>
            </w:pPr>
            <w:r w:rsidRPr="00B22AD8">
              <w:rPr>
                <w:rFonts w:cs="Calibri"/>
                <w:b/>
                <w:bCs/>
                <w:sz w:val="20"/>
                <w:szCs w:val="20"/>
              </w:rPr>
              <w:t>DESCRIPTION</w:t>
            </w:r>
          </w:p>
        </w:tc>
        <w:tc>
          <w:tcPr>
            <w:tcW w:w="1014" w:type="dxa"/>
            <w:tcBorders>
              <w:top w:val="nil"/>
              <w:left w:val="nil"/>
              <w:bottom w:val="single" w:sz="8" w:space="0" w:color="auto"/>
              <w:right w:val="nil"/>
            </w:tcBorders>
            <w:shd w:val="clear" w:color="auto" w:fill="auto"/>
            <w:noWrap/>
            <w:vAlign w:val="bottom"/>
            <w:hideMark/>
          </w:tcPr>
          <w:p w:rsidR="00B22AD8" w:rsidRPr="00B22AD8" w:rsidRDefault="00B22AD8" w:rsidP="00445218">
            <w:pPr>
              <w:jc w:val="center"/>
              <w:rPr>
                <w:rFonts w:cs="Calibri"/>
                <w:b/>
                <w:bCs/>
                <w:sz w:val="20"/>
                <w:szCs w:val="20"/>
              </w:rPr>
            </w:pPr>
            <w:r w:rsidRPr="00B22AD8">
              <w:rPr>
                <w:rFonts w:cs="Calibri"/>
                <w:b/>
                <w:bCs/>
                <w:sz w:val="20"/>
                <w:szCs w:val="20"/>
              </w:rPr>
              <w:t>UTILITY</w:t>
            </w:r>
          </w:p>
        </w:tc>
        <w:tc>
          <w:tcPr>
            <w:tcW w:w="1886" w:type="dxa"/>
            <w:tcBorders>
              <w:top w:val="nil"/>
              <w:left w:val="nil"/>
              <w:bottom w:val="single" w:sz="8" w:space="0" w:color="auto"/>
              <w:right w:val="nil"/>
            </w:tcBorders>
            <w:shd w:val="clear" w:color="auto" w:fill="auto"/>
            <w:noWrap/>
            <w:vAlign w:val="bottom"/>
            <w:hideMark/>
          </w:tcPr>
          <w:p w:rsidR="00B22AD8" w:rsidRPr="00B22AD8" w:rsidRDefault="00B22AD8" w:rsidP="00445218">
            <w:pPr>
              <w:jc w:val="center"/>
              <w:rPr>
                <w:rFonts w:cs="Calibri"/>
                <w:b/>
                <w:bCs/>
                <w:sz w:val="20"/>
                <w:szCs w:val="20"/>
              </w:rPr>
            </w:pPr>
            <w:r w:rsidRPr="00B22AD8">
              <w:rPr>
                <w:rFonts w:cs="Calibri"/>
                <w:b/>
                <w:bCs/>
                <w:sz w:val="20"/>
                <w:szCs w:val="20"/>
              </w:rPr>
              <w:t>TO UTIL. BAL.</w:t>
            </w:r>
          </w:p>
        </w:tc>
        <w:tc>
          <w:tcPr>
            <w:tcW w:w="1780" w:type="dxa"/>
            <w:tcBorders>
              <w:top w:val="nil"/>
              <w:left w:val="nil"/>
              <w:bottom w:val="single" w:sz="8" w:space="0" w:color="auto"/>
              <w:right w:val="single" w:sz="8" w:space="0" w:color="auto"/>
            </w:tcBorders>
            <w:shd w:val="clear" w:color="auto" w:fill="auto"/>
            <w:noWrap/>
            <w:vAlign w:val="bottom"/>
          </w:tcPr>
          <w:p w:rsidR="00B22AD8" w:rsidRPr="00B22AD8" w:rsidRDefault="00636751" w:rsidP="00445218">
            <w:pPr>
              <w:jc w:val="center"/>
              <w:rPr>
                <w:rFonts w:cs="Calibri"/>
                <w:b/>
                <w:bCs/>
                <w:sz w:val="20"/>
                <w:szCs w:val="20"/>
              </w:rPr>
            </w:pPr>
            <w:r>
              <w:rPr>
                <w:rFonts w:cs="Calibri"/>
                <w:b/>
                <w:bCs/>
                <w:sz w:val="20"/>
                <w:szCs w:val="20"/>
              </w:rPr>
              <w:t>COMMISSION</w:t>
            </w:r>
          </w:p>
        </w:tc>
      </w:tr>
      <w:tr w:rsidR="00B22AD8" w:rsidRPr="00F82CB6" w:rsidTr="00445218">
        <w:trPr>
          <w:trHeight w:val="312"/>
        </w:trPr>
        <w:tc>
          <w:tcPr>
            <w:tcW w:w="4330" w:type="dxa"/>
            <w:gridSpan w:val="2"/>
            <w:tcBorders>
              <w:top w:val="nil"/>
              <w:left w:val="single" w:sz="8" w:space="0" w:color="auto"/>
              <w:bottom w:val="nil"/>
              <w:right w:val="nil"/>
            </w:tcBorders>
            <w:shd w:val="clear" w:color="auto" w:fill="auto"/>
            <w:noWrap/>
            <w:vAlign w:val="bottom"/>
            <w:hideMark/>
          </w:tcPr>
          <w:p w:rsidR="00B22AD8" w:rsidRPr="00B22AD8" w:rsidRDefault="00B22AD8" w:rsidP="00445218">
            <w:pPr>
              <w:rPr>
                <w:rFonts w:cs="Calibri"/>
                <w:b/>
                <w:bCs/>
                <w:sz w:val="20"/>
                <w:szCs w:val="20"/>
              </w:rPr>
            </w:pPr>
            <w:r w:rsidRPr="00B22AD8">
              <w:rPr>
                <w:rFonts w:cs="Calibri"/>
                <w:b/>
                <w:bCs/>
                <w:sz w:val="20"/>
                <w:szCs w:val="20"/>
              </w:rPr>
              <w:t> </w:t>
            </w:r>
          </w:p>
        </w:tc>
        <w:tc>
          <w:tcPr>
            <w:tcW w:w="1014" w:type="dxa"/>
            <w:tcBorders>
              <w:top w:val="nil"/>
              <w:left w:val="nil"/>
              <w:bottom w:val="nil"/>
              <w:right w:val="nil"/>
            </w:tcBorders>
            <w:shd w:val="clear" w:color="auto" w:fill="auto"/>
            <w:noWrap/>
            <w:vAlign w:val="bottom"/>
            <w:hideMark/>
          </w:tcPr>
          <w:p w:rsidR="00B22AD8" w:rsidRPr="00B22AD8" w:rsidRDefault="00B22AD8" w:rsidP="00445218">
            <w:pPr>
              <w:jc w:val="center"/>
              <w:rPr>
                <w:rFonts w:cs="Calibri"/>
                <w:b/>
                <w:bCs/>
                <w:sz w:val="20"/>
                <w:szCs w:val="20"/>
              </w:rPr>
            </w:pPr>
          </w:p>
        </w:tc>
        <w:tc>
          <w:tcPr>
            <w:tcW w:w="1886" w:type="dxa"/>
            <w:tcBorders>
              <w:top w:val="nil"/>
              <w:left w:val="nil"/>
              <w:bottom w:val="nil"/>
              <w:right w:val="nil"/>
            </w:tcBorders>
            <w:shd w:val="clear" w:color="auto" w:fill="auto"/>
            <w:noWrap/>
            <w:vAlign w:val="bottom"/>
            <w:hideMark/>
          </w:tcPr>
          <w:p w:rsidR="00B22AD8" w:rsidRPr="00B22AD8" w:rsidRDefault="00B22AD8" w:rsidP="00445218">
            <w:pPr>
              <w:jc w:val="center"/>
              <w:rPr>
                <w:rFonts w:cs="Calibri"/>
                <w:b/>
                <w:bCs/>
                <w:sz w:val="20"/>
                <w:szCs w:val="20"/>
              </w:rPr>
            </w:pPr>
          </w:p>
        </w:tc>
        <w:tc>
          <w:tcPr>
            <w:tcW w:w="1780" w:type="dxa"/>
            <w:tcBorders>
              <w:top w:val="nil"/>
              <w:left w:val="nil"/>
              <w:bottom w:val="nil"/>
              <w:right w:val="single" w:sz="8" w:space="0" w:color="auto"/>
            </w:tcBorders>
            <w:shd w:val="clear" w:color="auto" w:fill="auto"/>
            <w:noWrap/>
            <w:vAlign w:val="bottom"/>
            <w:hideMark/>
          </w:tcPr>
          <w:p w:rsidR="00B22AD8" w:rsidRPr="00B22AD8" w:rsidRDefault="00B22AD8" w:rsidP="00445218">
            <w:pPr>
              <w:jc w:val="center"/>
              <w:rPr>
                <w:rFonts w:cs="Calibri"/>
                <w:b/>
                <w:bCs/>
                <w:sz w:val="20"/>
                <w:szCs w:val="20"/>
              </w:rPr>
            </w:pPr>
            <w:r w:rsidRPr="00B22AD8">
              <w:rPr>
                <w:rFonts w:cs="Calibri"/>
                <w:b/>
                <w:bCs/>
                <w:sz w:val="20"/>
                <w:szCs w:val="20"/>
              </w:rPr>
              <w:t> </w:t>
            </w:r>
          </w:p>
        </w:tc>
      </w:tr>
      <w:tr w:rsidR="00B22AD8" w:rsidRPr="00F82CB6" w:rsidTr="00445218">
        <w:trPr>
          <w:trHeight w:val="300"/>
        </w:trPr>
        <w:tc>
          <w:tcPr>
            <w:tcW w:w="4330" w:type="dxa"/>
            <w:gridSpan w:val="2"/>
            <w:tcBorders>
              <w:top w:val="nil"/>
              <w:left w:val="single" w:sz="8" w:space="0" w:color="auto"/>
              <w:bottom w:val="nil"/>
              <w:right w:val="nil"/>
            </w:tcBorders>
            <w:shd w:val="clear" w:color="auto" w:fill="auto"/>
            <w:noWrap/>
            <w:vAlign w:val="bottom"/>
            <w:hideMark/>
          </w:tcPr>
          <w:p w:rsidR="00B22AD8" w:rsidRPr="00962971" w:rsidRDefault="00B22AD8" w:rsidP="00B22AD8">
            <w:pPr>
              <w:pStyle w:val="ListParagraph"/>
              <w:numPr>
                <w:ilvl w:val="0"/>
                <w:numId w:val="5"/>
              </w:numPr>
              <w:ind w:left="352"/>
              <w:rPr>
                <w:rFonts w:ascii="Times New Roman" w:eastAsia="Times New Roman" w:hAnsi="Times New Roman"/>
                <w:sz w:val="20"/>
                <w:szCs w:val="20"/>
              </w:rPr>
            </w:pPr>
            <w:r w:rsidRPr="00962971">
              <w:rPr>
                <w:rFonts w:ascii="Times New Roman" w:eastAsia="Times New Roman" w:hAnsi="Times New Roman"/>
                <w:sz w:val="20"/>
                <w:szCs w:val="20"/>
              </w:rPr>
              <w:t>UTILITY PLANT IN SERVICE</w:t>
            </w:r>
          </w:p>
        </w:tc>
        <w:tc>
          <w:tcPr>
            <w:tcW w:w="1014" w:type="dxa"/>
            <w:tcBorders>
              <w:top w:val="nil"/>
              <w:left w:val="nil"/>
              <w:bottom w:val="nil"/>
              <w:right w:val="nil"/>
            </w:tcBorders>
            <w:shd w:val="clear" w:color="auto" w:fill="auto"/>
            <w:noWrap/>
            <w:vAlign w:val="bottom"/>
            <w:hideMark/>
          </w:tcPr>
          <w:p w:rsidR="00B22AD8" w:rsidRPr="00B22AD8" w:rsidRDefault="00B22AD8" w:rsidP="00445218">
            <w:pPr>
              <w:jc w:val="right"/>
              <w:rPr>
                <w:rFonts w:cs="Calibri"/>
                <w:sz w:val="20"/>
                <w:szCs w:val="20"/>
              </w:rPr>
            </w:pPr>
            <w:r w:rsidRPr="00B22AD8">
              <w:rPr>
                <w:rFonts w:cs="Calibri"/>
                <w:sz w:val="20"/>
                <w:szCs w:val="20"/>
              </w:rPr>
              <w:t xml:space="preserve">$251,809 </w:t>
            </w:r>
          </w:p>
        </w:tc>
        <w:tc>
          <w:tcPr>
            <w:tcW w:w="1886" w:type="dxa"/>
            <w:tcBorders>
              <w:top w:val="nil"/>
              <w:left w:val="nil"/>
              <w:bottom w:val="nil"/>
              <w:right w:val="nil"/>
            </w:tcBorders>
            <w:shd w:val="clear" w:color="auto" w:fill="auto"/>
            <w:noWrap/>
            <w:vAlign w:val="bottom"/>
            <w:hideMark/>
          </w:tcPr>
          <w:p w:rsidR="00B22AD8" w:rsidRPr="00B22AD8" w:rsidRDefault="00B22AD8" w:rsidP="00445218">
            <w:pPr>
              <w:jc w:val="right"/>
              <w:rPr>
                <w:rFonts w:cs="Calibri"/>
                <w:sz w:val="20"/>
                <w:szCs w:val="20"/>
              </w:rPr>
            </w:pPr>
            <w:r w:rsidRPr="00B22AD8">
              <w:rPr>
                <w:rFonts w:cs="Calibri"/>
                <w:sz w:val="20"/>
                <w:szCs w:val="20"/>
              </w:rPr>
              <w:t>($61,876)</w:t>
            </w:r>
          </w:p>
        </w:tc>
        <w:tc>
          <w:tcPr>
            <w:tcW w:w="1780" w:type="dxa"/>
            <w:tcBorders>
              <w:top w:val="nil"/>
              <w:left w:val="nil"/>
              <w:bottom w:val="nil"/>
              <w:right w:val="single" w:sz="8" w:space="0" w:color="auto"/>
            </w:tcBorders>
            <w:shd w:val="clear" w:color="auto" w:fill="auto"/>
            <w:noWrap/>
            <w:vAlign w:val="bottom"/>
            <w:hideMark/>
          </w:tcPr>
          <w:p w:rsidR="00B22AD8" w:rsidRPr="00B22AD8" w:rsidRDefault="00B22AD8" w:rsidP="00445218">
            <w:pPr>
              <w:jc w:val="right"/>
              <w:rPr>
                <w:rFonts w:cs="Calibri"/>
                <w:sz w:val="20"/>
                <w:szCs w:val="20"/>
              </w:rPr>
            </w:pPr>
            <w:r w:rsidRPr="00B22AD8">
              <w:rPr>
                <w:rFonts w:cs="Calibri"/>
                <w:sz w:val="20"/>
                <w:szCs w:val="20"/>
              </w:rPr>
              <w:t xml:space="preserve">$189,933 </w:t>
            </w:r>
          </w:p>
        </w:tc>
      </w:tr>
      <w:tr w:rsidR="00B22AD8" w:rsidRPr="00F82CB6" w:rsidTr="00445218">
        <w:trPr>
          <w:trHeight w:val="300"/>
        </w:trPr>
        <w:tc>
          <w:tcPr>
            <w:tcW w:w="4330" w:type="dxa"/>
            <w:gridSpan w:val="2"/>
            <w:tcBorders>
              <w:top w:val="nil"/>
              <w:left w:val="single" w:sz="8" w:space="0" w:color="auto"/>
              <w:bottom w:val="nil"/>
              <w:right w:val="nil"/>
            </w:tcBorders>
            <w:shd w:val="clear" w:color="auto" w:fill="auto"/>
            <w:noWrap/>
            <w:vAlign w:val="bottom"/>
            <w:hideMark/>
          </w:tcPr>
          <w:p w:rsidR="00B22AD8" w:rsidRPr="00962971" w:rsidRDefault="00B22AD8" w:rsidP="00445218">
            <w:pPr>
              <w:ind w:left="352"/>
              <w:rPr>
                <w:sz w:val="20"/>
                <w:szCs w:val="20"/>
              </w:rPr>
            </w:pPr>
            <w:r w:rsidRPr="00962971">
              <w:rPr>
                <w:sz w:val="20"/>
                <w:szCs w:val="20"/>
              </w:rPr>
              <w:t> </w:t>
            </w:r>
          </w:p>
        </w:tc>
        <w:tc>
          <w:tcPr>
            <w:tcW w:w="1014" w:type="dxa"/>
            <w:tcBorders>
              <w:top w:val="nil"/>
              <w:left w:val="nil"/>
              <w:bottom w:val="nil"/>
              <w:right w:val="nil"/>
            </w:tcBorders>
            <w:shd w:val="clear" w:color="auto" w:fill="auto"/>
            <w:noWrap/>
            <w:vAlign w:val="bottom"/>
            <w:hideMark/>
          </w:tcPr>
          <w:p w:rsidR="00B22AD8" w:rsidRPr="00B22AD8" w:rsidRDefault="00B22AD8" w:rsidP="00445218">
            <w:pPr>
              <w:rPr>
                <w:rFonts w:cs="Calibri"/>
                <w:sz w:val="20"/>
                <w:szCs w:val="20"/>
              </w:rPr>
            </w:pPr>
          </w:p>
        </w:tc>
        <w:tc>
          <w:tcPr>
            <w:tcW w:w="1886" w:type="dxa"/>
            <w:tcBorders>
              <w:top w:val="nil"/>
              <w:left w:val="nil"/>
              <w:bottom w:val="nil"/>
              <w:right w:val="nil"/>
            </w:tcBorders>
            <w:shd w:val="clear" w:color="auto" w:fill="auto"/>
            <w:noWrap/>
            <w:vAlign w:val="bottom"/>
            <w:hideMark/>
          </w:tcPr>
          <w:p w:rsidR="00B22AD8" w:rsidRPr="00B22AD8" w:rsidRDefault="00B22AD8" w:rsidP="00445218">
            <w:pPr>
              <w:rPr>
                <w:rFonts w:cs="Calibri"/>
                <w:sz w:val="20"/>
                <w:szCs w:val="20"/>
              </w:rPr>
            </w:pPr>
          </w:p>
        </w:tc>
        <w:tc>
          <w:tcPr>
            <w:tcW w:w="1780" w:type="dxa"/>
            <w:tcBorders>
              <w:top w:val="nil"/>
              <w:left w:val="nil"/>
              <w:bottom w:val="nil"/>
              <w:right w:val="single" w:sz="8" w:space="0" w:color="auto"/>
            </w:tcBorders>
            <w:shd w:val="clear" w:color="auto" w:fill="auto"/>
            <w:noWrap/>
            <w:vAlign w:val="bottom"/>
            <w:hideMark/>
          </w:tcPr>
          <w:p w:rsidR="00B22AD8" w:rsidRPr="00B22AD8" w:rsidRDefault="00B22AD8" w:rsidP="00445218">
            <w:pPr>
              <w:rPr>
                <w:rFonts w:cs="Calibri"/>
                <w:sz w:val="20"/>
                <w:szCs w:val="20"/>
              </w:rPr>
            </w:pPr>
            <w:r w:rsidRPr="00B22AD8">
              <w:rPr>
                <w:rFonts w:cs="Calibri"/>
                <w:sz w:val="20"/>
                <w:szCs w:val="20"/>
              </w:rPr>
              <w:t> </w:t>
            </w:r>
          </w:p>
        </w:tc>
      </w:tr>
      <w:tr w:rsidR="00B22AD8" w:rsidRPr="00F82CB6" w:rsidTr="00445218">
        <w:trPr>
          <w:trHeight w:val="300"/>
        </w:trPr>
        <w:tc>
          <w:tcPr>
            <w:tcW w:w="4330" w:type="dxa"/>
            <w:gridSpan w:val="2"/>
            <w:tcBorders>
              <w:top w:val="nil"/>
              <w:left w:val="single" w:sz="8" w:space="0" w:color="auto"/>
              <w:bottom w:val="nil"/>
              <w:right w:val="nil"/>
            </w:tcBorders>
            <w:shd w:val="clear" w:color="auto" w:fill="auto"/>
            <w:noWrap/>
            <w:vAlign w:val="bottom"/>
            <w:hideMark/>
          </w:tcPr>
          <w:p w:rsidR="00B22AD8" w:rsidRPr="00962971" w:rsidRDefault="00B22AD8" w:rsidP="00B22AD8">
            <w:pPr>
              <w:pStyle w:val="ListParagraph"/>
              <w:numPr>
                <w:ilvl w:val="0"/>
                <w:numId w:val="5"/>
              </w:numPr>
              <w:ind w:left="352"/>
              <w:rPr>
                <w:rFonts w:ascii="Times New Roman" w:eastAsia="Times New Roman" w:hAnsi="Times New Roman"/>
                <w:sz w:val="20"/>
                <w:szCs w:val="20"/>
              </w:rPr>
            </w:pPr>
            <w:r w:rsidRPr="00962971">
              <w:rPr>
                <w:rFonts w:ascii="Times New Roman" w:eastAsia="Times New Roman" w:hAnsi="Times New Roman"/>
                <w:sz w:val="20"/>
                <w:szCs w:val="20"/>
              </w:rPr>
              <w:t>LAND &amp; LAND RIGHTS</w:t>
            </w:r>
          </w:p>
        </w:tc>
        <w:tc>
          <w:tcPr>
            <w:tcW w:w="1014" w:type="dxa"/>
            <w:tcBorders>
              <w:top w:val="nil"/>
              <w:left w:val="nil"/>
              <w:bottom w:val="nil"/>
              <w:right w:val="nil"/>
            </w:tcBorders>
            <w:shd w:val="clear" w:color="auto" w:fill="auto"/>
            <w:noWrap/>
            <w:vAlign w:val="bottom"/>
            <w:hideMark/>
          </w:tcPr>
          <w:p w:rsidR="00B22AD8" w:rsidRPr="00B22AD8" w:rsidRDefault="00B22AD8" w:rsidP="00445218">
            <w:pPr>
              <w:jc w:val="right"/>
              <w:rPr>
                <w:rFonts w:cs="Calibri"/>
                <w:sz w:val="20"/>
                <w:szCs w:val="20"/>
              </w:rPr>
            </w:pPr>
            <w:r w:rsidRPr="00B22AD8">
              <w:rPr>
                <w:rFonts w:cs="Calibri"/>
                <w:sz w:val="20"/>
                <w:szCs w:val="20"/>
              </w:rPr>
              <w:t xml:space="preserve">15,858 </w:t>
            </w:r>
          </w:p>
        </w:tc>
        <w:tc>
          <w:tcPr>
            <w:tcW w:w="1886" w:type="dxa"/>
            <w:tcBorders>
              <w:top w:val="nil"/>
              <w:left w:val="nil"/>
              <w:bottom w:val="nil"/>
              <w:right w:val="nil"/>
            </w:tcBorders>
            <w:shd w:val="clear" w:color="auto" w:fill="auto"/>
            <w:noWrap/>
            <w:vAlign w:val="bottom"/>
            <w:hideMark/>
          </w:tcPr>
          <w:p w:rsidR="00B22AD8" w:rsidRPr="00B22AD8" w:rsidRDefault="00B22AD8" w:rsidP="00445218">
            <w:pPr>
              <w:jc w:val="right"/>
              <w:rPr>
                <w:rFonts w:cs="Calibri"/>
                <w:sz w:val="20"/>
                <w:szCs w:val="20"/>
              </w:rPr>
            </w:pPr>
            <w:r w:rsidRPr="00B22AD8">
              <w:rPr>
                <w:rFonts w:cs="Calibri"/>
                <w:sz w:val="20"/>
                <w:szCs w:val="20"/>
              </w:rPr>
              <w:t>(3,858)</w:t>
            </w:r>
          </w:p>
        </w:tc>
        <w:tc>
          <w:tcPr>
            <w:tcW w:w="1780" w:type="dxa"/>
            <w:tcBorders>
              <w:top w:val="nil"/>
              <w:left w:val="nil"/>
              <w:bottom w:val="nil"/>
              <w:right w:val="single" w:sz="8" w:space="0" w:color="auto"/>
            </w:tcBorders>
            <w:shd w:val="clear" w:color="auto" w:fill="auto"/>
            <w:noWrap/>
            <w:vAlign w:val="bottom"/>
            <w:hideMark/>
          </w:tcPr>
          <w:p w:rsidR="00B22AD8" w:rsidRPr="00B22AD8" w:rsidRDefault="00B22AD8" w:rsidP="00445218">
            <w:pPr>
              <w:jc w:val="right"/>
              <w:rPr>
                <w:rFonts w:cs="Calibri"/>
                <w:sz w:val="20"/>
                <w:szCs w:val="20"/>
              </w:rPr>
            </w:pPr>
            <w:r w:rsidRPr="00B22AD8">
              <w:rPr>
                <w:rFonts w:cs="Calibri"/>
                <w:sz w:val="20"/>
                <w:szCs w:val="20"/>
              </w:rPr>
              <w:t xml:space="preserve">12,000 </w:t>
            </w:r>
          </w:p>
        </w:tc>
      </w:tr>
      <w:tr w:rsidR="00B22AD8" w:rsidRPr="00F82CB6" w:rsidTr="00445218">
        <w:trPr>
          <w:trHeight w:val="312"/>
        </w:trPr>
        <w:tc>
          <w:tcPr>
            <w:tcW w:w="4330" w:type="dxa"/>
            <w:gridSpan w:val="2"/>
            <w:tcBorders>
              <w:top w:val="nil"/>
              <w:left w:val="single" w:sz="8" w:space="0" w:color="auto"/>
              <w:bottom w:val="nil"/>
              <w:right w:val="nil"/>
            </w:tcBorders>
            <w:shd w:val="clear" w:color="auto" w:fill="auto"/>
            <w:noWrap/>
            <w:vAlign w:val="bottom"/>
            <w:hideMark/>
          </w:tcPr>
          <w:p w:rsidR="00B22AD8" w:rsidRPr="00962971" w:rsidRDefault="00B22AD8" w:rsidP="00445218">
            <w:pPr>
              <w:ind w:left="352"/>
              <w:rPr>
                <w:sz w:val="20"/>
                <w:szCs w:val="20"/>
              </w:rPr>
            </w:pPr>
            <w:r w:rsidRPr="00962971">
              <w:rPr>
                <w:sz w:val="20"/>
                <w:szCs w:val="20"/>
              </w:rPr>
              <w:t> </w:t>
            </w:r>
          </w:p>
        </w:tc>
        <w:tc>
          <w:tcPr>
            <w:tcW w:w="1014" w:type="dxa"/>
            <w:tcBorders>
              <w:top w:val="nil"/>
              <w:left w:val="nil"/>
              <w:bottom w:val="nil"/>
              <w:right w:val="nil"/>
            </w:tcBorders>
            <w:shd w:val="clear" w:color="auto" w:fill="auto"/>
            <w:noWrap/>
            <w:vAlign w:val="bottom"/>
            <w:hideMark/>
          </w:tcPr>
          <w:p w:rsidR="00B22AD8" w:rsidRPr="00B22AD8" w:rsidRDefault="00B22AD8" w:rsidP="00445218">
            <w:pPr>
              <w:rPr>
                <w:rFonts w:cs="Calibri"/>
                <w:sz w:val="20"/>
                <w:szCs w:val="20"/>
              </w:rPr>
            </w:pPr>
          </w:p>
        </w:tc>
        <w:tc>
          <w:tcPr>
            <w:tcW w:w="1886" w:type="dxa"/>
            <w:tcBorders>
              <w:top w:val="nil"/>
              <w:left w:val="nil"/>
              <w:bottom w:val="nil"/>
              <w:right w:val="nil"/>
            </w:tcBorders>
            <w:shd w:val="clear" w:color="auto" w:fill="auto"/>
            <w:noWrap/>
            <w:vAlign w:val="bottom"/>
            <w:hideMark/>
          </w:tcPr>
          <w:p w:rsidR="00B22AD8" w:rsidRPr="00B22AD8" w:rsidRDefault="00B22AD8" w:rsidP="00445218">
            <w:pPr>
              <w:rPr>
                <w:rFonts w:cs="Calibri"/>
                <w:sz w:val="20"/>
                <w:szCs w:val="20"/>
              </w:rPr>
            </w:pPr>
          </w:p>
        </w:tc>
        <w:tc>
          <w:tcPr>
            <w:tcW w:w="1780" w:type="dxa"/>
            <w:tcBorders>
              <w:top w:val="nil"/>
              <w:left w:val="nil"/>
              <w:bottom w:val="nil"/>
              <w:right w:val="single" w:sz="8" w:space="0" w:color="auto"/>
            </w:tcBorders>
            <w:shd w:val="clear" w:color="auto" w:fill="auto"/>
            <w:noWrap/>
            <w:vAlign w:val="bottom"/>
            <w:hideMark/>
          </w:tcPr>
          <w:p w:rsidR="00B22AD8" w:rsidRPr="00B22AD8" w:rsidRDefault="00B22AD8" w:rsidP="00445218">
            <w:pPr>
              <w:rPr>
                <w:rFonts w:cs="Calibri"/>
                <w:sz w:val="20"/>
                <w:szCs w:val="20"/>
              </w:rPr>
            </w:pPr>
            <w:r w:rsidRPr="00B22AD8">
              <w:rPr>
                <w:rFonts w:cs="Calibri"/>
                <w:sz w:val="20"/>
                <w:szCs w:val="20"/>
              </w:rPr>
              <w:t> </w:t>
            </w:r>
          </w:p>
        </w:tc>
      </w:tr>
      <w:tr w:rsidR="00B22AD8" w:rsidRPr="00F82CB6" w:rsidTr="00445218">
        <w:trPr>
          <w:trHeight w:val="312"/>
        </w:trPr>
        <w:tc>
          <w:tcPr>
            <w:tcW w:w="4330" w:type="dxa"/>
            <w:gridSpan w:val="2"/>
            <w:tcBorders>
              <w:top w:val="nil"/>
              <w:left w:val="single" w:sz="8" w:space="0" w:color="auto"/>
              <w:bottom w:val="nil"/>
              <w:right w:val="nil"/>
            </w:tcBorders>
            <w:shd w:val="clear" w:color="auto" w:fill="auto"/>
            <w:noWrap/>
            <w:vAlign w:val="bottom"/>
            <w:hideMark/>
          </w:tcPr>
          <w:p w:rsidR="00B22AD8" w:rsidRPr="00962971" w:rsidRDefault="00B22AD8" w:rsidP="00B22AD8">
            <w:pPr>
              <w:pStyle w:val="ListParagraph"/>
              <w:numPr>
                <w:ilvl w:val="0"/>
                <w:numId w:val="5"/>
              </w:numPr>
              <w:ind w:left="352"/>
              <w:rPr>
                <w:rFonts w:ascii="Times New Roman" w:eastAsia="Times New Roman" w:hAnsi="Times New Roman"/>
                <w:sz w:val="20"/>
                <w:szCs w:val="20"/>
              </w:rPr>
            </w:pPr>
            <w:r w:rsidRPr="00962971">
              <w:rPr>
                <w:rFonts w:ascii="Times New Roman" w:eastAsia="Times New Roman" w:hAnsi="Times New Roman"/>
                <w:sz w:val="20"/>
                <w:szCs w:val="20"/>
              </w:rPr>
              <w:t>NON-USED AND USEFUL COMPONENTS</w:t>
            </w:r>
          </w:p>
        </w:tc>
        <w:tc>
          <w:tcPr>
            <w:tcW w:w="1014" w:type="dxa"/>
            <w:tcBorders>
              <w:top w:val="nil"/>
              <w:left w:val="nil"/>
              <w:bottom w:val="nil"/>
              <w:right w:val="nil"/>
            </w:tcBorders>
            <w:shd w:val="clear" w:color="auto" w:fill="auto"/>
            <w:noWrap/>
            <w:vAlign w:val="bottom"/>
            <w:hideMark/>
          </w:tcPr>
          <w:p w:rsidR="00B22AD8" w:rsidRPr="00B22AD8" w:rsidRDefault="00B22AD8" w:rsidP="00445218">
            <w:pPr>
              <w:jc w:val="right"/>
              <w:rPr>
                <w:rFonts w:cs="Calibri"/>
                <w:sz w:val="20"/>
                <w:szCs w:val="20"/>
              </w:rPr>
            </w:pPr>
            <w:r w:rsidRPr="00B22AD8">
              <w:rPr>
                <w:rFonts w:cs="Calibri"/>
                <w:sz w:val="20"/>
                <w:szCs w:val="20"/>
              </w:rPr>
              <w:t xml:space="preserve">0 </w:t>
            </w:r>
          </w:p>
        </w:tc>
        <w:tc>
          <w:tcPr>
            <w:tcW w:w="1886" w:type="dxa"/>
            <w:tcBorders>
              <w:top w:val="nil"/>
              <w:left w:val="nil"/>
              <w:bottom w:val="nil"/>
              <w:right w:val="nil"/>
            </w:tcBorders>
            <w:shd w:val="clear" w:color="auto" w:fill="auto"/>
            <w:noWrap/>
            <w:vAlign w:val="bottom"/>
            <w:hideMark/>
          </w:tcPr>
          <w:p w:rsidR="00B22AD8" w:rsidRPr="00B22AD8" w:rsidRDefault="00B22AD8" w:rsidP="00445218">
            <w:pPr>
              <w:jc w:val="right"/>
              <w:rPr>
                <w:rFonts w:cs="Calibri"/>
                <w:sz w:val="20"/>
                <w:szCs w:val="20"/>
              </w:rPr>
            </w:pPr>
            <w:r w:rsidRPr="00B22AD8">
              <w:rPr>
                <w:rFonts w:cs="Calibri"/>
                <w:sz w:val="20"/>
                <w:szCs w:val="20"/>
              </w:rPr>
              <w:t xml:space="preserve">0 </w:t>
            </w:r>
          </w:p>
        </w:tc>
        <w:tc>
          <w:tcPr>
            <w:tcW w:w="1780" w:type="dxa"/>
            <w:tcBorders>
              <w:top w:val="nil"/>
              <w:left w:val="nil"/>
              <w:bottom w:val="nil"/>
              <w:right w:val="single" w:sz="8" w:space="0" w:color="auto"/>
            </w:tcBorders>
            <w:shd w:val="clear" w:color="auto" w:fill="auto"/>
            <w:noWrap/>
            <w:vAlign w:val="bottom"/>
            <w:hideMark/>
          </w:tcPr>
          <w:p w:rsidR="00B22AD8" w:rsidRPr="00B22AD8" w:rsidRDefault="00B22AD8" w:rsidP="00445218">
            <w:pPr>
              <w:jc w:val="right"/>
              <w:rPr>
                <w:rFonts w:cs="Calibri"/>
                <w:sz w:val="20"/>
                <w:szCs w:val="20"/>
              </w:rPr>
            </w:pPr>
            <w:r w:rsidRPr="00B22AD8">
              <w:rPr>
                <w:rFonts w:cs="Calibri"/>
                <w:sz w:val="20"/>
                <w:szCs w:val="20"/>
              </w:rPr>
              <w:t xml:space="preserve">0 </w:t>
            </w:r>
          </w:p>
        </w:tc>
      </w:tr>
      <w:tr w:rsidR="00B22AD8" w:rsidRPr="00F82CB6" w:rsidTr="00445218">
        <w:trPr>
          <w:trHeight w:val="312"/>
        </w:trPr>
        <w:tc>
          <w:tcPr>
            <w:tcW w:w="4330" w:type="dxa"/>
            <w:gridSpan w:val="2"/>
            <w:tcBorders>
              <w:top w:val="nil"/>
              <w:left w:val="single" w:sz="8" w:space="0" w:color="auto"/>
              <w:bottom w:val="nil"/>
              <w:right w:val="nil"/>
            </w:tcBorders>
            <w:shd w:val="clear" w:color="auto" w:fill="auto"/>
            <w:noWrap/>
            <w:vAlign w:val="bottom"/>
            <w:hideMark/>
          </w:tcPr>
          <w:p w:rsidR="00B22AD8" w:rsidRPr="00962971" w:rsidRDefault="00B22AD8" w:rsidP="00445218">
            <w:pPr>
              <w:ind w:left="352"/>
              <w:rPr>
                <w:sz w:val="20"/>
                <w:szCs w:val="20"/>
              </w:rPr>
            </w:pPr>
            <w:r w:rsidRPr="00962971">
              <w:rPr>
                <w:sz w:val="20"/>
                <w:szCs w:val="20"/>
              </w:rPr>
              <w:t> </w:t>
            </w:r>
          </w:p>
        </w:tc>
        <w:tc>
          <w:tcPr>
            <w:tcW w:w="1014" w:type="dxa"/>
            <w:tcBorders>
              <w:top w:val="nil"/>
              <w:left w:val="nil"/>
              <w:bottom w:val="nil"/>
              <w:right w:val="nil"/>
            </w:tcBorders>
            <w:shd w:val="clear" w:color="auto" w:fill="auto"/>
            <w:noWrap/>
            <w:vAlign w:val="bottom"/>
            <w:hideMark/>
          </w:tcPr>
          <w:p w:rsidR="00B22AD8" w:rsidRPr="00B22AD8" w:rsidRDefault="00B22AD8" w:rsidP="00445218">
            <w:pPr>
              <w:rPr>
                <w:rFonts w:cs="Calibri"/>
                <w:sz w:val="20"/>
                <w:szCs w:val="20"/>
              </w:rPr>
            </w:pPr>
          </w:p>
        </w:tc>
        <w:tc>
          <w:tcPr>
            <w:tcW w:w="1886" w:type="dxa"/>
            <w:tcBorders>
              <w:top w:val="nil"/>
              <w:left w:val="nil"/>
              <w:bottom w:val="nil"/>
              <w:right w:val="nil"/>
            </w:tcBorders>
            <w:shd w:val="clear" w:color="auto" w:fill="auto"/>
            <w:noWrap/>
            <w:vAlign w:val="bottom"/>
            <w:hideMark/>
          </w:tcPr>
          <w:p w:rsidR="00B22AD8" w:rsidRPr="00B22AD8" w:rsidRDefault="00B22AD8" w:rsidP="00445218">
            <w:pPr>
              <w:rPr>
                <w:rFonts w:cs="Calibri"/>
                <w:sz w:val="20"/>
                <w:szCs w:val="20"/>
              </w:rPr>
            </w:pPr>
          </w:p>
        </w:tc>
        <w:tc>
          <w:tcPr>
            <w:tcW w:w="1780" w:type="dxa"/>
            <w:tcBorders>
              <w:top w:val="nil"/>
              <w:left w:val="nil"/>
              <w:bottom w:val="nil"/>
              <w:right w:val="single" w:sz="8" w:space="0" w:color="auto"/>
            </w:tcBorders>
            <w:shd w:val="clear" w:color="auto" w:fill="auto"/>
            <w:noWrap/>
            <w:vAlign w:val="bottom"/>
            <w:hideMark/>
          </w:tcPr>
          <w:p w:rsidR="00B22AD8" w:rsidRPr="00B22AD8" w:rsidRDefault="00B22AD8" w:rsidP="00445218">
            <w:pPr>
              <w:rPr>
                <w:rFonts w:cs="Calibri"/>
                <w:sz w:val="20"/>
                <w:szCs w:val="20"/>
              </w:rPr>
            </w:pPr>
            <w:r w:rsidRPr="00B22AD8">
              <w:rPr>
                <w:rFonts w:cs="Calibri"/>
                <w:sz w:val="20"/>
                <w:szCs w:val="20"/>
              </w:rPr>
              <w:t> </w:t>
            </w:r>
          </w:p>
        </w:tc>
      </w:tr>
      <w:tr w:rsidR="00B22AD8" w:rsidRPr="00F82CB6" w:rsidTr="00445218">
        <w:trPr>
          <w:trHeight w:val="300"/>
        </w:trPr>
        <w:tc>
          <w:tcPr>
            <w:tcW w:w="4330" w:type="dxa"/>
            <w:gridSpan w:val="2"/>
            <w:tcBorders>
              <w:top w:val="nil"/>
              <w:left w:val="single" w:sz="8" w:space="0" w:color="auto"/>
              <w:bottom w:val="nil"/>
              <w:right w:val="nil"/>
            </w:tcBorders>
            <w:shd w:val="clear" w:color="auto" w:fill="auto"/>
            <w:noWrap/>
            <w:vAlign w:val="bottom"/>
            <w:hideMark/>
          </w:tcPr>
          <w:p w:rsidR="00B22AD8" w:rsidRPr="00962971" w:rsidRDefault="00B22AD8" w:rsidP="00B22AD8">
            <w:pPr>
              <w:pStyle w:val="ListParagraph"/>
              <w:numPr>
                <w:ilvl w:val="0"/>
                <w:numId w:val="5"/>
              </w:numPr>
              <w:ind w:left="352"/>
              <w:rPr>
                <w:rFonts w:ascii="Times New Roman" w:eastAsia="Times New Roman" w:hAnsi="Times New Roman"/>
                <w:sz w:val="20"/>
                <w:szCs w:val="20"/>
              </w:rPr>
            </w:pPr>
            <w:r w:rsidRPr="00962971">
              <w:rPr>
                <w:rFonts w:ascii="Times New Roman" w:eastAsia="Times New Roman" w:hAnsi="Times New Roman"/>
                <w:sz w:val="20"/>
                <w:szCs w:val="20"/>
              </w:rPr>
              <w:t>CIAC</w:t>
            </w:r>
          </w:p>
        </w:tc>
        <w:tc>
          <w:tcPr>
            <w:tcW w:w="1014" w:type="dxa"/>
            <w:tcBorders>
              <w:top w:val="nil"/>
              <w:left w:val="nil"/>
              <w:bottom w:val="nil"/>
              <w:right w:val="nil"/>
            </w:tcBorders>
            <w:shd w:val="clear" w:color="auto" w:fill="auto"/>
            <w:noWrap/>
            <w:vAlign w:val="bottom"/>
            <w:hideMark/>
          </w:tcPr>
          <w:p w:rsidR="00B22AD8" w:rsidRPr="00B22AD8" w:rsidRDefault="00B22AD8" w:rsidP="00445218">
            <w:pPr>
              <w:jc w:val="right"/>
              <w:rPr>
                <w:rFonts w:cs="Calibri"/>
                <w:sz w:val="20"/>
                <w:szCs w:val="20"/>
              </w:rPr>
            </w:pPr>
            <w:r w:rsidRPr="00B22AD8">
              <w:rPr>
                <w:rFonts w:cs="Calibri"/>
                <w:sz w:val="20"/>
                <w:szCs w:val="20"/>
              </w:rPr>
              <w:t xml:space="preserve">0 </w:t>
            </w:r>
          </w:p>
        </w:tc>
        <w:tc>
          <w:tcPr>
            <w:tcW w:w="1886" w:type="dxa"/>
            <w:tcBorders>
              <w:top w:val="nil"/>
              <w:left w:val="nil"/>
              <w:bottom w:val="nil"/>
              <w:right w:val="nil"/>
            </w:tcBorders>
            <w:shd w:val="clear" w:color="auto" w:fill="auto"/>
            <w:noWrap/>
            <w:vAlign w:val="bottom"/>
            <w:hideMark/>
          </w:tcPr>
          <w:p w:rsidR="00B22AD8" w:rsidRPr="00B22AD8" w:rsidRDefault="00B22AD8" w:rsidP="00445218">
            <w:pPr>
              <w:jc w:val="right"/>
              <w:rPr>
                <w:rFonts w:cs="Calibri"/>
                <w:sz w:val="20"/>
                <w:szCs w:val="20"/>
              </w:rPr>
            </w:pPr>
            <w:r w:rsidRPr="00B22AD8">
              <w:rPr>
                <w:rFonts w:cs="Calibri"/>
                <w:sz w:val="20"/>
                <w:szCs w:val="20"/>
              </w:rPr>
              <w:t>(39,100)</w:t>
            </w:r>
          </w:p>
        </w:tc>
        <w:tc>
          <w:tcPr>
            <w:tcW w:w="1780" w:type="dxa"/>
            <w:tcBorders>
              <w:top w:val="nil"/>
              <w:left w:val="nil"/>
              <w:bottom w:val="nil"/>
              <w:right w:val="single" w:sz="8" w:space="0" w:color="auto"/>
            </w:tcBorders>
            <w:shd w:val="clear" w:color="auto" w:fill="auto"/>
            <w:noWrap/>
            <w:vAlign w:val="bottom"/>
            <w:hideMark/>
          </w:tcPr>
          <w:p w:rsidR="00B22AD8" w:rsidRPr="00B22AD8" w:rsidRDefault="00B22AD8" w:rsidP="00445218">
            <w:pPr>
              <w:jc w:val="right"/>
              <w:rPr>
                <w:rFonts w:cs="Calibri"/>
                <w:sz w:val="20"/>
                <w:szCs w:val="20"/>
              </w:rPr>
            </w:pPr>
            <w:r w:rsidRPr="00B22AD8">
              <w:rPr>
                <w:rFonts w:cs="Calibri"/>
                <w:sz w:val="20"/>
                <w:szCs w:val="20"/>
              </w:rPr>
              <w:t>(39,100)</w:t>
            </w:r>
          </w:p>
        </w:tc>
      </w:tr>
      <w:tr w:rsidR="00B22AD8" w:rsidRPr="00F82CB6" w:rsidTr="00445218">
        <w:trPr>
          <w:trHeight w:val="300"/>
        </w:trPr>
        <w:tc>
          <w:tcPr>
            <w:tcW w:w="4330" w:type="dxa"/>
            <w:gridSpan w:val="2"/>
            <w:tcBorders>
              <w:top w:val="nil"/>
              <w:left w:val="single" w:sz="8" w:space="0" w:color="auto"/>
              <w:bottom w:val="nil"/>
              <w:right w:val="nil"/>
            </w:tcBorders>
            <w:shd w:val="clear" w:color="auto" w:fill="auto"/>
            <w:noWrap/>
            <w:vAlign w:val="bottom"/>
            <w:hideMark/>
          </w:tcPr>
          <w:p w:rsidR="00B22AD8" w:rsidRPr="00962971" w:rsidRDefault="00B22AD8" w:rsidP="00445218">
            <w:pPr>
              <w:ind w:left="352"/>
              <w:rPr>
                <w:sz w:val="20"/>
                <w:szCs w:val="20"/>
              </w:rPr>
            </w:pPr>
            <w:r w:rsidRPr="00962971">
              <w:rPr>
                <w:sz w:val="20"/>
                <w:szCs w:val="20"/>
              </w:rPr>
              <w:t> </w:t>
            </w:r>
          </w:p>
        </w:tc>
        <w:tc>
          <w:tcPr>
            <w:tcW w:w="1014" w:type="dxa"/>
            <w:tcBorders>
              <w:top w:val="nil"/>
              <w:left w:val="nil"/>
              <w:bottom w:val="nil"/>
              <w:right w:val="nil"/>
            </w:tcBorders>
            <w:shd w:val="clear" w:color="auto" w:fill="auto"/>
            <w:noWrap/>
            <w:vAlign w:val="bottom"/>
            <w:hideMark/>
          </w:tcPr>
          <w:p w:rsidR="00B22AD8" w:rsidRPr="00B22AD8" w:rsidRDefault="00B22AD8" w:rsidP="00445218">
            <w:pPr>
              <w:rPr>
                <w:rFonts w:cs="Calibri"/>
                <w:sz w:val="20"/>
                <w:szCs w:val="20"/>
              </w:rPr>
            </w:pPr>
          </w:p>
        </w:tc>
        <w:tc>
          <w:tcPr>
            <w:tcW w:w="1886" w:type="dxa"/>
            <w:tcBorders>
              <w:top w:val="nil"/>
              <w:left w:val="nil"/>
              <w:bottom w:val="nil"/>
              <w:right w:val="nil"/>
            </w:tcBorders>
            <w:shd w:val="clear" w:color="auto" w:fill="auto"/>
            <w:noWrap/>
            <w:vAlign w:val="bottom"/>
            <w:hideMark/>
          </w:tcPr>
          <w:p w:rsidR="00B22AD8" w:rsidRPr="00B22AD8" w:rsidRDefault="00B22AD8" w:rsidP="00445218">
            <w:pPr>
              <w:rPr>
                <w:rFonts w:cs="Calibri"/>
                <w:sz w:val="20"/>
                <w:szCs w:val="20"/>
              </w:rPr>
            </w:pPr>
          </w:p>
        </w:tc>
        <w:tc>
          <w:tcPr>
            <w:tcW w:w="1780" w:type="dxa"/>
            <w:tcBorders>
              <w:top w:val="nil"/>
              <w:left w:val="nil"/>
              <w:bottom w:val="nil"/>
              <w:right w:val="single" w:sz="8" w:space="0" w:color="auto"/>
            </w:tcBorders>
            <w:shd w:val="clear" w:color="auto" w:fill="auto"/>
            <w:noWrap/>
            <w:vAlign w:val="bottom"/>
            <w:hideMark/>
          </w:tcPr>
          <w:p w:rsidR="00B22AD8" w:rsidRPr="00B22AD8" w:rsidRDefault="00B22AD8" w:rsidP="00445218">
            <w:pPr>
              <w:rPr>
                <w:rFonts w:cs="Calibri"/>
                <w:sz w:val="20"/>
                <w:szCs w:val="20"/>
              </w:rPr>
            </w:pPr>
            <w:r w:rsidRPr="00B22AD8">
              <w:rPr>
                <w:rFonts w:cs="Calibri"/>
                <w:sz w:val="20"/>
                <w:szCs w:val="20"/>
              </w:rPr>
              <w:t> </w:t>
            </w:r>
          </w:p>
        </w:tc>
      </w:tr>
      <w:tr w:rsidR="00B22AD8" w:rsidRPr="00F82CB6" w:rsidTr="00445218">
        <w:trPr>
          <w:trHeight w:val="300"/>
        </w:trPr>
        <w:tc>
          <w:tcPr>
            <w:tcW w:w="4330" w:type="dxa"/>
            <w:gridSpan w:val="2"/>
            <w:tcBorders>
              <w:top w:val="nil"/>
              <w:left w:val="single" w:sz="8" w:space="0" w:color="auto"/>
              <w:bottom w:val="nil"/>
              <w:right w:val="nil"/>
            </w:tcBorders>
            <w:shd w:val="clear" w:color="auto" w:fill="auto"/>
            <w:noWrap/>
            <w:vAlign w:val="bottom"/>
            <w:hideMark/>
          </w:tcPr>
          <w:p w:rsidR="00B22AD8" w:rsidRPr="00962971" w:rsidRDefault="00B22AD8" w:rsidP="00B22AD8">
            <w:pPr>
              <w:pStyle w:val="ListParagraph"/>
              <w:numPr>
                <w:ilvl w:val="0"/>
                <w:numId w:val="5"/>
              </w:numPr>
              <w:ind w:left="352"/>
              <w:rPr>
                <w:rFonts w:ascii="Times New Roman" w:eastAsia="Times New Roman" w:hAnsi="Times New Roman"/>
                <w:sz w:val="20"/>
                <w:szCs w:val="20"/>
              </w:rPr>
            </w:pPr>
            <w:r w:rsidRPr="00962971">
              <w:rPr>
                <w:rFonts w:ascii="Times New Roman" w:eastAsia="Times New Roman" w:hAnsi="Times New Roman"/>
                <w:sz w:val="20"/>
                <w:szCs w:val="20"/>
              </w:rPr>
              <w:t>ACCUMULATED DEPRECIATION</w:t>
            </w:r>
          </w:p>
        </w:tc>
        <w:tc>
          <w:tcPr>
            <w:tcW w:w="1014" w:type="dxa"/>
            <w:tcBorders>
              <w:top w:val="nil"/>
              <w:left w:val="nil"/>
              <w:bottom w:val="nil"/>
              <w:right w:val="nil"/>
            </w:tcBorders>
            <w:shd w:val="clear" w:color="auto" w:fill="auto"/>
            <w:noWrap/>
            <w:vAlign w:val="bottom"/>
            <w:hideMark/>
          </w:tcPr>
          <w:p w:rsidR="00B22AD8" w:rsidRPr="00B22AD8" w:rsidRDefault="00B22AD8" w:rsidP="00445218">
            <w:pPr>
              <w:jc w:val="right"/>
              <w:rPr>
                <w:rFonts w:cs="Calibri"/>
                <w:sz w:val="20"/>
                <w:szCs w:val="20"/>
              </w:rPr>
            </w:pPr>
            <w:r w:rsidRPr="00B22AD8">
              <w:rPr>
                <w:rFonts w:cs="Calibri"/>
                <w:sz w:val="20"/>
                <w:szCs w:val="20"/>
              </w:rPr>
              <w:t>(146,773)</w:t>
            </w:r>
          </w:p>
        </w:tc>
        <w:tc>
          <w:tcPr>
            <w:tcW w:w="1886" w:type="dxa"/>
            <w:tcBorders>
              <w:top w:val="nil"/>
              <w:left w:val="nil"/>
              <w:bottom w:val="nil"/>
              <w:right w:val="nil"/>
            </w:tcBorders>
            <w:shd w:val="clear" w:color="auto" w:fill="auto"/>
            <w:noWrap/>
            <w:vAlign w:val="bottom"/>
            <w:hideMark/>
          </w:tcPr>
          <w:p w:rsidR="00B22AD8" w:rsidRPr="00B22AD8" w:rsidRDefault="00B22AD8" w:rsidP="00445218">
            <w:pPr>
              <w:jc w:val="right"/>
              <w:rPr>
                <w:rFonts w:cs="Calibri"/>
                <w:sz w:val="20"/>
                <w:szCs w:val="20"/>
              </w:rPr>
            </w:pPr>
            <w:r w:rsidRPr="00B22AD8">
              <w:rPr>
                <w:rFonts w:cs="Calibri"/>
                <w:sz w:val="20"/>
                <w:szCs w:val="20"/>
              </w:rPr>
              <w:t>(6,344)</w:t>
            </w:r>
          </w:p>
        </w:tc>
        <w:tc>
          <w:tcPr>
            <w:tcW w:w="1780" w:type="dxa"/>
            <w:tcBorders>
              <w:top w:val="nil"/>
              <w:left w:val="nil"/>
              <w:bottom w:val="nil"/>
              <w:right w:val="single" w:sz="8" w:space="0" w:color="auto"/>
            </w:tcBorders>
            <w:shd w:val="clear" w:color="auto" w:fill="auto"/>
            <w:noWrap/>
            <w:vAlign w:val="bottom"/>
            <w:hideMark/>
          </w:tcPr>
          <w:p w:rsidR="00B22AD8" w:rsidRPr="00B22AD8" w:rsidRDefault="00B22AD8" w:rsidP="00445218">
            <w:pPr>
              <w:jc w:val="right"/>
              <w:rPr>
                <w:rFonts w:cs="Calibri"/>
                <w:sz w:val="20"/>
                <w:szCs w:val="20"/>
              </w:rPr>
            </w:pPr>
            <w:r w:rsidRPr="00B22AD8">
              <w:rPr>
                <w:rFonts w:cs="Calibri"/>
                <w:sz w:val="20"/>
                <w:szCs w:val="20"/>
              </w:rPr>
              <w:t>(153,117)</w:t>
            </w:r>
          </w:p>
        </w:tc>
      </w:tr>
      <w:tr w:rsidR="00B22AD8" w:rsidRPr="00F82CB6" w:rsidTr="00445218">
        <w:trPr>
          <w:trHeight w:val="300"/>
        </w:trPr>
        <w:tc>
          <w:tcPr>
            <w:tcW w:w="4330" w:type="dxa"/>
            <w:gridSpan w:val="2"/>
            <w:tcBorders>
              <w:top w:val="nil"/>
              <w:left w:val="single" w:sz="8" w:space="0" w:color="auto"/>
              <w:bottom w:val="nil"/>
              <w:right w:val="nil"/>
            </w:tcBorders>
            <w:shd w:val="clear" w:color="auto" w:fill="auto"/>
            <w:noWrap/>
            <w:vAlign w:val="bottom"/>
            <w:hideMark/>
          </w:tcPr>
          <w:p w:rsidR="00B22AD8" w:rsidRPr="00962971" w:rsidRDefault="00B22AD8" w:rsidP="00445218">
            <w:pPr>
              <w:ind w:left="352"/>
              <w:rPr>
                <w:sz w:val="20"/>
                <w:szCs w:val="20"/>
              </w:rPr>
            </w:pPr>
            <w:r w:rsidRPr="00962971">
              <w:rPr>
                <w:sz w:val="20"/>
                <w:szCs w:val="20"/>
              </w:rPr>
              <w:t> </w:t>
            </w:r>
          </w:p>
        </w:tc>
        <w:tc>
          <w:tcPr>
            <w:tcW w:w="1014" w:type="dxa"/>
            <w:tcBorders>
              <w:top w:val="nil"/>
              <w:left w:val="nil"/>
              <w:bottom w:val="nil"/>
              <w:right w:val="nil"/>
            </w:tcBorders>
            <w:shd w:val="clear" w:color="auto" w:fill="auto"/>
            <w:noWrap/>
            <w:vAlign w:val="bottom"/>
            <w:hideMark/>
          </w:tcPr>
          <w:p w:rsidR="00B22AD8" w:rsidRPr="00B22AD8" w:rsidRDefault="00B22AD8" w:rsidP="00445218">
            <w:pPr>
              <w:rPr>
                <w:rFonts w:cs="Calibri"/>
                <w:sz w:val="20"/>
                <w:szCs w:val="20"/>
              </w:rPr>
            </w:pPr>
          </w:p>
        </w:tc>
        <w:tc>
          <w:tcPr>
            <w:tcW w:w="1886" w:type="dxa"/>
            <w:tcBorders>
              <w:top w:val="nil"/>
              <w:left w:val="nil"/>
              <w:bottom w:val="nil"/>
              <w:right w:val="nil"/>
            </w:tcBorders>
            <w:shd w:val="clear" w:color="auto" w:fill="auto"/>
            <w:noWrap/>
            <w:vAlign w:val="bottom"/>
            <w:hideMark/>
          </w:tcPr>
          <w:p w:rsidR="00B22AD8" w:rsidRPr="00B22AD8" w:rsidRDefault="00B22AD8" w:rsidP="00445218">
            <w:pPr>
              <w:rPr>
                <w:rFonts w:cs="Calibri"/>
                <w:sz w:val="20"/>
                <w:szCs w:val="20"/>
              </w:rPr>
            </w:pPr>
          </w:p>
        </w:tc>
        <w:tc>
          <w:tcPr>
            <w:tcW w:w="1780" w:type="dxa"/>
            <w:tcBorders>
              <w:top w:val="nil"/>
              <w:left w:val="nil"/>
              <w:bottom w:val="nil"/>
              <w:right w:val="single" w:sz="8" w:space="0" w:color="auto"/>
            </w:tcBorders>
            <w:shd w:val="clear" w:color="auto" w:fill="auto"/>
            <w:noWrap/>
            <w:vAlign w:val="bottom"/>
            <w:hideMark/>
          </w:tcPr>
          <w:p w:rsidR="00B22AD8" w:rsidRPr="00B22AD8" w:rsidRDefault="00B22AD8" w:rsidP="00445218">
            <w:pPr>
              <w:rPr>
                <w:rFonts w:cs="Calibri"/>
                <w:sz w:val="20"/>
                <w:szCs w:val="20"/>
              </w:rPr>
            </w:pPr>
            <w:r w:rsidRPr="00B22AD8">
              <w:rPr>
                <w:rFonts w:cs="Calibri"/>
                <w:sz w:val="20"/>
                <w:szCs w:val="20"/>
              </w:rPr>
              <w:t> </w:t>
            </w:r>
          </w:p>
        </w:tc>
      </w:tr>
      <w:tr w:rsidR="00B22AD8" w:rsidRPr="00F82CB6" w:rsidTr="00445218">
        <w:trPr>
          <w:trHeight w:val="300"/>
        </w:trPr>
        <w:tc>
          <w:tcPr>
            <w:tcW w:w="4330" w:type="dxa"/>
            <w:gridSpan w:val="2"/>
            <w:tcBorders>
              <w:top w:val="nil"/>
              <w:left w:val="single" w:sz="8" w:space="0" w:color="auto"/>
              <w:bottom w:val="nil"/>
              <w:right w:val="nil"/>
            </w:tcBorders>
            <w:shd w:val="clear" w:color="auto" w:fill="auto"/>
            <w:noWrap/>
            <w:vAlign w:val="bottom"/>
            <w:hideMark/>
          </w:tcPr>
          <w:p w:rsidR="00B22AD8" w:rsidRPr="00962971" w:rsidRDefault="00B22AD8" w:rsidP="00B22AD8">
            <w:pPr>
              <w:pStyle w:val="ListParagraph"/>
              <w:numPr>
                <w:ilvl w:val="0"/>
                <w:numId w:val="5"/>
              </w:numPr>
              <w:ind w:left="352"/>
              <w:rPr>
                <w:rFonts w:ascii="Times New Roman" w:eastAsia="Times New Roman" w:hAnsi="Times New Roman"/>
                <w:sz w:val="20"/>
                <w:szCs w:val="20"/>
              </w:rPr>
            </w:pPr>
            <w:r w:rsidRPr="00962971">
              <w:rPr>
                <w:rFonts w:ascii="Times New Roman" w:eastAsia="Times New Roman" w:hAnsi="Times New Roman"/>
                <w:sz w:val="20"/>
                <w:szCs w:val="20"/>
              </w:rPr>
              <w:t>AMORTIZATION OF CIAC</w:t>
            </w:r>
          </w:p>
        </w:tc>
        <w:tc>
          <w:tcPr>
            <w:tcW w:w="1014" w:type="dxa"/>
            <w:tcBorders>
              <w:top w:val="nil"/>
              <w:left w:val="nil"/>
              <w:bottom w:val="nil"/>
              <w:right w:val="nil"/>
            </w:tcBorders>
            <w:shd w:val="clear" w:color="auto" w:fill="auto"/>
            <w:noWrap/>
            <w:vAlign w:val="bottom"/>
            <w:hideMark/>
          </w:tcPr>
          <w:p w:rsidR="00B22AD8" w:rsidRPr="00B22AD8" w:rsidRDefault="00B22AD8" w:rsidP="00445218">
            <w:pPr>
              <w:jc w:val="right"/>
              <w:rPr>
                <w:rFonts w:cs="Calibri"/>
                <w:sz w:val="20"/>
                <w:szCs w:val="20"/>
              </w:rPr>
            </w:pPr>
            <w:r w:rsidRPr="00B22AD8">
              <w:rPr>
                <w:rFonts w:cs="Calibri"/>
                <w:sz w:val="20"/>
                <w:szCs w:val="20"/>
              </w:rPr>
              <w:t xml:space="preserve">0 </w:t>
            </w:r>
          </w:p>
        </w:tc>
        <w:tc>
          <w:tcPr>
            <w:tcW w:w="1886" w:type="dxa"/>
            <w:tcBorders>
              <w:top w:val="nil"/>
              <w:left w:val="nil"/>
              <w:bottom w:val="nil"/>
              <w:right w:val="nil"/>
            </w:tcBorders>
            <w:shd w:val="clear" w:color="auto" w:fill="auto"/>
            <w:noWrap/>
            <w:vAlign w:val="bottom"/>
            <w:hideMark/>
          </w:tcPr>
          <w:p w:rsidR="00B22AD8" w:rsidRPr="00B22AD8" w:rsidRDefault="00B22AD8" w:rsidP="00445218">
            <w:pPr>
              <w:jc w:val="right"/>
              <w:rPr>
                <w:rFonts w:cs="Calibri"/>
                <w:sz w:val="20"/>
                <w:szCs w:val="20"/>
              </w:rPr>
            </w:pPr>
            <w:r w:rsidRPr="00B22AD8">
              <w:rPr>
                <w:rFonts w:cs="Calibri"/>
                <w:sz w:val="20"/>
                <w:szCs w:val="20"/>
              </w:rPr>
              <w:t xml:space="preserve">21,634 </w:t>
            </w:r>
          </w:p>
        </w:tc>
        <w:tc>
          <w:tcPr>
            <w:tcW w:w="1780" w:type="dxa"/>
            <w:tcBorders>
              <w:top w:val="nil"/>
              <w:left w:val="nil"/>
              <w:bottom w:val="nil"/>
              <w:right w:val="single" w:sz="8" w:space="0" w:color="auto"/>
            </w:tcBorders>
            <w:shd w:val="clear" w:color="auto" w:fill="auto"/>
            <w:noWrap/>
            <w:vAlign w:val="bottom"/>
            <w:hideMark/>
          </w:tcPr>
          <w:p w:rsidR="00B22AD8" w:rsidRPr="00B22AD8" w:rsidRDefault="00B22AD8" w:rsidP="00445218">
            <w:pPr>
              <w:jc w:val="right"/>
              <w:rPr>
                <w:rFonts w:cs="Calibri"/>
                <w:sz w:val="20"/>
                <w:szCs w:val="20"/>
              </w:rPr>
            </w:pPr>
            <w:r w:rsidRPr="00B22AD8">
              <w:rPr>
                <w:rFonts w:cs="Calibri"/>
                <w:sz w:val="20"/>
                <w:szCs w:val="20"/>
              </w:rPr>
              <w:t xml:space="preserve">21,634 </w:t>
            </w:r>
          </w:p>
        </w:tc>
      </w:tr>
      <w:tr w:rsidR="00B22AD8" w:rsidRPr="00F82CB6" w:rsidTr="00445218">
        <w:trPr>
          <w:trHeight w:val="300"/>
        </w:trPr>
        <w:tc>
          <w:tcPr>
            <w:tcW w:w="4330" w:type="dxa"/>
            <w:gridSpan w:val="2"/>
            <w:tcBorders>
              <w:top w:val="nil"/>
              <w:left w:val="single" w:sz="8" w:space="0" w:color="auto"/>
              <w:bottom w:val="nil"/>
              <w:right w:val="nil"/>
            </w:tcBorders>
            <w:shd w:val="clear" w:color="auto" w:fill="auto"/>
            <w:noWrap/>
            <w:vAlign w:val="bottom"/>
            <w:hideMark/>
          </w:tcPr>
          <w:p w:rsidR="00B22AD8" w:rsidRPr="00962971" w:rsidRDefault="00B22AD8" w:rsidP="00445218">
            <w:pPr>
              <w:ind w:left="352"/>
              <w:rPr>
                <w:sz w:val="20"/>
                <w:szCs w:val="20"/>
              </w:rPr>
            </w:pPr>
            <w:r w:rsidRPr="00962971">
              <w:rPr>
                <w:sz w:val="20"/>
                <w:szCs w:val="20"/>
              </w:rPr>
              <w:t> </w:t>
            </w:r>
          </w:p>
        </w:tc>
        <w:tc>
          <w:tcPr>
            <w:tcW w:w="1014" w:type="dxa"/>
            <w:tcBorders>
              <w:top w:val="nil"/>
              <w:left w:val="nil"/>
              <w:bottom w:val="nil"/>
              <w:right w:val="nil"/>
            </w:tcBorders>
            <w:shd w:val="clear" w:color="auto" w:fill="auto"/>
            <w:noWrap/>
            <w:vAlign w:val="bottom"/>
            <w:hideMark/>
          </w:tcPr>
          <w:p w:rsidR="00B22AD8" w:rsidRPr="00B22AD8" w:rsidRDefault="00B22AD8" w:rsidP="00445218">
            <w:pPr>
              <w:rPr>
                <w:rFonts w:cs="Calibri"/>
                <w:sz w:val="20"/>
                <w:szCs w:val="20"/>
              </w:rPr>
            </w:pPr>
          </w:p>
        </w:tc>
        <w:tc>
          <w:tcPr>
            <w:tcW w:w="1886" w:type="dxa"/>
            <w:tcBorders>
              <w:top w:val="nil"/>
              <w:left w:val="nil"/>
              <w:bottom w:val="nil"/>
              <w:right w:val="nil"/>
            </w:tcBorders>
            <w:shd w:val="clear" w:color="auto" w:fill="auto"/>
            <w:noWrap/>
            <w:vAlign w:val="bottom"/>
            <w:hideMark/>
          </w:tcPr>
          <w:p w:rsidR="00B22AD8" w:rsidRPr="00B22AD8" w:rsidRDefault="00B22AD8" w:rsidP="00445218">
            <w:pPr>
              <w:rPr>
                <w:rFonts w:cs="Calibri"/>
                <w:sz w:val="20"/>
                <w:szCs w:val="20"/>
              </w:rPr>
            </w:pPr>
          </w:p>
        </w:tc>
        <w:tc>
          <w:tcPr>
            <w:tcW w:w="1780" w:type="dxa"/>
            <w:tcBorders>
              <w:top w:val="nil"/>
              <w:left w:val="nil"/>
              <w:bottom w:val="nil"/>
              <w:right w:val="single" w:sz="8" w:space="0" w:color="auto"/>
            </w:tcBorders>
            <w:shd w:val="clear" w:color="auto" w:fill="auto"/>
            <w:noWrap/>
            <w:vAlign w:val="bottom"/>
            <w:hideMark/>
          </w:tcPr>
          <w:p w:rsidR="00B22AD8" w:rsidRPr="00B22AD8" w:rsidRDefault="00B22AD8" w:rsidP="00445218">
            <w:pPr>
              <w:rPr>
                <w:rFonts w:cs="Calibri"/>
                <w:sz w:val="20"/>
                <w:szCs w:val="20"/>
              </w:rPr>
            </w:pPr>
            <w:r w:rsidRPr="00B22AD8">
              <w:rPr>
                <w:rFonts w:cs="Calibri"/>
                <w:sz w:val="20"/>
                <w:szCs w:val="20"/>
              </w:rPr>
              <w:t> </w:t>
            </w:r>
          </w:p>
        </w:tc>
      </w:tr>
      <w:tr w:rsidR="00B22AD8" w:rsidRPr="00F82CB6" w:rsidTr="00445218">
        <w:trPr>
          <w:trHeight w:val="300"/>
        </w:trPr>
        <w:tc>
          <w:tcPr>
            <w:tcW w:w="4330" w:type="dxa"/>
            <w:gridSpan w:val="2"/>
            <w:tcBorders>
              <w:top w:val="nil"/>
              <w:left w:val="single" w:sz="8" w:space="0" w:color="auto"/>
              <w:bottom w:val="nil"/>
              <w:right w:val="nil"/>
            </w:tcBorders>
            <w:shd w:val="clear" w:color="auto" w:fill="auto"/>
            <w:noWrap/>
            <w:vAlign w:val="bottom"/>
            <w:hideMark/>
          </w:tcPr>
          <w:p w:rsidR="00B22AD8" w:rsidRPr="00962971" w:rsidRDefault="00B22AD8" w:rsidP="00B22AD8">
            <w:pPr>
              <w:pStyle w:val="ListParagraph"/>
              <w:numPr>
                <w:ilvl w:val="0"/>
                <w:numId w:val="5"/>
              </w:numPr>
              <w:ind w:left="352"/>
              <w:rPr>
                <w:rFonts w:ascii="Times New Roman" w:eastAsia="Times New Roman" w:hAnsi="Times New Roman"/>
                <w:sz w:val="20"/>
                <w:szCs w:val="20"/>
              </w:rPr>
            </w:pPr>
            <w:r w:rsidRPr="00962971">
              <w:rPr>
                <w:rFonts w:ascii="Times New Roman" w:eastAsia="Times New Roman" w:hAnsi="Times New Roman"/>
                <w:sz w:val="20"/>
                <w:szCs w:val="20"/>
              </w:rPr>
              <w:t>WORKING CAPITAL ALLOWANCE</w:t>
            </w:r>
          </w:p>
        </w:tc>
        <w:tc>
          <w:tcPr>
            <w:tcW w:w="1014" w:type="dxa"/>
            <w:tcBorders>
              <w:top w:val="nil"/>
              <w:left w:val="nil"/>
              <w:bottom w:val="nil"/>
              <w:right w:val="nil"/>
            </w:tcBorders>
            <w:shd w:val="clear" w:color="auto" w:fill="auto"/>
            <w:noWrap/>
            <w:vAlign w:val="bottom"/>
            <w:hideMark/>
          </w:tcPr>
          <w:p w:rsidR="00B22AD8" w:rsidRPr="00B22AD8" w:rsidRDefault="00B22AD8" w:rsidP="00445218">
            <w:pPr>
              <w:jc w:val="right"/>
              <w:rPr>
                <w:rFonts w:cs="Calibri"/>
                <w:sz w:val="20"/>
                <w:szCs w:val="20"/>
                <w:u w:val="single"/>
              </w:rPr>
            </w:pPr>
            <w:r w:rsidRPr="00B22AD8">
              <w:rPr>
                <w:rFonts w:cs="Calibri"/>
                <w:sz w:val="20"/>
                <w:szCs w:val="20"/>
                <w:u w:val="single"/>
              </w:rPr>
              <w:t xml:space="preserve">0 </w:t>
            </w:r>
          </w:p>
        </w:tc>
        <w:tc>
          <w:tcPr>
            <w:tcW w:w="1886" w:type="dxa"/>
            <w:tcBorders>
              <w:top w:val="nil"/>
              <w:left w:val="nil"/>
              <w:bottom w:val="nil"/>
              <w:right w:val="nil"/>
            </w:tcBorders>
            <w:shd w:val="clear" w:color="auto" w:fill="auto"/>
            <w:noWrap/>
            <w:vAlign w:val="bottom"/>
            <w:hideMark/>
          </w:tcPr>
          <w:p w:rsidR="00B22AD8" w:rsidRPr="00B22AD8" w:rsidRDefault="00B22AD8" w:rsidP="00445218">
            <w:pPr>
              <w:jc w:val="right"/>
              <w:rPr>
                <w:rFonts w:cs="Calibri"/>
                <w:sz w:val="20"/>
                <w:szCs w:val="20"/>
                <w:u w:val="single"/>
              </w:rPr>
            </w:pPr>
            <w:r w:rsidRPr="00B22AD8">
              <w:rPr>
                <w:rFonts w:cs="Calibri"/>
                <w:sz w:val="20"/>
                <w:szCs w:val="20"/>
                <w:u w:val="single"/>
              </w:rPr>
              <w:t xml:space="preserve">4,704 </w:t>
            </w:r>
          </w:p>
        </w:tc>
        <w:tc>
          <w:tcPr>
            <w:tcW w:w="1780" w:type="dxa"/>
            <w:tcBorders>
              <w:top w:val="nil"/>
              <w:left w:val="nil"/>
              <w:bottom w:val="nil"/>
              <w:right w:val="single" w:sz="8" w:space="0" w:color="auto"/>
            </w:tcBorders>
            <w:shd w:val="clear" w:color="auto" w:fill="auto"/>
            <w:noWrap/>
            <w:vAlign w:val="bottom"/>
            <w:hideMark/>
          </w:tcPr>
          <w:p w:rsidR="00B22AD8" w:rsidRPr="00B22AD8" w:rsidRDefault="00B22AD8" w:rsidP="00445218">
            <w:pPr>
              <w:jc w:val="right"/>
              <w:rPr>
                <w:rFonts w:cs="Calibri"/>
                <w:sz w:val="20"/>
                <w:szCs w:val="20"/>
                <w:u w:val="single"/>
              </w:rPr>
            </w:pPr>
            <w:r w:rsidRPr="00B22AD8">
              <w:rPr>
                <w:rFonts w:cs="Calibri"/>
                <w:sz w:val="20"/>
                <w:szCs w:val="20"/>
                <w:u w:val="single"/>
              </w:rPr>
              <w:t xml:space="preserve">4,704 </w:t>
            </w:r>
          </w:p>
        </w:tc>
      </w:tr>
      <w:tr w:rsidR="00B22AD8" w:rsidRPr="00F82CB6" w:rsidTr="00445218">
        <w:trPr>
          <w:trHeight w:val="300"/>
        </w:trPr>
        <w:tc>
          <w:tcPr>
            <w:tcW w:w="4330" w:type="dxa"/>
            <w:gridSpan w:val="2"/>
            <w:tcBorders>
              <w:top w:val="nil"/>
              <w:left w:val="single" w:sz="8" w:space="0" w:color="auto"/>
              <w:bottom w:val="nil"/>
              <w:right w:val="nil"/>
            </w:tcBorders>
            <w:shd w:val="clear" w:color="auto" w:fill="auto"/>
            <w:noWrap/>
            <w:vAlign w:val="bottom"/>
            <w:hideMark/>
          </w:tcPr>
          <w:p w:rsidR="00B22AD8" w:rsidRPr="00962971" w:rsidRDefault="00B22AD8" w:rsidP="00445218">
            <w:pPr>
              <w:ind w:left="352"/>
              <w:rPr>
                <w:sz w:val="20"/>
                <w:szCs w:val="20"/>
              </w:rPr>
            </w:pPr>
            <w:r w:rsidRPr="00962971">
              <w:rPr>
                <w:sz w:val="20"/>
                <w:szCs w:val="20"/>
              </w:rPr>
              <w:t> </w:t>
            </w:r>
          </w:p>
        </w:tc>
        <w:tc>
          <w:tcPr>
            <w:tcW w:w="1014" w:type="dxa"/>
            <w:tcBorders>
              <w:top w:val="nil"/>
              <w:left w:val="nil"/>
              <w:bottom w:val="nil"/>
              <w:right w:val="nil"/>
            </w:tcBorders>
            <w:shd w:val="clear" w:color="auto" w:fill="auto"/>
            <w:noWrap/>
            <w:vAlign w:val="bottom"/>
            <w:hideMark/>
          </w:tcPr>
          <w:p w:rsidR="00B22AD8" w:rsidRPr="00B22AD8" w:rsidRDefault="00B22AD8" w:rsidP="00445218">
            <w:pPr>
              <w:rPr>
                <w:rFonts w:cs="Calibri"/>
                <w:sz w:val="20"/>
                <w:szCs w:val="20"/>
              </w:rPr>
            </w:pPr>
          </w:p>
        </w:tc>
        <w:tc>
          <w:tcPr>
            <w:tcW w:w="1886" w:type="dxa"/>
            <w:tcBorders>
              <w:top w:val="nil"/>
              <w:left w:val="nil"/>
              <w:bottom w:val="nil"/>
              <w:right w:val="nil"/>
            </w:tcBorders>
            <w:shd w:val="clear" w:color="auto" w:fill="auto"/>
            <w:noWrap/>
            <w:vAlign w:val="bottom"/>
            <w:hideMark/>
          </w:tcPr>
          <w:p w:rsidR="00B22AD8" w:rsidRPr="00B22AD8" w:rsidRDefault="00B22AD8" w:rsidP="00445218">
            <w:pPr>
              <w:rPr>
                <w:rFonts w:cs="Calibri"/>
                <w:sz w:val="20"/>
                <w:szCs w:val="20"/>
              </w:rPr>
            </w:pPr>
          </w:p>
        </w:tc>
        <w:tc>
          <w:tcPr>
            <w:tcW w:w="1780" w:type="dxa"/>
            <w:tcBorders>
              <w:top w:val="nil"/>
              <w:left w:val="nil"/>
              <w:bottom w:val="nil"/>
              <w:right w:val="single" w:sz="8" w:space="0" w:color="auto"/>
            </w:tcBorders>
            <w:shd w:val="clear" w:color="auto" w:fill="auto"/>
            <w:noWrap/>
            <w:vAlign w:val="bottom"/>
            <w:hideMark/>
          </w:tcPr>
          <w:p w:rsidR="00B22AD8" w:rsidRPr="00B22AD8" w:rsidRDefault="00B22AD8" w:rsidP="00445218">
            <w:pPr>
              <w:rPr>
                <w:rFonts w:cs="Calibri"/>
                <w:sz w:val="20"/>
                <w:szCs w:val="20"/>
              </w:rPr>
            </w:pPr>
            <w:r w:rsidRPr="00B22AD8">
              <w:rPr>
                <w:rFonts w:cs="Calibri"/>
                <w:sz w:val="20"/>
                <w:szCs w:val="20"/>
              </w:rPr>
              <w:t> </w:t>
            </w:r>
          </w:p>
        </w:tc>
      </w:tr>
      <w:tr w:rsidR="00B22AD8" w:rsidRPr="00F82CB6" w:rsidTr="00445218">
        <w:trPr>
          <w:trHeight w:val="300"/>
        </w:trPr>
        <w:tc>
          <w:tcPr>
            <w:tcW w:w="4330" w:type="dxa"/>
            <w:gridSpan w:val="2"/>
            <w:tcBorders>
              <w:top w:val="nil"/>
              <w:left w:val="single" w:sz="8" w:space="0" w:color="auto"/>
              <w:bottom w:val="nil"/>
              <w:right w:val="nil"/>
            </w:tcBorders>
            <w:shd w:val="clear" w:color="auto" w:fill="auto"/>
            <w:noWrap/>
            <w:vAlign w:val="bottom"/>
            <w:hideMark/>
          </w:tcPr>
          <w:p w:rsidR="00B22AD8" w:rsidRPr="00962971" w:rsidRDefault="00B22AD8" w:rsidP="00B22AD8">
            <w:pPr>
              <w:pStyle w:val="ListParagraph"/>
              <w:numPr>
                <w:ilvl w:val="0"/>
                <w:numId w:val="5"/>
              </w:numPr>
              <w:ind w:left="352"/>
              <w:rPr>
                <w:rFonts w:ascii="Times New Roman" w:eastAsia="Times New Roman" w:hAnsi="Times New Roman"/>
                <w:sz w:val="20"/>
                <w:szCs w:val="20"/>
              </w:rPr>
            </w:pPr>
            <w:r w:rsidRPr="00962971">
              <w:rPr>
                <w:rFonts w:ascii="Times New Roman" w:eastAsia="Times New Roman" w:hAnsi="Times New Roman"/>
                <w:sz w:val="20"/>
                <w:szCs w:val="20"/>
              </w:rPr>
              <w:t>WATER RATE BASE</w:t>
            </w:r>
          </w:p>
        </w:tc>
        <w:tc>
          <w:tcPr>
            <w:tcW w:w="1014" w:type="dxa"/>
            <w:tcBorders>
              <w:top w:val="nil"/>
              <w:left w:val="nil"/>
              <w:bottom w:val="nil"/>
              <w:right w:val="nil"/>
            </w:tcBorders>
            <w:shd w:val="clear" w:color="auto" w:fill="auto"/>
            <w:noWrap/>
            <w:vAlign w:val="bottom"/>
            <w:hideMark/>
          </w:tcPr>
          <w:p w:rsidR="00B22AD8" w:rsidRPr="00B22AD8" w:rsidRDefault="00B22AD8" w:rsidP="00445218">
            <w:pPr>
              <w:jc w:val="right"/>
              <w:rPr>
                <w:rFonts w:cs="Calibri"/>
                <w:sz w:val="20"/>
                <w:szCs w:val="20"/>
                <w:u w:val="double"/>
              </w:rPr>
            </w:pPr>
            <w:r w:rsidRPr="00B22AD8">
              <w:rPr>
                <w:rFonts w:cs="Calibri"/>
                <w:sz w:val="20"/>
                <w:szCs w:val="20"/>
                <w:u w:val="double"/>
              </w:rPr>
              <w:t xml:space="preserve">$120,894 </w:t>
            </w:r>
          </w:p>
        </w:tc>
        <w:tc>
          <w:tcPr>
            <w:tcW w:w="1886" w:type="dxa"/>
            <w:tcBorders>
              <w:top w:val="nil"/>
              <w:left w:val="nil"/>
              <w:bottom w:val="nil"/>
              <w:right w:val="nil"/>
            </w:tcBorders>
            <w:shd w:val="clear" w:color="auto" w:fill="auto"/>
            <w:noWrap/>
            <w:vAlign w:val="bottom"/>
            <w:hideMark/>
          </w:tcPr>
          <w:p w:rsidR="00B22AD8" w:rsidRPr="00B22AD8" w:rsidRDefault="00B22AD8" w:rsidP="00445218">
            <w:pPr>
              <w:jc w:val="right"/>
              <w:rPr>
                <w:rFonts w:cs="Calibri"/>
                <w:sz w:val="20"/>
                <w:szCs w:val="20"/>
                <w:u w:val="double"/>
              </w:rPr>
            </w:pPr>
            <w:r w:rsidRPr="00B22AD8">
              <w:rPr>
                <w:rFonts w:cs="Calibri"/>
                <w:sz w:val="20"/>
                <w:szCs w:val="20"/>
                <w:u w:val="double"/>
              </w:rPr>
              <w:t>($84,840)</w:t>
            </w:r>
          </w:p>
        </w:tc>
        <w:tc>
          <w:tcPr>
            <w:tcW w:w="1780" w:type="dxa"/>
            <w:tcBorders>
              <w:top w:val="nil"/>
              <w:left w:val="nil"/>
              <w:bottom w:val="nil"/>
              <w:right w:val="single" w:sz="8" w:space="0" w:color="auto"/>
            </w:tcBorders>
            <w:shd w:val="clear" w:color="auto" w:fill="auto"/>
            <w:noWrap/>
            <w:vAlign w:val="bottom"/>
            <w:hideMark/>
          </w:tcPr>
          <w:p w:rsidR="00B22AD8" w:rsidRPr="00B22AD8" w:rsidRDefault="00B22AD8" w:rsidP="00445218">
            <w:pPr>
              <w:jc w:val="right"/>
              <w:rPr>
                <w:rFonts w:cs="Calibri"/>
                <w:sz w:val="20"/>
                <w:szCs w:val="20"/>
                <w:u w:val="double"/>
              </w:rPr>
            </w:pPr>
            <w:r w:rsidRPr="00B22AD8">
              <w:rPr>
                <w:rFonts w:cs="Calibri"/>
                <w:sz w:val="20"/>
                <w:szCs w:val="20"/>
                <w:u w:val="double"/>
              </w:rPr>
              <w:t xml:space="preserve">$36,054 </w:t>
            </w:r>
          </w:p>
        </w:tc>
      </w:tr>
      <w:tr w:rsidR="00B22AD8" w:rsidRPr="00F82CB6" w:rsidTr="00445218">
        <w:trPr>
          <w:trHeight w:val="312"/>
        </w:trPr>
        <w:tc>
          <w:tcPr>
            <w:tcW w:w="4330" w:type="dxa"/>
            <w:gridSpan w:val="2"/>
            <w:tcBorders>
              <w:top w:val="nil"/>
              <w:left w:val="single" w:sz="8" w:space="0" w:color="auto"/>
              <w:bottom w:val="single" w:sz="8" w:space="0" w:color="auto"/>
              <w:right w:val="nil"/>
            </w:tcBorders>
            <w:shd w:val="clear" w:color="auto" w:fill="auto"/>
            <w:noWrap/>
            <w:vAlign w:val="bottom"/>
            <w:hideMark/>
          </w:tcPr>
          <w:p w:rsidR="00B22AD8" w:rsidRPr="00962971" w:rsidRDefault="00B22AD8" w:rsidP="00445218">
            <w:r w:rsidRPr="00962971">
              <w:t> </w:t>
            </w:r>
          </w:p>
        </w:tc>
        <w:tc>
          <w:tcPr>
            <w:tcW w:w="1014" w:type="dxa"/>
            <w:tcBorders>
              <w:top w:val="nil"/>
              <w:left w:val="nil"/>
              <w:bottom w:val="single" w:sz="8" w:space="0" w:color="auto"/>
              <w:right w:val="nil"/>
            </w:tcBorders>
            <w:shd w:val="clear" w:color="auto" w:fill="auto"/>
            <w:noWrap/>
            <w:vAlign w:val="bottom"/>
            <w:hideMark/>
          </w:tcPr>
          <w:p w:rsidR="00B22AD8" w:rsidRPr="00F82CB6" w:rsidRDefault="00B22AD8" w:rsidP="00445218">
            <w:pPr>
              <w:rPr>
                <w:rFonts w:ascii="SWISS" w:hAnsi="SWISS" w:cs="Arial"/>
              </w:rPr>
            </w:pPr>
            <w:r w:rsidRPr="00F82CB6">
              <w:rPr>
                <w:rFonts w:ascii="SWISS" w:hAnsi="SWISS" w:cs="Arial"/>
              </w:rPr>
              <w:t> </w:t>
            </w:r>
          </w:p>
        </w:tc>
        <w:tc>
          <w:tcPr>
            <w:tcW w:w="1886" w:type="dxa"/>
            <w:tcBorders>
              <w:top w:val="nil"/>
              <w:left w:val="nil"/>
              <w:bottom w:val="single" w:sz="8" w:space="0" w:color="auto"/>
              <w:right w:val="nil"/>
            </w:tcBorders>
            <w:shd w:val="clear" w:color="auto" w:fill="auto"/>
            <w:noWrap/>
            <w:vAlign w:val="bottom"/>
            <w:hideMark/>
          </w:tcPr>
          <w:p w:rsidR="00B22AD8" w:rsidRPr="00F82CB6" w:rsidRDefault="00B22AD8" w:rsidP="00445218">
            <w:pPr>
              <w:rPr>
                <w:rFonts w:ascii="SWISS" w:hAnsi="SWISS" w:cs="Arial"/>
              </w:rPr>
            </w:pPr>
            <w:r w:rsidRPr="00F82CB6">
              <w:rPr>
                <w:rFonts w:ascii="SWISS" w:hAnsi="SWISS" w:cs="Arial"/>
              </w:rPr>
              <w:t> </w:t>
            </w:r>
          </w:p>
        </w:tc>
        <w:tc>
          <w:tcPr>
            <w:tcW w:w="1780" w:type="dxa"/>
            <w:tcBorders>
              <w:top w:val="nil"/>
              <w:left w:val="nil"/>
              <w:bottom w:val="single" w:sz="8" w:space="0" w:color="auto"/>
              <w:right w:val="single" w:sz="8" w:space="0" w:color="auto"/>
            </w:tcBorders>
            <w:shd w:val="clear" w:color="auto" w:fill="auto"/>
            <w:noWrap/>
            <w:vAlign w:val="bottom"/>
            <w:hideMark/>
          </w:tcPr>
          <w:p w:rsidR="00B22AD8" w:rsidRPr="00F82CB6" w:rsidRDefault="00B22AD8" w:rsidP="00445218">
            <w:pPr>
              <w:rPr>
                <w:rFonts w:ascii="SWISS" w:hAnsi="SWISS" w:cs="Arial"/>
              </w:rPr>
            </w:pPr>
            <w:r w:rsidRPr="00F82CB6">
              <w:rPr>
                <w:rFonts w:ascii="SWISS" w:hAnsi="SWISS" w:cs="Arial"/>
              </w:rPr>
              <w:t> </w:t>
            </w:r>
          </w:p>
        </w:tc>
      </w:tr>
    </w:tbl>
    <w:p w:rsidR="00B22AD8" w:rsidRDefault="00B22AD8" w:rsidP="00B22AD8">
      <w:pPr>
        <w:spacing w:after="240"/>
        <w:jc w:val="both"/>
      </w:pPr>
    </w:p>
    <w:p w:rsidR="00B22AD8" w:rsidRDefault="00B22AD8" w:rsidP="00B22AD8">
      <w:pPr>
        <w:spacing w:after="240"/>
        <w:jc w:val="both"/>
        <w:sectPr w:rsidR="00B22AD8" w:rsidSect="00B22AD8">
          <w:headerReference w:type="first" r:id="rId11"/>
          <w:pgSz w:w="12240" w:h="15840" w:code="1"/>
          <w:pgMar w:top="1440" w:right="1440" w:bottom="1440" w:left="1440" w:header="720" w:footer="720" w:gutter="0"/>
          <w:cols w:space="720"/>
          <w:titlePg/>
          <w:docGrid w:linePitch="360"/>
        </w:sectPr>
      </w:pPr>
    </w:p>
    <w:tbl>
      <w:tblPr>
        <w:tblW w:w="9010" w:type="dxa"/>
        <w:tblInd w:w="98" w:type="dxa"/>
        <w:tblLook w:val="04A0" w:firstRow="1" w:lastRow="0" w:firstColumn="1" w:lastColumn="0" w:noHBand="0" w:noVBand="1"/>
      </w:tblPr>
      <w:tblGrid>
        <w:gridCol w:w="4420"/>
        <w:gridCol w:w="1194"/>
        <w:gridCol w:w="1742"/>
        <w:gridCol w:w="1654"/>
      </w:tblGrid>
      <w:tr w:rsidR="00B22AD8" w:rsidRPr="00B22AD8" w:rsidTr="00445218">
        <w:trPr>
          <w:trHeight w:val="300"/>
        </w:trPr>
        <w:tc>
          <w:tcPr>
            <w:tcW w:w="5614" w:type="dxa"/>
            <w:gridSpan w:val="2"/>
            <w:tcBorders>
              <w:top w:val="single" w:sz="8" w:space="0" w:color="auto"/>
              <w:left w:val="single" w:sz="8" w:space="0" w:color="auto"/>
              <w:bottom w:val="nil"/>
              <w:right w:val="nil"/>
            </w:tcBorders>
            <w:shd w:val="clear" w:color="auto" w:fill="auto"/>
            <w:noWrap/>
            <w:vAlign w:val="bottom"/>
            <w:hideMark/>
          </w:tcPr>
          <w:p w:rsidR="00B22AD8" w:rsidRPr="00B22AD8" w:rsidRDefault="00B22AD8" w:rsidP="00B22AD8">
            <w:pPr>
              <w:rPr>
                <w:rFonts w:cs="Calibri"/>
                <w:b/>
                <w:bCs/>
                <w:color w:val="000000"/>
                <w:sz w:val="20"/>
                <w:szCs w:val="20"/>
              </w:rPr>
            </w:pPr>
          </w:p>
        </w:tc>
        <w:tc>
          <w:tcPr>
            <w:tcW w:w="3396" w:type="dxa"/>
            <w:gridSpan w:val="2"/>
            <w:tcBorders>
              <w:top w:val="single" w:sz="8" w:space="0" w:color="auto"/>
              <w:left w:val="nil"/>
              <w:bottom w:val="nil"/>
              <w:right w:val="single" w:sz="8" w:space="0" w:color="000000"/>
            </w:tcBorders>
            <w:shd w:val="clear" w:color="auto" w:fill="auto"/>
            <w:noWrap/>
            <w:vAlign w:val="center"/>
            <w:hideMark/>
          </w:tcPr>
          <w:p w:rsidR="00B22AD8" w:rsidRPr="00B22AD8" w:rsidRDefault="00B22AD8" w:rsidP="00B22AD8">
            <w:pPr>
              <w:jc w:val="right"/>
              <w:rPr>
                <w:rFonts w:cs="Calibri"/>
                <w:b/>
                <w:bCs/>
                <w:color w:val="000000"/>
                <w:sz w:val="20"/>
                <w:szCs w:val="20"/>
              </w:rPr>
            </w:pPr>
            <w:r w:rsidRPr="00B22AD8">
              <w:rPr>
                <w:rFonts w:cs="Calibri"/>
                <w:b/>
                <w:bCs/>
                <w:color w:val="000000"/>
                <w:sz w:val="20"/>
                <w:szCs w:val="20"/>
              </w:rPr>
              <w:t>SCHEDULE NO. 1-B</w:t>
            </w:r>
          </w:p>
        </w:tc>
      </w:tr>
      <w:tr w:rsidR="00B22AD8" w:rsidRPr="00B22AD8" w:rsidTr="00445218">
        <w:trPr>
          <w:trHeight w:val="300"/>
        </w:trPr>
        <w:tc>
          <w:tcPr>
            <w:tcW w:w="5614" w:type="dxa"/>
            <w:gridSpan w:val="2"/>
            <w:tcBorders>
              <w:top w:val="nil"/>
              <w:left w:val="single" w:sz="8" w:space="0" w:color="auto"/>
              <w:bottom w:val="nil"/>
              <w:right w:val="nil"/>
            </w:tcBorders>
            <w:shd w:val="clear" w:color="auto" w:fill="auto"/>
            <w:noWrap/>
            <w:vAlign w:val="bottom"/>
            <w:hideMark/>
          </w:tcPr>
          <w:p w:rsidR="00B22AD8" w:rsidRPr="00B22AD8" w:rsidRDefault="00B22AD8" w:rsidP="00B22AD8">
            <w:pPr>
              <w:rPr>
                <w:rFonts w:cs="Calibri"/>
                <w:b/>
                <w:bCs/>
                <w:color w:val="000000"/>
                <w:sz w:val="20"/>
                <w:szCs w:val="20"/>
              </w:rPr>
            </w:pPr>
            <w:r w:rsidRPr="00B22AD8">
              <w:rPr>
                <w:rFonts w:cs="Calibri"/>
                <w:b/>
                <w:bCs/>
                <w:color w:val="000000"/>
                <w:sz w:val="20"/>
                <w:szCs w:val="20"/>
              </w:rPr>
              <w:t>TEST YEAR ENDED  June 30, 2017</w:t>
            </w:r>
          </w:p>
        </w:tc>
        <w:tc>
          <w:tcPr>
            <w:tcW w:w="3396" w:type="dxa"/>
            <w:gridSpan w:val="2"/>
            <w:tcBorders>
              <w:top w:val="nil"/>
              <w:left w:val="nil"/>
              <w:bottom w:val="nil"/>
              <w:right w:val="single" w:sz="8" w:space="0" w:color="000000"/>
            </w:tcBorders>
            <w:shd w:val="clear" w:color="auto" w:fill="auto"/>
            <w:noWrap/>
            <w:vAlign w:val="bottom"/>
            <w:hideMark/>
          </w:tcPr>
          <w:p w:rsidR="00B22AD8" w:rsidRPr="00B22AD8" w:rsidRDefault="00B22AD8" w:rsidP="00B22AD8">
            <w:pPr>
              <w:jc w:val="right"/>
              <w:rPr>
                <w:rFonts w:cs="Calibri"/>
                <w:b/>
                <w:bCs/>
                <w:color w:val="000000"/>
                <w:sz w:val="20"/>
                <w:szCs w:val="20"/>
              </w:rPr>
            </w:pPr>
            <w:r w:rsidRPr="00B22AD8">
              <w:rPr>
                <w:rFonts w:cs="Calibri"/>
                <w:b/>
                <w:bCs/>
                <w:color w:val="000000"/>
                <w:sz w:val="20"/>
                <w:szCs w:val="20"/>
              </w:rPr>
              <w:t>DOCKET NO. 20170147-WS</w:t>
            </w:r>
          </w:p>
        </w:tc>
      </w:tr>
      <w:tr w:rsidR="00B22AD8" w:rsidRPr="00B22AD8" w:rsidTr="00445218">
        <w:trPr>
          <w:trHeight w:val="312"/>
        </w:trPr>
        <w:tc>
          <w:tcPr>
            <w:tcW w:w="7356" w:type="dxa"/>
            <w:gridSpan w:val="3"/>
            <w:tcBorders>
              <w:top w:val="nil"/>
              <w:left w:val="single" w:sz="8" w:space="0" w:color="auto"/>
              <w:bottom w:val="single" w:sz="8" w:space="0" w:color="auto"/>
              <w:right w:val="nil"/>
            </w:tcBorders>
            <w:shd w:val="clear" w:color="auto" w:fill="auto"/>
            <w:noWrap/>
            <w:vAlign w:val="bottom"/>
            <w:hideMark/>
          </w:tcPr>
          <w:p w:rsidR="00B22AD8" w:rsidRPr="00B22AD8" w:rsidRDefault="00B22AD8" w:rsidP="00B22AD8">
            <w:pPr>
              <w:rPr>
                <w:rFonts w:cs="Calibri"/>
                <w:b/>
                <w:bCs/>
                <w:color w:val="000000"/>
                <w:sz w:val="20"/>
                <w:szCs w:val="20"/>
              </w:rPr>
            </w:pPr>
            <w:r w:rsidRPr="00B22AD8">
              <w:rPr>
                <w:rFonts w:cs="Calibri"/>
                <w:b/>
                <w:bCs/>
                <w:color w:val="000000"/>
                <w:sz w:val="20"/>
                <w:szCs w:val="20"/>
              </w:rPr>
              <w:t>SCHEDULE OF COMBINED WASTEWATER RATE BASE</w:t>
            </w:r>
          </w:p>
        </w:tc>
        <w:tc>
          <w:tcPr>
            <w:tcW w:w="1654" w:type="dxa"/>
            <w:tcBorders>
              <w:top w:val="nil"/>
              <w:left w:val="nil"/>
              <w:bottom w:val="nil"/>
              <w:right w:val="single" w:sz="8" w:space="0" w:color="auto"/>
            </w:tcBorders>
            <w:shd w:val="clear" w:color="auto" w:fill="auto"/>
            <w:noWrap/>
            <w:vAlign w:val="bottom"/>
            <w:hideMark/>
          </w:tcPr>
          <w:p w:rsidR="00B22AD8" w:rsidRPr="00B22AD8" w:rsidRDefault="00B22AD8" w:rsidP="00B22AD8">
            <w:pPr>
              <w:rPr>
                <w:rFonts w:cs="Calibri"/>
                <w:color w:val="000000"/>
                <w:sz w:val="20"/>
                <w:szCs w:val="20"/>
              </w:rPr>
            </w:pPr>
            <w:r w:rsidRPr="00B22AD8">
              <w:rPr>
                <w:rFonts w:cs="Calibri"/>
                <w:color w:val="000000"/>
                <w:sz w:val="20"/>
                <w:szCs w:val="20"/>
              </w:rPr>
              <w:t> </w:t>
            </w:r>
          </w:p>
        </w:tc>
      </w:tr>
      <w:tr w:rsidR="00B22AD8" w:rsidRPr="00B22AD8" w:rsidTr="00445218">
        <w:trPr>
          <w:trHeight w:val="300"/>
        </w:trPr>
        <w:tc>
          <w:tcPr>
            <w:tcW w:w="4420" w:type="dxa"/>
            <w:tcBorders>
              <w:top w:val="nil"/>
              <w:left w:val="single" w:sz="8" w:space="0" w:color="auto"/>
              <w:bottom w:val="nil"/>
              <w:right w:val="nil"/>
            </w:tcBorders>
            <w:shd w:val="clear" w:color="auto" w:fill="auto"/>
            <w:noWrap/>
            <w:vAlign w:val="bottom"/>
            <w:hideMark/>
          </w:tcPr>
          <w:p w:rsidR="00B22AD8" w:rsidRPr="00B22AD8" w:rsidRDefault="00B22AD8" w:rsidP="00B22AD8">
            <w:pPr>
              <w:rPr>
                <w:rFonts w:cs="Calibri"/>
                <w:color w:val="000000"/>
                <w:sz w:val="20"/>
                <w:szCs w:val="20"/>
              </w:rPr>
            </w:pPr>
            <w:r w:rsidRPr="00B22AD8">
              <w:rPr>
                <w:rFonts w:cs="Calibri"/>
                <w:color w:val="000000"/>
                <w:sz w:val="20"/>
                <w:szCs w:val="20"/>
              </w:rPr>
              <w:t> </w:t>
            </w:r>
          </w:p>
        </w:tc>
        <w:tc>
          <w:tcPr>
            <w:tcW w:w="1194" w:type="dxa"/>
            <w:tcBorders>
              <w:top w:val="nil"/>
              <w:left w:val="nil"/>
              <w:bottom w:val="nil"/>
              <w:right w:val="nil"/>
            </w:tcBorders>
            <w:shd w:val="clear" w:color="auto" w:fill="auto"/>
            <w:noWrap/>
            <w:vAlign w:val="bottom"/>
            <w:hideMark/>
          </w:tcPr>
          <w:p w:rsidR="00B22AD8" w:rsidRPr="00B22AD8" w:rsidRDefault="00B22AD8" w:rsidP="00B22AD8">
            <w:pPr>
              <w:jc w:val="center"/>
              <w:rPr>
                <w:rFonts w:cs="Calibri"/>
                <w:b/>
                <w:bCs/>
                <w:sz w:val="20"/>
                <w:szCs w:val="20"/>
              </w:rPr>
            </w:pPr>
            <w:r w:rsidRPr="00B22AD8">
              <w:rPr>
                <w:rFonts w:cs="Calibri"/>
                <w:b/>
                <w:bCs/>
                <w:sz w:val="20"/>
                <w:szCs w:val="20"/>
              </w:rPr>
              <w:t>BALANCE</w:t>
            </w:r>
          </w:p>
        </w:tc>
        <w:tc>
          <w:tcPr>
            <w:tcW w:w="1742" w:type="dxa"/>
            <w:tcBorders>
              <w:top w:val="nil"/>
              <w:left w:val="nil"/>
              <w:bottom w:val="nil"/>
              <w:right w:val="nil"/>
            </w:tcBorders>
            <w:shd w:val="clear" w:color="auto" w:fill="auto"/>
            <w:noWrap/>
            <w:vAlign w:val="bottom"/>
            <w:hideMark/>
          </w:tcPr>
          <w:p w:rsidR="00B22AD8" w:rsidRPr="00B22AD8" w:rsidRDefault="00636751" w:rsidP="00636751">
            <w:pPr>
              <w:jc w:val="center"/>
              <w:rPr>
                <w:rFonts w:cs="Calibri"/>
                <w:b/>
                <w:bCs/>
                <w:sz w:val="20"/>
                <w:szCs w:val="20"/>
              </w:rPr>
            </w:pPr>
            <w:r>
              <w:rPr>
                <w:rFonts w:cs="Calibri"/>
                <w:b/>
                <w:bCs/>
                <w:sz w:val="20"/>
                <w:szCs w:val="20"/>
              </w:rPr>
              <w:t>COMMISSION</w:t>
            </w:r>
          </w:p>
        </w:tc>
        <w:tc>
          <w:tcPr>
            <w:tcW w:w="1654" w:type="dxa"/>
            <w:tcBorders>
              <w:top w:val="single" w:sz="8" w:space="0" w:color="auto"/>
              <w:left w:val="nil"/>
              <w:bottom w:val="nil"/>
              <w:right w:val="single" w:sz="8" w:space="0" w:color="auto"/>
            </w:tcBorders>
            <w:shd w:val="clear" w:color="auto" w:fill="auto"/>
            <w:noWrap/>
            <w:vAlign w:val="bottom"/>
            <w:hideMark/>
          </w:tcPr>
          <w:p w:rsidR="00B22AD8" w:rsidRPr="00B22AD8" w:rsidRDefault="00B22AD8" w:rsidP="00B22AD8">
            <w:pPr>
              <w:jc w:val="center"/>
              <w:rPr>
                <w:rFonts w:cs="Calibri"/>
                <w:b/>
                <w:bCs/>
                <w:sz w:val="20"/>
                <w:szCs w:val="20"/>
              </w:rPr>
            </w:pPr>
            <w:r w:rsidRPr="00B22AD8">
              <w:rPr>
                <w:rFonts w:cs="Calibri"/>
                <w:b/>
                <w:bCs/>
                <w:sz w:val="20"/>
                <w:szCs w:val="20"/>
              </w:rPr>
              <w:t>BALANCE</w:t>
            </w:r>
          </w:p>
        </w:tc>
      </w:tr>
      <w:tr w:rsidR="00B22AD8" w:rsidRPr="00B22AD8" w:rsidTr="00445218">
        <w:trPr>
          <w:trHeight w:val="300"/>
        </w:trPr>
        <w:tc>
          <w:tcPr>
            <w:tcW w:w="4420" w:type="dxa"/>
            <w:tcBorders>
              <w:top w:val="nil"/>
              <w:left w:val="single" w:sz="8" w:space="0" w:color="auto"/>
              <w:bottom w:val="nil"/>
              <w:right w:val="nil"/>
            </w:tcBorders>
            <w:shd w:val="clear" w:color="auto" w:fill="auto"/>
            <w:noWrap/>
            <w:vAlign w:val="bottom"/>
            <w:hideMark/>
          </w:tcPr>
          <w:p w:rsidR="00B22AD8" w:rsidRPr="00B22AD8" w:rsidRDefault="00B22AD8" w:rsidP="00B22AD8">
            <w:pPr>
              <w:rPr>
                <w:rFonts w:cs="Calibri"/>
                <w:color w:val="000000"/>
                <w:sz w:val="20"/>
                <w:szCs w:val="20"/>
              </w:rPr>
            </w:pPr>
            <w:r w:rsidRPr="00B22AD8">
              <w:rPr>
                <w:rFonts w:cs="Calibri"/>
                <w:color w:val="000000"/>
                <w:sz w:val="20"/>
                <w:szCs w:val="20"/>
              </w:rPr>
              <w:t> </w:t>
            </w:r>
          </w:p>
        </w:tc>
        <w:tc>
          <w:tcPr>
            <w:tcW w:w="1194" w:type="dxa"/>
            <w:tcBorders>
              <w:top w:val="nil"/>
              <w:left w:val="nil"/>
              <w:bottom w:val="nil"/>
              <w:right w:val="nil"/>
            </w:tcBorders>
            <w:shd w:val="clear" w:color="auto" w:fill="auto"/>
            <w:noWrap/>
            <w:vAlign w:val="bottom"/>
            <w:hideMark/>
          </w:tcPr>
          <w:p w:rsidR="00B22AD8" w:rsidRPr="00B22AD8" w:rsidRDefault="00B22AD8" w:rsidP="00B22AD8">
            <w:pPr>
              <w:jc w:val="center"/>
              <w:rPr>
                <w:rFonts w:cs="Calibri"/>
                <w:b/>
                <w:bCs/>
                <w:sz w:val="20"/>
                <w:szCs w:val="20"/>
              </w:rPr>
            </w:pPr>
            <w:r w:rsidRPr="00B22AD8">
              <w:rPr>
                <w:rFonts w:cs="Calibri"/>
                <w:b/>
                <w:bCs/>
                <w:sz w:val="20"/>
                <w:szCs w:val="20"/>
              </w:rPr>
              <w:t>PER</w:t>
            </w:r>
          </w:p>
        </w:tc>
        <w:tc>
          <w:tcPr>
            <w:tcW w:w="1742" w:type="dxa"/>
            <w:tcBorders>
              <w:top w:val="nil"/>
              <w:left w:val="nil"/>
              <w:bottom w:val="nil"/>
              <w:right w:val="nil"/>
            </w:tcBorders>
            <w:shd w:val="clear" w:color="auto" w:fill="auto"/>
            <w:noWrap/>
            <w:vAlign w:val="bottom"/>
            <w:hideMark/>
          </w:tcPr>
          <w:p w:rsidR="00B22AD8" w:rsidRPr="00B22AD8" w:rsidRDefault="00B22AD8" w:rsidP="00B22AD8">
            <w:pPr>
              <w:jc w:val="center"/>
              <w:rPr>
                <w:rFonts w:cs="Calibri"/>
                <w:b/>
                <w:bCs/>
                <w:sz w:val="20"/>
                <w:szCs w:val="20"/>
              </w:rPr>
            </w:pPr>
            <w:r w:rsidRPr="00B22AD8">
              <w:rPr>
                <w:rFonts w:cs="Calibri"/>
                <w:b/>
                <w:bCs/>
                <w:sz w:val="20"/>
                <w:szCs w:val="20"/>
              </w:rPr>
              <w:t>ADJUSTMENTS</w:t>
            </w:r>
          </w:p>
        </w:tc>
        <w:tc>
          <w:tcPr>
            <w:tcW w:w="1654" w:type="dxa"/>
            <w:tcBorders>
              <w:top w:val="nil"/>
              <w:left w:val="nil"/>
              <w:bottom w:val="nil"/>
              <w:right w:val="single" w:sz="8" w:space="0" w:color="auto"/>
            </w:tcBorders>
            <w:shd w:val="clear" w:color="auto" w:fill="auto"/>
            <w:noWrap/>
            <w:vAlign w:val="bottom"/>
            <w:hideMark/>
          </w:tcPr>
          <w:p w:rsidR="00B22AD8" w:rsidRPr="00B22AD8" w:rsidRDefault="00B22AD8" w:rsidP="00B22AD8">
            <w:pPr>
              <w:jc w:val="center"/>
              <w:rPr>
                <w:rFonts w:cs="Calibri"/>
                <w:b/>
                <w:bCs/>
                <w:sz w:val="20"/>
                <w:szCs w:val="20"/>
              </w:rPr>
            </w:pPr>
            <w:r w:rsidRPr="00B22AD8">
              <w:rPr>
                <w:rFonts w:cs="Calibri"/>
                <w:b/>
                <w:bCs/>
                <w:sz w:val="20"/>
                <w:szCs w:val="20"/>
              </w:rPr>
              <w:t>PER</w:t>
            </w:r>
          </w:p>
        </w:tc>
      </w:tr>
      <w:tr w:rsidR="00B22AD8" w:rsidRPr="00B22AD8" w:rsidTr="00445218">
        <w:trPr>
          <w:trHeight w:val="312"/>
        </w:trPr>
        <w:tc>
          <w:tcPr>
            <w:tcW w:w="4420" w:type="dxa"/>
            <w:tcBorders>
              <w:top w:val="nil"/>
              <w:left w:val="single" w:sz="8" w:space="0" w:color="auto"/>
              <w:bottom w:val="single" w:sz="8" w:space="0" w:color="auto"/>
              <w:right w:val="nil"/>
            </w:tcBorders>
            <w:shd w:val="clear" w:color="auto" w:fill="auto"/>
            <w:noWrap/>
            <w:vAlign w:val="bottom"/>
            <w:hideMark/>
          </w:tcPr>
          <w:p w:rsidR="00B22AD8" w:rsidRPr="00B22AD8" w:rsidRDefault="00B22AD8" w:rsidP="00B22AD8">
            <w:pPr>
              <w:rPr>
                <w:rFonts w:cs="Calibri"/>
                <w:b/>
                <w:bCs/>
                <w:color w:val="000000"/>
                <w:sz w:val="20"/>
                <w:szCs w:val="20"/>
              </w:rPr>
            </w:pPr>
            <w:r w:rsidRPr="00B22AD8">
              <w:rPr>
                <w:rFonts w:cs="Calibri"/>
                <w:b/>
                <w:bCs/>
                <w:color w:val="000000"/>
                <w:sz w:val="20"/>
                <w:szCs w:val="20"/>
              </w:rPr>
              <w:t>DESCRIPTION</w:t>
            </w:r>
          </w:p>
        </w:tc>
        <w:tc>
          <w:tcPr>
            <w:tcW w:w="1194" w:type="dxa"/>
            <w:tcBorders>
              <w:top w:val="nil"/>
              <w:left w:val="nil"/>
              <w:bottom w:val="single" w:sz="8" w:space="0" w:color="auto"/>
              <w:right w:val="nil"/>
            </w:tcBorders>
            <w:shd w:val="clear" w:color="auto" w:fill="auto"/>
            <w:noWrap/>
            <w:vAlign w:val="bottom"/>
            <w:hideMark/>
          </w:tcPr>
          <w:p w:rsidR="00B22AD8" w:rsidRPr="00B22AD8" w:rsidRDefault="00B22AD8" w:rsidP="00B22AD8">
            <w:pPr>
              <w:jc w:val="center"/>
              <w:rPr>
                <w:rFonts w:cs="Calibri"/>
                <w:b/>
                <w:bCs/>
                <w:sz w:val="20"/>
                <w:szCs w:val="20"/>
              </w:rPr>
            </w:pPr>
            <w:r w:rsidRPr="00B22AD8">
              <w:rPr>
                <w:rFonts w:cs="Calibri"/>
                <w:b/>
                <w:bCs/>
                <w:sz w:val="20"/>
                <w:szCs w:val="20"/>
              </w:rPr>
              <w:t>UTILITY</w:t>
            </w:r>
          </w:p>
          <w:p w:rsidR="00B22AD8" w:rsidRPr="00B22AD8" w:rsidRDefault="00B22AD8" w:rsidP="00B22AD8">
            <w:pPr>
              <w:jc w:val="center"/>
              <w:rPr>
                <w:rFonts w:cs="Calibri"/>
                <w:b/>
                <w:bCs/>
                <w:sz w:val="20"/>
                <w:szCs w:val="20"/>
              </w:rPr>
            </w:pPr>
          </w:p>
        </w:tc>
        <w:tc>
          <w:tcPr>
            <w:tcW w:w="1742" w:type="dxa"/>
            <w:tcBorders>
              <w:top w:val="nil"/>
              <w:left w:val="nil"/>
              <w:bottom w:val="single" w:sz="8" w:space="0" w:color="auto"/>
              <w:right w:val="nil"/>
            </w:tcBorders>
            <w:shd w:val="clear" w:color="auto" w:fill="auto"/>
            <w:noWrap/>
            <w:vAlign w:val="bottom"/>
            <w:hideMark/>
          </w:tcPr>
          <w:p w:rsidR="00B22AD8" w:rsidRPr="00B22AD8" w:rsidRDefault="00B22AD8" w:rsidP="00B22AD8">
            <w:pPr>
              <w:jc w:val="center"/>
              <w:rPr>
                <w:rFonts w:cs="Calibri"/>
                <w:b/>
                <w:bCs/>
                <w:sz w:val="20"/>
                <w:szCs w:val="20"/>
              </w:rPr>
            </w:pPr>
            <w:r w:rsidRPr="00B22AD8">
              <w:rPr>
                <w:rFonts w:cs="Calibri"/>
                <w:b/>
                <w:bCs/>
                <w:sz w:val="20"/>
                <w:szCs w:val="20"/>
              </w:rPr>
              <w:t>TO UTIL. BAL.</w:t>
            </w:r>
          </w:p>
        </w:tc>
        <w:tc>
          <w:tcPr>
            <w:tcW w:w="1654" w:type="dxa"/>
            <w:tcBorders>
              <w:top w:val="nil"/>
              <w:left w:val="nil"/>
              <w:bottom w:val="single" w:sz="8" w:space="0" w:color="auto"/>
              <w:right w:val="single" w:sz="8" w:space="0" w:color="auto"/>
            </w:tcBorders>
            <w:shd w:val="clear" w:color="auto" w:fill="auto"/>
            <w:noWrap/>
            <w:vAlign w:val="bottom"/>
            <w:hideMark/>
          </w:tcPr>
          <w:p w:rsidR="00B22AD8" w:rsidRPr="00B22AD8" w:rsidRDefault="00636751" w:rsidP="00B22AD8">
            <w:pPr>
              <w:jc w:val="center"/>
              <w:rPr>
                <w:rFonts w:cs="Calibri"/>
                <w:b/>
                <w:bCs/>
                <w:sz w:val="20"/>
                <w:szCs w:val="20"/>
              </w:rPr>
            </w:pPr>
            <w:r>
              <w:rPr>
                <w:rFonts w:cs="Calibri"/>
                <w:b/>
                <w:bCs/>
                <w:sz w:val="20"/>
                <w:szCs w:val="20"/>
              </w:rPr>
              <w:t>COMMISSION</w:t>
            </w:r>
          </w:p>
        </w:tc>
      </w:tr>
      <w:tr w:rsidR="00B22AD8" w:rsidRPr="00B22AD8" w:rsidTr="00445218">
        <w:trPr>
          <w:trHeight w:val="300"/>
        </w:trPr>
        <w:tc>
          <w:tcPr>
            <w:tcW w:w="4420" w:type="dxa"/>
            <w:tcBorders>
              <w:top w:val="nil"/>
              <w:left w:val="single" w:sz="8" w:space="0" w:color="auto"/>
              <w:bottom w:val="nil"/>
              <w:right w:val="nil"/>
            </w:tcBorders>
            <w:shd w:val="clear" w:color="auto" w:fill="auto"/>
            <w:noWrap/>
            <w:vAlign w:val="bottom"/>
            <w:hideMark/>
          </w:tcPr>
          <w:p w:rsidR="00B22AD8" w:rsidRPr="00B22AD8" w:rsidRDefault="00B22AD8" w:rsidP="00B22AD8">
            <w:pPr>
              <w:rPr>
                <w:b/>
                <w:bCs/>
                <w:color w:val="000000"/>
                <w:sz w:val="20"/>
                <w:szCs w:val="20"/>
              </w:rPr>
            </w:pPr>
            <w:r w:rsidRPr="00B22AD8">
              <w:rPr>
                <w:b/>
                <w:bCs/>
                <w:color w:val="000000"/>
                <w:sz w:val="20"/>
                <w:szCs w:val="20"/>
              </w:rPr>
              <w:t> </w:t>
            </w:r>
          </w:p>
        </w:tc>
        <w:tc>
          <w:tcPr>
            <w:tcW w:w="1194" w:type="dxa"/>
            <w:tcBorders>
              <w:top w:val="nil"/>
              <w:left w:val="nil"/>
              <w:bottom w:val="nil"/>
              <w:right w:val="nil"/>
            </w:tcBorders>
            <w:shd w:val="clear" w:color="auto" w:fill="auto"/>
            <w:noWrap/>
            <w:vAlign w:val="bottom"/>
            <w:hideMark/>
          </w:tcPr>
          <w:p w:rsidR="00B22AD8" w:rsidRPr="00B22AD8" w:rsidRDefault="00B22AD8" w:rsidP="00B22AD8">
            <w:pPr>
              <w:jc w:val="center"/>
              <w:rPr>
                <w:rFonts w:cs="Calibri"/>
                <w:b/>
                <w:bCs/>
                <w:color w:val="000000"/>
                <w:sz w:val="20"/>
                <w:szCs w:val="20"/>
              </w:rPr>
            </w:pPr>
          </w:p>
        </w:tc>
        <w:tc>
          <w:tcPr>
            <w:tcW w:w="1742" w:type="dxa"/>
            <w:tcBorders>
              <w:top w:val="nil"/>
              <w:left w:val="nil"/>
              <w:bottom w:val="nil"/>
              <w:right w:val="nil"/>
            </w:tcBorders>
            <w:shd w:val="clear" w:color="auto" w:fill="auto"/>
            <w:noWrap/>
            <w:vAlign w:val="bottom"/>
            <w:hideMark/>
          </w:tcPr>
          <w:p w:rsidR="00B22AD8" w:rsidRPr="00B22AD8" w:rsidRDefault="00B22AD8" w:rsidP="00B22AD8">
            <w:pPr>
              <w:jc w:val="center"/>
              <w:rPr>
                <w:rFonts w:cs="Calibri"/>
                <w:b/>
                <w:bCs/>
                <w:color w:val="000000"/>
                <w:sz w:val="20"/>
                <w:szCs w:val="20"/>
              </w:rPr>
            </w:pPr>
          </w:p>
        </w:tc>
        <w:tc>
          <w:tcPr>
            <w:tcW w:w="1654" w:type="dxa"/>
            <w:tcBorders>
              <w:top w:val="nil"/>
              <w:left w:val="nil"/>
              <w:bottom w:val="nil"/>
              <w:right w:val="single" w:sz="8" w:space="0" w:color="auto"/>
            </w:tcBorders>
            <w:shd w:val="clear" w:color="auto" w:fill="auto"/>
            <w:noWrap/>
            <w:vAlign w:val="bottom"/>
            <w:hideMark/>
          </w:tcPr>
          <w:p w:rsidR="00B22AD8" w:rsidRPr="00B22AD8" w:rsidRDefault="00B22AD8" w:rsidP="00B22AD8">
            <w:pPr>
              <w:jc w:val="center"/>
              <w:rPr>
                <w:rFonts w:cs="Calibri"/>
                <w:b/>
                <w:bCs/>
                <w:color w:val="000000"/>
                <w:sz w:val="20"/>
                <w:szCs w:val="20"/>
              </w:rPr>
            </w:pPr>
            <w:r w:rsidRPr="00B22AD8">
              <w:rPr>
                <w:rFonts w:cs="Calibri"/>
                <w:b/>
                <w:bCs/>
                <w:color w:val="000000"/>
                <w:sz w:val="20"/>
                <w:szCs w:val="20"/>
              </w:rPr>
              <w:t> </w:t>
            </w:r>
          </w:p>
        </w:tc>
      </w:tr>
      <w:tr w:rsidR="00B22AD8" w:rsidRPr="00B22AD8" w:rsidTr="00445218">
        <w:trPr>
          <w:trHeight w:val="300"/>
        </w:trPr>
        <w:tc>
          <w:tcPr>
            <w:tcW w:w="4420" w:type="dxa"/>
            <w:tcBorders>
              <w:top w:val="nil"/>
              <w:left w:val="single" w:sz="8" w:space="0" w:color="auto"/>
              <w:bottom w:val="nil"/>
              <w:right w:val="nil"/>
            </w:tcBorders>
            <w:shd w:val="clear" w:color="auto" w:fill="auto"/>
            <w:noWrap/>
            <w:vAlign w:val="bottom"/>
            <w:hideMark/>
          </w:tcPr>
          <w:p w:rsidR="00B22AD8" w:rsidRPr="00B22AD8" w:rsidRDefault="00B22AD8" w:rsidP="00B22AD8">
            <w:pPr>
              <w:numPr>
                <w:ilvl w:val="0"/>
                <w:numId w:val="6"/>
              </w:numPr>
              <w:ind w:left="352"/>
              <w:contextualSpacing/>
              <w:rPr>
                <w:color w:val="000000"/>
                <w:sz w:val="20"/>
                <w:szCs w:val="20"/>
              </w:rPr>
            </w:pPr>
            <w:r w:rsidRPr="00B22AD8">
              <w:rPr>
                <w:color w:val="000000"/>
                <w:sz w:val="20"/>
                <w:szCs w:val="20"/>
              </w:rPr>
              <w:t>UTILITY PLANT IN SERVICE</w:t>
            </w:r>
          </w:p>
        </w:tc>
        <w:tc>
          <w:tcPr>
            <w:tcW w:w="1194" w:type="dxa"/>
            <w:tcBorders>
              <w:top w:val="nil"/>
              <w:left w:val="nil"/>
              <w:bottom w:val="nil"/>
              <w:right w:val="nil"/>
            </w:tcBorders>
            <w:shd w:val="clear" w:color="auto" w:fill="auto"/>
            <w:noWrap/>
            <w:vAlign w:val="bottom"/>
            <w:hideMark/>
          </w:tcPr>
          <w:p w:rsidR="00B22AD8" w:rsidRPr="00B22AD8" w:rsidRDefault="00B22AD8" w:rsidP="00B22AD8">
            <w:pPr>
              <w:jc w:val="right"/>
              <w:rPr>
                <w:rFonts w:cs="Calibri"/>
                <w:sz w:val="20"/>
                <w:szCs w:val="20"/>
              </w:rPr>
            </w:pPr>
            <w:r w:rsidRPr="00B22AD8">
              <w:rPr>
                <w:rFonts w:cs="Calibri"/>
                <w:sz w:val="20"/>
                <w:szCs w:val="20"/>
              </w:rPr>
              <w:t xml:space="preserve">$322,029 </w:t>
            </w:r>
          </w:p>
        </w:tc>
        <w:tc>
          <w:tcPr>
            <w:tcW w:w="1742" w:type="dxa"/>
            <w:tcBorders>
              <w:top w:val="nil"/>
              <w:left w:val="nil"/>
              <w:bottom w:val="nil"/>
              <w:right w:val="nil"/>
            </w:tcBorders>
            <w:shd w:val="clear" w:color="auto" w:fill="auto"/>
            <w:noWrap/>
            <w:vAlign w:val="bottom"/>
            <w:hideMark/>
          </w:tcPr>
          <w:p w:rsidR="00B22AD8" w:rsidRPr="00B22AD8" w:rsidRDefault="00B22AD8" w:rsidP="00B22AD8">
            <w:pPr>
              <w:jc w:val="right"/>
              <w:rPr>
                <w:rFonts w:cs="Calibri"/>
                <w:sz w:val="20"/>
                <w:szCs w:val="20"/>
              </w:rPr>
            </w:pPr>
            <w:r w:rsidRPr="00B22AD8">
              <w:rPr>
                <w:rFonts w:cs="Calibri"/>
                <w:sz w:val="20"/>
                <w:szCs w:val="20"/>
              </w:rPr>
              <w:t>($21,737)</w:t>
            </w:r>
          </w:p>
        </w:tc>
        <w:tc>
          <w:tcPr>
            <w:tcW w:w="1654" w:type="dxa"/>
            <w:tcBorders>
              <w:top w:val="nil"/>
              <w:left w:val="nil"/>
              <w:bottom w:val="nil"/>
              <w:right w:val="single" w:sz="8" w:space="0" w:color="auto"/>
            </w:tcBorders>
            <w:shd w:val="clear" w:color="auto" w:fill="auto"/>
            <w:noWrap/>
            <w:vAlign w:val="bottom"/>
            <w:hideMark/>
          </w:tcPr>
          <w:p w:rsidR="00B22AD8" w:rsidRPr="00B22AD8" w:rsidRDefault="00B22AD8" w:rsidP="00B22AD8">
            <w:pPr>
              <w:jc w:val="right"/>
              <w:rPr>
                <w:rFonts w:cs="Calibri"/>
                <w:sz w:val="20"/>
                <w:szCs w:val="20"/>
              </w:rPr>
            </w:pPr>
            <w:r w:rsidRPr="00B22AD8">
              <w:rPr>
                <w:rFonts w:cs="Calibri"/>
                <w:sz w:val="20"/>
                <w:szCs w:val="20"/>
              </w:rPr>
              <w:t xml:space="preserve">$300,292 </w:t>
            </w:r>
          </w:p>
        </w:tc>
      </w:tr>
      <w:tr w:rsidR="00B22AD8" w:rsidRPr="00B22AD8" w:rsidTr="00445218">
        <w:trPr>
          <w:trHeight w:val="300"/>
        </w:trPr>
        <w:tc>
          <w:tcPr>
            <w:tcW w:w="4420" w:type="dxa"/>
            <w:tcBorders>
              <w:top w:val="nil"/>
              <w:left w:val="single" w:sz="8" w:space="0" w:color="auto"/>
              <w:bottom w:val="nil"/>
              <w:right w:val="nil"/>
            </w:tcBorders>
            <w:shd w:val="clear" w:color="auto" w:fill="auto"/>
            <w:noWrap/>
            <w:vAlign w:val="bottom"/>
            <w:hideMark/>
          </w:tcPr>
          <w:p w:rsidR="00B22AD8" w:rsidRPr="00B22AD8" w:rsidRDefault="00B22AD8" w:rsidP="00B22AD8">
            <w:pPr>
              <w:ind w:left="352"/>
              <w:rPr>
                <w:color w:val="000000"/>
                <w:sz w:val="20"/>
                <w:szCs w:val="20"/>
              </w:rPr>
            </w:pPr>
            <w:r w:rsidRPr="00B22AD8">
              <w:rPr>
                <w:color w:val="000000"/>
                <w:sz w:val="20"/>
                <w:szCs w:val="20"/>
              </w:rPr>
              <w:t> </w:t>
            </w:r>
          </w:p>
        </w:tc>
        <w:tc>
          <w:tcPr>
            <w:tcW w:w="1194" w:type="dxa"/>
            <w:tcBorders>
              <w:top w:val="nil"/>
              <w:left w:val="nil"/>
              <w:bottom w:val="nil"/>
              <w:right w:val="nil"/>
            </w:tcBorders>
            <w:shd w:val="clear" w:color="auto" w:fill="auto"/>
            <w:noWrap/>
            <w:vAlign w:val="bottom"/>
            <w:hideMark/>
          </w:tcPr>
          <w:p w:rsidR="00B22AD8" w:rsidRPr="00B22AD8" w:rsidRDefault="00B22AD8" w:rsidP="00B22AD8">
            <w:pPr>
              <w:rPr>
                <w:rFonts w:cs="Calibri"/>
                <w:sz w:val="20"/>
                <w:szCs w:val="20"/>
              </w:rPr>
            </w:pPr>
          </w:p>
        </w:tc>
        <w:tc>
          <w:tcPr>
            <w:tcW w:w="1742" w:type="dxa"/>
            <w:tcBorders>
              <w:top w:val="nil"/>
              <w:left w:val="nil"/>
              <w:bottom w:val="nil"/>
              <w:right w:val="nil"/>
            </w:tcBorders>
            <w:shd w:val="clear" w:color="auto" w:fill="auto"/>
            <w:noWrap/>
            <w:vAlign w:val="bottom"/>
            <w:hideMark/>
          </w:tcPr>
          <w:p w:rsidR="00B22AD8" w:rsidRPr="00B22AD8" w:rsidRDefault="00B22AD8" w:rsidP="00B22AD8">
            <w:pPr>
              <w:rPr>
                <w:rFonts w:cs="Calibri"/>
                <w:sz w:val="20"/>
                <w:szCs w:val="20"/>
              </w:rPr>
            </w:pPr>
          </w:p>
        </w:tc>
        <w:tc>
          <w:tcPr>
            <w:tcW w:w="1654" w:type="dxa"/>
            <w:tcBorders>
              <w:top w:val="nil"/>
              <w:left w:val="nil"/>
              <w:bottom w:val="nil"/>
              <w:right w:val="single" w:sz="8" w:space="0" w:color="auto"/>
            </w:tcBorders>
            <w:shd w:val="clear" w:color="auto" w:fill="auto"/>
            <w:noWrap/>
            <w:vAlign w:val="bottom"/>
            <w:hideMark/>
          </w:tcPr>
          <w:p w:rsidR="00B22AD8" w:rsidRPr="00B22AD8" w:rsidRDefault="00B22AD8" w:rsidP="00B22AD8">
            <w:pPr>
              <w:rPr>
                <w:rFonts w:cs="Calibri"/>
                <w:sz w:val="20"/>
                <w:szCs w:val="20"/>
              </w:rPr>
            </w:pPr>
            <w:r w:rsidRPr="00B22AD8">
              <w:rPr>
                <w:rFonts w:cs="Calibri"/>
                <w:sz w:val="20"/>
                <w:szCs w:val="20"/>
              </w:rPr>
              <w:t> </w:t>
            </w:r>
          </w:p>
        </w:tc>
      </w:tr>
      <w:tr w:rsidR="00B22AD8" w:rsidRPr="00B22AD8" w:rsidTr="00445218">
        <w:trPr>
          <w:trHeight w:val="300"/>
        </w:trPr>
        <w:tc>
          <w:tcPr>
            <w:tcW w:w="4420" w:type="dxa"/>
            <w:tcBorders>
              <w:top w:val="nil"/>
              <w:left w:val="single" w:sz="8" w:space="0" w:color="auto"/>
              <w:bottom w:val="nil"/>
              <w:right w:val="nil"/>
            </w:tcBorders>
            <w:shd w:val="clear" w:color="auto" w:fill="auto"/>
            <w:noWrap/>
            <w:vAlign w:val="bottom"/>
            <w:hideMark/>
          </w:tcPr>
          <w:p w:rsidR="00B22AD8" w:rsidRPr="00B22AD8" w:rsidRDefault="00B22AD8" w:rsidP="00B22AD8">
            <w:pPr>
              <w:numPr>
                <w:ilvl w:val="0"/>
                <w:numId w:val="6"/>
              </w:numPr>
              <w:ind w:left="352"/>
              <w:contextualSpacing/>
              <w:rPr>
                <w:color w:val="000000"/>
                <w:sz w:val="20"/>
                <w:szCs w:val="20"/>
              </w:rPr>
            </w:pPr>
            <w:r w:rsidRPr="00B22AD8">
              <w:rPr>
                <w:color w:val="000000"/>
                <w:sz w:val="20"/>
                <w:szCs w:val="20"/>
              </w:rPr>
              <w:t>LAND &amp; LAND RIGHTS</w:t>
            </w:r>
          </w:p>
        </w:tc>
        <w:tc>
          <w:tcPr>
            <w:tcW w:w="1194" w:type="dxa"/>
            <w:tcBorders>
              <w:top w:val="nil"/>
              <w:left w:val="nil"/>
              <w:bottom w:val="nil"/>
              <w:right w:val="nil"/>
            </w:tcBorders>
            <w:shd w:val="clear" w:color="auto" w:fill="auto"/>
            <w:noWrap/>
            <w:vAlign w:val="bottom"/>
            <w:hideMark/>
          </w:tcPr>
          <w:p w:rsidR="00B22AD8" w:rsidRPr="00B22AD8" w:rsidRDefault="00B22AD8" w:rsidP="00B22AD8">
            <w:pPr>
              <w:jc w:val="right"/>
              <w:rPr>
                <w:rFonts w:cs="Calibri"/>
                <w:sz w:val="20"/>
                <w:szCs w:val="20"/>
              </w:rPr>
            </w:pPr>
            <w:r w:rsidRPr="00B22AD8">
              <w:rPr>
                <w:rFonts w:cs="Calibri"/>
                <w:sz w:val="20"/>
                <w:szCs w:val="20"/>
              </w:rPr>
              <w:t xml:space="preserve">10,383 </w:t>
            </w:r>
          </w:p>
        </w:tc>
        <w:tc>
          <w:tcPr>
            <w:tcW w:w="1742" w:type="dxa"/>
            <w:tcBorders>
              <w:top w:val="nil"/>
              <w:left w:val="nil"/>
              <w:bottom w:val="nil"/>
              <w:right w:val="nil"/>
            </w:tcBorders>
            <w:shd w:val="clear" w:color="auto" w:fill="auto"/>
            <w:noWrap/>
            <w:vAlign w:val="bottom"/>
            <w:hideMark/>
          </w:tcPr>
          <w:p w:rsidR="00B22AD8" w:rsidRPr="00B22AD8" w:rsidRDefault="00B22AD8" w:rsidP="00B22AD8">
            <w:pPr>
              <w:jc w:val="right"/>
              <w:rPr>
                <w:rFonts w:cs="Calibri"/>
                <w:sz w:val="20"/>
                <w:szCs w:val="20"/>
              </w:rPr>
            </w:pPr>
            <w:r w:rsidRPr="00B22AD8">
              <w:rPr>
                <w:rFonts w:cs="Calibri"/>
                <w:sz w:val="20"/>
                <w:szCs w:val="20"/>
              </w:rPr>
              <w:t>($1,895)</w:t>
            </w:r>
          </w:p>
        </w:tc>
        <w:tc>
          <w:tcPr>
            <w:tcW w:w="1654" w:type="dxa"/>
            <w:tcBorders>
              <w:top w:val="nil"/>
              <w:left w:val="nil"/>
              <w:bottom w:val="nil"/>
              <w:right w:val="single" w:sz="8" w:space="0" w:color="auto"/>
            </w:tcBorders>
            <w:shd w:val="clear" w:color="auto" w:fill="auto"/>
            <w:noWrap/>
            <w:vAlign w:val="bottom"/>
            <w:hideMark/>
          </w:tcPr>
          <w:p w:rsidR="00B22AD8" w:rsidRPr="00B22AD8" w:rsidRDefault="00B22AD8" w:rsidP="00B22AD8">
            <w:pPr>
              <w:jc w:val="right"/>
              <w:rPr>
                <w:rFonts w:cs="Calibri"/>
                <w:sz w:val="20"/>
                <w:szCs w:val="20"/>
              </w:rPr>
            </w:pPr>
            <w:r w:rsidRPr="00B22AD8">
              <w:rPr>
                <w:rFonts w:cs="Calibri"/>
                <w:sz w:val="20"/>
                <w:szCs w:val="20"/>
              </w:rPr>
              <w:t xml:space="preserve">8,488 </w:t>
            </w:r>
          </w:p>
        </w:tc>
      </w:tr>
      <w:tr w:rsidR="00B22AD8" w:rsidRPr="00B22AD8" w:rsidTr="00445218">
        <w:trPr>
          <w:trHeight w:val="300"/>
        </w:trPr>
        <w:tc>
          <w:tcPr>
            <w:tcW w:w="4420" w:type="dxa"/>
            <w:tcBorders>
              <w:top w:val="nil"/>
              <w:left w:val="single" w:sz="8" w:space="0" w:color="auto"/>
              <w:bottom w:val="nil"/>
              <w:right w:val="nil"/>
            </w:tcBorders>
            <w:shd w:val="clear" w:color="auto" w:fill="auto"/>
            <w:noWrap/>
            <w:vAlign w:val="bottom"/>
            <w:hideMark/>
          </w:tcPr>
          <w:p w:rsidR="00B22AD8" w:rsidRPr="00B22AD8" w:rsidRDefault="00B22AD8" w:rsidP="00B22AD8">
            <w:pPr>
              <w:ind w:left="352"/>
              <w:rPr>
                <w:color w:val="000000"/>
                <w:sz w:val="20"/>
                <w:szCs w:val="20"/>
              </w:rPr>
            </w:pPr>
            <w:r w:rsidRPr="00B22AD8">
              <w:rPr>
                <w:color w:val="000000"/>
                <w:sz w:val="20"/>
                <w:szCs w:val="20"/>
              </w:rPr>
              <w:t> </w:t>
            </w:r>
          </w:p>
        </w:tc>
        <w:tc>
          <w:tcPr>
            <w:tcW w:w="1194" w:type="dxa"/>
            <w:tcBorders>
              <w:top w:val="nil"/>
              <w:left w:val="nil"/>
              <w:bottom w:val="nil"/>
              <w:right w:val="nil"/>
            </w:tcBorders>
            <w:shd w:val="clear" w:color="auto" w:fill="auto"/>
            <w:noWrap/>
            <w:vAlign w:val="bottom"/>
            <w:hideMark/>
          </w:tcPr>
          <w:p w:rsidR="00B22AD8" w:rsidRPr="00B22AD8" w:rsidRDefault="00B22AD8" w:rsidP="00B22AD8">
            <w:pPr>
              <w:rPr>
                <w:rFonts w:cs="Calibri"/>
                <w:sz w:val="20"/>
                <w:szCs w:val="20"/>
              </w:rPr>
            </w:pPr>
          </w:p>
        </w:tc>
        <w:tc>
          <w:tcPr>
            <w:tcW w:w="1742" w:type="dxa"/>
            <w:tcBorders>
              <w:top w:val="nil"/>
              <w:left w:val="nil"/>
              <w:bottom w:val="nil"/>
              <w:right w:val="nil"/>
            </w:tcBorders>
            <w:shd w:val="clear" w:color="auto" w:fill="auto"/>
            <w:noWrap/>
            <w:vAlign w:val="bottom"/>
            <w:hideMark/>
          </w:tcPr>
          <w:p w:rsidR="00B22AD8" w:rsidRPr="00B22AD8" w:rsidRDefault="00B22AD8" w:rsidP="00B22AD8">
            <w:pPr>
              <w:rPr>
                <w:rFonts w:cs="Calibri"/>
                <w:sz w:val="20"/>
                <w:szCs w:val="20"/>
              </w:rPr>
            </w:pPr>
          </w:p>
        </w:tc>
        <w:tc>
          <w:tcPr>
            <w:tcW w:w="1654" w:type="dxa"/>
            <w:tcBorders>
              <w:top w:val="nil"/>
              <w:left w:val="nil"/>
              <w:bottom w:val="nil"/>
              <w:right w:val="single" w:sz="8" w:space="0" w:color="auto"/>
            </w:tcBorders>
            <w:shd w:val="clear" w:color="auto" w:fill="auto"/>
            <w:noWrap/>
            <w:vAlign w:val="bottom"/>
            <w:hideMark/>
          </w:tcPr>
          <w:p w:rsidR="00B22AD8" w:rsidRPr="00B22AD8" w:rsidRDefault="00B22AD8" w:rsidP="00B22AD8">
            <w:pPr>
              <w:rPr>
                <w:rFonts w:cs="Calibri"/>
                <w:sz w:val="20"/>
                <w:szCs w:val="20"/>
              </w:rPr>
            </w:pPr>
            <w:r w:rsidRPr="00B22AD8">
              <w:rPr>
                <w:rFonts w:cs="Calibri"/>
                <w:sz w:val="20"/>
                <w:szCs w:val="20"/>
              </w:rPr>
              <w:t> </w:t>
            </w:r>
          </w:p>
        </w:tc>
      </w:tr>
      <w:tr w:rsidR="00B22AD8" w:rsidRPr="00B22AD8" w:rsidTr="00445218">
        <w:trPr>
          <w:trHeight w:val="312"/>
        </w:trPr>
        <w:tc>
          <w:tcPr>
            <w:tcW w:w="4420" w:type="dxa"/>
            <w:tcBorders>
              <w:top w:val="nil"/>
              <w:left w:val="single" w:sz="8" w:space="0" w:color="auto"/>
              <w:bottom w:val="nil"/>
              <w:right w:val="nil"/>
            </w:tcBorders>
            <w:shd w:val="clear" w:color="auto" w:fill="auto"/>
            <w:noWrap/>
            <w:vAlign w:val="bottom"/>
            <w:hideMark/>
          </w:tcPr>
          <w:p w:rsidR="00B22AD8" w:rsidRPr="00B22AD8" w:rsidRDefault="00B22AD8" w:rsidP="00B22AD8">
            <w:pPr>
              <w:numPr>
                <w:ilvl w:val="0"/>
                <w:numId w:val="6"/>
              </w:numPr>
              <w:ind w:left="352"/>
              <w:contextualSpacing/>
              <w:rPr>
                <w:color w:val="000000"/>
                <w:sz w:val="20"/>
                <w:szCs w:val="20"/>
              </w:rPr>
            </w:pPr>
            <w:r w:rsidRPr="00B22AD8">
              <w:rPr>
                <w:color w:val="000000"/>
                <w:sz w:val="20"/>
                <w:szCs w:val="20"/>
              </w:rPr>
              <w:t>NON-USED AND USEFUL COMPONENTS</w:t>
            </w:r>
          </w:p>
        </w:tc>
        <w:tc>
          <w:tcPr>
            <w:tcW w:w="1194" w:type="dxa"/>
            <w:tcBorders>
              <w:top w:val="nil"/>
              <w:left w:val="nil"/>
              <w:bottom w:val="nil"/>
              <w:right w:val="nil"/>
            </w:tcBorders>
            <w:shd w:val="clear" w:color="auto" w:fill="auto"/>
            <w:noWrap/>
            <w:vAlign w:val="bottom"/>
            <w:hideMark/>
          </w:tcPr>
          <w:p w:rsidR="00B22AD8" w:rsidRPr="00B22AD8" w:rsidRDefault="00B22AD8" w:rsidP="00B22AD8">
            <w:pPr>
              <w:jc w:val="right"/>
              <w:rPr>
                <w:rFonts w:cs="Calibri"/>
                <w:sz w:val="20"/>
                <w:szCs w:val="20"/>
              </w:rPr>
            </w:pPr>
            <w:r w:rsidRPr="00B22AD8">
              <w:rPr>
                <w:rFonts w:cs="Calibri"/>
                <w:sz w:val="20"/>
                <w:szCs w:val="20"/>
              </w:rPr>
              <w:t xml:space="preserve">0 </w:t>
            </w:r>
          </w:p>
        </w:tc>
        <w:tc>
          <w:tcPr>
            <w:tcW w:w="1742" w:type="dxa"/>
            <w:tcBorders>
              <w:top w:val="nil"/>
              <w:left w:val="nil"/>
              <w:bottom w:val="nil"/>
              <w:right w:val="nil"/>
            </w:tcBorders>
            <w:shd w:val="clear" w:color="auto" w:fill="auto"/>
            <w:noWrap/>
            <w:vAlign w:val="bottom"/>
            <w:hideMark/>
          </w:tcPr>
          <w:p w:rsidR="00B22AD8" w:rsidRPr="00B22AD8" w:rsidRDefault="00B22AD8" w:rsidP="00B22AD8">
            <w:pPr>
              <w:jc w:val="right"/>
              <w:rPr>
                <w:rFonts w:cs="Calibri"/>
                <w:sz w:val="20"/>
                <w:szCs w:val="20"/>
              </w:rPr>
            </w:pPr>
            <w:r w:rsidRPr="00B22AD8">
              <w:rPr>
                <w:rFonts w:cs="Calibri"/>
                <w:sz w:val="20"/>
                <w:szCs w:val="20"/>
              </w:rPr>
              <w:t xml:space="preserve">$0 </w:t>
            </w:r>
          </w:p>
        </w:tc>
        <w:tc>
          <w:tcPr>
            <w:tcW w:w="1654" w:type="dxa"/>
            <w:tcBorders>
              <w:top w:val="nil"/>
              <w:left w:val="nil"/>
              <w:bottom w:val="nil"/>
              <w:right w:val="single" w:sz="8" w:space="0" w:color="auto"/>
            </w:tcBorders>
            <w:shd w:val="clear" w:color="auto" w:fill="auto"/>
            <w:noWrap/>
            <w:vAlign w:val="bottom"/>
            <w:hideMark/>
          </w:tcPr>
          <w:p w:rsidR="00B22AD8" w:rsidRPr="00B22AD8" w:rsidRDefault="00B22AD8" w:rsidP="00B22AD8">
            <w:pPr>
              <w:jc w:val="right"/>
              <w:rPr>
                <w:rFonts w:cs="Calibri"/>
                <w:sz w:val="20"/>
                <w:szCs w:val="20"/>
              </w:rPr>
            </w:pPr>
            <w:r w:rsidRPr="00B22AD8">
              <w:rPr>
                <w:rFonts w:cs="Calibri"/>
                <w:sz w:val="20"/>
                <w:szCs w:val="20"/>
              </w:rPr>
              <w:t xml:space="preserve">0 </w:t>
            </w:r>
          </w:p>
        </w:tc>
      </w:tr>
      <w:tr w:rsidR="00B22AD8" w:rsidRPr="00B22AD8" w:rsidTr="00445218">
        <w:trPr>
          <w:trHeight w:val="300"/>
        </w:trPr>
        <w:tc>
          <w:tcPr>
            <w:tcW w:w="4420" w:type="dxa"/>
            <w:tcBorders>
              <w:top w:val="nil"/>
              <w:left w:val="single" w:sz="8" w:space="0" w:color="auto"/>
              <w:bottom w:val="nil"/>
              <w:right w:val="nil"/>
            </w:tcBorders>
            <w:shd w:val="clear" w:color="auto" w:fill="auto"/>
            <w:noWrap/>
            <w:vAlign w:val="bottom"/>
            <w:hideMark/>
          </w:tcPr>
          <w:p w:rsidR="00B22AD8" w:rsidRPr="00B22AD8" w:rsidRDefault="00B22AD8" w:rsidP="00B22AD8">
            <w:pPr>
              <w:ind w:left="352"/>
              <w:rPr>
                <w:color w:val="000000"/>
                <w:sz w:val="20"/>
                <w:szCs w:val="20"/>
              </w:rPr>
            </w:pPr>
            <w:r w:rsidRPr="00B22AD8">
              <w:rPr>
                <w:color w:val="000000"/>
                <w:sz w:val="20"/>
                <w:szCs w:val="20"/>
              </w:rPr>
              <w:t> </w:t>
            </w:r>
          </w:p>
        </w:tc>
        <w:tc>
          <w:tcPr>
            <w:tcW w:w="1194" w:type="dxa"/>
            <w:tcBorders>
              <w:top w:val="nil"/>
              <w:left w:val="nil"/>
              <w:bottom w:val="nil"/>
              <w:right w:val="nil"/>
            </w:tcBorders>
            <w:shd w:val="clear" w:color="auto" w:fill="auto"/>
            <w:noWrap/>
            <w:vAlign w:val="bottom"/>
            <w:hideMark/>
          </w:tcPr>
          <w:p w:rsidR="00B22AD8" w:rsidRPr="00B22AD8" w:rsidRDefault="00B22AD8" w:rsidP="00B22AD8">
            <w:pPr>
              <w:rPr>
                <w:rFonts w:cs="Calibri"/>
                <w:sz w:val="20"/>
                <w:szCs w:val="20"/>
              </w:rPr>
            </w:pPr>
          </w:p>
        </w:tc>
        <w:tc>
          <w:tcPr>
            <w:tcW w:w="1742" w:type="dxa"/>
            <w:tcBorders>
              <w:top w:val="nil"/>
              <w:left w:val="nil"/>
              <w:bottom w:val="nil"/>
              <w:right w:val="nil"/>
            </w:tcBorders>
            <w:shd w:val="clear" w:color="auto" w:fill="auto"/>
            <w:noWrap/>
            <w:vAlign w:val="bottom"/>
            <w:hideMark/>
          </w:tcPr>
          <w:p w:rsidR="00B22AD8" w:rsidRPr="00B22AD8" w:rsidRDefault="00B22AD8" w:rsidP="00B22AD8">
            <w:pPr>
              <w:rPr>
                <w:rFonts w:cs="Calibri"/>
                <w:sz w:val="20"/>
                <w:szCs w:val="20"/>
              </w:rPr>
            </w:pPr>
          </w:p>
        </w:tc>
        <w:tc>
          <w:tcPr>
            <w:tcW w:w="1654" w:type="dxa"/>
            <w:tcBorders>
              <w:top w:val="nil"/>
              <w:left w:val="nil"/>
              <w:bottom w:val="nil"/>
              <w:right w:val="single" w:sz="8" w:space="0" w:color="auto"/>
            </w:tcBorders>
            <w:shd w:val="clear" w:color="auto" w:fill="auto"/>
            <w:noWrap/>
            <w:vAlign w:val="bottom"/>
            <w:hideMark/>
          </w:tcPr>
          <w:p w:rsidR="00B22AD8" w:rsidRPr="00B22AD8" w:rsidRDefault="00B22AD8" w:rsidP="00B22AD8">
            <w:pPr>
              <w:rPr>
                <w:rFonts w:cs="Calibri"/>
                <w:sz w:val="20"/>
                <w:szCs w:val="20"/>
              </w:rPr>
            </w:pPr>
            <w:r w:rsidRPr="00B22AD8">
              <w:rPr>
                <w:rFonts w:cs="Calibri"/>
                <w:sz w:val="20"/>
                <w:szCs w:val="20"/>
              </w:rPr>
              <w:t> </w:t>
            </w:r>
          </w:p>
        </w:tc>
      </w:tr>
      <w:tr w:rsidR="00B22AD8" w:rsidRPr="00B22AD8" w:rsidTr="00445218">
        <w:trPr>
          <w:trHeight w:val="300"/>
        </w:trPr>
        <w:tc>
          <w:tcPr>
            <w:tcW w:w="4420" w:type="dxa"/>
            <w:tcBorders>
              <w:top w:val="nil"/>
              <w:left w:val="single" w:sz="8" w:space="0" w:color="auto"/>
              <w:bottom w:val="nil"/>
              <w:right w:val="nil"/>
            </w:tcBorders>
            <w:shd w:val="clear" w:color="auto" w:fill="auto"/>
            <w:noWrap/>
            <w:vAlign w:val="bottom"/>
            <w:hideMark/>
          </w:tcPr>
          <w:p w:rsidR="00B22AD8" w:rsidRPr="00B22AD8" w:rsidRDefault="00B22AD8" w:rsidP="00B22AD8">
            <w:pPr>
              <w:numPr>
                <w:ilvl w:val="0"/>
                <w:numId w:val="6"/>
              </w:numPr>
              <w:ind w:left="352"/>
              <w:contextualSpacing/>
              <w:rPr>
                <w:color w:val="000000"/>
                <w:sz w:val="20"/>
                <w:szCs w:val="20"/>
              </w:rPr>
            </w:pPr>
            <w:r w:rsidRPr="00B22AD8">
              <w:rPr>
                <w:color w:val="000000"/>
                <w:sz w:val="20"/>
                <w:szCs w:val="20"/>
              </w:rPr>
              <w:t>CIAC</w:t>
            </w:r>
          </w:p>
        </w:tc>
        <w:tc>
          <w:tcPr>
            <w:tcW w:w="1194" w:type="dxa"/>
            <w:tcBorders>
              <w:top w:val="nil"/>
              <w:left w:val="nil"/>
              <w:bottom w:val="nil"/>
              <w:right w:val="nil"/>
            </w:tcBorders>
            <w:shd w:val="clear" w:color="auto" w:fill="auto"/>
            <w:noWrap/>
            <w:vAlign w:val="bottom"/>
            <w:hideMark/>
          </w:tcPr>
          <w:p w:rsidR="00B22AD8" w:rsidRPr="00B22AD8" w:rsidRDefault="00B22AD8" w:rsidP="00B22AD8">
            <w:pPr>
              <w:jc w:val="right"/>
              <w:rPr>
                <w:rFonts w:cs="Calibri"/>
                <w:sz w:val="20"/>
                <w:szCs w:val="20"/>
              </w:rPr>
            </w:pPr>
            <w:r w:rsidRPr="00B22AD8">
              <w:rPr>
                <w:rFonts w:cs="Calibri"/>
                <w:sz w:val="20"/>
                <w:szCs w:val="20"/>
              </w:rPr>
              <w:t xml:space="preserve">0 </w:t>
            </w:r>
          </w:p>
        </w:tc>
        <w:tc>
          <w:tcPr>
            <w:tcW w:w="1742" w:type="dxa"/>
            <w:tcBorders>
              <w:top w:val="nil"/>
              <w:left w:val="nil"/>
              <w:bottom w:val="nil"/>
              <w:right w:val="nil"/>
            </w:tcBorders>
            <w:shd w:val="clear" w:color="auto" w:fill="auto"/>
            <w:noWrap/>
            <w:vAlign w:val="bottom"/>
            <w:hideMark/>
          </w:tcPr>
          <w:p w:rsidR="00B22AD8" w:rsidRPr="00B22AD8" w:rsidRDefault="00B22AD8" w:rsidP="00B22AD8">
            <w:pPr>
              <w:jc w:val="right"/>
              <w:rPr>
                <w:rFonts w:cs="Calibri"/>
                <w:sz w:val="20"/>
                <w:szCs w:val="20"/>
              </w:rPr>
            </w:pPr>
            <w:r w:rsidRPr="00B22AD8">
              <w:rPr>
                <w:rFonts w:cs="Calibri"/>
                <w:sz w:val="20"/>
                <w:szCs w:val="20"/>
              </w:rPr>
              <w:t>(75,772)</w:t>
            </w:r>
          </w:p>
        </w:tc>
        <w:tc>
          <w:tcPr>
            <w:tcW w:w="1654" w:type="dxa"/>
            <w:tcBorders>
              <w:top w:val="nil"/>
              <w:left w:val="nil"/>
              <w:bottom w:val="nil"/>
              <w:right w:val="single" w:sz="8" w:space="0" w:color="auto"/>
            </w:tcBorders>
            <w:shd w:val="clear" w:color="auto" w:fill="auto"/>
            <w:noWrap/>
            <w:vAlign w:val="bottom"/>
            <w:hideMark/>
          </w:tcPr>
          <w:p w:rsidR="00B22AD8" w:rsidRPr="00B22AD8" w:rsidRDefault="00B22AD8" w:rsidP="00B22AD8">
            <w:pPr>
              <w:jc w:val="right"/>
              <w:rPr>
                <w:rFonts w:cs="Calibri"/>
                <w:sz w:val="20"/>
                <w:szCs w:val="20"/>
              </w:rPr>
            </w:pPr>
            <w:r w:rsidRPr="00B22AD8">
              <w:rPr>
                <w:rFonts w:cs="Calibri"/>
                <w:sz w:val="20"/>
                <w:szCs w:val="20"/>
              </w:rPr>
              <w:t>(75,772)</w:t>
            </w:r>
          </w:p>
        </w:tc>
      </w:tr>
      <w:tr w:rsidR="00B22AD8" w:rsidRPr="00B22AD8" w:rsidTr="00445218">
        <w:trPr>
          <w:trHeight w:val="300"/>
        </w:trPr>
        <w:tc>
          <w:tcPr>
            <w:tcW w:w="4420" w:type="dxa"/>
            <w:tcBorders>
              <w:top w:val="nil"/>
              <w:left w:val="single" w:sz="8" w:space="0" w:color="auto"/>
              <w:bottom w:val="nil"/>
              <w:right w:val="nil"/>
            </w:tcBorders>
            <w:shd w:val="clear" w:color="auto" w:fill="auto"/>
            <w:noWrap/>
            <w:vAlign w:val="bottom"/>
            <w:hideMark/>
          </w:tcPr>
          <w:p w:rsidR="00B22AD8" w:rsidRPr="00B22AD8" w:rsidRDefault="00B22AD8" w:rsidP="00B22AD8">
            <w:pPr>
              <w:ind w:left="352"/>
              <w:rPr>
                <w:color w:val="000000"/>
                <w:sz w:val="20"/>
                <w:szCs w:val="20"/>
              </w:rPr>
            </w:pPr>
            <w:r w:rsidRPr="00B22AD8">
              <w:rPr>
                <w:color w:val="000000"/>
                <w:sz w:val="20"/>
                <w:szCs w:val="20"/>
              </w:rPr>
              <w:t> </w:t>
            </w:r>
          </w:p>
        </w:tc>
        <w:tc>
          <w:tcPr>
            <w:tcW w:w="1194" w:type="dxa"/>
            <w:tcBorders>
              <w:top w:val="nil"/>
              <w:left w:val="nil"/>
              <w:bottom w:val="nil"/>
              <w:right w:val="nil"/>
            </w:tcBorders>
            <w:shd w:val="clear" w:color="auto" w:fill="auto"/>
            <w:noWrap/>
            <w:vAlign w:val="bottom"/>
            <w:hideMark/>
          </w:tcPr>
          <w:p w:rsidR="00B22AD8" w:rsidRPr="00B22AD8" w:rsidRDefault="00B22AD8" w:rsidP="00B22AD8">
            <w:pPr>
              <w:rPr>
                <w:rFonts w:cs="Calibri"/>
                <w:sz w:val="20"/>
                <w:szCs w:val="20"/>
              </w:rPr>
            </w:pPr>
          </w:p>
        </w:tc>
        <w:tc>
          <w:tcPr>
            <w:tcW w:w="1742" w:type="dxa"/>
            <w:tcBorders>
              <w:top w:val="nil"/>
              <w:left w:val="nil"/>
              <w:bottom w:val="nil"/>
              <w:right w:val="nil"/>
            </w:tcBorders>
            <w:shd w:val="clear" w:color="auto" w:fill="auto"/>
            <w:noWrap/>
            <w:vAlign w:val="bottom"/>
            <w:hideMark/>
          </w:tcPr>
          <w:p w:rsidR="00B22AD8" w:rsidRPr="00B22AD8" w:rsidRDefault="00B22AD8" w:rsidP="00B22AD8">
            <w:pPr>
              <w:rPr>
                <w:rFonts w:cs="Calibri"/>
                <w:sz w:val="20"/>
                <w:szCs w:val="20"/>
              </w:rPr>
            </w:pPr>
          </w:p>
        </w:tc>
        <w:tc>
          <w:tcPr>
            <w:tcW w:w="1654" w:type="dxa"/>
            <w:tcBorders>
              <w:top w:val="nil"/>
              <w:left w:val="nil"/>
              <w:bottom w:val="nil"/>
              <w:right w:val="single" w:sz="8" w:space="0" w:color="auto"/>
            </w:tcBorders>
            <w:shd w:val="clear" w:color="auto" w:fill="auto"/>
            <w:noWrap/>
            <w:vAlign w:val="bottom"/>
            <w:hideMark/>
          </w:tcPr>
          <w:p w:rsidR="00B22AD8" w:rsidRPr="00B22AD8" w:rsidRDefault="00B22AD8" w:rsidP="00B22AD8">
            <w:pPr>
              <w:rPr>
                <w:rFonts w:cs="Calibri"/>
                <w:sz w:val="20"/>
                <w:szCs w:val="20"/>
              </w:rPr>
            </w:pPr>
            <w:r w:rsidRPr="00B22AD8">
              <w:rPr>
                <w:rFonts w:cs="Calibri"/>
                <w:sz w:val="20"/>
                <w:szCs w:val="20"/>
              </w:rPr>
              <w:t> </w:t>
            </w:r>
          </w:p>
        </w:tc>
      </w:tr>
      <w:tr w:rsidR="00B22AD8" w:rsidRPr="00B22AD8" w:rsidTr="00445218">
        <w:trPr>
          <w:trHeight w:val="312"/>
        </w:trPr>
        <w:tc>
          <w:tcPr>
            <w:tcW w:w="4420" w:type="dxa"/>
            <w:tcBorders>
              <w:top w:val="nil"/>
              <w:left w:val="single" w:sz="8" w:space="0" w:color="auto"/>
              <w:bottom w:val="nil"/>
              <w:right w:val="nil"/>
            </w:tcBorders>
            <w:shd w:val="clear" w:color="auto" w:fill="auto"/>
            <w:noWrap/>
            <w:vAlign w:val="bottom"/>
            <w:hideMark/>
          </w:tcPr>
          <w:p w:rsidR="00B22AD8" w:rsidRPr="00B22AD8" w:rsidRDefault="00B22AD8" w:rsidP="00B22AD8">
            <w:pPr>
              <w:numPr>
                <w:ilvl w:val="0"/>
                <w:numId w:val="6"/>
              </w:numPr>
              <w:ind w:left="352"/>
              <w:contextualSpacing/>
              <w:rPr>
                <w:color w:val="000000"/>
                <w:sz w:val="20"/>
                <w:szCs w:val="20"/>
              </w:rPr>
            </w:pPr>
            <w:r w:rsidRPr="00B22AD8">
              <w:rPr>
                <w:color w:val="000000"/>
                <w:sz w:val="20"/>
                <w:szCs w:val="20"/>
              </w:rPr>
              <w:t>ACCUMULATED DEPRECIATION</w:t>
            </w:r>
          </w:p>
        </w:tc>
        <w:tc>
          <w:tcPr>
            <w:tcW w:w="1194" w:type="dxa"/>
            <w:tcBorders>
              <w:top w:val="nil"/>
              <w:left w:val="nil"/>
              <w:bottom w:val="nil"/>
              <w:right w:val="nil"/>
            </w:tcBorders>
            <w:shd w:val="clear" w:color="auto" w:fill="auto"/>
            <w:noWrap/>
            <w:vAlign w:val="bottom"/>
            <w:hideMark/>
          </w:tcPr>
          <w:p w:rsidR="00B22AD8" w:rsidRPr="00B22AD8" w:rsidRDefault="00B22AD8" w:rsidP="00B22AD8">
            <w:pPr>
              <w:jc w:val="right"/>
              <w:rPr>
                <w:rFonts w:cs="Calibri"/>
                <w:sz w:val="20"/>
                <w:szCs w:val="20"/>
              </w:rPr>
            </w:pPr>
            <w:r w:rsidRPr="00B22AD8">
              <w:rPr>
                <w:rFonts w:cs="Calibri"/>
                <w:sz w:val="20"/>
                <w:szCs w:val="20"/>
              </w:rPr>
              <w:t>(247,550)</w:t>
            </w:r>
          </w:p>
        </w:tc>
        <w:tc>
          <w:tcPr>
            <w:tcW w:w="1742" w:type="dxa"/>
            <w:tcBorders>
              <w:top w:val="nil"/>
              <w:left w:val="nil"/>
              <w:bottom w:val="nil"/>
              <w:right w:val="nil"/>
            </w:tcBorders>
            <w:shd w:val="clear" w:color="auto" w:fill="auto"/>
            <w:noWrap/>
            <w:vAlign w:val="bottom"/>
            <w:hideMark/>
          </w:tcPr>
          <w:p w:rsidR="00B22AD8" w:rsidRPr="00B22AD8" w:rsidRDefault="00B22AD8" w:rsidP="00B22AD8">
            <w:pPr>
              <w:jc w:val="right"/>
              <w:rPr>
                <w:rFonts w:cs="Calibri"/>
                <w:sz w:val="20"/>
                <w:szCs w:val="20"/>
              </w:rPr>
            </w:pPr>
            <w:r w:rsidRPr="00B22AD8">
              <w:rPr>
                <w:rFonts w:cs="Calibri"/>
                <w:sz w:val="20"/>
                <w:szCs w:val="20"/>
              </w:rPr>
              <w:t>(22,426)</w:t>
            </w:r>
          </w:p>
        </w:tc>
        <w:tc>
          <w:tcPr>
            <w:tcW w:w="1654" w:type="dxa"/>
            <w:tcBorders>
              <w:top w:val="nil"/>
              <w:left w:val="nil"/>
              <w:bottom w:val="nil"/>
              <w:right w:val="single" w:sz="8" w:space="0" w:color="auto"/>
            </w:tcBorders>
            <w:shd w:val="clear" w:color="auto" w:fill="auto"/>
            <w:noWrap/>
            <w:vAlign w:val="bottom"/>
            <w:hideMark/>
          </w:tcPr>
          <w:p w:rsidR="00B22AD8" w:rsidRPr="00B22AD8" w:rsidRDefault="00B22AD8" w:rsidP="00B22AD8">
            <w:pPr>
              <w:jc w:val="right"/>
              <w:rPr>
                <w:rFonts w:cs="Calibri"/>
                <w:sz w:val="20"/>
                <w:szCs w:val="20"/>
              </w:rPr>
            </w:pPr>
            <w:r w:rsidRPr="00B22AD8">
              <w:rPr>
                <w:rFonts w:cs="Calibri"/>
                <w:sz w:val="20"/>
                <w:szCs w:val="20"/>
              </w:rPr>
              <w:t>(269,976)</w:t>
            </w:r>
          </w:p>
        </w:tc>
      </w:tr>
      <w:tr w:rsidR="00B22AD8" w:rsidRPr="00B22AD8" w:rsidTr="00445218">
        <w:trPr>
          <w:trHeight w:val="300"/>
        </w:trPr>
        <w:tc>
          <w:tcPr>
            <w:tcW w:w="4420" w:type="dxa"/>
            <w:tcBorders>
              <w:top w:val="nil"/>
              <w:left w:val="single" w:sz="8" w:space="0" w:color="auto"/>
              <w:bottom w:val="nil"/>
              <w:right w:val="nil"/>
            </w:tcBorders>
            <w:shd w:val="clear" w:color="auto" w:fill="auto"/>
            <w:noWrap/>
            <w:vAlign w:val="bottom"/>
            <w:hideMark/>
          </w:tcPr>
          <w:p w:rsidR="00B22AD8" w:rsidRPr="00B22AD8" w:rsidRDefault="00B22AD8" w:rsidP="00B22AD8">
            <w:pPr>
              <w:ind w:left="352"/>
              <w:rPr>
                <w:color w:val="000000"/>
                <w:sz w:val="20"/>
                <w:szCs w:val="20"/>
              </w:rPr>
            </w:pPr>
            <w:r w:rsidRPr="00B22AD8">
              <w:rPr>
                <w:color w:val="000000"/>
                <w:sz w:val="20"/>
                <w:szCs w:val="20"/>
              </w:rPr>
              <w:t> </w:t>
            </w:r>
          </w:p>
        </w:tc>
        <w:tc>
          <w:tcPr>
            <w:tcW w:w="1194" w:type="dxa"/>
            <w:tcBorders>
              <w:top w:val="nil"/>
              <w:left w:val="nil"/>
              <w:bottom w:val="nil"/>
              <w:right w:val="nil"/>
            </w:tcBorders>
            <w:shd w:val="clear" w:color="auto" w:fill="auto"/>
            <w:noWrap/>
            <w:vAlign w:val="bottom"/>
            <w:hideMark/>
          </w:tcPr>
          <w:p w:rsidR="00B22AD8" w:rsidRPr="00B22AD8" w:rsidRDefault="00B22AD8" w:rsidP="00B22AD8">
            <w:pPr>
              <w:rPr>
                <w:rFonts w:cs="Calibri"/>
                <w:sz w:val="20"/>
                <w:szCs w:val="20"/>
              </w:rPr>
            </w:pPr>
          </w:p>
        </w:tc>
        <w:tc>
          <w:tcPr>
            <w:tcW w:w="1742" w:type="dxa"/>
            <w:tcBorders>
              <w:top w:val="nil"/>
              <w:left w:val="nil"/>
              <w:bottom w:val="nil"/>
              <w:right w:val="nil"/>
            </w:tcBorders>
            <w:shd w:val="clear" w:color="auto" w:fill="auto"/>
            <w:noWrap/>
            <w:vAlign w:val="bottom"/>
            <w:hideMark/>
          </w:tcPr>
          <w:p w:rsidR="00B22AD8" w:rsidRPr="00B22AD8" w:rsidRDefault="00B22AD8" w:rsidP="00B22AD8">
            <w:pPr>
              <w:rPr>
                <w:rFonts w:cs="Calibri"/>
                <w:sz w:val="20"/>
                <w:szCs w:val="20"/>
              </w:rPr>
            </w:pPr>
          </w:p>
        </w:tc>
        <w:tc>
          <w:tcPr>
            <w:tcW w:w="1654" w:type="dxa"/>
            <w:tcBorders>
              <w:top w:val="nil"/>
              <w:left w:val="nil"/>
              <w:bottom w:val="nil"/>
              <w:right w:val="single" w:sz="8" w:space="0" w:color="auto"/>
            </w:tcBorders>
            <w:shd w:val="clear" w:color="auto" w:fill="auto"/>
            <w:noWrap/>
            <w:vAlign w:val="bottom"/>
            <w:hideMark/>
          </w:tcPr>
          <w:p w:rsidR="00B22AD8" w:rsidRPr="00B22AD8" w:rsidRDefault="00B22AD8" w:rsidP="00B22AD8">
            <w:pPr>
              <w:rPr>
                <w:rFonts w:cs="Calibri"/>
                <w:sz w:val="20"/>
                <w:szCs w:val="20"/>
              </w:rPr>
            </w:pPr>
            <w:r w:rsidRPr="00B22AD8">
              <w:rPr>
                <w:rFonts w:cs="Calibri"/>
                <w:sz w:val="20"/>
                <w:szCs w:val="20"/>
              </w:rPr>
              <w:t> </w:t>
            </w:r>
          </w:p>
        </w:tc>
      </w:tr>
      <w:tr w:rsidR="00B22AD8" w:rsidRPr="00B22AD8" w:rsidTr="00445218">
        <w:trPr>
          <w:trHeight w:val="300"/>
        </w:trPr>
        <w:tc>
          <w:tcPr>
            <w:tcW w:w="4420" w:type="dxa"/>
            <w:tcBorders>
              <w:top w:val="nil"/>
              <w:left w:val="single" w:sz="8" w:space="0" w:color="auto"/>
              <w:bottom w:val="nil"/>
              <w:right w:val="nil"/>
            </w:tcBorders>
            <w:shd w:val="clear" w:color="auto" w:fill="auto"/>
            <w:noWrap/>
            <w:vAlign w:val="bottom"/>
            <w:hideMark/>
          </w:tcPr>
          <w:p w:rsidR="00B22AD8" w:rsidRPr="00B22AD8" w:rsidRDefault="00B22AD8" w:rsidP="00B22AD8">
            <w:pPr>
              <w:numPr>
                <w:ilvl w:val="0"/>
                <w:numId w:val="6"/>
              </w:numPr>
              <w:ind w:left="352"/>
              <w:contextualSpacing/>
              <w:rPr>
                <w:color w:val="000000"/>
                <w:sz w:val="20"/>
                <w:szCs w:val="20"/>
              </w:rPr>
            </w:pPr>
            <w:r w:rsidRPr="00B22AD8">
              <w:rPr>
                <w:color w:val="000000"/>
                <w:sz w:val="20"/>
                <w:szCs w:val="20"/>
              </w:rPr>
              <w:t>AMORTIZATION OF CIAC</w:t>
            </w:r>
          </w:p>
        </w:tc>
        <w:tc>
          <w:tcPr>
            <w:tcW w:w="1194" w:type="dxa"/>
            <w:tcBorders>
              <w:top w:val="nil"/>
              <w:left w:val="nil"/>
              <w:bottom w:val="nil"/>
              <w:right w:val="nil"/>
            </w:tcBorders>
            <w:shd w:val="clear" w:color="auto" w:fill="auto"/>
            <w:noWrap/>
            <w:vAlign w:val="bottom"/>
            <w:hideMark/>
          </w:tcPr>
          <w:p w:rsidR="00B22AD8" w:rsidRPr="00B22AD8" w:rsidRDefault="00B22AD8" w:rsidP="00B22AD8">
            <w:pPr>
              <w:jc w:val="right"/>
              <w:rPr>
                <w:rFonts w:cs="Calibri"/>
                <w:sz w:val="20"/>
                <w:szCs w:val="20"/>
              </w:rPr>
            </w:pPr>
            <w:r w:rsidRPr="00B22AD8">
              <w:rPr>
                <w:rFonts w:cs="Calibri"/>
                <w:sz w:val="20"/>
                <w:szCs w:val="20"/>
              </w:rPr>
              <w:t xml:space="preserve">0 </w:t>
            </w:r>
          </w:p>
        </w:tc>
        <w:tc>
          <w:tcPr>
            <w:tcW w:w="1742" w:type="dxa"/>
            <w:tcBorders>
              <w:top w:val="nil"/>
              <w:left w:val="nil"/>
              <w:bottom w:val="nil"/>
              <w:right w:val="nil"/>
            </w:tcBorders>
            <w:shd w:val="clear" w:color="auto" w:fill="auto"/>
            <w:noWrap/>
            <w:vAlign w:val="bottom"/>
            <w:hideMark/>
          </w:tcPr>
          <w:p w:rsidR="00B22AD8" w:rsidRPr="00B22AD8" w:rsidRDefault="00B22AD8" w:rsidP="00B22AD8">
            <w:pPr>
              <w:jc w:val="right"/>
              <w:rPr>
                <w:rFonts w:cs="Calibri"/>
                <w:sz w:val="20"/>
                <w:szCs w:val="20"/>
              </w:rPr>
            </w:pPr>
            <w:r w:rsidRPr="00B22AD8">
              <w:rPr>
                <w:rFonts w:cs="Calibri"/>
                <w:sz w:val="20"/>
                <w:szCs w:val="20"/>
              </w:rPr>
              <w:t xml:space="preserve">39,216 </w:t>
            </w:r>
          </w:p>
        </w:tc>
        <w:tc>
          <w:tcPr>
            <w:tcW w:w="1654" w:type="dxa"/>
            <w:tcBorders>
              <w:top w:val="nil"/>
              <w:left w:val="nil"/>
              <w:bottom w:val="nil"/>
              <w:right w:val="single" w:sz="8" w:space="0" w:color="auto"/>
            </w:tcBorders>
            <w:shd w:val="clear" w:color="auto" w:fill="auto"/>
            <w:noWrap/>
            <w:vAlign w:val="bottom"/>
            <w:hideMark/>
          </w:tcPr>
          <w:p w:rsidR="00B22AD8" w:rsidRPr="00B22AD8" w:rsidRDefault="00B22AD8" w:rsidP="00B22AD8">
            <w:pPr>
              <w:jc w:val="right"/>
              <w:rPr>
                <w:rFonts w:cs="Calibri"/>
                <w:sz w:val="20"/>
                <w:szCs w:val="20"/>
              </w:rPr>
            </w:pPr>
            <w:r w:rsidRPr="00B22AD8">
              <w:rPr>
                <w:rFonts w:cs="Calibri"/>
                <w:sz w:val="20"/>
                <w:szCs w:val="20"/>
              </w:rPr>
              <w:t xml:space="preserve">39,216 </w:t>
            </w:r>
          </w:p>
        </w:tc>
      </w:tr>
      <w:tr w:rsidR="00B22AD8" w:rsidRPr="00B22AD8" w:rsidTr="00445218">
        <w:trPr>
          <w:trHeight w:val="300"/>
        </w:trPr>
        <w:tc>
          <w:tcPr>
            <w:tcW w:w="4420" w:type="dxa"/>
            <w:tcBorders>
              <w:top w:val="nil"/>
              <w:left w:val="single" w:sz="8" w:space="0" w:color="auto"/>
              <w:bottom w:val="nil"/>
              <w:right w:val="nil"/>
            </w:tcBorders>
            <w:shd w:val="clear" w:color="auto" w:fill="auto"/>
            <w:noWrap/>
            <w:vAlign w:val="bottom"/>
            <w:hideMark/>
          </w:tcPr>
          <w:p w:rsidR="00B22AD8" w:rsidRPr="00B22AD8" w:rsidRDefault="00B22AD8" w:rsidP="00B22AD8">
            <w:pPr>
              <w:ind w:left="352"/>
              <w:rPr>
                <w:color w:val="000000"/>
                <w:sz w:val="20"/>
                <w:szCs w:val="20"/>
              </w:rPr>
            </w:pPr>
            <w:r w:rsidRPr="00B22AD8">
              <w:rPr>
                <w:color w:val="000000"/>
                <w:sz w:val="20"/>
                <w:szCs w:val="20"/>
              </w:rPr>
              <w:t> </w:t>
            </w:r>
          </w:p>
        </w:tc>
        <w:tc>
          <w:tcPr>
            <w:tcW w:w="1194" w:type="dxa"/>
            <w:tcBorders>
              <w:top w:val="nil"/>
              <w:left w:val="nil"/>
              <w:bottom w:val="nil"/>
              <w:right w:val="nil"/>
            </w:tcBorders>
            <w:shd w:val="clear" w:color="auto" w:fill="auto"/>
            <w:noWrap/>
            <w:vAlign w:val="bottom"/>
            <w:hideMark/>
          </w:tcPr>
          <w:p w:rsidR="00B22AD8" w:rsidRPr="00B22AD8" w:rsidRDefault="00B22AD8" w:rsidP="00B22AD8">
            <w:pPr>
              <w:rPr>
                <w:rFonts w:cs="Calibri"/>
                <w:sz w:val="20"/>
                <w:szCs w:val="20"/>
              </w:rPr>
            </w:pPr>
          </w:p>
        </w:tc>
        <w:tc>
          <w:tcPr>
            <w:tcW w:w="1742" w:type="dxa"/>
            <w:tcBorders>
              <w:top w:val="nil"/>
              <w:left w:val="nil"/>
              <w:bottom w:val="nil"/>
              <w:right w:val="nil"/>
            </w:tcBorders>
            <w:shd w:val="clear" w:color="auto" w:fill="auto"/>
            <w:noWrap/>
            <w:vAlign w:val="bottom"/>
            <w:hideMark/>
          </w:tcPr>
          <w:p w:rsidR="00B22AD8" w:rsidRPr="00B22AD8" w:rsidRDefault="00B22AD8" w:rsidP="00B22AD8">
            <w:pPr>
              <w:rPr>
                <w:rFonts w:cs="Calibri"/>
                <w:sz w:val="20"/>
                <w:szCs w:val="20"/>
              </w:rPr>
            </w:pPr>
          </w:p>
        </w:tc>
        <w:tc>
          <w:tcPr>
            <w:tcW w:w="1654" w:type="dxa"/>
            <w:tcBorders>
              <w:top w:val="nil"/>
              <w:left w:val="nil"/>
              <w:bottom w:val="nil"/>
              <w:right w:val="single" w:sz="8" w:space="0" w:color="auto"/>
            </w:tcBorders>
            <w:shd w:val="clear" w:color="auto" w:fill="auto"/>
            <w:noWrap/>
            <w:vAlign w:val="bottom"/>
            <w:hideMark/>
          </w:tcPr>
          <w:p w:rsidR="00B22AD8" w:rsidRPr="00B22AD8" w:rsidRDefault="00B22AD8" w:rsidP="00B22AD8">
            <w:pPr>
              <w:rPr>
                <w:rFonts w:cs="Calibri"/>
                <w:sz w:val="20"/>
                <w:szCs w:val="20"/>
              </w:rPr>
            </w:pPr>
            <w:r w:rsidRPr="00B22AD8">
              <w:rPr>
                <w:rFonts w:cs="Calibri"/>
                <w:sz w:val="20"/>
                <w:szCs w:val="20"/>
              </w:rPr>
              <w:t> </w:t>
            </w:r>
          </w:p>
        </w:tc>
      </w:tr>
      <w:tr w:rsidR="00B22AD8" w:rsidRPr="00B22AD8" w:rsidTr="00445218">
        <w:trPr>
          <w:trHeight w:val="312"/>
        </w:trPr>
        <w:tc>
          <w:tcPr>
            <w:tcW w:w="4420" w:type="dxa"/>
            <w:tcBorders>
              <w:top w:val="nil"/>
              <w:left w:val="single" w:sz="8" w:space="0" w:color="auto"/>
              <w:bottom w:val="nil"/>
              <w:right w:val="nil"/>
            </w:tcBorders>
            <w:shd w:val="clear" w:color="auto" w:fill="auto"/>
            <w:noWrap/>
            <w:vAlign w:val="bottom"/>
            <w:hideMark/>
          </w:tcPr>
          <w:p w:rsidR="00B22AD8" w:rsidRPr="00B22AD8" w:rsidRDefault="00B22AD8" w:rsidP="00B22AD8">
            <w:pPr>
              <w:numPr>
                <w:ilvl w:val="0"/>
                <w:numId w:val="6"/>
              </w:numPr>
              <w:ind w:left="352"/>
              <w:contextualSpacing/>
              <w:rPr>
                <w:color w:val="000000"/>
                <w:sz w:val="20"/>
                <w:szCs w:val="20"/>
              </w:rPr>
            </w:pPr>
            <w:r w:rsidRPr="00B22AD8">
              <w:rPr>
                <w:color w:val="000000"/>
                <w:sz w:val="20"/>
                <w:szCs w:val="20"/>
              </w:rPr>
              <w:t>WORKING CAPITAL ALLOWANCE</w:t>
            </w:r>
          </w:p>
        </w:tc>
        <w:tc>
          <w:tcPr>
            <w:tcW w:w="1194" w:type="dxa"/>
            <w:tcBorders>
              <w:top w:val="nil"/>
              <w:left w:val="nil"/>
              <w:bottom w:val="nil"/>
              <w:right w:val="nil"/>
            </w:tcBorders>
            <w:shd w:val="clear" w:color="auto" w:fill="auto"/>
            <w:noWrap/>
            <w:vAlign w:val="bottom"/>
            <w:hideMark/>
          </w:tcPr>
          <w:p w:rsidR="00B22AD8" w:rsidRPr="00B22AD8" w:rsidRDefault="00B22AD8" w:rsidP="00B22AD8">
            <w:pPr>
              <w:jc w:val="right"/>
              <w:rPr>
                <w:rFonts w:cs="Calibri"/>
                <w:sz w:val="20"/>
                <w:szCs w:val="20"/>
                <w:u w:val="single"/>
              </w:rPr>
            </w:pPr>
            <w:r w:rsidRPr="00B22AD8">
              <w:rPr>
                <w:rFonts w:cs="Calibri"/>
                <w:sz w:val="20"/>
                <w:szCs w:val="20"/>
                <w:u w:val="single"/>
              </w:rPr>
              <w:t xml:space="preserve">0 </w:t>
            </w:r>
          </w:p>
        </w:tc>
        <w:tc>
          <w:tcPr>
            <w:tcW w:w="1742" w:type="dxa"/>
            <w:tcBorders>
              <w:top w:val="nil"/>
              <w:left w:val="nil"/>
              <w:bottom w:val="nil"/>
              <w:right w:val="nil"/>
            </w:tcBorders>
            <w:shd w:val="clear" w:color="auto" w:fill="auto"/>
            <w:noWrap/>
            <w:vAlign w:val="bottom"/>
            <w:hideMark/>
          </w:tcPr>
          <w:p w:rsidR="00B22AD8" w:rsidRPr="00B22AD8" w:rsidRDefault="00B22AD8" w:rsidP="00B22AD8">
            <w:pPr>
              <w:jc w:val="right"/>
              <w:rPr>
                <w:rFonts w:cs="Calibri"/>
                <w:sz w:val="20"/>
                <w:szCs w:val="20"/>
                <w:u w:val="single"/>
              </w:rPr>
            </w:pPr>
            <w:r w:rsidRPr="00B22AD8">
              <w:rPr>
                <w:rFonts w:cs="Calibri"/>
                <w:sz w:val="20"/>
                <w:szCs w:val="20"/>
                <w:u w:val="single"/>
              </w:rPr>
              <w:t xml:space="preserve">5,688 </w:t>
            </w:r>
          </w:p>
        </w:tc>
        <w:tc>
          <w:tcPr>
            <w:tcW w:w="1654" w:type="dxa"/>
            <w:tcBorders>
              <w:top w:val="nil"/>
              <w:left w:val="nil"/>
              <w:bottom w:val="nil"/>
              <w:right w:val="single" w:sz="8" w:space="0" w:color="auto"/>
            </w:tcBorders>
            <w:shd w:val="clear" w:color="auto" w:fill="auto"/>
            <w:noWrap/>
            <w:vAlign w:val="bottom"/>
            <w:hideMark/>
          </w:tcPr>
          <w:p w:rsidR="00B22AD8" w:rsidRPr="00B22AD8" w:rsidRDefault="00B22AD8" w:rsidP="00B22AD8">
            <w:pPr>
              <w:jc w:val="right"/>
              <w:rPr>
                <w:rFonts w:cs="Calibri"/>
                <w:sz w:val="20"/>
                <w:szCs w:val="20"/>
                <w:u w:val="single"/>
              </w:rPr>
            </w:pPr>
            <w:r w:rsidRPr="00B22AD8">
              <w:rPr>
                <w:rFonts w:cs="Calibri"/>
                <w:sz w:val="20"/>
                <w:szCs w:val="20"/>
                <w:u w:val="single"/>
              </w:rPr>
              <w:t xml:space="preserve">5,688 </w:t>
            </w:r>
          </w:p>
        </w:tc>
      </w:tr>
      <w:tr w:rsidR="00B22AD8" w:rsidRPr="00B22AD8" w:rsidTr="00445218">
        <w:trPr>
          <w:trHeight w:val="300"/>
        </w:trPr>
        <w:tc>
          <w:tcPr>
            <w:tcW w:w="4420" w:type="dxa"/>
            <w:tcBorders>
              <w:top w:val="nil"/>
              <w:left w:val="single" w:sz="8" w:space="0" w:color="auto"/>
              <w:bottom w:val="nil"/>
              <w:right w:val="nil"/>
            </w:tcBorders>
            <w:shd w:val="clear" w:color="auto" w:fill="auto"/>
            <w:noWrap/>
            <w:vAlign w:val="bottom"/>
            <w:hideMark/>
          </w:tcPr>
          <w:p w:rsidR="00B22AD8" w:rsidRPr="00B22AD8" w:rsidRDefault="00B22AD8" w:rsidP="00B22AD8">
            <w:pPr>
              <w:ind w:left="352"/>
              <w:rPr>
                <w:color w:val="000000"/>
                <w:sz w:val="20"/>
                <w:szCs w:val="20"/>
              </w:rPr>
            </w:pPr>
            <w:r w:rsidRPr="00B22AD8">
              <w:rPr>
                <w:color w:val="000000"/>
                <w:sz w:val="20"/>
                <w:szCs w:val="20"/>
              </w:rPr>
              <w:t> </w:t>
            </w:r>
          </w:p>
        </w:tc>
        <w:tc>
          <w:tcPr>
            <w:tcW w:w="1194" w:type="dxa"/>
            <w:tcBorders>
              <w:top w:val="nil"/>
              <w:left w:val="nil"/>
              <w:bottom w:val="nil"/>
              <w:right w:val="nil"/>
            </w:tcBorders>
            <w:shd w:val="clear" w:color="auto" w:fill="auto"/>
            <w:noWrap/>
            <w:vAlign w:val="bottom"/>
            <w:hideMark/>
          </w:tcPr>
          <w:p w:rsidR="00B22AD8" w:rsidRPr="00B22AD8" w:rsidRDefault="00B22AD8" w:rsidP="00B22AD8">
            <w:pPr>
              <w:rPr>
                <w:rFonts w:cs="Calibri"/>
                <w:sz w:val="20"/>
                <w:szCs w:val="20"/>
              </w:rPr>
            </w:pPr>
          </w:p>
        </w:tc>
        <w:tc>
          <w:tcPr>
            <w:tcW w:w="1742" w:type="dxa"/>
            <w:tcBorders>
              <w:top w:val="nil"/>
              <w:left w:val="nil"/>
              <w:bottom w:val="nil"/>
              <w:right w:val="nil"/>
            </w:tcBorders>
            <w:shd w:val="clear" w:color="auto" w:fill="auto"/>
            <w:noWrap/>
            <w:vAlign w:val="bottom"/>
            <w:hideMark/>
          </w:tcPr>
          <w:p w:rsidR="00B22AD8" w:rsidRPr="00B22AD8" w:rsidRDefault="00B22AD8" w:rsidP="00B22AD8">
            <w:pPr>
              <w:rPr>
                <w:rFonts w:cs="Calibri"/>
                <w:sz w:val="20"/>
                <w:szCs w:val="20"/>
              </w:rPr>
            </w:pPr>
          </w:p>
        </w:tc>
        <w:tc>
          <w:tcPr>
            <w:tcW w:w="1654" w:type="dxa"/>
            <w:tcBorders>
              <w:top w:val="nil"/>
              <w:left w:val="nil"/>
              <w:bottom w:val="nil"/>
              <w:right w:val="single" w:sz="8" w:space="0" w:color="auto"/>
            </w:tcBorders>
            <w:shd w:val="clear" w:color="auto" w:fill="auto"/>
            <w:noWrap/>
            <w:vAlign w:val="bottom"/>
            <w:hideMark/>
          </w:tcPr>
          <w:p w:rsidR="00B22AD8" w:rsidRPr="00B22AD8" w:rsidRDefault="00B22AD8" w:rsidP="00B22AD8">
            <w:pPr>
              <w:rPr>
                <w:rFonts w:cs="Calibri"/>
                <w:sz w:val="20"/>
                <w:szCs w:val="20"/>
              </w:rPr>
            </w:pPr>
            <w:r w:rsidRPr="00B22AD8">
              <w:rPr>
                <w:rFonts w:cs="Calibri"/>
                <w:sz w:val="20"/>
                <w:szCs w:val="20"/>
              </w:rPr>
              <w:t> </w:t>
            </w:r>
          </w:p>
        </w:tc>
      </w:tr>
      <w:tr w:rsidR="00B22AD8" w:rsidRPr="00B22AD8" w:rsidTr="00445218">
        <w:trPr>
          <w:trHeight w:val="300"/>
        </w:trPr>
        <w:tc>
          <w:tcPr>
            <w:tcW w:w="4420" w:type="dxa"/>
            <w:tcBorders>
              <w:top w:val="nil"/>
              <w:left w:val="single" w:sz="8" w:space="0" w:color="auto"/>
              <w:bottom w:val="nil"/>
              <w:right w:val="nil"/>
            </w:tcBorders>
            <w:shd w:val="clear" w:color="auto" w:fill="auto"/>
            <w:noWrap/>
            <w:vAlign w:val="bottom"/>
            <w:hideMark/>
          </w:tcPr>
          <w:p w:rsidR="00B22AD8" w:rsidRPr="00B22AD8" w:rsidRDefault="00B22AD8" w:rsidP="00B22AD8">
            <w:pPr>
              <w:numPr>
                <w:ilvl w:val="0"/>
                <w:numId w:val="6"/>
              </w:numPr>
              <w:ind w:left="352"/>
              <w:contextualSpacing/>
              <w:rPr>
                <w:color w:val="000000"/>
                <w:sz w:val="20"/>
                <w:szCs w:val="20"/>
              </w:rPr>
            </w:pPr>
            <w:r w:rsidRPr="00B22AD8">
              <w:rPr>
                <w:color w:val="000000"/>
                <w:sz w:val="20"/>
                <w:szCs w:val="20"/>
              </w:rPr>
              <w:t>WASTEWATER RATE BASE</w:t>
            </w:r>
          </w:p>
        </w:tc>
        <w:tc>
          <w:tcPr>
            <w:tcW w:w="1194" w:type="dxa"/>
            <w:tcBorders>
              <w:top w:val="nil"/>
              <w:left w:val="nil"/>
              <w:bottom w:val="nil"/>
              <w:right w:val="nil"/>
            </w:tcBorders>
            <w:shd w:val="clear" w:color="auto" w:fill="auto"/>
            <w:noWrap/>
            <w:vAlign w:val="bottom"/>
            <w:hideMark/>
          </w:tcPr>
          <w:p w:rsidR="00B22AD8" w:rsidRPr="00B22AD8" w:rsidRDefault="00B22AD8" w:rsidP="00B22AD8">
            <w:pPr>
              <w:jc w:val="right"/>
              <w:rPr>
                <w:rFonts w:cs="Calibri"/>
                <w:sz w:val="20"/>
                <w:szCs w:val="20"/>
                <w:u w:val="double"/>
              </w:rPr>
            </w:pPr>
            <w:r w:rsidRPr="00B22AD8">
              <w:rPr>
                <w:rFonts w:cs="Calibri"/>
                <w:sz w:val="20"/>
                <w:szCs w:val="20"/>
                <w:u w:val="double"/>
              </w:rPr>
              <w:t xml:space="preserve">$84,862 </w:t>
            </w:r>
          </w:p>
        </w:tc>
        <w:tc>
          <w:tcPr>
            <w:tcW w:w="1742" w:type="dxa"/>
            <w:tcBorders>
              <w:top w:val="nil"/>
              <w:left w:val="nil"/>
              <w:bottom w:val="nil"/>
              <w:right w:val="nil"/>
            </w:tcBorders>
            <w:shd w:val="clear" w:color="auto" w:fill="auto"/>
            <w:noWrap/>
            <w:vAlign w:val="bottom"/>
            <w:hideMark/>
          </w:tcPr>
          <w:p w:rsidR="00B22AD8" w:rsidRPr="00B22AD8" w:rsidRDefault="00B22AD8" w:rsidP="00B22AD8">
            <w:pPr>
              <w:jc w:val="right"/>
              <w:rPr>
                <w:rFonts w:cs="Calibri"/>
                <w:sz w:val="20"/>
                <w:szCs w:val="20"/>
                <w:u w:val="double"/>
              </w:rPr>
            </w:pPr>
            <w:r w:rsidRPr="00B22AD8">
              <w:rPr>
                <w:rFonts w:cs="Calibri"/>
                <w:sz w:val="20"/>
                <w:szCs w:val="20"/>
                <w:u w:val="double"/>
              </w:rPr>
              <w:t>($76,927)</w:t>
            </w:r>
          </w:p>
        </w:tc>
        <w:tc>
          <w:tcPr>
            <w:tcW w:w="1654" w:type="dxa"/>
            <w:tcBorders>
              <w:top w:val="nil"/>
              <w:left w:val="nil"/>
              <w:bottom w:val="nil"/>
              <w:right w:val="single" w:sz="8" w:space="0" w:color="auto"/>
            </w:tcBorders>
            <w:shd w:val="clear" w:color="auto" w:fill="auto"/>
            <w:noWrap/>
            <w:vAlign w:val="bottom"/>
            <w:hideMark/>
          </w:tcPr>
          <w:p w:rsidR="00B22AD8" w:rsidRPr="00B22AD8" w:rsidRDefault="00B22AD8" w:rsidP="00B22AD8">
            <w:pPr>
              <w:jc w:val="right"/>
              <w:rPr>
                <w:rFonts w:cs="Calibri"/>
                <w:sz w:val="20"/>
                <w:szCs w:val="20"/>
                <w:u w:val="double"/>
              </w:rPr>
            </w:pPr>
            <w:r w:rsidRPr="00B22AD8">
              <w:rPr>
                <w:rFonts w:cs="Calibri"/>
                <w:sz w:val="20"/>
                <w:szCs w:val="20"/>
                <w:u w:val="double"/>
              </w:rPr>
              <w:t>$7,935</w:t>
            </w:r>
          </w:p>
        </w:tc>
      </w:tr>
      <w:tr w:rsidR="00B22AD8" w:rsidRPr="00B22AD8" w:rsidTr="00445218">
        <w:trPr>
          <w:trHeight w:val="312"/>
        </w:trPr>
        <w:tc>
          <w:tcPr>
            <w:tcW w:w="4420" w:type="dxa"/>
            <w:tcBorders>
              <w:top w:val="nil"/>
              <w:left w:val="single" w:sz="8" w:space="0" w:color="auto"/>
              <w:bottom w:val="single" w:sz="8" w:space="0" w:color="auto"/>
              <w:right w:val="nil"/>
            </w:tcBorders>
            <w:shd w:val="clear" w:color="auto" w:fill="auto"/>
            <w:noWrap/>
            <w:vAlign w:val="bottom"/>
            <w:hideMark/>
          </w:tcPr>
          <w:p w:rsidR="00B22AD8" w:rsidRPr="00B22AD8" w:rsidRDefault="00B22AD8" w:rsidP="00B22AD8">
            <w:pPr>
              <w:rPr>
                <w:sz w:val="20"/>
                <w:szCs w:val="20"/>
              </w:rPr>
            </w:pPr>
            <w:r w:rsidRPr="00B22AD8">
              <w:rPr>
                <w:sz w:val="20"/>
                <w:szCs w:val="20"/>
              </w:rPr>
              <w:t> </w:t>
            </w:r>
          </w:p>
        </w:tc>
        <w:tc>
          <w:tcPr>
            <w:tcW w:w="1194" w:type="dxa"/>
            <w:tcBorders>
              <w:top w:val="nil"/>
              <w:left w:val="nil"/>
              <w:bottom w:val="single" w:sz="8" w:space="0" w:color="auto"/>
              <w:right w:val="nil"/>
            </w:tcBorders>
            <w:shd w:val="clear" w:color="auto" w:fill="auto"/>
            <w:noWrap/>
            <w:vAlign w:val="bottom"/>
            <w:hideMark/>
          </w:tcPr>
          <w:p w:rsidR="00B22AD8" w:rsidRPr="00B22AD8" w:rsidRDefault="00B22AD8" w:rsidP="00B22AD8">
            <w:pPr>
              <w:rPr>
                <w:rFonts w:cs="Calibri"/>
                <w:sz w:val="20"/>
                <w:szCs w:val="20"/>
              </w:rPr>
            </w:pPr>
            <w:r w:rsidRPr="00B22AD8">
              <w:rPr>
                <w:rFonts w:cs="Calibri"/>
                <w:sz w:val="20"/>
                <w:szCs w:val="20"/>
              </w:rPr>
              <w:t> </w:t>
            </w:r>
          </w:p>
        </w:tc>
        <w:tc>
          <w:tcPr>
            <w:tcW w:w="1742" w:type="dxa"/>
            <w:tcBorders>
              <w:top w:val="nil"/>
              <w:left w:val="nil"/>
              <w:bottom w:val="single" w:sz="8" w:space="0" w:color="auto"/>
              <w:right w:val="nil"/>
            </w:tcBorders>
            <w:shd w:val="clear" w:color="auto" w:fill="auto"/>
            <w:noWrap/>
            <w:vAlign w:val="bottom"/>
            <w:hideMark/>
          </w:tcPr>
          <w:p w:rsidR="00B22AD8" w:rsidRPr="00B22AD8" w:rsidRDefault="00B22AD8" w:rsidP="00B22AD8">
            <w:pPr>
              <w:rPr>
                <w:rFonts w:cs="Calibri"/>
                <w:sz w:val="20"/>
                <w:szCs w:val="20"/>
              </w:rPr>
            </w:pPr>
            <w:r w:rsidRPr="00B22AD8">
              <w:rPr>
                <w:rFonts w:cs="Calibri"/>
                <w:sz w:val="20"/>
                <w:szCs w:val="20"/>
              </w:rPr>
              <w:t> </w:t>
            </w:r>
          </w:p>
        </w:tc>
        <w:tc>
          <w:tcPr>
            <w:tcW w:w="1654" w:type="dxa"/>
            <w:tcBorders>
              <w:top w:val="nil"/>
              <w:left w:val="nil"/>
              <w:bottom w:val="single" w:sz="8" w:space="0" w:color="auto"/>
              <w:right w:val="single" w:sz="8" w:space="0" w:color="auto"/>
            </w:tcBorders>
            <w:shd w:val="clear" w:color="auto" w:fill="auto"/>
            <w:noWrap/>
            <w:vAlign w:val="bottom"/>
            <w:hideMark/>
          </w:tcPr>
          <w:p w:rsidR="00B22AD8" w:rsidRPr="00B22AD8" w:rsidRDefault="00B22AD8" w:rsidP="00B22AD8">
            <w:pPr>
              <w:rPr>
                <w:rFonts w:cs="Calibri"/>
                <w:sz w:val="20"/>
                <w:szCs w:val="20"/>
              </w:rPr>
            </w:pPr>
            <w:r w:rsidRPr="00B22AD8">
              <w:rPr>
                <w:rFonts w:cs="Calibri"/>
                <w:sz w:val="20"/>
                <w:szCs w:val="20"/>
              </w:rPr>
              <w:t> </w:t>
            </w:r>
          </w:p>
        </w:tc>
      </w:tr>
    </w:tbl>
    <w:p w:rsidR="00B22AD8" w:rsidRDefault="00B22AD8" w:rsidP="00B22AD8">
      <w:pPr>
        <w:spacing w:after="240"/>
        <w:jc w:val="both"/>
      </w:pPr>
    </w:p>
    <w:p w:rsidR="00B22AD8" w:rsidRDefault="00B22AD8" w:rsidP="00B22AD8">
      <w:pPr>
        <w:spacing w:after="240"/>
        <w:jc w:val="both"/>
        <w:sectPr w:rsidR="00B22AD8" w:rsidSect="00B22AD8">
          <w:headerReference w:type="first" r:id="rId12"/>
          <w:pgSz w:w="12240" w:h="15840" w:code="1"/>
          <w:pgMar w:top="1440" w:right="1440" w:bottom="1440" w:left="1440" w:header="720" w:footer="720" w:gutter="0"/>
          <w:cols w:space="720"/>
          <w:titlePg/>
          <w:docGrid w:linePitch="360"/>
        </w:sectPr>
      </w:pPr>
    </w:p>
    <w:p w:rsidR="00B22AD8" w:rsidRDefault="00B22AD8" w:rsidP="00B22AD8">
      <w:pPr>
        <w:spacing w:after="240"/>
        <w:jc w:val="both"/>
      </w:pPr>
    </w:p>
    <w:tbl>
      <w:tblPr>
        <w:tblW w:w="9444" w:type="dxa"/>
        <w:tblInd w:w="98" w:type="dxa"/>
        <w:tblLook w:val="04A0" w:firstRow="1" w:lastRow="0" w:firstColumn="1" w:lastColumn="0" w:noHBand="0" w:noVBand="1"/>
      </w:tblPr>
      <w:tblGrid>
        <w:gridCol w:w="508"/>
        <w:gridCol w:w="5788"/>
        <w:gridCol w:w="1086"/>
        <w:gridCol w:w="2062"/>
      </w:tblGrid>
      <w:tr w:rsidR="00445218" w:rsidRPr="007E7CD6" w:rsidTr="00445218">
        <w:trPr>
          <w:trHeight w:val="300"/>
        </w:trPr>
        <w:tc>
          <w:tcPr>
            <w:tcW w:w="508" w:type="dxa"/>
            <w:tcBorders>
              <w:top w:val="single" w:sz="8" w:space="0" w:color="auto"/>
              <w:left w:val="single" w:sz="8" w:space="0" w:color="auto"/>
              <w:bottom w:val="nil"/>
              <w:right w:val="nil"/>
            </w:tcBorders>
            <w:shd w:val="clear" w:color="auto" w:fill="auto"/>
            <w:noWrap/>
            <w:vAlign w:val="bottom"/>
            <w:hideMark/>
          </w:tcPr>
          <w:p w:rsidR="00445218" w:rsidRPr="007E7CD6" w:rsidRDefault="00445218" w:rsidP="00445218">
            <w:pPr>
              <w:rPr>
                <w:rFonts w:ascii="SWISS" w:hAnsi="SWISS" w:cs="Arial"/>
                <w:color w:val="000000"/>
                <w:sz w:val="20"/>
                <w:szCs w:val="20"/>
              </w:rPr>
            </w:pPr>
            <w:r>
              <w:br w:type="page"/>
            </w:r>
            <w:r>
              <w:br w:type="page"/>
            </w:r>
            <w:bookmarkStart w:id="12" w:name="RANGE!A1:D39"/>
            <w:r w:rsidRPr="007E7CD6">
              <w:rPr>
                <w:rFonts w:ascii="SWISS" w:hAnsi="SWISS" w:cs="Arial"/>
                <w:color w:val="000000"/>
                <w:sz w:val="20"/>
                <w:szCs w:val="20"/>
              </w:rPr>
              <w:t> </w:t>
            </w:r>
            <w:bookmarkEnd w:id="12"/>
          </w:p>
        </w:tc>
        <w:tc>
          <w:tcPr>
            <w:tcW w:w="5788" w:type="dxa"/>
            <w:tcBorders>
              <w:top w:val="single" w:sz="8" w:space="0" w:color="auto"/>
              <w:left w:val="nil"/>
              <w:bottom w:val="nil"/>
              <w:right w:val="nil"/>
            </w:tcBorders>
            <w:shd w:val="clear" w:color="auto" w:fill="auto"/>
            <w:noWrap/>
            <w:vAlign w:val="center"/>
            <w:hideMark/>
          </w:tcPr>
          <w:p w:rsidR="00445218" w:rsidRPr="007E7CD6" w:rsidRDefault="00445218" w:rsidP="00445218">
            <w:pPr>
              <w:rPr>
                <w:rFonts w:ascii="SWISS" w:hAnsi="SWISS" w:cs="Arial"/>
                <w:b/>
                <w:bCs/>
                <w:color w:val="000000"/>
                <w:sz w:val="20"/>
                <w:szCs w:val="20"/>
              </w:rPr>
            </w:pPr>
            <w:r w:rsidRPr="007E7CD6">
              <w:rPr>
                <w:rFonts w:ascii="SWISS" w:hAnsi="SWISS" w:cs="Arial"/>
                <w:b/>
                <w:bCs/>
                <w:color w:val="000000"/>
                <w:sz w:val="20"/>
                <w:szCs w:val="20"/>
              </w:rPr>
              <w:t>FIMC HIDEAWAY, INC.</w:t>
            </w:r>
          </w:p>
        </w:tc>
        <w:tc>
          <w:tcPr>
            <w:tcW w:w="3148" w:type="dxa"/>
            <w:gridSpan w:val="2"/>
            <w:tcBorders>
              <w:top w:val="single" w:sz="8" w:space="0" w:color="auto"/>
              <w:left w:val="nil"/>
              <w:bottom w:val="nil"/>
              <w:right w:val="single" w:sz="8" w:space="0" w:color="000000"/>
            </w:tcBorders>
            <w:shd w:val="clear" w:color="auto" w:fill="auto"/>
            <w:noWrap/>
            <w:vAlign w:val="center"/>
            <w:hideMark/>
          </w:tcPr>
          <w:p w:rsidR="00445218" w:rsidRPr="007E7CD6" w:rsidRDefault="00445218" w:rsidP="00445218">
            <w:pPr>
              <w:jc w:val="right"/>
              <w:rPr>
                <w:rFonts w:ascii="SWISS" w:hAnsi="SWISS" w:cs="Arial"/>
                <w:b/>
                <w:bCs/>
                <w:color w:val="000000"/>
                <w:sz w:val="20"/>
                <w:szCs w:val="20"/>
              </w:rPr>
            </w:pPr>
            <w:r w:rsidRPr="00C73500">
              <w:rPr>
                <w:rFonts w:ascii="SWISS" w:hAnsi="SWISS" w:cs="Arial"/>
                <w:b/>
                <w:bCs/>
                <w:color w:val="000000"/>
                <w:sz w:val="20"/>
                <w:szCs w:val="20"/>
              </w:rPr>
              <w:t>SCHEDULE NO. 1-C</w:t>
            </w:r>
          </w:p>
        </w:tc>
      </w:tr>
      <w:tr w:rsidR="00445218" w:rsidRPr="007E7CD6" w:rsidTr="00445218">
        <w:trPr>
          <w:trHeight w:val="315"/>
        </w:trPr>
        <w:tc>
          <w:tcPr>
            <w:tcW w:w="508" w:type="dxa"/>
            <w:tcBorders>
              <w:top w:val="nil"/>
              <w:left w:val="single" w:sz="8" w:space="0" w:color="auto"/>
              <w:right w:val="nil"/>
            </w:tcBorders>
            <w:shd w:val="clear" w:color="auto" w:fill="auto"/>
            <w:noWrap/>
            <w:vAlign w:val="bottom"/>
            <w:hideMark/>
          </w:tcPr>
          <w:p w:rsidR="00445218" w:rsidRPr="007E7CD6" w:rsidRDefault="00445218" w:rsidP="00445218">
            <w:pPr>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right w:val="nil"/>
            </w:tcBorders>
            <w:shd w:val="clear" w:color="auto" w:fill="auto"/>
            <w:noWrap/>
            <w:vAlign w:val="center"/>
            <w:hideMark/>
          </w:tcPr>
          <w:p w:rsidR="00445218" w:rsidRPr="007E7CD6" w:rsidRDefault="00445218" w:rsidP="00445218">
            <w:pPr>
              <w:rPr>
                <w:rFonts w:ascii="SWISS" w:hAnsi="SWISS" w:cs="Arial"/>
                <w:b/>
                <w:bCs/>
                <w:color w:val="000000"/>
                <w:sz w:val="20"/>
                <w:szCs w:val="20"/>
              </w:rPr>
            </w:pPr>
            <w:r w:rsidRPr="007E7CD6">
              <w:rPr>
                <w:rFonts w:ascii="SWISS" w:hAnsi="SWISS" w:cs="Arial"/>
                <w:b/>
                <w:bCs/>
                <w:color w:val="000000"/>
                <w:sz w:val="20"/>
                <w:szCs w:val="20"/>
              </w:rPr>
              <w:t xml:space="preserve">TEST YEAR ENDED  </w:t>
            </w:r>
            <w:r>
              <w:rPr>
                <w:rFonts w:ascii="SWISS" w:hAnsi="SWISS" w:cs="Arial"/>
                <w:b/>
                <w:bCs/>
                <w:color w:val="000000"/>
                <w:sz w:val="20"/>
                <w:szCs w:val="20"/>
              </w:rPr>
              <w:t>June 30, 20</w:t>
            </w:r>
            <w:r w:rsidRPr="007E7CD6">
              <w:rPr>
                <w:rFonts w:ascii="SWISS" w:hAnsi="SWISS" w:cs="Arial"/>
                <w:b/>
                <w:bCs/>
                <w:color w:val="000000"/>
                <w:sz w:val="20"/>
                <w:szCs w:val="20"/>
              </w:rPr>
              <w:t>17</w:t>
            </w:r>
          </w:p>
        </w:tc>
        <w:tc>
          <w:tcPr>
            <w:tcW w:w="3148" w:type="dxa"/>
            <w:gridSpan w:val="2"/>
            <w:tcBorders>
              <w:top w:val="nil"/>
              <w:left w:val="nil"/>
              <w:right w:val="single" w:sz="8" w:space="0" w:color="000000"/>
            </w:tcBorders>
            <w:shd w:val="clear" w:color="auto" w:fill="auto"/>
            <w:noWrap/>
            <w:vAlign w:val="center"/>
            <w:hideMark/>
          </w:tcPr>
          <w:p w:rsidR="00445218" w:rsidRPr="007E7CD6" w:rsidRDefault="00445218" w:rsidP="00445218">
            <w:pPr>
              <w:jc w:val="right"/>
              <w:rPr>
                <w:rFonts w:ascii="SWISS" w:hAnsi="SWISS" w:cs="Arial"/>
                <w:b/>
                <w:bCs/>
                <w:color w:val="000000"/>
                <w:sz w:val="20"/>
                <w:szCs w:val="20"/>
              </w:rPr>
            </w:pPr>
            <w:r w:rsidRPr="007E7CD6">
              <w:rPr>
                <w:rFonts w:ascii="SWISS" w:hAnsi="SWISS" w:cs="Arial"/>
                <w:b/>
                <w:bCs/>
                <w:color w:val="000000"/>
                <w:sz w:val="20"/>
                <w:szCs w:val="20"/>
              </w:rPr>
              <w:t>DOCKET NO. 20170147-WS</w:t>
            </w:r>
          </w:p>
        </w:tc>
      </w:tr>
      <w:tr w:rsidR="00445218" w:rsidRPr="007E7CD6" w:rsidTr="00445218">
        <w:trPr>
          <w:trHeight w:val="300"/>
        </w:trPr>
        <w:tc>
          <w:tcPr>
            <w:tcW w:w="508" w:type="dxa"/>
            <w:tcBorders>
              <w:top w:val="nil"/>
              <w:left w:val="single" w:sz="8" w:space="0" w:color="auto"/>
              <w:bottom w:val="single" w:sz="4" w:space="0" w:color="auto"/>
              <w:right w:val="nil"/>
            </w:tcBorders>
            <w:shd w:val="clear" w:color="auto" w:fill="auto"/>
            <w:noWrap/>
            <w:vAlign w:val="bottom"/>
            <w:hideMark/>
          </w:tcPr>
          <w:p w:rsidR="00445218" w:rsidRPr="007E7CD6" w:rsidRDefault="00445218" w:rsidP="00445218">
            <w:pPr>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single" w:sz="4" w:space="0" w:color="auto"/>
              <w:right w:val="nil"/>
            </w:tcBorders>
            <w:shd w:val="clear" w:color="auto" w:fill="auto"/>
            <w:noWrap/>
            <w:vAlign w:val="center"/>
            <w:hideMark/>
          </w:tcPr>
          <w:p w:rsidR="00445218" w:rsidRPr="007E7CD6" w:rsidRDefault="00445218" w:rsidP="00445218">
            <w:pPr>
              <w:rPr>
                <w:rFonts w:ascii="SWISS" w:hAnsi="SWISS" w:cs="Arial"/>
                <w:b/>
                <w:bCs/>
                <w:color w:val="000000"/>
                <w:sz w:val="20"/>
                <w:szCs w:val="20"/>
              </w:rPr>
            </w:pPr>
            <w:r w:rsidRPr="007E7CD6">
              <w:rPr>
                <w:rFonts w:ascii="SWISS" w:hAnsi="SWISS" w:cs="Arial"/>
                <w:b/>
                <w:bCs/>
                <w:color w:val="000000"/>
                <w:sz w:val="20"/>
                <w:szCs w:val="20"/>
              </w:rPr>
              <w:t>ADJUSTMENTS TO RATE BASE</w:t>
            </w:r>
          </w:p>
        </w:tc>
        <w:tc>
          <w:tcPr>
            <w:tcW w:w="3148" w:type="dxa"/>
            <w:gridSpan w:val="2"/>
            <w:tcBorders>
              <w:top w:val="nil"/>
              <w:left w:val="nil"/>
              <w:bottom w:val="single" w:sz="4" w:space="0" w:color="auto"/>
              <w:right w:val="single" w:sz="8" w:space="0" w:color="000000"/>
            </w:tcBorders>
            <w:shd w:val="clear" w:color="auto" w:fill="auto"/>
            <w:noWrap/>
            <w:vAlign w:val="center"/>
            <w:hideMark/>
          </w:tcPr>
          <w:p w:rsidR="00445218" w:rsidRPr="007E7CD6" w:rsidRDefault="00445218" w:rsidP="00445218">
            <w:pPr>
              <w:jc w:val="right"/>
              <w:rPr>
                <w:rFonts w:ascii="SWISS" w:hAnsi="SWISS" w:cs="Arial"/>
                <w:b/>
                <w:bCs/>
                <w:color w:val="000000"/>
                <w:sz w:val="20"/>
                <w:szCs w:val="20"/>
              </w:rPr>
            </w:pPr>
            <w:r w:rsidRPr="007E7CD6">
              <w:rPr>
                <w:rFonts w:ascii="SWISS" w:hAnsi="SWISS" w:cs="Arial"/>
                <w:b/>
                <w:bCs/>
                <w:color w:val="000000"/>
                <w:sz w:val="20"/>
                <w:szCs w:val="20"/>
              </w:rPr>
              <w:t>PAGE 1 OF 1</w:t>
            </w:r>
          </w:p>
        </w:tc>
      </w:tr>
      <w:tr w:rsidR="00445218" w:rsidRPr="007E7CD6" w:rsidTr="00445218">
        <w:trPr>
          <w:trHeight w:val="312"/>
        </w:trPr>
        <w:tc>
          <w:tcPr>
            <w:tcW w:w="508" w:type="dxa"/>
            <w:tcBorders>
              <w:top w:val="single" w:sz="4" w:space="0" w:color="auto"/>
              <w:left w:val="single" w:sz="8" w:space="0" w:color="auto"/>
              <w:bottom w:val="nil"/>
              <w:right w:val="nil"/>
            </w:tcBorders>
            <w:shd w:val="clear" w:color="auto" w:fill="auto"/>
            <w:noWrap/>
            <w:vAlign w:val="bottom"/>
            <w:hideMark/>
          </w:tcPr>
          <w:p w:rsidR="00445218" w:rsidRPr="007E7CD6" w:rsidRDefault="00445218" w:rsidP="00445218">
            <w:pPr>
              <w:rPr>
                <w:rFonts w:ascii="SWISS" w:hAnsi="SWISS" w:cs="Arial"/>
                <w:color w:val="000000"/>
                <w:sz w:val="20"/>
                <w:szCs w:val="20"/>
              </w:rPr>
            </w:pPr>
            <w:r w:rsidRPr="007E7CD6">
              <w:rPr>
                <w:rFonts w:ascii="SWISS" w:hAnsi="SWISS" w:cs="Arial"/>
                <w:color w:val="000000"/>
                <w:sz w:val="20"/>
                <w:szCs w:val="20"/>
              </w:rPr>
              <w:t> </w:t>
            </w:r>
          </w:p>
        </w:tc>
        <w:tc>
          <w:tcPr>
            <w:tcW w:w="5788" w:type="dxa"/>
            <w:tcBorders>
              <w:top w:val="single" w:sz="4" w:space="0" w:color="auto"/>
              <w:left w:val="nil"/>
              <w:bottom w:val="nil"/>
              <w:right w:val="nil"/>
            </w:tcBorders>
            <w:shd w:val="clear" w:color="auto" w:fill="auto"/>
            <w:noWrap/>
            <w:vAlign w:val="bottom"/>
            <w:hideMark/>
          </w:tcPr>
          <w:p w:rsidR="00445218" w:rsidRPr="007E7CD6" w:rsidRDefault="00445218" w:rsidP="00445218">
            <w:pPr>
              <w:rPr>
                <w:rFonts w:ascii="SWISS" w:hAnsi="SWISS" w:cs="Arial"/>
                <w:color w:val="000000"/>
                <w:sz w:val="20"/>
                <w:szCs w:val="20"/>
              </w:rPr>
            </w:pPr>
          </w:p>
        </w:tc>
        <w:tc>
          <w:tcPr>
            <w:tcW w:w="1086" w:type="dxa"/>
            <w:tcBorders>
              <w:top w:val="single" w:sz="4" w:space="0" w:color="auto"/>
              <w:left w:val="nil"/>
              <w:bottom w:val="nil"/>
              <w:right w:val="nil"/>
            </w:tcBorders>
            <w:shd w:val="clear" w:color="auto" w:fill="auto"/>
            <w:noWrap/>
            <w:vAlign w:val="bottom"/>
            <w:hideMark/>
          </w:tcPr>
          <w:p w:rsidR="00445218" w:rsidRPr="007E7CD6" w:rsidRDefault="00445218" w:rsidP="00445218">
            <w:pPr>
              <w:jc w:val="center"/>
              <w:rPr>
                <w:rFonts w:ascii="SWISS" w:hAnsi="SWISS" w:cs="Arial"/>
                <w:b/>
                <w:bCs/>
                <w:color w:val="000000"/>
                <w:sz w:val="20"/>
                <w:szCs w:val="20"/>
                <w:u w:val="single"/>
              </w:rPr>
            </w:pPr>
            <w:r w:rsidRPr="007E7CD6">
              <w:rPr>
                <w:rFonts w:ascii="SWISS" w:hAnsi="SWISS" w:cs="Arial"/>
                <w:b/>
                <w:bCs/>
                <w:color w:val="000000"/>
                <w:sz w:val="20"/>
                <w:szCs w:val="20"/>
                <w:u w:val="single"/>
              </w:rPr>
              <w:t>WATER</w:t>
            </w:r>
          </w:p>
        </w:tc>
        <w:tc>
          <w:tcPr>
            <w:tcW w:w="2062" w:type="dxa"/>
            <w:tcBorders>
              <w:top w:val="single" w:sz="4" w:space="0" w:color="auto"/>
              <w:left w:val="nil"/>
              <w:bottom w:val="nil"/>
              <w:right w:val="single" w:sz="8" w:space="0" w:color="auto"/>
            </w:tcBorders>
            <w:shd w:val="clear" w:color="auto" w:fill="auto"/>
            <w:noWrap/>
            <w:vAlign w:val="bottom"/>
            <w:hideMark/>
          </w:tcPr>
          <w:p w:rsidR="00445218" w:rsidRPr="007E7CD6" w:rsidRDefault="00445218" w:rsidP="00445218">
            <w:pPr>
              <w:jc w:val="center"/>
              <w:rPr>
                <w:rFonts w:ascii="SWISS" w:hAnsi="SWISS" w:cs="Arial"/>
                <w:b/>
                <w:bCs/>
                <w:color w:val="000000"/>
                <w:sz w:val="20"/>
                <w:szCs w:val="20"/>
                <w:u w:val="single"/>
              </w:rPr>
            </w:pPr>
            <w:r w:rsidRPr="007E7CD6">
              <w:rPr>
                <w:rFonts w:ascii="SWISS" w:hAnsi="SWISS" w:cs="Arial"/>
                <w:b/>
                <w:bCs/>
                <w:color w:val="000000"/>
                <w:sz w:val="20"/>
                <w:szCs w:val="20"/>
                <w:u w:val="single"/>
              </w:rPr>
              <w:t>WASTEWATER</w:t>
            </w:r>
          </w:p>
        </w:tc>
      </w:tr>
      <w:tr w:rsidR="00445218" w:rsidRPr="007E7CD6" w:rsidTr="00445218">
        <w:trPr>
          <w:trHeight w:val="324"/>
        </w:trPr>
        <w:tc>
          <w:tcPr>
            <w:tcW w:w="508" w:type="dxa"/>
            <w:tcBorders>
              <w:top w:val="nil"/>
              <w:left w:val="single" w:sz="8" w:space="0" w:color="auto"/>
              <w:bottom w:val="nil"/>
              <w:right w:val="nil"/>
            </w:tcBorders>
            <w:shd w:val="clear" w:color="auto" w:fill="auto"/>
            <w:noWrap/>
            <w:vAlign w:val="bottom"/>
            <w:hideMark/>
          </w:tcPr>
          <w:p w:rsidR="00445218" w:rsidRPr="007E7CD6" w:rsidRDefault="00445218" w:rsidP="00445218">
            <w:pPr>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445218" w:rsidRPr="00445218" w:rsidRDefault="00445218" w:rsidP="00445218">
            <w:pPr>
              <w:rPr>
                <w:rFonts w:cs="Calibri"/>
                <w:b/>
                <w:bCs/>
                <w:sz w:val="20"/>
                <w:szCs w:val="20"/>
                <w:u w:val="single"/>
              </w:rPr>
            </w:pPr>
            <w:r w:rsidRPr="00445218">
              <w:rPr>
                <w:rFonts w:cs="Calibri"/>
                <w:b/>
                <w:bCs/>
                <w:sz w:val="20"/>
                <w:szCs w:val="20"/>
                <w:u w:val="single"/>
              </w:rPr>
              <w:t>UTILITY PLANT IN SERVICE</w:t>
            </w:r>
          </w:p>
        </w:tc>
        <w:tc>
          <w:tcPr>
            <w:tcW w:w="1086"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2062" w:type="dxa"/>
            <w:tcBorders>
              <w:top w:val="nil"/>
              <w:left w:val="nil"/>
              <w:bottom w:val="nil"/>
              <w:right w:val="single" w:sz="8" w:space="0" w:color="auto"/>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r>
      <w:tr w:rsidR="00445218" w:rsidRPr="007E7CD6" w:rsidTr="00445218">
        <w:trPr>
          <w:trHeight w:val="312"/>
        </w:trPr>
        <w:tc>
          <w:tcPr>
            <w:tcW w:w="508" w:type="dxa"/>
            <w:tcBorders>
              <w:top w:val="nil"/>
              <w:left w:val="single" w:sz="8" w:space="0" w:color="auto"/>
              <w:bottom w:val="nil"/>
              <w:right w:val="nil"/>
            </w:tcBorders>
            <w:shd w:val="clear" w:color="auto" w:fill="auto"/>
            <w:noWrap/>
            <w:vAlign w:val="bottom"/>
          </w:tcPr>
          <w:p w:rsidR="00445218" w:rsidRPr="007E7CD6" w:rsidRDefault="00445218" w:rsidP="00445218">
            <w:pPr>
              <w:jc w:val="right"/>
              <w:rPr>
                <w:rFonts w:ascii="SWISS" w:hAnsi="SWISS" w:cs="Arial"/>
                <w:color w:val="000000"/>
                <w:sz w:val="20"/>
                <w:szCs w:val="20"/>
              </w:rPr>
            </w:pPr>
            <w:r>
              <w:rPr>
                <w:rFonts w:ascii="SWISS" w:hAnsi="SWISS" w:cs="Arial"/>
                <w:color w:val="000000"/>
                <w:sz w:val="20"/>
                <w:szCs w:val="20"/>
              </w:rPr>
              <w:t>1</w:t>
            </w:r>
            <w:r w:rsidRPr="007E7CD6">
              <w:rPr>
                <w:rFonts w:ascii="SWISS" w:hAnsi="SWISS" w:cs="Arial"/>
                <w:color w:val="000000"/>
                <w:sz w:val="20"/>
                <w:szCs w:val="20"/>
              </w:rPr>
              <w:t>.</w:t>
            </w:r>
          </w:p>
        </w:tc>
        <w:tc>
          <w:tcPr>
            <w:tcW w:w="5788" w:type="dxa"/>
            <w:tcBorders>
              <w:top w:val="nil"/>
              <w:left w:val="nil"/>
              <w:bottom w:val="nil"/>
              <w:right w:val="nil"/>
            </w:tcBorders>
            <w:shd w:val="clear" w:color="auto" w:fill="auto"/>
            <w:vAlign w:val="bottom"/>
          </w:tcPr>
          <w:p w:rsidR="00445218" w:rsidRPr="00445218" w:rsidRDefault="00445218" w:rsidP="00445218">
            <w:pPr>
              <w:rPr>
                <w:rFonts w:cs="Calibri"/>
                <w:sz w:val="20"/>
                <w:szCs w:val="20"/>
              </w:rPr>
            </w:pPr>
            <w:r w:rsidRPr="00445218">
              <w:rPr>
                <w:rFonts w:cs="Calibri"/>
                <w:sz w:val="20"/>
                <w:szCs w:val="20"/>
              </w:rPr>
              <w:t>To reflect audit adjustments.</w:t>
            </w:r>
          </w:p>
        </w:tc>
        <w:tc>
          <w:tcPr>
            <w:tcW w:w="1086" w:type="dxa"/>
            <w:tcBorders>
              <w:top w:val="nil"/>
              <w:left w:val="nil"/>
              <w:bottom w:val="nil"/>
              <w:right w:val="nil"/>
            </w:tcBorders>
            <w:shd w:val="clear" w:color="auto" w:fill="auto"/>
            <w:noWrap/>
            <w:vAlign w:val="bottom"/>
          </w:tcPr>
          <w:p w:rsidR="00445218" w:rsidRPr="00445218" w:rsidRDefault="00445218" w:rsidP="00445218">
            <w:pPr>
              <w:jc w:val="right"/>
              <w:rPr>
                <w:rFonts w:cs="Calibri"/>
                <w:sz w:val="20"/>
                <w:szCs w:val="20"/>
              </w:rPr>
            </w:pPr>
            <w:r w:rsidRPr="00445218">
              <w:rPr>
                <w:rFonts w:cs="Calibri"/>
                <w:sz w:val="20"/>
                <w:szCs w:val="20"/>
              </w:rPr>
              <w:t>($7,502)</w:t>
            </w:r>
          </w:p>
        </w:tc>
        <w:tc>
          <w:tcPr>
            <w:tcW w:w="2062" w:type="dxa"/>
            <w:tcBorders>
              <w:top w:val="nil"/>
              <w:left w:val="nil"/>
              <w:bottom w:val="nil"/>
              <w:right w:val="single" w:sz="8" w:space="0" w:color="auto"/>
            </w:tcBorders>
            <w:shd w:val="clear" w:color="auto" w:fill="auto"/>
            <w:noWrap/>
            <w:vAlign w:val="bottom"/>
          </w:tcPr>
          <w:p w:rsidR="00445218" w:rsidRPr="00445218" w:rsidRDefault="00445218" w:rsidP="00445218">
            <w:pPr>
              <w:jc w:val="right"/>
              <w:rPr>
                <w:rFonts w:cs="Calibri"/>
                <w:sz w:val="20"/>
                <w:szCs w:val="20"/>
              </w:rPr>
            </w:pPr>
            <w:r w:rsidRPr="00445218">
              <w:rPr>
                <w:rFonts w:cs="Calibri"/>
                <w:sz w:val="20"/>
                <w:szCs w:val="20"/>
              </w:rPr>
              <w:t>2,761</w:t>
            </w:r>
          </w:p>
        </w:tc>
      </w:tr>
      <w:tr w:rsidR="00445218" w:rsidRPr="007E7CD6" w:rsidTr="00445218">
        <w:trPr>
          <w:trHeight w:val="312"/>
        </w:trPr>
        <w:tc>
          <w:tcPr>
            <w:tcW w:w="508" w:type="dxa"/>
            <w:tcBorders>
              <w:top w:val="nil"/>
              <w:left w:val="single" w:sz="8" w:space="0" w:color="auto"/>
              <w:bottom w:val="nil"/>
              <w:right w:val="nil"/>
            </w:tcBorders>
            <w:shd w:val="clear" w:color="auto" w:fill="auto"/>
            <w:noWrap/>
            <w:vAlign w:val="bottom"/>
          </w:tcPr>
          <w:p w:rsidR="00445218" w:rsidRPr="007E7CD6" w:rsidRDefault="00445218" w:rsidP="00445218">
            <w:pPr>
              <w:jc w:val="right"/>
              <w:rPr>
                <w:rFonts w:ascii="SWISS" w:hAnsi="SWISS" w:cs="Arial"/>
                <w:color w:val="000000"/>
                <w:sz w:val="20"/>
                <w:szCs w:val="20"/>
              </w:rPr>
            </w:pPr>
            <w:r>
              <w:rPr>
                <w:rFonts w:ascii="SWISS" w:hAnsi="SWISS" w:cs="Arial"/>
                <w:color w:val="000000"/>
                <w:sz w:val="20"/>
                <w:szCs w:val="20"/>
              </w:rPr>
              <w:t>2</w:t>
            </w:r>
            <w:r w:rsidRPr="007E7CD6">
              <w:rPr>
                <w:rFonts w:ascii="SWISS" w:hAnsi="SWISS" w:cs="Arial"/>
                <w:color w:val="000000"/>
                <w:sz w:val="20"/>
                <w:szCs w:val="20"/>
              </w:rPr>
              <w:t>.</w:t>
            </w:r>
          </w:p>
        </w:tc>
        <w:tc>
          <w:tcPr>
            <w:tcW w:w="5788" w:type="dxa"/>
            <w:tcBorders>
              <w:top w:val="nil"/>
              <w:left w:val="nil"/>
              <w:bottom w:val="nil"/>
              <w:right w:val="nil"/>
            </w:tcBorders>
            <w:shd w:val="clear" w:color="auto" w:fill="auto"/>
            <w:vAlign w:val="bottom"/>
          </w:tcPr>
          <w:p w:rsidR="00445218" w:rsidRPr="00445218" w:rsidRDefault="00445218" w:rsidP="00445218">
            <w:pPr>
              <w:rPr>
                <w:rFonts w:cs="Calibri"/>
                <w:sz w:val="20"/>
                <w:szCs w:val="20"/>
              </w:rPr>
            </w:pPr>
            <w:r w:rsidRPr="00445218">
              <w:rPr>
                <w:rFonts w:cs="Calibri"/>
                <w:sz w:val="20"/>
                <w:szCs w:val="20"/>
              </w:rPr>
              <w:t>To reflect pro forma plant (net of retirements).</w:t>
            </w:r>
          </w:p>
        </w:tc>
        <w:tc>
          <w:tcPr>
            <w:tcW w:w="1086" w:type="dxa"/>
            <w:tcBorders>
              <w:top w:val="nil"/>
              <w:left w:val="nil"/>
              <w:bottom w:val="nil"/>
              <w:right w:val="nil"/>
            </w:tcBorders>
            <w:shd w:val="clear" w:color="auto" w:fill="auto"/>
            <w:noWrap/>
            <w:vAlign w:val="bottom"/>
          </w:tcPr>
          <w:p w:rsidR="00445218" w:rsidRPr="00445218" w:rsidRDefault="00445218" w:rsidP="00445218">
            <w:pPr>
              <w:jc w:val="right"/>
              <w:rPr>
                <w:rFonts w:cs="Calibri"/>
                <w:sz w:val="20"/>
                <w:szCs w:val="20"/>
              </w:rPr>
            </w:pPr>
            <w:r w:rsidRPr="00445218">
              <w:rPr>
                <w:rFonts w:cs="Calibri"/>
                <w:sz w:val="20"/>
                <w:szCs w:val="20"/>
              </w:rPr>
              <w:t xml:space="preserve">0 </w:t>
            </w:r>
          </w:p>
        </w:tc>
        <w:tc>
          <w:tcPr>
            <w:tcW w:w="2062" w:type="dxa"/>
            <w:tcBorders>
              <w:top w:val="nil"/>
              <w:left w:val="nil"/>
              <w:bottom w:val="nil"/>
              <w:right w:val="single" w:sz="8" w:space="0" w:color="auto"/>
            </w:tcBorders>
            <w:shd w:val="clear" w:color="auto" w:fill="auto"/>
            <w:noWrap/>
            <w:vAlign w:val="bottom"/>
          </w:tcPr>
          <w:p w:rsidR="00445218" w:rsidRPr="00445218" w:rsidRDefault="00445218" w:rsidP="00445218">
            <w:pPr>
              <w:jc w:val="right"/>
              <w:rPr>
                <w:rFonts w:cs="Calibri"/>
                <w:sz w:val="20"/>
                <w:szCs w:val="20"/>
              </w:rPr>
            </w:pPr>
            <w:r w:rsidRPr="00445218">
              <w:rPr>
                <w:rFonts w:cs="Calibri"/>
                <w:sz w:val="20"/>
                <w:szCs w:val="20"/>
              </w:rPr>
              <w:t xml:space="preserve">500 </w:t>
            </w:r>
          </w:p>
        </w:tc>
      </w:tr>
      <w:tr w:rsidR="00445218" w:rsidRPr="007E7CD6" w:rsidTr="00445218">
        <w:trPr>
          <w:trHeight w:val="312"/>
        </w:trPr>
        <w:tc>
          <w:tcPr>
            <w:tcW w:w="508" w:type="dxa"/>
            <w:tcBorders>
              <w:top w:val="nil"/>
              <w:left w:val="single" w:sz="8" w:space="0" w:color="auto"/>
              <w:bottom w:val="nil"/>
              <w:right w:val="nil"/>
            </w:tcBorders>
            <w:shd w:val="clear" w:color="auto" w:fill="auto"/>
            <w:noWrap/>
            <w:vAlign w:val="bottom"/>
            <w:hideMark/>
          </w:tcPr>
          <w:p w:rsidR="00445218" w:rsidRPr="007E7CD6" w:rsidRDefault="00445218" w:rsidP="00445218">
            <w:pPr>
              <w:jc w:val="right"/>
              <w:rPr>
                <w:rFonts w:ascii="SWISS" w:hAnsi="SWISS" w:cs="Arial"/>
                <w:color w:val="000000"/>
                <w:sz w:val="20"/>
                <w:szCs w:val="20"/>
              </w:rPr>
            </w:pPr>
            <w:r>
              <w:rPr>
                <w:rFonts w:ascii="SWISS" w:hAnsi="SWISS" w:cs="Arial"/>
                <w:color w:val="000000"/>
                <w:sz w:val="20"/>
                <w:szCs w:val="20"/>
              </w:rPr>
              <w:t>3</w:t>
            </w:r>
            <w:r w:rsidRPr="007E7CD6">
              <w:rPr>
                <w:rFonts w:ascii="SWISS" w:hAnsi="SWISS" w:cs="Arial"/>
                <w:color w:val="000000"/>
                <w:sz w:val="20"/>
                <w:szCs w:val="20"/>
              </w:rPr>
              <w:t>.</w:t>
            </w:r>
          </w:p>
        </w:tc>
        <w:tc>
          <w:tcPr>
            <w:tcW w:w="5788" w:type="dxa"/>
            <w:tcBorders>
              <w:top w:val="nil"/>
              <w:left w:val="nil"/>
              <w:bottom w:val="nil"/>
              <w:right w:val="nil"/>
            </w:tcBorders>
            <w:shd w:val="clear" w:color="auto" w:fill="auto"/>
            <w:vAlign w:val="bottom"/>
            <w:hideMark/>
          </w:tcPr>
          <w:p w:rsidR="00445218" w:rsidRPr="00445218" w:rsidRDefault="00445218" w:rsidP="00445218">
            <w:pPr>
              <w:rPr>
                <w:rFonts w:cs="Calibri"/>
                <w:sz w:val="20"/>
                <w:szCs w:val="20"/>
              </w:rPr>
            </w:pPr>
            <w:r w:rsidRPr="00445218">
              <w:rPr>
                <w:rFonts w:cs="Calibri"/>
                <w:sz w:val="20"/>
                <w:szCs w:val="20"/>
              </w:rPr>
              <w:t>To reflect staff adjustments.</w:t>
            </w:r>
          </w:p>
        </w:tc>
        <w:tc>
          <w:tcPr>
            <w:tcW w:w="1086"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single"/>
              </w:rPr>
            </w:pPr>
            <w:r w:rsidRPr="00445218">
              <w:rPr>
                <w:rFonts w:cs="Calibri"/>
                <w:sz w:val="20"/>
                <w:szCs w:val="20"/>
                <w:u w:val="single"/>
              </w:rPr>
              <w:t>(54,374)</w:t>
            </w:r>
          </w:p>
        </w:tc>
        <w:tc>
          <w:tcPr>
            <w:tcW w:w="2062" w:type="dxa"/>
            <w:tcBorders>
              <w:top w:val="nil"/>
              <w:left w:val="nil"/>
              <w:bottom w:val="nil"/>
              <w:right w:val="single" w:sz="8" w:space="0" w:color="auto"/>
            </w:tcBorders>
            <w:shd w:val="clear" w:color="auto" w:fill="auto"/>
            <w:noWrap/>
            <w:vAlign w:val="bottom"/>
            <w:hideMark/>
          </w:tcPr>
          <w:p w:rsidR="00445218" w:rsidRPr="00445218" w:rsidRDefault="00445218" w:rsidP="00445218">
            <w:pPr>
              <w:jc w:val="right"/>
              <w:rPr>
                <w:rFonts w:cs="Calibri"/>
                <w:sz w:val="20"/>
                <w:szCs w:val="20"/>
                <w:u w:val="single"/>
              </w:rPr>
            </w:pPr>
            <w:r w:rsidRPr="00445218">
              <w:rPr>
                <w:rFonts w:cs="Calibri"/>
                <w:sz w:val="20"/>
                <w:szCs w:val="20"/>
                <w:u w:val="single"/>
              </w:rPr>
              <w:t>(24,998)</w:t>
            </w:r>
          </w:p>
        </w:tc>
      </w:tr>
      <w:tr w:rsidR="00445218" w:rsidRPr="007E7CD6" w:rsidTr="00445218">
        <w:trPr>
          <w:trHeight w:val="312"/>
        </w:trPr>
        <w:tc>
          <w:tcPr>
            <w:tcW w:w="508" w:type="dxa"/>
            <w:tcBorders>
              <w:top w:val="nil"/>
              <w:left w:val="single" w:sz="8" w:space="0" w:color="auto"/>
              <w:bottom w:val="nil"/>
              <w:right w:val="nil"/>
            </w:tcBorders>
            <w:shd w:val="clear" w:color="auto" w:fill="auto"/>
            <w:noWrap/>
            <w:vAlign w:val="bottom"/>
            <w:hideMark/>
          </w:tcPr>
          <w:p w:rsidR="00445218" w:rsidRPr="007E7CD6" w:rsidRDefault="00445218" w:rsidP="00445218">
            <w:pPr>
              <w:jc w:val="right"/>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xml:space="preserve">     Total</w:t>
            </w:r>
          </w:p>
        </w:tc>
        <w:tc>
          <w:tcPr>
            <w:tcW w:w="1086"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double"/>
              </w:rPr>
            </w:pPr>
            <w:r w:rsidRPr="00445218">
              <w:rPr>
                <w:rFonts w:cs="Calibri"/>
                <w:sz w:val="20"/>
                <w:szCs w:val="20"/>
                <w:u w:val="double"/>
              </w:rPr>
              <w:t>($61,876)</w:t>
            </w:r>
          </w:p>
        </w:tc>
        <w:tc>
          <w:tcPr>
            <w:tcW w:w="2062" w:type="dxa"/>
            <w:tcBorders>
              <w:top w:val="nil"/>
              <w:left w:val="nil"/>
              <w:bottom w:val="nil"/>
              <w:right w:val="single" w:sz="8" w:space="0" w:color="auto"/>
            </w:tcBorders>
            <w:shd w:val="clear" w:color="auto" w:fill="auto"/>
            <w:noWrap/>
            <w:vAlign w:val="bottom"/>
            <w:hideMark/>
          </w:tcPr>
          <w:p w:rsidR="00445218" w:rsidRPr="00445218" w:rsidRDefault="00445218" w:rsidP="00445218">
            <w:pPr>
              <w:jc w:val="right"/>
              <w:rPr>
                <w:rFonts w:cs="Calibri"/>
                <w:sz w:val="20"/>
                <w:szCs w:val="20"/>
                <w:u w:val="double"/>
              </w:rPr>
            </w:pPr>
            <w:r w:rsidRPr="00445218">
              <w:rPr>
                <w:rFonts w:cs="Calibri"/>
                <w:sz w:val="20"/>
                <w:szCs w:val="20"/>
                <w:u w:val="double"/>
              </w:rPr>
              <w:t>($21,737)</w:t>
            </w:r>
          </w:p>
        </w:tc>
      </w:tr>
      <w:tr w:rsidR="00445218" w:rsidRPr="007E7CD6" w:rsidTr="00445218">
        <w:trPr>
          <w:trHeight w:val="300"/>
        </w:trPr>
        <w:tc>
          <w:tcPr>
            <w:tcW w:w="508" w:type="dxa"/>
            <w:tcBorders>
              <w:top w:val="nil"/>
              <w:left w:val="single" w:sz="8" w:space="0" w:color="auto"/>
              <w:bottom w:val="nil"/>
              <w:right w:val="nil"/>
            </w:tcBorders>
            <w:shd w:val="clear" w:color="auto" w:fill="auto"/>
            <w:noWrap/>
            <w:vAlign w:val="bottom"/>
            <w:hideMark/>
          </w:tcPr>
          <w:p w:rsidR="00445218" w:rsidRPr="007E7CD6" w:rsidRDefault="00445218" w:rsidP="00445218">
            <w:pPr>
              <w:jc w:val="right"/>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086"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double"/>
              </w:rPr>
            </w:pPr>
          </w:p>
        </w:tc>
        <w:tc>
          <w:tcPr>
            <w:tcW w:w="2062" w:type="dxa"/>
            <w:tcBorders>
              <w:top w:val="nil"/>
              <w:left w:val="nil"/>
              <w:bottom w:val="nil"/>
              <w:right w:val="single" w:sz="8" w:space="0" w:color="auto"/>
            </w:tcBorders>
            <w:shd w:val="clear" w:color="auto" w:fill="auto"/>
            <w:noWrap/>
            <w:vAlign w:val="bottom"/>
          </w:tcPr>
          <w:p w:rsidR="00445218" w:rsidRPr="00445218" w:rsidRDefault="00445218" w:rsidP="00445218">
            <w:pPr>
              <w:jc w:val="right"/>
              <w:rPr>
                <w:rFonts w:cs="Calibri"/>
                <w:sz w:val="20"/>
                <w:szCs w:val="20"/>
                <w:u w:val="double"/>
              </w:rPr>
            </w:pPr>
          </w:p>
        </w:tc>
      </w:tr>
      <w:tr w:rsidR="00445218" w:rsidRPr="007E7CD6" w:rsidTr="00445218">
        <w:trPr>
          <w:trHeight w:val="300"/>
        </w:trPr>
        <w:tc>
          <w:tcPr>
            <w:tcW w:w="508" w:type="dxa"/>
            <w:tcBorders>
              <w:top w:val="nil"/>
              <w:left w:val="single" w:sz="8" w:space="0" w:color="auto"/>
              <w:bottom w:val="nil"/>
              <w:right w:val="nil"/>
            </w:tcBorders>
            <w:shd w:val="clear" w:color="auto" w:fill="auto"/>
            <w:noWrap/>
            <w:vAlign w:val="bottom"/>
            <w:hideMark/>
          </w:tcPr>
          <w:p w:rsidR="00445218" w:rsidRPr="007E7CD6" w:rsidRDefault="00445218" w:rsidP="00445218">
            <w:pPr>
              <w:jc w:val="right"/>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445218" w:rsidRPr="00445218" w:rsidRDefault="00445218" w:rsidP="00445218">
            <w:pPr>
              <w:rPr>
                <w:rFonts w:cs="Calibri"/>
                <w:b/>
                <w:bCs/>
                <w:sz w:val="20"/>
                <w:szCs w:val="20"/>
                <w:u w:val="single"/>
              </w:rPr>
            </w:pPr>
            <w:r w:rsidRPr="00445218">
              <w:rPr>
                <w:rFonts w:cs="Calibri"/>
                <w:b/>
                <w:bCs/>
                <w:sz w:val="20"/>
                <w:szCs w:val="20"/>
                <w:u w:val="single"/>
              </w:rPr>
              <w:t>LAND &amp; LAND RIGHTS</w:t>
            </w:r>
          </w:p>
        </w:tc>
        <w:tc>
          <w:tcPr>
            <w:tcW w:w="1086"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double"/>
              </w:rPr>
            </w:pPr>
          </w:p>
        </w:tc>
        <w:tc>
          <w:tcPr>
            <w:tcW w:w="2062" w:type="dxa"/>
            <w:tcBorders>
              <w:top w:val="nil"/>
              <w:left w:val="nil"/>
              <w:bottom w:val="nil"/>
              <w:right w:val="single" w:sz="8" w:space="0" w:color="auto"/>
            </w:tcBorders>
            <w:shd w:val="clear" w:color="auto" w:fill="auto"/>
            <w:noWrap/>
            <w:vAlign w:val="bottom"/>
          </w:tcPr>
          <w:p w:rsidR="00445218" w:rsidRPr="00445218" w:rsidRDefault="00445218" w:rsidP="00445218">
            <w:pPr>
              <w:jc w:val="right"/>
              <w:rPr>
                <w:rFonts w:cs="Calibri"/>
                <w:sz w:val="20"/>
                <w:szCs w:val="20"/>
                <w:u w:val="double"/>
              </w:rPr>
            </w:pPr>
          </w:p>
        </w:tc>
      </w:tr>
      <w:tr w:rsidR="00445218" w:rsidRPr="007E7CD6" w:rsidTr="00445218">
        <w:trPr>
          <w:trHeight w:val="300"/>
        </w:trPr>
        <w:tc>
          <w:tcPr>
            <w:tcW w:w="508" w:type="dxa"/>
            <w:tcBorders>
              <w:top w:val="nil"/>
              <w:left w:val="single" w:sz="8" w:space="0" w:color="auto"/>
              <w:bottom w:val="nil"/>
              <w:right w:val="nil"/>
            </w:tcBorders>
            <w:shd w:val="clear" w:color="auto" w:fill="auto"/>
            <w:noWrap/>
            <w:vAlign w:val="bottom"/>
            <w:hideMark/>
          </w:tcPr>
          <w:p w:rsidR="00445218" w:rsidRPr="007E7CD6" w:rsidRDefault="00445218" w:rsidP="00445218">
            <w:pPr>
              <w:jc w:val="right"/>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To remove land associated with Hideaway WTP and WWTP.</w:t>
            </w:r>
          </w:p>
        </w:tc>
        <w:tc>
          <w:tcPr>
            <w:tcW w:w="1086"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double"/>
              </w:rPr>
            </w:pPr>
            <w:r w:rsidRPr="00445218">
              <w:rPr>
                <w:rFonts w:cs="Calibri"/>
                <w:sz w:val="20"/>
                <w:szCs w:val="20"/>
                <w:u w:val="double"/>
              </w:rPr>
              <w:t>($3,858)</w:t>
            </w:r>
          </w:p>
        </w:tc>
        <w:tc>
          <w:tcPr>
            <w:tcW w:w="2062" w:type="dxa"/>
            <w:tcBorders>
              <w:top w:val="nil"/>
              <w:left w:val="nil"/>
              <w:bottom w:val="nil"/>
              <w:right w:val="single" w:sz="8" w:space="0" w:color="auto"/>
            </w:tcBorders>
            <w:shd w:val="clear" w:color="auto" w:fill="auto"/>
            <w:noWrap/>
            <w:vAlign w:val="bottom"/>
            <w:hideMark/>
          </w:tcPr>
          <w:p w:rsidR="00445218" w:rsidRPr="00445218" w:rsidRDefault="00445218" w:rsidP="00445218">
            <w:pPr>
              <w:jc w:val="right"/>
              <w:rPr>
                <w:rFonts w:cs="Calibri"/>
                <w:sz w:val="20"/>
                <w:szCs w:val="20"/>
                <w:u w:val="double"/>
              </w:rPr>
            </w:pPr>
            <w:r w:rsidRPr="00445218">
              <w:rPr>
                <w:rFonts w:cs="Calibri"/>
                <w:sz w:val="20"/>
                <w:szCs w:val="20"/>
                <w:u w:val="double"/>
              </w:rPr>
              <w:t>($1,895)</w:t>
            </w:r>
          </w:p>
        </w:tc>
      </w:tr>
      <w:tr w:rsidR="00445218" w:rsidRPr="007E7CD6" w:rsidTr="00445218">
        <w:trPr>
          <w:trHeight w:val="300"/>
        </w:trPr>
        <w:tc>
          <w:tcPr>
            <w:tcW w:w="508" w:type="dxa"/>
            <w:tcBorders>
              <w:top w:val="nil"/>
              <w:left w:val="single" w:sz="8" w:space="0" w:color="auto"/>
              <w:bottom w:val="nil"/>
              <w:right w:val="nil"/>
            </w:tcBorders>
            <w:shd w:val="clear" w:color="auto" w:fill="auto"/>
            <w:noWrap/>
            <w:vAlign w:val="bottom"/>
            <w:hideMark/>
          </w:tcPr>
          <w:p w:rsidR="00445218" w:rsidRPr="007E7CD6" w:rsidRDefault="00445218" w:rsidP="00445218">
            <w:pPr>
              <w:jc w:val="right"/>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086"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double"/>
              </w:rPr>
            </w:pPr>
          </w:p>
        </w:tc>
        <w:tc>
          <w:tcPr>
            <w:tcW w:w="2062" w:type="dxa"/>
            <w:tcBorders>
              <w:top w:val="nil"/>
              <w:left w:val="nil"/>
              <w:bottom w:val="nil"/>
              <w:right w:val="single" w:sz="8" w:space="0" w:color="auto"/>
            </w:tcBorders>
            <w:shd w:val="clear" w:color="auto" w:fill="auto"/>
            <w:noWrap/>
            <w:vAlign w:val="bottom"/>
          </w:tcPr>
          <w:p w:rsidR="00445218" w:rsidRPr="00445218" w:rsidRDefault="00445218" w:rsidP="00445218">
            <w:pPr>
              <w:jc w:val="right"/>
              <w:rPr>
                <w:rFonts w:cs="Calibri"/>
                <w:sz w:val="20"/>
                <w:szCs w:val="20"/>
                <w:u w:val="double"/>
              </w:rPr>
            </w:pPr>
          </w:p>
        </w:tc>
      </w:tr>
      <w:tr w:rsidR="00445218" w:rsidRPr="007E7CD6" w:rsidTr="00445218">
        <w:trPr>
          <w:trHeight w:val="300"/>
        </w:trPr>
        <w:tc>
          <w:tcPr>
            <w:tcW w:w="508" w:type="dxa"/>
            <w:tcBorders>
              <w:top w:val="nil"/>
              <w:left w:val="single" w:sz="8" w:space="0" w:color="auto"/>
              <w:bottom w:val="nil"/>
              <w:right w:val="nil"/>
            </w:tcBorders>
            <w:shd w:val="clear" w:color="auto" w:fill="auto"/>
            <w:noWrap/>
            <w:vAlign w:val="bottom"/>
            <w:hideMark/>
          </w:tcPr>
          <w:p w:rsidR="00445218" w:rsidRPr="007E7CD6" w:rsidRDefault="00445218" w:rsidP="00445218">
            <w:pPr>
              <w:jc w:val="right"/>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445218" w:rsidRPr="00445218" w:rsidRDefault="00445218" w:rsidP="00445218">
            <w:pPr>
              <w:rPr>
                <w:rFonts w:cs="Calibri"/>
                <w:b/>
                <w:bCs/>
                <w:sz w:val="20"/>
                <w:szCs w:val="20"/>
                <w:u w:val="single"/>
              </w:rPr>
            </w:pPr>
            <w:r w:rsidRPr="00445218">
              <w:rPr>
                <w:rFonts w:cs="Calibri"/>
                <w:b/>
                <w:bCs/>
                <w:sz w:val="20"/>
                <w:szCs w:val="20"/>
                <w:u w:val="single"/>
              </w:rPr>
              <w:t>CIAC</w:t>
            </w:r>
          </w:p>
        </w:tc>
        <w:tc>
          <w:tcPr>
            <w:tcW w:w="1086"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double"/>
              </w:rPr>
            </w:pPr>
          </w:p>
        </w:tc>
        <w:tc>
          <w:tcPr>
            <w:tcW w:w="2062" w:type="dxa"/>
            <w:tcBorders>
              <w:top w:val="nil"/>
              <w:left w:val="nil"/>
              <w:bottom w:val="nil"/>
              <w:right w:val="single" w:sz="8" w:space="0" w:color="auto"/>
            </w:tcBorders>
            <w:shd w:val="clear" w:color="auto" w:fill="auto"/>
            <w:noWrap/>
            <w:vAlign w:val="bottom"/>
          </w:tcPr>
          <w:p w:rsidR="00445218" w:rsidRPr="00445218" w:rsidRDefault="00445218" w:rsidP="00445218">
            <w:pPr>
              <w:jc w:val="right"/>
              <w:rPr>
                <w:rFonts w:cs="Calibri"/>
                <w:sz w:val="20"/>
                <w:szCs w:val="20"/>
                <w:u w:val="double"/>
              </w:rPr>
            </w:pPr>
          </w:p>
        </w:tc>
      </w:tr>
      <w:tr w:rsidR="00445218" w:rsidRPr="007E7CD6" w:rsidTr="00445218">
        <w:trPr>
          <w:trHeight w:val="300"/>
        </w:trPr>
        <w:tc>
          <w:tcPr>
            <w:tcW w:w="508" w:type="dxa"/>
            <w:tcBorders>
              <w:top w:val="nil"/>
              <w:left w:val="single" w:sz="8" w:space="0" w:color="auto"/>
              <w:bottom w:val="nil"/>
              <w:right w:val="nil"/>
            </w:tcBorders>
            <w:shd w:val="clear" w:color="auto" w:fill="auto"/>
            <w:noWrap/>
            <w:vAlign w:val="bottom"/>
            <w:hideMark/>
          </w:tcPr>
          <w:p w:rsidR="00445218" w:rsidRPr="007E7CD6" w:rsidRDefault="00445218" w:rsidP="00445218">
            <w:pPr>
              <w:jc w:val="right"/>
              <w:rPr>
                <w:rFonts w:ascii="SWISS" w:hAnsi="SWISS" w:cs="Arial"/>
                <w:color w:val="000000"/>
                <w:sz w:val="20"/>
                <w:szCs w:val="20"/>
              </w:rPr>
            </w:pPr>
          </w:p>
        </w:tc>
        <w:tc>
          <w:tcPr>
            <w:tcW w:w="5788" w:type="dxa"/>
            <w:tcBorders>
              <w:top w:val="nil"/>
              <w:left w:val="nil"/>
              <w:bottom w:val="nil"/>
              <w:right w:val="nil"/>
            </w:tcBorders>
            <w:shd w:val="clear" w:color="auto" w:fill="auto"/>
            <w:vAlign w:val="bottom"/>
            <w:hideMark/>
          </w:tcPr>
          <w:p w:rsidR="00445218" w:rsidRPr="00445218" w:rsidRDefault="00445218" w:rsidP="00445218">
            <w:pPr>
              <w:rPr>
                <w:rFonts w:cs="Calibri"/>
                <w:sz w:val="20"/>
                <w:szCs w:val="20"/>
              </w:rPr>
            </w:pPr>
            <w:r w:rsidRPr="00445218">
              <w:rPr>
                <w:rFonts w:cs="Calibri"/>
                <w:sz w:val="20"/>
                <w:szCs w:val="20"/>
              </w:rPr>
              <w:t>To reflect audit adjustments</w:t>
            </w:r>
            <w:r w:rsidR="00596387" w:rsidRPr="00445218">
              <w:rPr>
                <w:rFonts w:cs="Calibri"/>
                <w:sz w:val="20"/>
                <w:szCs w:val="20"/>
              </w:rPr>
              <w:t>.</w:t>
            </w:r>
          </w:p>
        </w:tc>
        <w:tc>
          <w:tcPr>
            <w:tcW w:w="1086"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double"/>
              </w:rPr>
            </w:pPr>
            <w:r w:rsidRPr="00445218">
              <w:rPr>
                <w:rFonts w:cs="Calibri"/>
                <w:sz w:val="20"/>
                <w:szCs w:val="20"/>
                <w:u w:val="double"/>
              </w:rPr>
              <w:t>($39,100)</w:t>
            </w:r>
          </w:p>
        </w:tc>
        <w:tc>
          <w:tcPr>
            <w:tcW w:w="2062" w:type="dxa"/>
            <w:tcBorders>
              <w:top w:val="nil"/>
              <w:left w:val="nil"/>
              <w:bottom w:val="nil"/>
              <w:right w:val="single" w:sz="8" w:space="0" w:color="auto"/>
            </w:tcBorders>
            <w:shd w:val="clear" w:color="auto" w:fill="auto"/>
            <w:noWrap/>
            <w:vAlign w:val="bottom"/>
            <w:hideMark/>
          </w:tcPr>
          <w:p w:rsidR="00445218" w:rsidRPr="00445218" w:rsidRDefault="00445218" w:rsidP="00445218">
            <w:pPr>
              <w:jc w:val="right"/>
              <w:rPr>
                <w:rFonts w:cs="Calibri"/>
                <w:sz w:val="20"/>
                <w:szCs w:val="20"/>
                <w:u w:val="double"/>
              </w:rPr>
            </w:pPr>
            <w:r w:rsidRPr="00445218">
              <w:rPr>
                <w:rFonts w:cs="Calibri"/>
                <w:sz w:val="20"/>
                <w:szCs w:val="20"/>
                <w:u w:val="double"/>
              </w:rPr>
              <w:t>($75,772)</w:t>
            </w:r>
          </w:p>
        </w:tc>
      </w:tr>
      <w:tr w:rsidR="00445218" w:rsidRPr="007E7CD6" w:rsidTr="00445218">
        <w:trPr>
          <w:trHeight w:val="300"/>
        </w:trPr>
        <w:tc>
          <w:tcPr>
            <w:tcW w:w="508" w:type="dxa"/>
            <w:tcBorders>
              <w:top w:val="nil"/>
              <w:left w:val="single" w:sz="8" w:space="0" w:color="auto"/>
              <w:bottom w:val="nil"/>
              <w:right w:val="nil"/>
            </w:tcBorders>
            <w:shd w:val="clear" w:color="auto" w:fill="auto"/>
            <w:noWrap/>
            <w:vAlign w:val="bottom"/>
            <w:hideMark/>
          </w:tcPr>
          <w:p w:rsidR="00445218" w:rsidRPr="007E7CD6" w:rsidRDefault="00445218" w:rsidP="00445218">
            <w:pPr>
              <w:jc w:val="right"/>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086"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2062" w:type="dxa"/>
            <w:tcBorders>
              <w:top w:val="nil"/>
              <w:left w:val="nil"/>
              <w:bottom w:val="nil"/>
              <w:right w:val="single" w:sz="8" w:space="0" w:color="auto"/>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r>
      <w:tr w:rsidR="00445218" w:rsidRPr="007E7CD6" w:rsidTr="00445218">
        <w:trPr>
          <w:trHeight w:val="300"/>
        </w:trPr>
        <w:tc>
          <w:tcPr>
            <w:tcW w:w="508" w:type="dxa"/>
            <w:tcBorders>
              <w:top w:val="nil"/>
              <w:left w:val="single" w:sz="8" w:space="0" w:color="auto"/>
              <w:bottom w:val="nil"/>
              <w:right w:val="nil"/>
            </w:tcBorders>
            <w:shd w:val="clear" w:color="auto" w:fill="auto"/>
            <w:noWrap/>
            <w:vAlign w:val="bottom"/>
            <w:hideMark/>
          </w:tcPr>
          <w:p w:rsidR="00445218" w:rsidRPr="007E7CD6" w:rsidRDefault="00445218" w:rsidP="00445218">
            <w:pPr>
              <w:jc w:val="right"/>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445218" w:rsidRPr="00445218" w:rsidRDefault="00445218" w:rsidP="00445218">
            <w:pPr>
              <w:rPr>
                <w:rFonts w:cs="Calibri"/>
                <w:b/>
                <w:bCs/>
                <w:sz w:val="20"/>
                <w:szCs w:val="20"/>
                <w:u w:val="single"/>
              </w:rPr>
            </w:pPr>
            <w:r w:rsidRPr="00445218">
              <w:rPr>
                <w:rFonts w:cs="Calibri"/>
                <w:b/>
                <w:bCs/>
                <w:sz w:val="20"/>
                <w:szCs w:val="20"/>
                <w:u w:val="single"/>
              </w:rPr>
              <w:t>ACCUMULATED DEPRECIATION</w:t>
            </w:r>
          </w:p>
        </w:tc>
        <w:tc>
          <w:tcPr>
            <w:tcW w:w="1086"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2062" w:type="dxa"/>
            <w:tcBorders>
              <w:top w:val="nil"/>
              <w:left w:val="nil"/>
              <w:bottom w:val="nil"/>
              <w:right w:val="single" w:sz="8" w:space="0" w:color="auto"/>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r>
      <w:tr w:rsidR="00445218" w:rsidRPr="007E7CD6" w:rsidTr="00445218">
        <w:trPr>
          <w:trHeight w:val="300"/>
        </w:trPr>
        <w:tc>
          <w:tcPr>
            <w:tcW w:w="508" w:type="dxa"/>
            <w:tcBorders>
              <w:top w:val="nil"/>
              <w:left w:val="single" w:sz="8" w:space="0" w:color="auto"/>
              <w:bottom w:val="nil"/>
              <w:right w:val="nil"/>
            </w:tcBorders>
            <w:shd w:val="clear" w:color="auto" w:fill="auto"/>
            <w:noWrap/>
            <w:vAlign w:val="bottom"/>
            <w:hideMark/>
          </w:tcPr>
          <w:p w:rsidR="00445218" w:rsidRPr="007E7CD6" w:rsidRDefault="00445218" w:rsidP="00445218">
            <w:pPr>
              <w:jc w:val="right"/>
              <w:rPr>
                <w:rFonts w:ascii="SWISS" w:hAnsi="SWISS" w:cs="Arial"/>
                <w:color w:val="000000"/>
                <w:sz w:val="20"/>
                <w:szCs w:val="20"/>
              </w:rPr>
            </w:pPr>
            <w:r>
              <w:rPr>
                <w:rFonts w:ascii="SWISS" w:hAnsi="SWISS" w:cs="Arial"/>
                <w:color w:val="000000"/>
                <w:sz w:val="20"/>
                <w:szCs w:val="20"/>
              </w:rPr>
              <w:t>1.</w:t>
            </w:r>
          </w:p>
        </w:tc>
        <w:tc>
          <w:tcPr>
            <w:tcW w:w="5788" w:type="dxa"/>
            <w:tcBorders>
              <w:top w:val="nil"/>
              <w:left w:val="nil"/>
              <w:bottom w:val="nil"/>
              <w:right w:val="nil"/>
            </w:tcBorders>
            <w:shd w:val="clear" w:color="auto" w:fill="auto"/>
            <w:vAlign w:val="bottom"/>
            <w:hideMark/>
          </w:tcPr>
          <w:p w:rsidR="00445218" w:rsidRPr="00445218" w:rsidRDefault="00445218" w:rsidP="00445218">
            <w:pPr>
              <w:rPr>
                <w:rFonts w:cs="Calibri"/>
                <w:sz w:val="20"/>
                <w:szCs w:val="20"/>
              </w:rPr>
            </w:pPr>
            <w:r w:rsidRPr="00445218">
              <w:rPr>
                <w:rFonts w:cs="Calibri"/>
                <w:sz w:val="20"/>
                <w:szCs w:val="20"/>
              </w:rPr>
              <w:t>To reflect audit adjustments.</w:t>
            </w:r>
          </w:p>
        </w:tc>
        <w:tc>
          <w:tcPr>
            <w:tcW w:w="1086"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($60,718)</w:t>
            </w:r>
          </w:p>
        </w:tc>
        <w:tc>
          <w:tcPr>
            <w:tcW w:w="2062" w:type="dxa"/>
            <w:tcBorders>
              <w:top w:val="nil"/>
              <w:left w:val="nil"/>
              <w:bottom w:val="nil"/>
              <w:right w:val="single" w:sz="8" w:space="0" w:color="auto"/>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($48,149)</w:t>
            </w:r>
          </w:p>
        </w:tc>
      </w:tr>
      <w:tr w:rsidR="00445218" w:rsidRPr="007E7CD6" w:rsidTr="00445218">
        <w:trPr>
          <w:trHeight w:val="300"/>
        </w:trPr>
        <w:tc>
          <w:tcPr>
            <w:tcW w:w="508" w:type="dxa"/>
            <w:tcBorders>
              <w:top w:val="nil"/>
              <w:left w:val="single" w:sz="8" w:space="0" w:color="auto"/>
              <w:bottom w:val="nil"/>
              <w:right w:val="nil"/>
            </w:tcBorders>
            <w:shd w:val="clear" w:color="auto" w:fill="auto"/>
            <w:noWrap/>
            <w:vAlign w:val="bottom"/>
            <w:hideMark/>
          </w:tcPr>
          <w:p w:rsidR="00445218" w:rsidRPr="007E7CD6" w:rsidRDefault="00445218" w:rsidP="00445218">
            <w:pPr>
              <w:jc w:val="right"/>
              <w:rPr>
                <w:rFonts w:ascii="SWISS" w:hAnsi="SWISS" w:cs="Arial"/>
                <w:color w:val="000000"/>
                <w:sz w:val="20"/>
                <w:szCs w:val="20"/>
              </w:rPr>
            </w:pPr>
            <w:r>
              <w:rPr>
                <w:rFonts w:ascii="SWISS" w:hAnsi="SWISS" w:cs="Arial"/>
                <w:color w:val="000000"/>
                <w:sz w:val="20"/>
                <w:szCs w:val="20"/>
              </w:rPr>
              <w:t>2</w:t>
            </w:r>
            <w:r w:rsidRPr="007E7CD6">
              <w:rPr>
                <w:rFonts w:ascii="SWISS" w:hAnsi="SWISS" w:cs="Arial"/>
                <w:color w:val="000000"/>
                <w:sz w:val="20"/>
                <w:szCs w:val="20"/>
              </w:rPr>
              <w:t>.</w:t>
            </w:r>
          </w:p>
        </w:tc>
        <w:tc>
          <w:tcPr>
            <w:tcW w:w="5788" w:type="dxa"/>
            <w:tcBorders>
              <w:top w:val="nil"/>
              <w:left w:val="nil"/>
              <w:bottom w:val="nil"/>
              <w:right w:val="nil"/>
            </w:tcBorders>
            <w:shd w:val="clear" w:color="auto" w:fill="auto"/>
            <w:vAlign w:val="bottom"/>
            <w:hideMark/>
          </w:tcPr>
          <w:p w:rsidR="00445218" w:rsidRPr="00445218" w:rsidRDefault="00445218" w:rsidP="00445218">
            <w:pPr>
              <w:rPr>
                <w:rFonts w:cs="Calibri"/>
                <w:sz w:val="20"/>
                <w:szCs w:val="20"/>
              </w:rPr>
            </w:pPr>
            <w:r w:rsidRPr="00445218">
              <w:rPr>
                <w:rFonts w:cs="Calibri"/>
                <w:sz w:val="20"/>
                <w:szCs w:val="20"/>
              </w:rPr>
              <w:t>To reflect pro forma plant accumulated depreciation &amp; retirement.</w:t>
            </w:r>
          </w:p>
        </w:tc>
        <w:tc>
          <w:tcPr>
            <w:tcW w:w="1086"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0</w:t>
            </w:r>
          </w:p>
        </w:tc>
        <w:tc>
          <w:tcPr>
            <w:tcW w:w="2062" w:type="dxa"/>
            <w:tcBorders>
              <w:top w:val="nil"/>
              <w:left w:val="nil"/>
              <w:bottom w:val="nil"/>
              <w:right w:val="single" w:sz="8" w:space="0" w:color="auto"/>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1,450 </w:t>
            </w:r>
          </w:p>
        </w:tc>
      </w:tr>
      <w:tr w:rsidR="00445218" w:rsidRPr="007E7CD6" w:rsidTr="00445218">
        <w:trPr>
          <w:trHeight w:val="300"/>
        </w:trPr>
        <w:tc>
          <w:tcPr>
            <w:tcW w:w="508" w:type="dxa"/>
            <w:tcBorders>
              <w:top w:val="nil"/>
              <w:left w:val="single" w:sz="8" w:space="0" w:color="auto"/>
              <w:bottom w:val="nil"/>
              <w:right w:val="nil"/>
            </w:tcBorders>
            <w:shd w:val="clear" w:color="auto" w:fill="auto"/>
            <w:noWrap/>
            <w:vAlign w:val="bottom"/>
          </w:tcPr>
          <w:p w:rsidR="00445218" w:rsidRPr="007E7CD6" w:rsidRDefault="00445218" w:rsidP="00445218">
            <w:pPr>
              <w:jc w:val="right"/>
              <w:rPr>
                <w:rFonts w:ascii="SWISS" w:hAnsi="SWISS" w:cs="Arial"/>
                <w:color w:val="000000"/>
                <w:sz w:val="20"/>
                <w:szCs w:val="20"/>
              </w:rPr>
            </w:pPr>
            <w:r>
              <w:rPr>
                <w:rFonts w:ascii="SWISS" w:hAnsi="SWISS" w:cs="Arial"/>
                <w:color w:val="000000"/>
                <w:sz w:val="20"/>
                <w:szCs w:val="20"/>
              </w:rPr>
              <w:t>3</w:t>
            </w:r>
            <w:r w:rsidRPr="007E7CD6">
              <w:rPr>
                <w:rFonts w:ascii="SWISS" w:hAnsi="SWISS" w:cs="Arial"/>
                <w:color w:val="000000"/>
                <w:sz w:val="20"/>
                <w:szCs w:val="20"/>
              </w:rPr>
              <w:t>.</w:t>
            </w:r>
          </w:p>
        </w:tc>
        <w:tc>
          <w:tcPr>
            <w:tcW w:w="5788" w:type="dxa"/>
            <w:tcBorders>
              <w:top w:val="nil"/>
              <w:left w:val="nil"/>
              <w:bottom w:val="nil"/>
              <w:right w:val="nil"/>
            </w:tcBorders>
            <w:shd w:val="clear" w:color="auto" w:fill="auto"/>
            <w:noWrap/>
            <w:vAlign w:val="bottom"/>
          </w:tcPr>
          <w:p w:rsidR="00445218" w:rsidRPr="00445218" w:rsidRDefault="00445218" w:rsidP="00445218">
            <w:pPr>
              <w:rPr>
                <w:rFonts w:cs="Calibri"/>
                <w:sz w:val="20"/>
                <w:szCs w:val="20"/>
              </w:rPr>
            </w:pPr>
            <w:r w:rsidRPr="00445218">
              <w:rPr>
                <w:rFonts w:cs="Calibri"/>
                <w:sz w:val="20"/>
                <w:szCs w:val="20"/>
              </w:rPr>
              <w:t>To reflect staff adjustments.</w:t>
            </w:r>
          </w:p>
        </w:tc>
        <w:tc>
          <w:tcPr>
            <w:tcW w:w="1086" w:type="dxa"/>
            <w:tcBorders>
              <w:top w:val="nil"/>
              <w:left w:val="nil"/>
              <w:bottom w:val="nil"/>
              <w:right w:val="nil"/>
            </w:tcBorders>
            <w:shd w:val="clear" w:color="auto" w:fill="auto"/>
            <w:noWrap/>
            <w:vAlign w:val="bottom"/>
          </w:tcPr>
          <w:p w:rsidR="00445218" w:rsidRPr="00445218" w:rsidRDefault="00445218" w:rsidP="00445218">
            <w:pPr>
              <w:jc w:val="right"/>
              <w:rPr>
                <w:rFonts w:cs="Calibri"/>
                <w:sz w:val="20"/>
                <w:szCs w:val="20"/>
              </w:rPr>
            </w:pPr>
            <w:r w:rsidRPr="00445218">
              <w:rPr>
                <w:rFonts w:cs="Calibri"/>
                <w:sz w:val="20"/>
                <w:szCs w:val="20"/>
              </w:rPr>
              <w:t xml:space="preserve">54,374 </w:t>
            </w:r>
          </w:p>
        </w:tc>
        <w:tc>
          <w:tcPr>
            <w:tcW w:w="2062" w:type="dxa"/>
            <w:tcBorders>
              <w:top w:val="nil"/>
              <w:left w:val="nil"/>
              <w:right w:val="single" w:sz="8" w:space="0" w:color="auto"/>
            </w:tcBorders>
            <w:shd w:val="clear" w:color="auto" w:fill="auto"/>
            <w:noWrap/>
            <w:vAlign w:val="bottom"/>
          </w:tcPr>
          <w:p w:rsidR="00445218" w:rsidRPr="00445218" w:rsidRDefault="00445218" w:rsidP="00445218">
            <w:pPr>
              <w:jc w:val="right"/>
              <w:rPr>
                <w:rFonts w:cs="Calibri"/>
                <w:sz w:val="20"/>
                <w:szCs w:val="20"/>
              </w:rPr>
            </w:pPr>
            <w:r w:rsidRPr="00445218">
              <w:rPr>
                <w:rFonts w:cs="Calibri"/>
                <w:sz w:val="20"/>
                <w:szCs w:val="20"/>
              </w:rPr>
              <w:t xml:space="preserve">24,998 </w:t>
            </w:r>
          </w:p>
        </w:tc>
      </w:tr>
      <w:tr w:rsidR="00445218" w:rsidRPr="007E7CD6" w:rsidTr="00445218">
        <w:trPr>
          <w:trHeight w:val="300"/>
        </w:trPr>
        <w:tc>
          <w:tcPr>
            <w:tcW w:w="508" w:type="dxa"/>
            <w:tcBorders>
              <w:top w:val="nil"/>
              <w:left w:val="single" w:sz="8" w:space="0" w:color="auto"/>
              <w:bottom w:val="nil"/>
              <w:right w:val="nil"/>
            </w:tcBorders>
            <w:shd w:val="clear" w:color="auto" w:fill="auto"/>
            <w:noWrap/>
            <w:vAlign w:val="bottom"/>
            <w:hideMark/>
          </w:tcPr>
          <w:p w:rsidR="00445218" w:rsidRPr="007E7CD6" w:rsidRDefault="00445218" w:rsidP="00445218">
            <w:pPr>
              <w:jc w:val="right"/>
              <w:rPr>
                <w:rFonts w:ascii="SWISS" w:hAnsi="SWISS" w:cs="Arial"/>
                <w:color w:val="000000"/>
                <w:sz w:val="20"/>
                <w:szCs w:val="20"/>
              </w:rPr>
            </w:pPr>
            <w:r>
              <w:rPr>
                <w:rFonts w:ascii="SWISS" w:hAnsi="SWISS" w:cs="Arial"/>
                <w:color w:val="000000"/>
                <w:sz w:val="20"/>
                <w:szCs w:val="20"/>
              </w:rPr>
              <w:t>4</w:t>
            </w:r>
            <w:r w:rsidRPr="007E7CD6">
              <w:rPr>
                <w:rFonts w:ascii="SWISS" w:hAnsi="SWISS" w:cs="Arial"/>
                <w:color w:val="000000"/>
                <w:sz w:val="20"/>
                <w:szCs w:val="20"/>
              </w:rPr>
              <w:t>.</w:t>
            </w:r>
          </w:p>
        </w:tc>
        <w:tc>
          <w:tcPr>
            <w:tcW w:w="578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To reflect an averaging adjustment.</w:t>
            </w:r>
          </w:p>
        </w:tc>
        <w:tc>
          <w:tcPr>
            <w:tcW w:w="1086"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single"/>
              </w:rPr>
            </w:pPr>
            <w:r w:rsidRPr="00445218">
              <w:rPr>
                <w:rFonts w:cs="Calibri"/>
                <w:sz w:val="20"/>
                <w:szCs w:val="20"/>
                <w:u w:val="single"/>
              </w:rPr>
              <w:t xml:space="preserve">0 </w:t>
            </w:r>
          </w:p>
        </w:tc>
        <w:tc>
          <w:tcPr>
            <w:tcW w:w="2062" w:type="dxa"/>
            <w:tcBorders>
              <w:top w:val="nil"/>
              <w:left w:val="nil"/>
              <w:right w:val="single" w:sz="8" w:space="0" w:color="auto"/>
            </w:tcBorders>
            <w:shd w:val="clear" w:color="auto" w:fill="auto"/>
            <w:noWrap/>
            <w:vAlign w:val="bottom"/>
            <w:hideMark/>
          </w:tcPr>
          <w:p w:rsidR="00445218" w:rsidRPr="00445218" w:rsidRDefault="00445218" w:rsidP="00445218">
            <w:pPr>
              <w:jc w:val="right"/>
              <w:rPr>
                <w:rFonts w:cs="Calibri"/>
                <w:sz w:val="20"/>
                <w:szCs w:val="20"/>
                <w:u w:val="single"/>
              </w:rPr>
            </w:pPr>
            <w:r w:rsidRPr="00445218">
              <w:rPr>
                <w:rFonts w:cs="Calibri"/>
                <w:sz w:val="20"/>
                <w:szCs w:val="20"/>
                <w:u w:val="single"/>
              </w:rPr>
              <w:t>(725)</w:t>
            </w:r>
          </w:p>
        </w:tc>
      </w:tr>
      <w:tr w:rsidR="00445218" w:rsidRPr="007E7CD6" w:rsidTr="00445218">
        <w:trPr>
          <w:trHeight w:val="300"/>
        </w:trPr>
        <w:tc>
          <w:tcPr>
            <w:tcW w:w="508" w:type="dxa"/>
            <w:tcBorders>
              <w:top w:val="nil"/>
              <w:left w:val="single" w:sz="8" w:space="0" w:color="auto"/>
              <w:bottom w:val="nil"/>
              <w:right w:val="nil"/>
            </w:tcBorders>
            <w:shd w:val="clear" w:color="auto" w:fill="auto"/>
            <w:noWrap/>
            <w:vAlign w:val="bottom"/>
            <w:hideMark/>
          </w:tcPr>
          <w:p w:rsidR="00445218" w:rsidRPr="007E7CD6" w:rsidRDefault="00445218" w:rsidP="00445218">
            <w:pPr>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xml:space="preserve">     Total</w:t>
            </w:r>
          </w:p>
        </w:tc>
        <w:tc>
          <w:tcPr>
            <w:tcW w:w="1086"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double"/>
              </w:rPr>
            </w:pPr>
            <w:r w:rsidRPr="00445218">
              <w:rPr>
                <w:rFonts w:cs="Calibri"/>
                <w:sz w:val="20"/>
                <w:szCs w:val="20"/>
                <w:u w:val="double"/>
              </w:rPr>
              <w:t>($6,344)</w:t>
            </w:r>
          </w:p>
        </w:tc>
        <w:tc>
          <w:tcPr>
            <w:tcW w:w="2062" w:type="dxa"/>
            <w:tcBorders>
              <w:top w:val="nil"/>
              <w:left w:val="nil"/>
              <w:bottom w:val="nil"/>
              <w:right w:val="single" w:sz="4" w:space="0" w:color="auto"/>
            </w:tcBorders>
            <w:shd w:val="clear" w:color="auto" w:fill="auto"/>
            <w:noWrap/>
            <w:vAlign w:val="bottom"/>
            <w:hideMark/>
          </w:tcPr>
          <w:p w:rsidR="00445218" w:rsidRPr="00445218" w:rsidRDefault="00445218" w:rsidP="00445218">
            <w:pPr>
              <w:jc w:val="right"/>
              <w:rPr>
                <w:rFonts w:cs="Calibri"/>
                <w:sz w:val="20"/>
                <w:szCs w:val="20"/>
                <w:u w:val="double"/>
              </w:rPr>
            </w:pPr>
            <w:r w:rsidRPr="00445218">
              <w:rPr>
                <w:rFonts w:cs="Calibri"/>
                <w:sz w:val="20"/>
                <w:szCs w:val="20"/>
                <w:u w:val="double"/>
              </w:rPr>
              <w:t>($22,426)</w:t>
            </w:r>
          </w:p>
        </w:tc>
      </w:tr>
      <w:tr w:rsidR="00445218" w:rsidRPr="007E7CD6" w:rsidTr="00445218">
        <w:trPr>
          <w:trHeight w:val="300"/>
        </w:trPr>
        <w:tc>
          <w:tcPr>
            <w:tcW w:w="508" w:type="dxa"/>
            <w:tcBorders>
              <w:top w:val="nil"/>
              <w:left w:val="single" w:sz="8" w:space="0" w:color="auto"/>
              <w:bottom w:val="nil"/>
              <w:right w:val="nil"/>
            </w:tcBorders>
            <w:shd w:val="clear" w:color="auto" w:fill="auto"/>
            <w:noWrap/>
            <w:vAlign w:val="bottom"/>
            <w:hideMark/>
          </w:tcPr>
          <w:p w:rsidR="00445218" w:rsidRPr="007E7CD6" w:rsidRDefault="00445218" w:rsidP="00445218">
            <w:pPr>
              <w:jc w:val="right"/>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086"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double"/>
              </w:rPr>
            </w:pPr>
          </w:p>
        </w:tc>
        <w:tc>
          <w:tcPr>
            <w:tcW w:w="2062" w:type="dxa"/>
            <w:tcBorders>
              <w:top w:val="nil"/>
              <w:left w:val="nil"/>
              <w:bottom w:val="nil"/>
              <w:right w:val="single" w:sz="8" w:space="0" w:color="auto"/>
            </w:tcBorders>
            <w:shd w:val="clear" w:color="auto" w:fill="auto"/>
            <w:noWrap/>
            <w:vAlign w:val="bottom"/>
            <w:hideMark/>
          </w:tcPr>
          <w:p w:rsidR="00445218" w:rsidRPr="00445218" w:rsidRDefault="00445218" w:rsidP="00445218">
            <w:pPr>
              <w:jc w:val="right"/>
              <w:rPr>
                <w:rFonts w:cs="Calibri"/>
                <w:sz w:val="20"/>
                <w:szCs w:val="20"/>
                <w:u w:val="double"/>
              </w:rPr>
            </w:pPr>
          </w:p>
        </w:tc>
      </w:tr>
      <w:tr w:rsidR="00445218" w:rsidRPr="007E7CD6" w:rsidTr="00445218">
        <w:trPr>
          <w:trHeight w:val="300"/>
        </w:trPr>
        <w:tc>
          <w:tcPr>
            <w:tcW w:w="508" w:type="dxa"/>
            <w:tcBorders>
              <w:top w:val="nil"/>
              <w:left w:val="single" w:sz="8" w:space="0" w:color="auto"/>
              <w:bottom w:val="nil"/>
              <w:right w:val="nil"/>
            </w:tcBorders>
            <w:shd w:val="clear" w:color="auto" w:fill="auto"/>
            <w:noWrap/>
            <w:vAlign w:val="bottom"/>
            <w:hideMark/>
          </w:tcPr>
          <w:p w:rsidR="00445218" w:rsidRPr="007E7CD6" w:rsidRDefault="00445218" w:rsidP="00445218">
            <w:pPr>
              <w:jc w:val="right"/>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445218" w:rsidRPr="00445218" w:rsidRDefault="00445218" w:rsidP="00445218">
            <w:pPr>
              <w:rPr>
                <w:rFonts w:cs="Calibri"/>
                <w:b/>
                <w:bCs/>
                <w:sz w:val="20"/>
                <w:szCs w:val="20"/>
                <w:u w:val="single"/>
              </w:rPr>
            </w:pPr>
            <w:r w:rsidRPr="00445218">
              <w:rPr>
                <w:rFonts w:cs="Calibri"/>
                <w:b/>
                <w:bCs/>
                <w:sz w:val="20"/>
                <w:szCs w:val="20"/>
                <w:u w:val="single"/>
              </w:rPr>
              <w:t>AMORTIZATION OF CIAC</w:t>
            </w:r>
          </w:p>
        </w:tc>
        <w:tc>
          <w:tcPr>
            <w:tcW w:w="1086"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p>
        </w:tc>
        <w:tc>
          <w:tcPr>
            <w:tcW w:w="2062" w:type="dxa"/>
            <w:tcBorders>
              <w:top w:val="nil"/>
              <w:left w:val="nil"/>
              <w:bottom w:val="nil"/>
              <w:right w:val="single" w:sz="8" w:space="0" w:color="auto"/>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w:t>
            </w:r>
          </w:p>
        </w:tc>
      </w:tr>
      <w:tr w:rsidR="00445218" w:rsidRPr="007E7CD6" w:rsidTr="00445218">
        <w:trPr>
          <w:trHeight w:val="300"/>
        </w:trPr>
        <w:tc>
          <w:tcPr>
            <w:tcW w:w="508" w:type="dxa"/>
            <w:tcBorders>
              <w:top w:val="nil"/>
              <w:left w:val="single" w:sz="8" w:space="0" w:color="auto"/>
              <w:bottom w:val="nil"/>
              <w:right w:val="nil"/>
            </w:tcBorders>
            <w:shd w:val="clear" w:color="auto" w:fill="auto"/>
            <w:noWrap/>
            <w:hideMark/>
          </w:tcPr>
          <w:p w:rsidR="00445218" w:rsidRPr="007E7CD6" w:rsidRDefault="00445218" w:rsidP="00445218">
            <w:pPr>
              <w:jc w:val="right"/>
              <w:rPr>
                <w:rFonts w:ascii="SWISS" w:hAnsi="SWISS" w:cs="Arial"/>
                <w:color w:val="000000"/>
                <w:sz w:val="20"/>
                <w:szCs w:val="20"/>
              </w:rPr>
            </w:pPr>
            <w:r w:rsidRPr="007E7CD6">
              <w:rPr>
                <w:rFonts w:ascii="SWISS" w:hAnsi="SWISS" w:cs="Arial"/>
                <w:color w:val="000000"/>
                <w:sz w:val="20"/>
                <w:szCs w:val="20"/>
              </w:rPr>
              <w:t>1.</w:t>
            </w:r>
          </w:p>
        </w:tc>
        <w:tc>
          <w:tcPr>
            <w:tcW w:w="5788" w:type="dxa"/>
            <w:tcBorders>
              <w:top w:val="nil"/>
              <w:left w:val="nil"/>
              <w:bottom w:val="nil"/>
              <w:right w:val="nil"/>
            </w:tcBorders>
            <w:shd w:val="clear" w:color="auto" w:fill="auto"/>
            <w:vAlign w:val="bottom"/>
            <w:hideMark/>
          </w:tcPr>
          <w:p w:rsidR="00445218" w:rsidRPr="00445218" w:rsidRDefault="00445218" w:rsidP="00445218">
            <w:pPr>
              <w:rPr>
                <w:rFonts w:cs="Calibri"/>
                <w:sz w:val="20"/>
                <w:szCs w:val="20"/>
              </w:rPr>
            </w:pPr>
            <w:r w:rsidRPr="00445218">
              <w:rPr>
                <w:rFonts w:cs="Calibri"/>
                <w:sz w:val="20"/>
                <w:szCs w:val="20"/>
              </w:rPr>
              <w:t>To reflect audit adjustments (Hideaway)</w:t>
            </w:r>
          </w:p>
        </w:tc>
        <w:tc>
          <w:tcPr>
            <w:tcW w:w="1086"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double"/>
              </w:rPr>
            </w:pPr>
            <w:r w:rsidRPr="00445218">
              <w:rPr>
                <w:rFonts w:cs="Calibri"/>
                <w:sz w:val="20"/>
                <w:szCs w:val="20"/>
                <w:u w:val="double"/>
              </w:rPr>
              <w:t xml:space="preserve">$21,634 </w:t>
            </w:r>
          </w:p>
        </w:tc>
        <w:tc>
          <w:tcPr>
            <w:tcW w:w="2062" w:type="dxa"/>
            <w:tcBorders>
              <w:top w:val="nil"/>
              <w:left w:val="nil"/>
              <w:bottom w:val="nil"/>
              <w:right w:val="single" w:sz="8" w:space="0" w:color="auto"/>
            </w:tcBorders>
            <w:shd w:val="clear" w:color="auto" w:fill="auto"/>
            <w:noWrap/>
            <w:vAlign w:val="bottom"/>
            <w:hideMark/>
          </w:tcPr>
          <w:p w:rsidR="00445218" w:rsidRPr="00445218" w:rsidRDefault="00445218" w:rsidP="00445218">
            <w:pPr>
              <w:jc w:val="right"/>
              <w:rPr>
                <w:rFonts w:cs="Calibri"/>
                <w:sz w:val="20"/>
                <w:szCs w:val="20"/>
                <w:u w:val="double"/>
              </w:rPr>
            </w:pPr>
            <w:r w:rsidRPr="00445218">
              <w:rPr>
                <w:rFonts w:cs="Calibri"/>
                <w:sz w:val="20"/>
                <w:szCs w:val="20"/>
                <w:u w:val="double"/>
              </w:rPr>
              <w:t xml:space="preserve">$39,216 </w:t>
            </w:r>
          </w:p>
        </w:tc>
      </w:tr>
      <w:tr w:rsidR="00445218" w:rsidRPr="007E7CD6" w:rsidTr="00445218">
        <w:trPr>
          <w:trHeight w:val="300"/>
        </w:trPr>
        <w:tc>
          <w:tcPr>
            <w:tcW w:w="508" w:type="dxa"/>
            <w:tcBorders>
              <w:top w:val="nil"/>
              <w:left w:val="single" w:sz="8" w:space="0" w:color="auto"/>
              <w:bottom w:val="nil"/>
              <w:right w:val="nil"/>
            </w:tcBorders>
            <w:shd w:val="clear" w:color="auto" w:fill="auto"/>
            <w:noWrap/>
            <w:vAlign w:val="bottom"/>
            <w:hideMark/>
          </w:tcPr>
          <w:p w:rsidR="00445218" w:rsidRPr="007E7CD6" w:rsidRDefault="00445218" w:rsidP="00445218">
            <w:pPr>
              <w:jc w:val="right"/>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086"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double"/>
              </w:rPr>
            </w:pPr>
          </w:p>
        </w:tc>
        <w:tc>
          <w:tcPr>
            <w:tcW w:w="2062" w:type="dxa"/>
            <w:tcBorders>
              <w:top w:val="nil"/>
              <w:left w:val="nil"/>
              <w:bottom w:val="nil"/>
              <w:right w:val="single" w:sz="8" w:space="0" w:color="auto"/>
            </w:tcBorders>
            <w:shd w:val="clear" w:color="auto" w:fill="auto"/>
            <w:noWrap/>
            <w:vAlign w:val="bottom"/>
            <w:hideMark/>
          </w:tcPr>
          <w:p w:rsidR="00445218" w:rsidRPr="00445218" w:rsidRDefault="00445218" w:rsidP="00445218">
            <w:pPr>
              <w:jc w:val="right"/>
              <w:rPr>
                <w:rFonts w:cs="Calibri"/>
                <w:sz w:val="20"/>
                <w:szCs w:val="20"/>
                <w:u w:val="double"/>
              </w:rPr>
            </w:pPr>
          </w:p>
        </w:tc>
      </w:tr>
      <w:tr w:rsidR="00445218" w:rsidRPr="007E7CD6" w:rsidTr="00445218">
        <w:trPr>
          <w:trHeight w:val="300"/>
        </w:trPr>
        <w:tc>
          <w:tcPr>
            <w:tcW w:w="508" w:type="dxa"/>
            <w:tcBorders>
              <w:top w:val="nil"/>
              <w:left w:val="single" w:sz="8" w:space="0" w:color="auto"/>
              <w:bottom w:val="nil"/>
              <w:right w:val="nil"/>
            </w:tcBorders>
            <w:shd w:val="clear" w:color="auto" w:fill="auto"/>
            <w:noWrap/>
            <w:vAlign w:val="bottom"/>
            <w:hideMark/>
          </w:tcPr>
          <w:p w:rsidR="00445218" w:rsidRPr="007E7CD6" w:rsidRDefault="00445218" w:rsidP="00445218">
            <w:pPr>
              <w:jc w:val="right"/>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445218" w:rsidRPr="00445218" w:rsidRDefault="00445218" w:rsidP="00445218">
            <w:pPr>
              <w:rPr>
                <w:rFonts w:cs="Calibri"/>
                <w:b/>
                <w:bCs/>
                <w:sz w:val="20"/>
                <w:szCs w:val="20"/>
                <w:u w:val="single"/>
              </w:rPr>
            </w:pPr>
            <w:r w:rsidRPr="00445218">
              <w:rPr>
                <w:rFonts w:cs="Calibri"/>
                <w:b/>
                <w:bCs/>
                <w:sz w:val="20"/>
                <w:szCs w:val="20"/>
                <w:u w:val="single"/>
              </w:rPr>
              <w:t>WORKING CAPITAL ALLOWANCE</w:t>
            </w:r>
          </w:p>
        </w:tc>
        <w:tc>
          <w:tcPr>
            <w:tcW w:w="1086"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p>
        </w:tc>
        <w:tc>
          <w:tcPr>
            <w:tcW w:w="2062" w:type="dxa"/>
            <w:tcBorders>
              <w:top w:val="nil"/>
              <w:left w:val="nil"/>
              <w:bottom w:val="nil"/>
              <w:right w:val="single" w:sz="8" w:space="0" w:color="auto"/>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w:t>
            </w:r>
          </w:p>
        </w:tc>
      </w:tr>
      <w:tr w:rsidR="00445218" w:rsidRPr="007E7CD6" w:rsidTr="00445218">
        <w:trPr>
          <w:trHeight w:val="300"/>
        </w:trPr>
        <w:tc>
          <w:tcPr>
            <w:tcW w:w="508" w:type="dxa"/>
            <w:tcBorders>
              <w:top w:val="nil"/>
              <w:left w:val="single" w:sz="8" w:space="0" w:color="auto"/>
              <w:bottom w:val="nil"/>
              <w:right w:val="nil"/>
            </w:tcBorders>
            <w:shd w:val="clear" w:color="auto" w:fill="auto"/>
            <w:noWrap/>
            <w:vAlign w:val="bottom"/>
            <w:hideMark/>
          </w:tcPr>
          <w:p w:rsidR="00445218" w:rsidRPr="007E7CD6" w:rsidRDefault="00445218" w:rsidP="00445218">
            <w:pPr>
              <w:jc w:val="right"/>
              <w:rPr>
                <w:rFonts w:ascii="SWISS" w:hAnsi="SWISS" w:cs="Arial"/>
                <w:color w:val="000000"/>
                <w:sz w:val="20"/>
                <w:szCs w:val="20"/>
              </w:rPr>
            </w:pPr>
            <w:r w:rsidRPr="007E7CD6">
              <w:rPr>
                <w:rFonts w:ascii="SWISS" w:hAnsi="SWISS" w:cs="Arial"/>
                <w:color w:val="000000"/>
                <w:sz w:val="20"/>
                <w:szCs w:val="20"/>
              </w:rPr>
              <w:t> </w:t>
            </w:r>
          </w:p>
        </w:tc>
        <w:tc>
          <w:tcPr>
            <w:tcW w:w="578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To reflect 1/8 of test year O &amp; M expenses.</w:t>
            </w:r>
          </w:p>
        </w:tc>
        <w:tc>
          <w:tcPr>
            <w:tcW w:w="1086"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double"/>
              </w:rPr>
            </w:pPr>
            <w:r w:rsidRPr="00445218">
              <w:rPr>
                <w:rFonts w:cs="Calibri"/>
                <w:sz w:val="20"/>
                <w:szCs w:val="20"/>
                <w:u w:val="double"/>
              </w:rPr>
              <w:t>$4,704</w:t>
            </w:r>
          </w:p>
        </w:tc>
        <w:tc>
          <w:tcPr>
            <w:tcW w:w="2062" w:type="dxa"/>
            <w:tcBorders>
              <w:top w:val="nil"/>
              <w:left w:val="nil"/>
              <w:bottom w:val="nil"/>
              <w:right w:val="single" w:sz="8" w:space="0" w:color="auto"/>
            </w:tcBorders>
            <w:shd w:val="clear" w:color="auto" w:fill="auto"/>
            <w:noWrap/>
            <w:vAlign w:val="bottom"/>
            <w:hideMark/>
          </w:tcPr>
          <w:p w:rsidR="00445218" w:rsidRPr="00445218" w:rsidRDefault="00445218" w:rsidP="00445218">
            <w:pPr>
              <w:jc w:val="right"/>
              <w:rPr>
                <w:rFonts w:cs="Calibri"/>
                <w:sz w:val="20"/>
                <w:szCs w:val="20"/>
                <w:u w:val="double"/>
              </w:rPr>
            </w:pPr>
            <w:r w:rsidRPr="00445218">
              <w:rPr>
                <w:rFonts w:cs="Calibri"/>
                <w:sz w:val="20"/>
                <w:szCs w:val="20"/>
                <w:u w:val="double"/>
              </w:rPr>
              <w:t>$5,688</w:t>
            </w:r>
          </w:p>
        </w:tc>
      </w:tr>
      <w:tr w:rsidR="00445218" w:rsidRPr="007E7CD6" w:rsidTr="00445218">
        <w:trPr>
          <w:trHeight w:val="312"/>
        </w:trPr>
        <w:tc>
          <w:tcPr>
            <w:tcW w:w="508" w:type="dxa"/>
            <w:tcBorders>
              <w:top w:val="nil"/>
              <w:left w:val="single" w:sz="8" w:space="0" w:color="auto"/>
              <w:bottom w:val="single" w:sz="8" w:space="0" w:color="auto"/>
              <w:right w:val="nil"/>
            </w:tcBorders>
            <w:shd w:val="clear" w:color="auto" w:fill="auto"/>
            <w:noWrap/>
            <w:vAlign w:val="bottom"/>
            <w:hideMark/>
          </w:tcPr>
          <w:p w:rsidR="00445218" w:rsidRPr="007E7CD6" w:rsidRDefault="00445218" w:rsidP="00445218">
            <w:pPr>
              <w:rPr>
                <w:rFonts w:ascii="Arial" w:hAnsi="Arial" w:cs="Arial"/>
              </w:rPr>
            </w:pPr>
            <w:r w:rsidRPr="007E7CD6">
              <w:rPr>
                <w:rFonts w:ascii="Arial" w:hAnsi="Arial" w:cs="Arial"/>
              </w:rPr>
              <w:t> </w:t>
            </w:r>
          </w:p>
        </w:tc>
        <w:tc>
          <w:tcPr>
            <w:tcW w:w="5788" w:type="dxa"/>
            <w:tcBorders>
              <w:top w:val="nil"/>
              <w:left w:val="nil"/>
              <w:bottom w:val="single" w:sz="8" w:space="0" w:color="auto"/>
              <w:right w:val="nil"/>
            </w:tcBorders>
            <w:shd w:val="clear" w:color="auto" w:fill="auto"/>
            <w:noWrap/>
            <w:vAlign w:val="bottom"/>
            <w:hideMark/>
          </w:tcPr>
          <w:p w:rsidR="00445218" w:rsidRPr="007E7CD6" w:rsidRDefault="00445218" w:rsidP="00445218">
            <w:pPr>
              <w:rPr>
                <w:rFonts w:ascii="Arial" w:hAnsi="Arial" w:cs="Arial"/>
              </w:rPr>
            </w:pPr>
            <w:r w:rsidRPr="007E7CD6">
              <w:rPr>
                <w:rFonts w:ascii="Arial" w:hAnsi="Arial" w:cs="Arial"/>
              </w:rPr>
              <w:t> </w:t>
            </w:r>
          </w:p>
        </w:tc>
        <w:tc>
          <w:tcPr>
            <w:tcW w:w="1086" w:type="dxa"/>
            <w:tcBorders>
              <w:top w:val="nil"/>
              <w:left w:val="nil"/>
              <w:bottom w:val="single" w:sz="8" w:space="0" w:color="auto"/>
              <w:right w:val="nil"/>
            </w:tcBorders>
            <w:shd w:val="clear" w:color="auto" w:fill="auto"/>
            <w:noWrap/>
            <w:vAlign w:val="bottom"/>
            <w:hideMark/>
          </w:tcPr>
          <w:p w:rsidR="00445218" w:rsidRPr="007E7CD6" w:rsidRDefault="00445218" w:rsidP="00445218">
            <w:pPr>
              <w:rPr>
                <w:rFonts w:ascii="Arial" w:hAnsi="Arial" w:cs="Arial"/>
              </w:rPr>
            </w:pPr>
            <w:r w:rsidRPr="007E7CD6">
              <w:rPr>
                <w:rFonts w:ascii="Arial" w:hAnsi="Arial" w:cs="Arial"/>
              </w:rPr>
              <w:t> </w:t>
            </w:r>
          </w:p>
        </w:tc>
        <w:tc>
          <w:tcPr>
            <w:tcW w:w="2062" w:type="dxa"/>
            <w:tcBorders>
              <w:top w:val="nil"/>
              <w:left w:val="nil"/>
              <w:bottom w:val="single" w:sz="8" w:space="0" w:color="auto"/>
              <w:right w:val="single" w:sz="8" w:space="0" w:color="auto"/>
            </w:tcBorders>
            <w:shd w:val="clear" w:color="auto" w:fill="auto"/>
            <w:noWrap/>
            <w:vAlign w:val="bottom"/>
            <w:hideMark/>
          </w:tcPr>
          <w:p w:rsidR="00445218" w:rsidRPr="007E7CD6" w:rsidRDefault="00445218" w:rsidP="00445218">
            <w:pPr>
              <w:rPr>
                <w:rFonts w:ascii="Arial" w:hAnsi="Arial" w:cs="Arial"/>
              </w:rPr>
            </w:pPr>
            <w:r w:rsidRPr="007E7CD6">
              <w:rPr>
                <w:rFonts w:ascii="Arial" w:hAnsi="Arial" w:cs="Arial"/>
              </w:rPr>
              <w:t> </w:t>
            </w:r>
          </w:p>
        </w:tc>
      </w:tr>
    </w:tbl>
    <w:p w:rsidR="00B22AD8" w:rsidRDefault="00B22AD8" w:rsidP="00B22AD8">
      <w:pPr>
        <w:spacing w:after="240"/>
        <w:jc w:val="both"/>
      </w:pPr>
    </w:p>
    <w:p w:rsidR="00445218" w:rsidRDefault="00445218" w:rsidP="00B22AD8">
      <w:pPr>
        <w:spacing w:after="240"/>
        <w:jc w:val="both"/>
        <w:sectPr w:rsidR="00445218" w:rsidSect="00B22AD8">
          <w:headerReference w:type="first" r:id="rId13"/>
          <w:pgSz w:w="12240" w:h="15840" w:code="1"/>
          <w:pgMar w:top="1440" w:right="1440" w:bottom="1440" w:left="1440" w:header="720" w:footer="720" w:gutter="0"/>
          <w:cols w:space="720"/>
          <w:titlePg/>
          <w:docGrid w:linePitch="360"/>
        </w:sectPr>
      </w:pPr>
    </w:p>
    <w:tbl>
      <w:tblPr>
        <w:tblW w:w="14292" w:type="dxa"/>
        <w:tblInd w:w="-149" w:type="dxa"/>
        <w:tblLook w:val="04A0" w:firstRow="1" w:lastRow="0" w:firstColumn="1" w:lastColumn="0" w:noHBand="0" w:noVBand="1"/>
      </w:tblPr>
      <w:tblGrid>
        <w:gridCol w:w="149"/>
        <w:gridCol w:w="360"/>
        <w:gridCol w:w="106"/>
        <w:gridCol w:w="2658"/>
        <w:gridCol w:w="718"/>
        <w:gridCol w:w="500"/>
        <w:gridCol w:w="1487"/>
        <w:gridCol w:w="85"/>
        <w:gridCol w:w="1572"/>
        <w:gridCol w:w="385"/>
        <w:gridCol w:w="1337"/>
        <w:gridCol w:w="235"/>
        <w:gridCol w:w="1340"/>
        <w:gridCol w:w="10"/>
        <w:gridCol w:w="1162"/>
        <w:gridCol w:w="833"/>
        <w:gridCol w:w="155"/>
        <w:gridCol w:w="1219"/>
      </w:tblGrid>
      <w:tr w:rsidR="00445218" w:rsidRPr="007E7CD6" w:rsidTr="00636751">
        <w:trPr>
          <w:gridBefore w:val="1"/>
          <w:wBefore w:w="149" w:type="dxa"/>
          <w:trHeight w:val="300"/>
        </w:trPr>
        <w:tc>
          <w:tcPr>
            <w:tcW w:w="466" w:type="dxa"/>
            <w:gridSpan w:val="2"/>
            <w:tcBorders>
              <w:top w:val="single" w:sz="8" w:space="0" w:color="auto"/>
              <w:left w:val="single" w:sz="8" w:space="0" w:color="auto"/>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lastRenderedPageBreak/>
              <w:t> </w:t>
            </w:r>
          </w:p>
        </w:tc>
        <w:tc>
          <w:tcPr>
            <w:tcW w:w="3876" w:type="dxa"/>
            <w:gridSpan w:val="3"/>
            <w:tcBorders>
              <w:top w:val="single" w:sz="8" w:space="0" w:color="auto"/>
              <w:left w:val="nil"/>
              <w:bottom w:val="nil"/>
              <w:right w:val="nil"/>
            </w:tcBorders>
            <w:shd w:val="clear" w:color="auto" w:fill="auto"/>
            <w:noWrap/>
            <w:vAlign w:val="bottom"/>
            <w:hideMark/>
          </w:tcPr>
          <w:p w:rsidR="00445218" w:rsidRPr="00445218" w:rsidRDefault="00445218" w:rsidP="00445218">
            <w:pPr>
              <w:rPr>
                <w:rFonts w:cs="Calibri"/>
                <w:b/>
                <w:bCs/>
                <w:sz w:val="20"/>
                <w:szCs w:val="20"/>
              </w:rPr>
            </w:pPr>
            <w:r w:rsidRPr="00445218">
              <w:rPr>
                <w:rFonts w:cs="Calibri"/>
                <w:b/>
                <w:bCs/>
                <w:sz w:val="20"/>
                <w:szCs w:val="20"/>
              </w:rPr>
              <w:t>FIMC HIDEAWAY, INC.</w:t>
            </w:r>
          </w:p>
        </w:tc>
        <w:tc>
          <w:tcPr>
            <w:tcW w:w="1572" w:type="dxa"/>
            <w:gridSpan w:val="2"/>
            <w:tcBorders>
              <w:top w:val="single" w:sz="8" w:space="0" w:color="auto"/>
              <w:left w:val="nil"/>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c>
          <w:tcPr>
            <w:tcW w:w="1572" w:type="dxa"/>
            <w:tcBorders>
              <w:top w:val="single" w:sz="8" w:space="0" w:color="auto"/>
              <w:left w:val="nil"/>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c>
          <w:tcPr>
            <w:tcW w:w="1706" w:type="dxa"/>
            <w:gridSpan w:val="2"/>
            <w:tcBorders>
              <w:top w:val="single" w:sz="8" w:space="0" w:color="auto"/>
              <w:left w:val="nil"/>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c>
          <w:tcPr>
            <w:tcW w:w="1572" w:type="dxa"/>
            <w:gridSpan w:val="2"/>
            <w:tcBorders>
              <w:top w:val="single" w:sz="8" w:space="0" w:color="auto"/>
              <w:left w:val="nil"/>
              <w:bottom w:val="nil"/>
              <w:right w:val="nil"/>
            </w:tcBorders>
            <w:shd w:val="clear" w:color="auto" w:fill="auto"/>
            <w:noWrap/>
            <w:vAlign w:val="bottom"/>
            <w:hideMark/>
          </w:tcPr>
          <w:p w:rsidR="00445218" w:rsidRPr="00445218" w:rsidRDefault="00445218" w:rsidP="00445218">
            <w:pPr>
              <w:rPr>
                <w:rFonts w:cs="Calibri"/>
                <w:b/>
                <w:bCs/>
                <w:sz w:val="20"/>
                <w:szCs w:val="20"/>
              </w:rPr>
            </w:pPr>
            <w:r w:rsidRPr="00445218">
              <w:rPr>
                <w:rFonts w:cs="Calibri"/>
                <w:b/>
                <w:bCs/>
                <w:sz w:val="20"/>
                <w:szCs w:val="20"/>
              </w:rPr>
              <w:t> </w:t>
            </w:r>
          </w:p>
        </w:tc>
        <w:tc>
          <w:tcPr>
            <w:tcW w:w="3379" w:type="dxa"/>
            <w:gridSpan w:val="5"/>
            <w:tcBorders>
              <w:top w:val="single" w:sz="8" w:space="0" w:color="auto"/>
              <w:left w:val="nil"/>
              <w:bottom w:val="nil"/>
              <w:right w:val="single" w:sz="8" w:space="0" w:color="000000"/>
            </w:tcBorders>
            <w:shd w:val="clear" w:color="auto" w:fill="auto"/>
            <w:noWrap/>
            <w:vAlign w:val="bottom"/>
            <w:hideMark/>
          </w:tcPr>
          <w:p w:rsidR="00445218" w:rsidRPr="00445218" w:rsidRDefault="00445218" w:rsidP="00445218">
            <w:pPr>
              <w:jc w:val="right"/>
              <w:rPr>
                <w:rFonts w:cs="Calibri"/>
                <w:b/>
                <w:bCs/>
                <w:sz w:val="20"/>
                <w:szCs w:val="20"/>
              </w:rPr>
            </w:pPr>
            <w:r w:rsidRPr="00445218">
              <w:rPr>
                <w:rFonts w:cs="Calibri"/>
                <w:b/>
                <w:bCs/>
                <w:sz w:val="20"/>
                <w:szCs w:val="20"/>
              </w:rPr>
              <w:t>SCHEDULE NO. 2</w:t>
            </w:r>
          </w:p>
        </w:tc>
      </w:tr>
      <w:tr w:rsidR="00445218" w:rsidRPr="007E7CD6" w:rsidTr="00636751">
        <w:trPr>
          <w:gridBefore w:val="1"/>
          <w:wBefore w:w="149" w:type="dxa"/>
          <w:trHeight w:val="300"/>
        </w:trPr>
        <w:tc>
          <w:tcPr>
            <w:tcW w:w="466" w:type="dxa"/>
            <w:gridSpan w:val="2"/>
            <w:tcBorders>
              <w:top w:val="nil"/>
              <w:left w:val="single" w:sz="8" w:space="0" w:color="auto"/>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c>
          <w:tcPr>
            <w:tcW w:w="3876" w:type="dxa"/>
            <w:gridSpan w:val="3"/>
            <w:tcBorders>
              <w:top w:val="nil"/>
              <w:left w:val="nil"/>
              <w:bottom w:val="nil"/>
              <w:right w:val="nil"/>
            </w:tcBorders>
            <w:shd w:val="clear" w:color="auto" w:fill="auto"/>
            <w:noWrap/>
            <w:vAlign w:val="bottom"/>
            <w:hideMark/>
          </w:tcPr>
          <w:p w:rsidR="00445218" w:rsidRPr="00445218" w:rsidRDefault="00445218" w:rsidP="00445218">
            <w:pPr>
              <w:rPr>
                <w:rFonts w:cs="Calibri"/>
                <w:b/>
                <w:bCs/>
                <w:sz w:val="20"/>
                <w:szCs w:val="20"/>
              </w:rPr>
            </w:pPr>
            <w:r w:rsidRPr="00445218">
              <w:rPr>
                <w:rFonts w:cs="Calibri"/>
                <w:b/>
                <w:bCs/>
                <w:sz w:val="20"/>
                <w:szCs w:val="20"/>
              </w:rPr>
              <w:t>TEST YEAR ENDED  June 30, 2017</w:t>
            </w: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572"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6657" w:type="dxa"/>
            <w:gridSpan w:val="9"/>
            <w:tcBorders>
              <w:top w:val="nil"/>
              <w:left w:val="nil"/>
              <w:bottom w:val="nil"/>
              <w:right w:val="single" w:sz="8" w:space="0" w:color="000000"/>
            </w:tcBorders>
            <w:shd w:val="clear" w:color="auto" w:fill="auto"/>
            <w:noWrap/>
            <w:vAlign w:val="center"/>
            <w:hideMark/>
          </w:tcPr>
          <w:p w:rsidR="00445218" w:rsidRPr="00445218" w:rsidRDefault="00445218" w:rsidP="00445218">
            <w:pPr>
              <w:jc w:val="right"/>
              <w:rPr>
                <w:rFonts w:cs="Calibri"/>
                <w:b/>
                <w:bCs/>
                <w:sz w:val="20"/>
                <w:szCs w:val="20"/>
              </w:rPr>
            </w:pPr>
            <w:r w:rsidRPr="00445218">
              <w:rPr>
                <w:rFonts w:cs="Calibri"/>
                <w:b/>
                <w:bCs/>
                <w:sz w:val="20"/>
                <w:szCs w:val="20"/>
              </w:rPr>
              <w:t>DOCKET NO. 20170147-WS</w:t>
            </w:r>
          </w:p>
        </w:tc>
      </w:tr>
      <w:tr w:rsidR="00445218" w:rsidRPr="007E7CD6" w:rsidTr="00636751">
        <w:trPr>
          <w:gridBefore w:val="1"/>
          <w:wBefore w:w="149" w:type="dxa"/>
          <w:trHeight w:val="312"/>
        </w:trPr>
        <w:tc>
          <w:tcPr>
            <w:tcW w:w="466" w:type="dxa"/>
            <w:gridSpan w:val="2"/>
            <w:tcBorders>
              <w:top w:val="nil"/>
              <w:left w:val="single" w:sz="8" w:space="0" w:color="auto"/>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c>
          <w:tcPr>
            <w:tcW w:w="7020" w:type="dxa"/>
            <w:gridSpan w:val="6"/>
            <w:tcBorders>
              <w:top w:val="nil"/>
              <w:left w:val="nil"/>
              <w:bottom w:val="single" w:sz="8" w:space="0" w:color="auto"/>
              <w:right w:val="nil"/>
            </w:tcBorders>
            <w:shd w:val="clear" w:color="auto" w:fill="auto"/>
            <w:noWrap/>
            <w:vAlign w:val="bottom"/>
            <w:hideMark/>
          </w:tcPr>
          <w:p w:rsidR="00445218" w:rsidRPr="00445218" w:rsidRDefault="00445218" w:rsidP="00445218">
            <w:pPr>
              <w:rPr>
                <w:rFonts w:cs="Calibri"/>
                <w:b/>
                <w:bCs/>
                <w:sz w:val="20"/>
                <w:szCs w:val="20"/>
              </w:rPr>
            </w:pPr>
            <w:r w:rsidRPr="00445218">
              <w:rPr>
                <w:rFonts w:cs="Calibri"/>
                <w:b/>
                <w:bCs/>
                <w:sz w:val="20"/>
                <w:szCs w:val="20"/>
              </w:rPr>
              <w:t>SCHEDULE OF CAPITAL STRUCTURE (YEAR END)</w:t>
            </w:r>
          </w:p>
        </w:tc>
        <w:tc>
          <w:tcPr>
            <w:tcW w:w="1706"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172"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833"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374" w:type="dxa"/>
            <w:gridSpan w:val="2"/>
            <w:tcBorders>
              <w:top w:val="nil"/>
              <w:left w:val="nil"/>
              <w:bottom w:val="nil"/>
              <w:right w:val="single" w:sz="8" w:space="0" w:color="auto"/>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r>
      <w:tr w:rsidR="00445218" w:rsidRPr="007E7CD6" w:rsidTr="00636751">
        <w:trPr>
          <w:gridBefore w:val="1"/>
          <w:wBefore w:w="149" w:type="dxa"/>
          <w:trHeight w:val="300"/>
        </w:trPr>
        <w:tc>
          <w:tcPr>
            <w:tcW w:w="466" w:type="dxa"/>
            <w:gridSpan w:val="2"/>
            <w:tcBorders>
              <w:top w:val="single" w:sz="8" w:space="0" w:color="auto"/>
              <w:left w:val="single" w:sz="8" w:space="0" w:color="auto"/>
              <w:bottom w:val="nil"/>
              <w:right w:val="nil"/>
            </w:tcBorders>
            <w:shd w:val="clear" w:color="auto" w:fill="auto"/>
            <w:noWrap/>
            <w:vAlign w:val="bottom"/>
            <w:hideMark/>
          </w:tcPr>
          <w:p w:rsidR="00445218" w:rsidRPr="00445218" w:rsidRDefault="00445218" w:rsidP="00445218">
            <w:pPr>
              <w:jc w:val="center"/>
              <w:rPr>
                <w:rFonts w:cs="Calibri"/>
                <w:sz w:val="20"/>
                <w:szCs w:val="20"/>
              </w:rPr>
            </w:pPr>
            <w:r w:rsidRPr="00445218">
              <w:rPr>
                <w:rFonts w:cs="Calibri"/>
                <w:sz w:val="20"/>
                <w:szCs w:val="20"/>
              </w:rPr>
              <w:t> </w:t>
            </w:r>
          </w:p>
        </w:tc>
        <w:tc>
          <w:tcPr>
            <w:tcW w:w="265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c>
          <w:tcPr>
            <w:tcW w:w="1218" w:type="dxa"/>
            <w:gridSpan w:val="2"/>
            <w:tcBorders>
              <w:top w:val="nil"/>
              <w:left w:val="nil"/>
              <w:bottom w:val="nil"/>
              <w:right w:val="nil"/>
            </w:tcBorders>
            <w:shd w:val="clear" w:color="auto" w:fill="auto"/>
            <w:noWrap/>
            <w:vAlign w:val="bottom"/>
            <w:hideMark/>
          </w:tcPr>
          <w:p w:rsidR="00445218" w:rsidRPr="00445218" w:rsidRDefault="00445218" w:rsidP="00445218">
            <w:pPr>
              <w:jc w:val="center"/>
              <w:rPr>
                <w:rFonts w:cs="Calibri"/>
                <w:b/>
                <w:sz w:val="20"/>
                <w:szCs w:val="20"/>
              </w:rPr>
            </w:pPr>
            <w:r w:rsidRPr="00445218">
              <w:rPr>
                <w:rFonts w:cs="Calibri"/>
                <w:b/>
                <w:sz w:val="20"/>
                <w:szCs w:val="20"/>
              </w:rPr>
              <w:t>PER</w:t>
            </w: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c>
          <w:tcPr>
            <w:tcW w:w="1572" w:type="dxa"/>
            <w:tcBorders>
              <w:top w:val="nil"/>
              <w:left w:val="nil"/>
              <w:bottom w:val="nil"/>
              <w:right w:val="nil"/>
            </w:tcBorders>
            <w:shd w:val="clear" w:color="auto" w:fill="auto"/>
            <w:noWrap/>
            <w:vAlign w:val="bottom"/>
            <w:hideMark/>
          </w:tcPr>
          <w:p w:rsidR="00445218" w:rsidRPr="00445218" w:rsidRDefault="00445218" w:rsidP="00445218">
            <w:pPr>
              <w:jc w:val="center"/>
              <w:rPr>
                <w:rFonts w:cs="Calibri"/>
                <w:b/>
                <w:bCs/>
                <w:sz w:val="20"/>
                <w:szCs w:val="20"/>
              </w:rPr>
            </w:pPr>
            <w:r w:rsidRPr="00445218">
              <w:rPr>
                <w:rFonts w:cs="Calibri"/>
                <w:b/>
                <w:bCs/>
                <w:sz w:val="20"/>
                <w:szCs w:val="20"/>
              </w:rPr>
              <w:t>TEST YEAR</w:t>
            </w:r>
          </w:p>
        </w:tc>
        <w:tc>
          <w:tcPr>
            <w:tcW w:w="1706" w:type="dxa"/>
            <w:gridSpan w:val="2"/>
            <w:tcBorders>
              <w:top w:val="single" w:sz="8" w:space="0" w:color="auto"/>
              <w:left w:val="nil"/>
              <w:bottom w:val="nil"/>
              <w:right w:val="nil"/>
            </w:tcBorders>
            <w:shd w:val="clear" w:color="auto" w:fill="auto"/>
            <w:noWrap/>
            <w:vAlign w:val="bottom"/>
            <w:hideMark/>
          </w:tcPr>
          <w:p w:rsidR="00445218" w:rsidRPr="00445218" w:rsidRDefault="00445218" w:rsidP="00445218">
            <w:pPr>
              <w:jc w:val="center"/>
              <w:rPr>
                <w:rFonts w:cs="Calibri"/>
                <w:b/>
                <w:bCs/>
                <w:sz w:val="20"/>
                <w:szCs w:val="20"/>
              </w:rPr>
            </w:pPr>
            <w:r w:rsidRPr="00445218">
              <w:rPr>
                <w:rFonts w:cs="Calibri"/>
                <w:b/>
                <w:bCs/>
                <w:sz w:val="20"/>
                <w:szCs w:val="20"/>
              </w:rPr>
              <w:t>ADJUSTMENTS</w:t>
            </w:r>
          </w:p>
        </w:tc>
        <w:tc>
          <w:tcPr>
            <w:tcW w:w="1572" w:type="dxa"/>
            <w:gridSpan w:val="2"/>
            <w:tcBorders>
              <w:top w:val="single" w:sz="8" w:space="0" w:color="auto"/>
              <w:left w:val="nil"/>
              <w:bottom w:val="nil"/>
              <w:right w:val="nil"/>
            </w:tcBorders>
            <w:shd w:val="clear" w:color="auto" w:fill="auto"/>
            <w:noWrap/>
            <w:vAlign w:val="bottom"/>
            <w:hideMark/>
          </w:tcPr>
          <w:p w:rsidR="00445218" w:rsidRPr="00445218" w:rsidRDefault="00445218" w:rsidP="00445218">
            <w:pPr>
              <w:jc w:val="center"/>
              <w:rPr>
                <w:rFonts w:cs="Calibri"/>
                <w:b/>
                <w:bCs/>
                <w:sz w:val="20"/>
                <w:szCs w:val="20"/>
              </w:rPr>
            </w:pPr>
            <w:r w:rsidRPr="00445218">
              <w:rPr>
                <w:rFonts w:cs="Calibri"/>
                <w:b/>
                <w:bCs/>
                <w:sz w:val="20"/>
                <w:szCs w:val="20"/>
              </w:rPr>
              <w:t>RECONCILED</w:t>
            </w:r>
          </w:p>
        </w:tc>
        <w:tc>
          <w:tcPr>
            <w:tcW w:w="1172" w:type="dxa"/>
            <w:gridSpan w:val="2"/>
            <w:tcBorders>
              <w:top w:val="single" w:sz="8" w:space="0" w:color="auto"/>
              <w:left w:val="nil"/>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c>
          <w:tcPr>
            <w:tcW w:w="833" w:type="dxa"/>
            <w:tcBorders>
              <w:top w:val="single" w:sz="8" w:space="0" w:color="auto"/>
              <w:left w:val="nil"/>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c>
          <w:tcPr>
            <w:tcW w:w="1374" w:type="dxa"/>
            <w:gridSpan w:val="2"/>
            <w:tcBorders>
              <w:top w:val="single" w:sz="8" w:space="0" w:color="auto"/>
              <w:left w:val="nil"/>
              <w:bottom w:val="nil"/>
              <w:right w:val="single" w:sz="8" w:space="0" w:color="auto"/>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r>
      <w:tr w:rsidR="00445218" w:rsidRPr="007E7CD6" w:rsidTr="00636751">
        <w:trPr>
          <w:gridBefore w:val="1"/>
          <w:wBefore w:w="149" w:type="dxa"/>
          <w:trHeight w:val="300"/>
        </w:trPr>
        <w:tc>
          <w:tcPr>
            <w:tcW w:w="466" w:type="dxa"/>
            <w:gridSpan w:val="2"/>
            <w:tcBorders>
              <w:top w:val="nil"/>
              <w:left w:val="single" w:sz="8" w:space="0" w:color="auto"/>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c>
          <w:tcPr>
            <w:tcW w:w="265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218" w:type="dxa"/>
            <w:gridSpan w:val="2"/>
            <w:tcBorders>
              <w:top w:val="nil"/>
              <w:left w:val="nil"/>
              <w:bottom w:val="nil"/>
              <w:right w:val="nil"/>
            </w:tcBorders>
            <w:shd w:val="clear" w:color="auto" w:fill="auto"/>
            <w:noWrap/>
            <w:vAlign w:val="bottom"/>
            <w:hideMark/>
          </w:tcPr>
          <w:p w:rsidR="00445218" w:rsidRPr="00445218" w:rsidRDefault="00445218" w:rsidP="00445218">
            <w:pPr>
              <w:jc w:val="center"/>
              <w:rPr>
                <w:rFonts w:cs="Calibri"/>
                <w:b/>
                <w:bCs/>
                <w:sz w:val="20"/>
                <w:szCs w:val="20"/>
              </w:rPr>
            </w:pPr>
            <w:r w:rsidRPr="00445218">
              <w:rPr>
                <w:rFonts w:cs="Calibri"/>
                <w:b/>
                <w:bCs/>
                <w:sz w:val="20"/>
                <w:szCs w:val="20"/>
              </w:rPr>
              <w:t>UTILITY</w:t>
            </w:r>
          </w:p>
        </w:tc>
        <w:tc>
          <w:tcPr>
            <w:tcW w:w="1572" w:type="dxa"/>
            <w:gridSpan w:val="2"/>
            <w:tcBorders>
              <w:top w:val="nil"/>
              <w:left w:val="nil"/>
              <w:bottom w:val="nil"/>
              <w:right w:val="nil"/>
            </w:tcBorders>
            <w:shd w:val="clear" w:color="auto" w:fill="auto"/>
            <w:noWrap/>
            <w:vAlign w:val="bottom"/>
            <w:hideMark/>
          </w:tcPr>
          <w:p w:rsidR="00445218" w:rsidRPr="00445218" w:rsidRDefault="00636751" w:rsidP="00445218">
            <w:pPr>
              <w:jc w:val="center"/>
              <w:rPr>
                <w:rFonts w:cs="Calibri"/>
                <w:b/>
                <w:bCs/>
                <w:sz w:val="20"/>
                <w:szCs w:val="20"/>
              </w:rPr>
            </w:pPr>
            <w:r>
              <w:rPr>
                <w:rFonts w:cs="Calibri"/>
                <w:b/>
                <w:bCs/>
                <w:sz w:val="20"/>
                <w:szCs w:val="20"/>
              </w:rPr>
              <w:t>COMMISSION</w:t>
            </w:r>
          </w:p>
        </w:tc>
        <w:tc>
          <w:tcPr>
            <w:tcW w:w="1572" w:type="dxa"/>
            <w:tcBorders>
              <w:top w:val="nil"/>
              <w:left w:val="nil"/>
              <w:bottom w:val="nil"/>
              <w:right w:val="nil"/>
            </w:tcBorders>
            <w:shd w:val="clear" w:color="auto" w:fill="auto"/>
            <w:noWrap/>
            <w:vAlign w:val="bottom"/>
            <w:hideMark/>
          </w:tcPr>
          <w:p w:rsidR="00445218" w:rsidRPr="00445218" w:rsidRDefault="00445218" w:rsidP="00445218">
            <w:pPr>
              <w:jc w:val="center"/>
              <w:rPr>
                <w:rFonts w:cs="Calibri"/>
                <w:b/>
                <w:bCs/>
                <w:sz w:val="20"/>
                <w:szCs w:val="20"/>
              </w:rPr>
            </w:pPr>
            <w:r w:rsidRPr="00445218">
              <w:rPr>
                <w:rFonts w:cs="Calibri"/>
                <w:b/>
                <w:bCs/>
                <w:sz w:val="20"/>
                <w:szCs w:val="20"/>
              </w:rPr>
              <w:t>BALANCE</w:t>
            </w:r>
          </w:p>
        </w:tc>
        <w:tc>
          <w:tcPr>
            <w:tcW w:w="1706" w:type="dxa"/>
            <w:gridSpan w:val="2"/>
            <w:tcBorders>
              <w:top w:val="nil"/>
              <w:left w:val="nil"/>
              <w:bottom w:val="nil"/>
              <w:right w:val="nil"/>
            </w:tcBorders>
            <w:shd w:val="clear" w:color="auto" w:fill="auto"/>
            <w:noWrap/>
            <w:vAlign w:val="bottom"/>
            <w:hideMark/>
          </w:tcPr>
          <w:p w:rsidR="00445218" w:rsidRPr="00445218" w:rsidRDefault="00445218" w:rsidP="00445218">
            <w:pPr>
              <w:jc w:val="center"/>
              <w:rPr>
                <w:rFonts w:cs="Calibri"/>
                <w:b/>
                <w:bCs/>
                <w:sz w:val="20"/>
                <w:szCs w:val="20"/>
              </w:rPr>
            </w:pPr>
            <w:r w:rsidRPr="00445218">
              <w:rPr>
                <w:rFonts w:cs="Calibri"/>
                <w:b/>
                <w:bCs/>
                <w:sz w:val="20"/>
                <w:szCs w:val="20"/>
              </w:rPr>
              <w:t>TO</w:t>
            </w: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jc w:val="center"/>
              <w:rPr>
                <w:rFonts w:cs="Calibri"/>
                <w:b/>
                <w:bCs/>
                <w:sz w:val="20"/>
                <w:szCs w:val="20"/>
              </w:rPr>
            </w:pPr>
            <w:r w:rsidRPr="00445218">
              <w:rPr>
                <w:rFonts w:cs="Calibri"/>
                <w:b/>
                <w:bCs/>
                <w:sz w:val="20"/>
                <w:szCs w:val="20"/>
              </w:rPr>
              <w:t>CAPITAL</w:t>
            </w:r>
          </w:p>
        </w:tc>
        <w:tc>
          <w:tcPr>
            <w:tcW w:w="1172" w:type="dxa"/>
            <w:gridSpan w:val="2"/>
            <w:tcBorders>
              <w:top w:val="nil"/>
              <w:left w:val="nil"/>
              <w:bottom w:val="nil"/>
              <w:right w:val="nil"/>
            </w:tcBorders>
            <w:shd w:val="clear" w:color="auto" w:fill="auto"/>
            <w:noWrap/>
            <w:vAlign w:val="bottom"/>
            <w:hideMark/>
          </w:tcPr>
          <w:p w:rsidR="00445218" w:rsidRPr="00445218" w:rsidRDefault="00445218" w:rsidP="00445218">
            <w:pPr>
              <w:jc w:val="center"/>
              <w:rPr>
                <w:rFonts w:cs="Calibri"/>
                <w:b/>
                <w:bCs/>
                <w:sz w:val="20"/>
                <w:szCs w:val="20"/>
              </w:rPr>
            </w:pPr>
            <w:r w:rsidRPr="00445218">
              <w:rPr>
                <w:rFonts w:cs="Calibri"/>
                <w:b/>
                <w:bCs/>
                <w:sz w:val="20"/>
                <w:szCs w:val="20"/>
              </w:rPr>
              <w:t>PERCENT</w:t>
            </w:r>
          </w:p>
        </w:tc>
        <w:tc>
          <w:tcPr>
            <w:tcW w:w="833" w:type="dxa"/>
            <w:tcBorders>
              <w:top w:val="nil"/>
              <w:left w:val="nil"/>
              <w:bottom w:val="nil"/>
              <w:right w:val="nil"/>
            </w:tcBorders>
            <w:shd w:val="clear" w:color="auto" w:fill="auto"/>
            <w:noWrap/>
            <w:vAlign w:val="bottom"/>
            <w:hideMark/>
          </w:tcPr>
          <w:p w:rsidR="00445218" w:rsidRPr="00445218" w:rsidRDefault="00445218" w:rsidP="00445218">
            <w:pPr>
              <w:rPr>
                <w:rFonts w:cs="Calibri"/>
                <w:b/>
                <w:bCs/>
                <w:sz w:val="20"/>
                <w:szCs w:val="20"/>
              </w:rPr>
            </w:pPr>
          </w:p>
        </w:tc>
        <w:tc>
          <w:tcPr>
            <w:tcW w:w="1374" w:type="dxa"/>
            <w:gridSpan w:val="2"/>
            <w:tcBorders>
              <w:top w:val="nil"/>
              <w:left w:val="nil"/>
              <w:bottom w:val="nil"/>
              <w:right w:val="single" w:sz="8" w:space="0" w:color="auto"/>
            </w:tcBorders>
            <w:shd w:val="clear" w:color="auto" w:fill="auto"/>
            <w:noWrap/>
            <w:vAlign w:val="bottom"/>
            <w:hideMark/>
          </w:tcPr>
          <w:p w:rsidR="00445218" w:rsidRPr="00445218" w:rsidRDefault="00445218" w:rsidP="00445218">
            <w:pPr>
              <w:rPr>
                <w:rFonts w:cs="Calibri"/>
                <w:b/>
                <w:bCs/>
                <w:sz w:val="20"/>
                <w:szCs w:val="20"/>
              </w:rPr>
            </w:pPr>
            <w:r w:rsidRPr="00445218">
              <w:rPr>
                <w:rFonts w:cs="Calibri"/>
                <w:b/>
                <w:bCs/>
                <w:sz w:val="20"/>
                <w:szCs w:val="20"/>
              </w:rPr>
              <w:t> </w:t>
            </w:r>
          </w:p>
        </w:tc>
      </w:tr>
      <w:tr w:rsidR="00445218" w:rsidRPr="007E7CD6" w:rsidTr="00636751">
        <w:trPr>
          <w:gridBefore w:val="1"/>
          <w:wBefore w:w="149" w:type="dxa"/>
          <w:trHeight w:val="300"/>
        </w:trPr>
        <w:tc>
          <w:tcPr>
            <w:tcW w:w="466" w:type="dxa"/>
            <w:gridSpan w:val="2"/>
            <w:tcBorders>
              <w:top w:val="nil"/>
              <w:left w:val="single" w:sz="8" w:space="0" w:color="auto"/>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c>
          <w:tcPr>
            <w:tcW w:w="265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218" w:type="dxa"/>
            <w:gridSpan w:val="2"/>
            <w:tcBorders>
              <w:top w:val="nil"/>
              <w:left w:val="nil"/>
              <w:bottom w:val="nil"/>
              <w:right w:val="nil"/>
            </w:tcBorders>
            <w:shd w:val="clear" w:color="auto" w:fill="auto"/>
            <w:noWrap/>
            <w:vAlign w:val="bottom"/>
            <w:hideMark/>
          </w:tcPr>
          <w:p w:rsidR="00445218" w:rsidRPr="00445218" w:rsidRDefault="00445218" w:rsidP="00445218">
            <w:pPr>
              <w:jc w:val="center"/>
              <w:rPr>
                <w:rFonts w:cs="Calibri"/>
                <w:b/>
                <w:bCs/>
                <w:sz w:val="20"/>
                <w:szCs w:val="20"/>
              </w:rPr>
            </w:pPr>
            <w:r w:rsidRPr="00445218">
              <w:rPr>
                <w:rFonts w:cs="Calibri"/>
                <w:b/>
                <w:bCs/>
                <w:sz w:val="20"/>
                <w:szCs w:val="20"/>
              </w:rPr>
              <w:t>(YEAR</w:t>
            </w: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jc w:val="center"/>
              <w:rPr>
                <w:rFonts w:cs="Calibri"/>
                <w:b/>
                <w:bCs/>
                <w:sz w:val="20"/>
                <w:szCs w:val="20"/>
              </w:rPr>
            </w:pPr>
            <w:r w:rsidRPr="00445218">
              <w:rPr>
                <w:rFonts w:cs="Calibri"/>
                <w:b/>
                <w:bCs/>
                <w:sz w:val="20"/>
                <w:szCs w:val="20"/>
              </w:rPr>
              <w:t>ADJUST-</w:t>
            </w:r>
          </w:p>
        </w:tc>
        <w:tc>
          <w:tcPr>
            <w:tcW w:w="1572" w:type="dxa"/>
            <w:tcBorders>
              <w:top w:val="nil"/>
              <w:left w:val="nil"/>
              <w:bottom w:val="nil"/>
              <w:right w:val="nil"/>
            </w:tcBorders>
            <w:shd w:val="clear" w:color="auto" w:fill="auto"/>
            <w:noWrap/>
            <w:vAlign w:val="bottom"/>
            <w:hideMark/>
          </w:tcPr>
          <w:p w:rsidR="00445218" w:rsidRPr="00445218" w:rsidRDefault="00445218" w:rsidP="00445218">
            <w:pPr>
              <w:jc w:val="center"/>
              <w:rPr>
                <w:rFonts w:cs="Calibri"/>
                <w:b/>
                <w:bCs/>
                <w:sz w:val="20"/>
                <w:szCs w:val="20"/>
              </w:rPr>
            </w:pPr>
            <w:r w:rsidRPr="00445218">
              <w:rPr>
                <w:rFonts w:cs="Calibri"/>
                <w:b/>
                <w:bCs/>
                <w:sz w:val="20"/>
                <w:szCs w:val="20"/>
              </w:rPr>
              <w:t>PER</w:t>
            </w:r>
          </w:p>
        </w:tc>
        <w:tc>
          <w:tcPr>
            <w:tcW w:w="1706" w:type="dxa"/>
            <w:gridSpan w:val="2"/>
            <w:tcBorders>
              <w:top w:val="nil"/>
              <w:left w:val="nil"/>
              <w:bottom w:val="nil"/>
              <w:right w:val="nil"/>
            </w:tcBorders>
            <w:shd w:val="clear" w:color="auto" w:fill="auto"/>
            <w:noWrap/>
            <w:vAlign w:val="bottom"/>
            <w:hideMark/>
          </w:tcPr>
          <w:p w:rsidR="00445218" w:rsidRPr="00445218" w:rsidRDefault="00445218" w:rsidP="00445218">
            <w:pPr>
              <w:jc w:val="center"/>
              <w:rPr>
                <w:rFonts w:cs="Calibri"/>
                <w:b/>
                <w:bCs/>
                <w:sz w:val="20"/>
                <w:szCs w:val="20"/>
              </w:rPr>
            </w:pPr>
            <w:r w:rsidRPr="00445218">
              <w:rPr>
                <w:rFonts w:cs="Calibri"/>
                <w:b/>
                <w:bCs/>
                <w:sz w:val="20"/>
                <w:szCs w:val="20"/>
              </w:rPr>
              <w:t>RECONCILE</w:t>
            </w: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jc w:val="center"/>
              <w:rPr>
                <w:rFonts w:cs="Calibri"/>
                <w:b/>
                <w:bCs/>
                <w:sz w:val="20"/>
                <w:szCs w:val="20"/>
              </w:rPr>
            </w:pPr>
            <w:r w:rsidRPr="00445218">
              <w:rPr>
                <w:rFonts w:cs="Calibri"/>
                <w:b/>
                <w:bCs/>
                <w:sz w:val="20"/>
                <w:szCs w:val="20"/>
              </w:rPr>
              <w:t>STRUCTURE</w:t>
            </w:r>
          </w:p>
        </w:tc>
        <w:tc>
          <w:tcPr>
            <w:tcW w:w="1172" w:type="dxa"/>
            <w:gridSpan w:val="2"/>
            <w:tcBorders>
              <w:top w:val="nil"/>
              <w:left w:val="nil"/>
              <w:bottom w:val="nil"/>
              <w:right w:val="nil"/>
            </w:tcBorders>
            <w:shd w:val="clear" w:color="auto" w:fill="auto"/>
            <w:noWrap/>
            <w:vAlign w:val="bottom"/>
            <w:hideMark/>
          </w:tcPr>
          <w:p w:rsidR="00445218" w:rsidRPr="00445218" w:rsidRDefault="00445218" w:rsidP="00445218">
            <w:pPr>
              <w:jc w:val="center"/>
              <w:rPr>
                <w:rFonts w:cs="Calibri"/>
                <w:b/>
                <w:bCs/>
                <w:sz w:val="20"/>
                <w:szCs w:val="20"/>
              </w:rPr>
            </w:pPr>
            <w:r w:rsidRPr="00445218">
              <w:rPr>
                <w:rFonts w:cs="Calibri"/>
                <w:b/>
                <w:bCs/>
                <w:sz w:val="20"/>
                <w:szCs w:val="20"/>
              </w:rPr>
              <w:t>OF</w:t>
            </w:r>
          </w:p>
        </w:tc>
        <w:tc>
          <w:tcPr>
            <w:tcW w:w="833" w:type="dxa"/>
            <w:tcBorders>
              <w:top w:val="nil"/>
              <w:left w:val="nil"/>
              <w:bottom w:val="nil"/>
              <w:right w:val="nil"/>
            </w:tcBorders>
            <w:shd w:val="clear" w:color="auto" w:fill="auto"/>
            <w:noWrap/>
            <w:vAlign w:val="bottom"/>
            <w:hideMark/>
          </w:tcPr>
          <w:p w:rsidR="00445218" w:rsidRPr="00445218" w:rsidRDefault="00445218" w:rsidP="00445218">
            <w:pPr>
              <w:jc w:val="center"/>
              <w:rPr>
                <w:rFonts w:cs="Calibri"/>
                <w:b/>
                <w:bCs/>
                <w:sz w:val="20"/>
                <w:szCs w:val="20"/>
              </w:rPr>
            </w:pPr>
          </w:p>
        </w:tc>
        <w:tc>
          <w:tcPr>
            <w:tcW w:w="1374" w:type="dxa"/>
            <w:gridSpan w:val="2"/>
            <w:tcBorders>
              <w:top w:val="nil"/>
              <w:left w:val="nil"/>
              <w:bottom w:val="nil"/>
              <w:right w:val="single" w:sz="8" w:space="0" w:color="auto"/>
            </w:tcBorders>
            <w:shd w:val="clear" w:color="auto" w:fill="auto"/>
            <w:noWrap/>
            <w:vAlign w:val="bottom"/>
            <w:hideMark/>
          </w:tcPr>
          <w:p w:rsidR="00445218" w:rsidRPr="00445218" w:rsidRDefault="00445218" w:rsidP="00445218">
            <w:pPr>
              <w:jc w:val="center"/>
              <w:rPr>
                <w:rFonts w:cs="Calibri"/>
                <w:b/>
                <w:bCs/>
                <w:sz w:val="20"/>
                <w:szCs w:val="20"/>
              </w:rPr>
            </w:pPr>
            <w:r w:rsidRPr="00445218">
              <w:rPr>
                <w:rFonts w:cs="Calibri"/>
                <w:b/>
                <w:bCs/>
                <w:sz w:val="20"/>
                <w:szCs w:val="20"/>
              </w:rPr>
              <w:t>WEIGHTED</w:t>
            </w:r>
          </w:p>
        </w:tc>
      </w:tr>
      <w:tr w:rsidR="00445218" w:rsidRPr="007E7CD6" w:rsidTr="00636751">
        <w:trPr>
          <w:gridBefore w:val="1"/>
          <w:wBefore w:w="149" w:type="dxa"/>
          <w:trHeight w:val="312"/>
        </w:trPr>
        <w:tc>
          <w:tcPr>
            <w:tcW w:w="466" w:type="dxa"/>
            <w:gridSpan w:val="2"/>
            <w:tcBorders>
              <w:top w:val="nil"/>
              <w:left w:val="single" w:sz="8" w:space="0" w:color="auto"/>
              <w:bottom w:val="single" w:sz="8" w:space="0" w:color="auto"/>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c>
          <w:tcPr>
            <w:tcW w:w="2658" w:type="dxa"/>
            <w:tcBorders>
              <w:top w:val="nil"/>
              <w:left w:val="nil"/>
              <w:bottom w:val="single" w:sz="8" w:space="0" w:color="auto"/>
              <w:right w:val="nil"/>
            </w:tcBorders>
            <w:shd w:val="clear" w:color="auto" w:fill="auto"/>
            <w:noWrap/>
            <w:vAlign w:val="bottom"/>
            <w:hideMark/>
          </w:tcPr>
          <w:p w:rsidR="00445218" w:rsidRPr="00445218" w:rsidRDefault="00445218" w:rsidP="00445218">
            <w:pPr>
              <w:rPr>
                <w:rFonts w:cs="Calibri"/>
                <w:b/>
                <w:bCs/>
                <w:sz w:val="20"/>
                <w:szCs w:val="20"/>
              </w:rPr>
            </w:pPr>
            <w:r w:rsidRPr="00445218">
              <w:rPr>
                <w:rFonts w:cs="Calibri"/>
                <w:b/>
                <w:bCs/>
                <w:sz w:val="20"/>
                <w:szCs w:val="20"/>
              </w:rPr>
              <w:t>CAPITAL COMPONENT</w:t>
            </w:r>
          </w:p>
        </w:tc>
        <w:tc>
          <w:tcPr>
            <w:tcW w:w="1218" w:type="dxa"/>
            <w:gridSpan w:val="2"/>
            <w:tcBorders>
              <w:top w:val="nil"/>
              <w:left w:val="nil"/>
              <w:bottom w:val="single" w:sz="8" w:space="0" w:color="auto"/>
              <w:right w:val="nil"/>
            </w:tcBorders>
            <w:shd w:val="clear" w:color="auto" w:fill="auto"/>
            <w:noWrap/>
            <w:vAlign w:val="bottom"/>
            <w:hideMark/>
          </w:tcPr>
          <w:p w:rsidR="00445218" w:rsidRPr="00445218" w:rsidRDefault="00445218" w:rsidP="00445218">
            <w:pPr>
              <w:jc w:val="center"/>
              <w:rPr>
                <w:rFonts w:cs="Calibri"/>
                <w:b/>
                <w:bCs/>
                <w:sz w:val="20"/>
                <w:szCs w:val="20"/>
              </w:rPr>
            </w:pPr>
            <w:r w:rsidRPr="00445218">
              <w:rPr>
                <w:rFonts w:cs="Calibri"/>
                <w:b/>
                <w:bCs/>
                <w:sz w:val="20"/>
                <w:szCs w:val="20"/>
              </w:rPr>
              <w:t>END)</w:t>
            </w:r>
          </w:p>
        </w:tc>
        <w:tc>
          <w:tcPr>
            <w:tcW w:w="1572" w:type="dxa"/>
            <w:gridSpan w:val="2"/>
            <w:tcBorders>
              <w:top w:val="nil"/>
              <w:left w:val="nil"/>
              <w:bottom w:val="single" w:sz="8" w:space="0" w:color="auto"/>
              <w:right w:val="nil"/>
            </w:tcBorders>
            <w:shd w:val="clear" w:color="auto" w:fill="auto"/>
            <w:noWrap/>
            <w:vAlign w:val="bottom"/>
            <w:hideMark/>
          </w:tcPr>
          <w:p w:rsidR="00445218" w:rsidRPr="00445218" w:rsidRDefault="00445218" w:rsidP="00445218">
            <w:pPr>
              <w:jc w:val="center"/>
              <w:rPr>
                <w:rFonts w:cs="Calibri"/>
                <w:b/>
                <w:bCs/>
                <w:sz w:val="20"/>
                <w:szCs w:val="20"/>
              </w:rPr>
            </w:pPr>
            <w:r w:rsidRPr="00445218">
              <w:rPr>
                <w:rFonts w:cs="Calibri"/>
                <w:b/>
                <w:bCs/>
                <w:sz w:val="20"/>
                <w:szCs w:val="20"/>
              </w:rPr>
              <w:t>MENTS</w:t>
            </w:r>
          </w:p>
        </w:tc>
        <w:tc>
          <w:tcPr>
            <w:tcW w:w="1572" w:type="dxa"/>
            <w:tcBorders>
              <w:top w:val="nil"/>
              <w:left w:val="nil"/>
              <w:bottom w:val="single" w:sz="8" w:space="0" w:color="auto"/>
              <w:right w:val="nil"/>
            </w:tcBorders>
            <w:shd w:val="clear" w:color="auto" w:fill="auto"/>
            <w:noWrap/>
            <w:vAlign w:val="bottom"/>
            <w:hideMark/>
          </w:tcPr>
          <w:p w:rsidR="00445218" w:rsidRPr="00445218" w:rsidRDefault="00636751" w:rsidP="00445218">
            <w:pPr>
              <w:jc w:val="center"/>
              <w:rPr>
                <w:rFonts w:cs="Calibri"/>
                <w:b/>
                <w:bCs/>
                <w:sz w:val="20"/>
                <w:szCs w:val="20"/>
              </w:rPr>
            </w:pPr>
            <w:r>
              <w:rPr>
                <w:rFonts w:cs="Calibri"/>
                <w:b/>
                <w:bCs/>
                <w:sz w:val="20"/>
                <w:szCs w:val="20"/>
              </w:rPr>
              <w:t>COMMISSION</w:t>
            </w:r>
          </w:p>
        </w:tc>
        <w:tc>
          <w:tcPr>
            <w:tcW w:w="1706" w:type="dxa"/>
            <w:gridSpan w:val="2"/>
            <w:tcBorders>
              <w:top w:val="nil"/>
              <w:left w:val="nil"/>
              <w:bottom w:val="single" w:sz="8" w:space="0" w:color="auto"/>
              <w:right w:val="nil"/>
            </w:tcBorders>
            <w:shd w:val="clear" w:color="auto" w:fill="auto"/>
            <w:noWrap/>
            <w:vAlign w:val="bottom"/>
            <w:hideMark/>
          </w:tcPr>
          <w:p w:rsidR="00445218" w:rsidRPr="00445218" w:rsidRDefault="00445218" w:rsidP="00445218">
            <w:pPr>
              <w:jc w:val="center"/>
              <w:rPr>
                <w:rFonts w:cs="Calibri"/>
                <w:b/>
                <w:bCs/>
                <w:sz w:val="20"/>
                <w:szCs w:val="20"/>
              </w:rPr>
            </w:pPr>
            <w:r w:rsidRPr="00445218">
              <w:rPr>
                <w:rFonts w:cs="Calibri"/>
                <w:b/>
                <w:bCs/>
                <w:sz w:val="20"/>
                <w:szCs w:val="20"/>
              </w:rPr>
              <w:t>TO RATE BASE</w:t>
            </w:r>
          </w:p>
        </w:tc>
        <w:tc>
          <w:tcPr>
            <w:tcW w:w="1572" w:type="dxa"/>
            <w:gridSpan w:val="2"/>
            <w:tcBorders>
              <w:top w:val="nil"/>
              <w:left w:val="nil"/>
              <w:bottom w:val="single" w:sz="8" w:space="0" w:color="auto"/>
              <w:right w:val="nil"/>
            </w:tcBorders>
            <w:shd w:val="clear" w:color="auto" w:fill="auto"/>
            <w:noWrap/>
            <w:vAlign w:val="bottom"/>
            <w:hideMark/>
          </w:tcPr>
          <w:p w:rsidR="00445218" w:rsidRPr="00445218" w:rsidRDefault="00445218" w:rsidP="00636751">
            <w:pPr>
              <w:jc w:val="center"/>
              <w:rPr>
                <w:rFonts w:cs="Calibri"/>
                <w:b/>
                <w:bCs/>
                <w:sz w:val="20"/>
                <w:szCs w:val="20"/>
              </w:rPr>
            </w:pPr>
            <w:r w:rsidRPr="00445218">
              <w:rPr>
                <w:rFonts w:cs="Calibri"/>
                <w:b/>
                <w:bCs/>
                <w:sz w:val="20"/>
                <w:szCs w:val="20"/>
              </w:rPr>
              <w:t xml:space="preserve">PER </w:t>
            </w:r>
            <w:r w:rsidR="00636751">
              <w:rPr>
                <w:rFonts w:cs="Calibri"/>
                <w:b/>
                <w:bCs/>
                <w:sz w:val="20"/>
                <w:szCs w:val="20"/>
              </w:rPr>
              <w:t>COMMISSION</w:t>
            </w:r>
          </w:p>
        </w:tc>
        <w:tc>
          <w:tcPr>
            <w:tcW w:w="1172" w:type="dxa"/>
            <w:gridSpan w:val="2"/>
            <w:tcBorders>
              <w:top w:val="nil"/>
              <w:left w:val="nil"/>
              <w:bottom w:val="single" w:sz="8" w:space="0" w:color="auto"/>
              <w:right w:val="nil"/>
            </w:tcBorders>
            <w:shd w:val="clear" w:color="auto" w:fill="auto"/>
            <w:noWrap/>
            <w:vAlign w:val="bottom"/>
            <w:hideMark/>
          </w:tcPr>
          <w:p w:rsidR="00445218" w:rsidRPr="00445218" w:rsidRDefault="00445218" w:rsidP="00445218">
            <w:pPr>
              <w:jc w:val="center"/>
              <w:rPr>
                <w:rFonts w:cs="Calibri"/>
                <w:b/>
                <w:bCs/>
                <w:sz w:val="20"/>
                <w:szCs w:val="20"/>
              </w:rPr>
            </w:pPr>
            <w:r w:rsidRPr="00445218">
              <w:rPr>
                <w:rFonts w:cs="Calibri"/>
                <w:b/>
                <w:bCs/>
                <w:sz w:val="20"/>
                <w:szCs w:val="20"/>
              </w:rPr>
              <w:t>TOTAL</w:t>
            </w:r>
          </w:p>
        </w:tc>
        <w:tc>
          <w:tcPr>
            <w:tcW w:w="833" w:type="dxa"/>
            <w:tcBorders>
              <w:top w:val="nil"/>
              <w:left w:val="nil"/>
              <w:bottom w:val="single" w:sz="8" w:space="0" w:color="auto"/>
              <w:right w:val="nil"/>
            </w:tcBorders>
            <w:shd w:val="clear" w:color="auto" w:fill="auto"/>
            <w:noWrap/>
            <w:vAlign w:val="bottom"/>
            <w:hideMark/>
          </w:tcPr>
          <w:p w:rsidR="00445218" w:rsidRPr="00445218" w:rsidRDefault="00445218" w:rsidP="00445218">
            <w:pPr>
              <w:jc w:val="center"/>
              <w:rPr>
                <w:rFonts w:cs="Calibri"/>
                <w:b/>
                <w:bCs/>
                <w:sz w:val="20"/>
                <w:szCs w:val="20"/>
              </w:rPr>
            </w:pPr>
            <w:r w:rsidRPr="00445218">
              <w:rPr>
                <w:rFonts w:cs="Calibri"/>
                <w:b/>
                <w:bCs/>
                <w:sz w:val="20"/>
                <w:szCs w:val="20"/>
              </w:rPr>
              <w:t>COST</w:t>
            </w:r>
          </w:p>
        </w:tc>
        <w:tc>
          <w:tcPr>
            <w:tcW w:w="1374" w:type="dxa"/>
            <w:gridSpan w:val="2"/>
            <w:tcBorders>
              <w:top w:val="nil"/>
              <w:left w:val="nil"/>
              <w:bottom w:val="single" w:sz="8" w:space="0" w:color="auto"/>
              <w:right w:val="single" w:sz="8" w:space="0" w:color="auto"/>
            </w:tcBorders>
            <w:shd w:val="clear" w:color="auto" w:fill="auto"/>
            <w:noWrap/>
            <w:vAlign w:val="bottom"/>
            <w:hideMark/>
          </w:tcPr>
          <w:p w:rsidR="00445218" w:rsidRPr="00445218" w:rsidRDefault="00445218" w:rsidP="00445218">
            <w:pPr>
              <w:jc w:val="center"/>
              <w:rPr>
                <w:rFonts w:cs="Calibri"/>
                <w:b/>
                <w:bCs/>
                <w:sz w:val="20"/>
                <w:szCs w:val="20"/>
              </w:rPr>
            </w:pPr>
            <w:r w:rsidRPr="00445218">
              <w:rPr>
                <w:rFonts w:cs="Calibri"/>
                <w:b/>
                <w:bCs/>
                <w:sz w:val="20"/>
                <w:szCs w:val="20"/>
              </w:rPr>
              <w:t>COST</w:t>
            </w:r>
          </w:p>
        </w:tc>
      </w:tr>
      <w:tr w:rsidR="00445218" w:rsidRPr="007E7CD6" w:rsidTr="00636751">
        <w:trPr>
          <w:gridBefore w:val="1"/>
          <w:wBefore w:w="149" w:type="dxa"/>
          <w:trHeight w:val="300"/>
        </w:trPr>
        <w:tc>
          <w:tcPr>
            <w:tcW w:w="466" w:type="dxa"/>
            <w:gridSpan w:val="2"/>
            <w:tcBorders>
              <w:top w:val="nil"/>
              <w:left w:val="single" w:sz="8" w:space="0" w:color="auto"/>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c>
          <w:tcPr>
            <w:tcW w:w="2658" w:type="dxa"/>
            <w:tcBorders>
              <w:top w:val="nil"/>
              <w:left w:val="nil"/>
              <w:bottom w:val="nil"/>
              <w:right w:val="nil"/>
            </w:tcBorders>
            <w:shd w:val="clear" w:color="auto" w:fill="auto"/>
            <w:noWrap/>
            <w:vAlign w:val="bottom"/>
            <w:hideMark/>
          </w:tcPr>
          <w:p w:rsidR="00445218" w:rsidRPr="00445218" w:rsidRDefault="00445218" w:rsidP="00445218">
            <w:pPr>
              <w:rPr>
                <w:rFonts w:cs="Calibri"/>
                <w:b/>
                <w:bCs/>
                <w:sz w:val="20"/>
                <w:szCs w:val="20"/>
              </w:rPr>
            </w:pPr>
          </w:p>
        </w:tc>
        <w:tc>
          <w:tcPr>
            <w:tcW w:w="1218" w:type="dxa"/>
            <w:gridSpan w:val="2"/>
            <w:tcBorders>
              <w:top w:val="nil"/>
              <w:left w:val="nil"/>
              <w:bottom w:val="nil"/>
              <w:right w:val="nil"/>
            </w:tcBorders>
            <w:shd w:val="clear" w:color="auto" w:fill="auto"/>
            <w:noWrap/>
            <w:vAlign w:val="bottom"/>
            <w:hideMark/>
          </w:tcPr>
          <w:p w:rsidR="00445218" w:rsidRPr="00445218" w:rsidRDefault="00445218" w:rsidP="00445218">
            <w:pPr>
              <w:jc w:val="center"/>
              <w:rPr>
                <w:rFonts w:cs="Calibri"/>
                <w:b/>
                <w:bCs/>
                <w:sz w:val="20"/>
                <w:szCs w:val="20"/>
              </w:rPr>
            </w:pP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jc w:val="center"/>
              <w:rPr>
                <w:rFonts w:cs="Calibri"/>
                <w:b/>
                <w:bCs/>
                <w:sz w:val="20"/>
                <w:szCs w:val="20"/>
              </w:rPr>
            </w:pPr>
          </w:p>
        </w:tc>
        <w:tc>
          <w:tcPr>
            <w:tcW w:w="1572" w:type="dxa"/>
            <w:tcBorders>
              <w:top w:val="nil"/>
              <w:left w:val="nil"/>
              <w:bottom w:val="nil"/>
              <w:right w:val="nil"/>
            </w:tcBorders>
            <w:shd w:val="clear" w:color="auto" w:fill="auto"/>
            <w:noWrap/>
            <w:vAlign w:val="bottom"/>
            <w:hideMark/>
          </w:tcPr>
          <w:p w:rsidR="00445218" w:rsidRPr="00445218" w:rsidRDefault="00445218" w:rsidP="00445218">
            <w:pPr>
              <w:jc w:val="center"/>
              <w:rPr>
                <w:rFonts w:cs="Calibri"/>
                <w:b/>
                <w:bCs/>
                <w:sz w:val="20"/>
                <w:szCs w:val="20"/>
              </w:rPr>
            </w:pPr>
          </w:p>
        </w:tc>
        <w:tc>
          <w:tcPr>
            <w:tcW w:w="1706" w:type="dxa"/>
            <w:gridSpan w:val="2"/>
            <w:tcBorders>
              <w:top w:val="nil"/>
              <w:left w:val="nil"/>
              <w:bottom w:val="nil"/>
              <w:right w:val="nil"/>
            </w:tcBorders>
            <w:shd w:val="clear" w:color="auto" w:fill="auto"/>
            <w:noWrap/>
            <w:vAlign w:val="bottom"/>
            <w:hideMark/>
          </w:tcPr>
          <w:p w:rsidR="00445218" w:rsidRPr="00445218" w:rsidRDefault="00445218" w:rsidP="00445218">
            <w:pPr>
              <w:jc w:val="center"/>
              <w:rPr>
                <w:rFonts w:cs="Calibri"/>
                <w:b/>
                <w:bCs/>
                <w:sz w:val="20"/>
                <w:szCs w:val="20"/>
              </w:rPr>
            </w:pP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jc w:val="center"/>
              <w:rPr>
                <w:rFonts w:cs="Calibri"/>
                <w:b/>
                <w:bCs/>
                <w:sz w:val="20"/>
                <w:szCs w:val="20"/>
              </w:rPr>
            </w:pPr>
          </w:p>
        </w:tc>
        <w:tc>
          <w:tcPr>
            <w:tcW w:w="1172" w:type="dxa"/>
            <w:gridSpan w:val="2"/>
            <w:tcBorders>
              <w:top w:val="nil"/>
              <w:left w:val="nil"/>
              <w:bottom w:val="nil"/>
              <w:right w:val="nil"/>
            </w:tcBorders>
            <w:shd w:val="clear" w:color="auto" w:fill="auto"/>
            <w:noWrap/>
            <w:vAlign w:val="bottom"/>
            <w:hideMark/>
          </w:tcPr>
          <w:p w:rsidR="00445218" w:rsidRPr="00445218" w:rsidRDefault="00445218" w:rsidP="00445218">
            <w:pPr>
              <w:jc w:val="center"/>
              <w:rPr>
                <w:rFonts w:cs="Calibri"/>
                <w:b/>
                <w:bCs/>
                <w:sz w:val="20"/>
                <w:szCs w:val="20"/>
              </w:rPr>
            </w:pPr>
          </w:p>
        </w:tc>
        <w:tc>
          <w:tcPr>
            <w:tcW w:w="833" w:type="dxa"/>
            <w:tcBorders>
              <w:top w:val="nil"/>
              <w:left w:val="nil"/>
              <w:bottom w:val="nil"/>
              <w:right w:val="nil"/>
            </w:tcBorders>
            <w:shd w:val="clear" w:color="auto" w:fill="auto"/>
            <w:noWrap/>
            <w:vAlign w:val="bottom"/>
            <w:hideMark/>
          </w:tcPr>
          <w:p w:rsidR="00445218" w:rsidRPr="00445218" w:rsidRDefault="00445218" w:rsidP="00445218">
            <w:pPr>
              <w:jc w:val="center"/>
              <w:rPr>
                <w:rFonts w:cs="Calibri"/>
                <w:b/>
                <w:bCs/>
                <w:sz w:val="20"/>
                <w:szCs w:val="20"/>
              </w:rPr>
            </w:pPr>
          </w:p>
        </w:tc>
        <w:tc>
          <w:tcPr>
            <w:tcW w:w="1374" w:type="dxa"/>
            <w:gridSpan w:val="2"/>
            <w:tcBorders>
              <w:top w:val="nil"/>
              <w:left w:val="nil"/>
              <w:bottom w:val="nil"/>
              <w:right w:val="single" w:sz="8" w:space="0" w:color="auto"/>
            </w:tcBorders>
            <w:shd w:val="clear" w:color="auto" w:fill="auto"/>
            <w:noWrap/>
            <w:vAlign w:val="bottom"/>
            <w:hideMark/>
          </w:tcPr>
          <w:p w:rsidR="00445218" w:rsidRPr="00445218" w:rsidRDefault="00445218" w:rsidP="00445218">
            <w:pPr>
              <w:jc w:val="center"/>
              <w:rPr>
                <w:rFonts w:cs="Calibri"/>
                <w:b/>
                <w:bCs/>
                <w:sz w:val="20"/>
                <w:szCs w:val="20"/>
              </w:rPr>
            </w:pPr>
            <w:r w:rsidRPr="00445218">
              <w:rPr>
                <w:rFonts w:cs="Calibri"/>
                <w:b/>
                <w:bCs/>
                <w:sz w:val="20"/>
                <w:szCs w:val="20"/>
              </w:rPr>
              <w:t> </w:t>
            </w:r>
          </w:p>
        </w:tc>
      </w:tr>
      <w:tr w:rsidR="00445218" w:rsidRPr="007E7CD6" w:rsidTr="00636751">
        <w:trPr>
          <w:gridBefore w:val="1"/>
          <w:wBefore w:w="149" w:type="dxa"/>
          <w:trHeight w:val="300"/>
        </w:trPr>
        <w:tc>
          <w:tcPr>
            <w:tcW w:w="466" w:type="dxa"/>
            <w:gridSpan w:val="2"/>
            <w:tcBorders>
              <w:top w:val="nil"/>
              <w:left w:val="single" w:sz="8" w:space="0" w:color="auto"/>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1.</w:t>
            </w:r>
          </w:p>
        </w:tc>
        <w:tc>
          <w:tcPr>
            <w:tcW w:w="265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COMMON EQUITY</w:t>
            </w:r>
          </w:p>
        </w:tc>
        <w:tc>
          <w:tcPr>
            <w:tcW w:w="1218"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$61,545 </w:t>
            </w: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$0 </w:t>
            </w:r>
          </w:p>
        </w:tc>
        <w:tc>
          <w:tcPr>
            <w:tcW w:w="1572"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$61,545 </w:t>
            </w:r>
          </w:p>
        </w:tc>
        <w:tc>
          <w:tcPr>
            <w:tcW w:w="1706"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(23,899)</w:t>
            </w: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37,646 </w:t>
            </w:r>
          </w:p>
        </w:tc>
        <w:tc>
          <w:tcPr>
            <w:tcW w:w="1172"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833"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374" w:type="dxa"/>
            <w:gridSpan w:val="2"/>
            <w:tcBorders>
              <w:top w:val="nil"/>
              <w:left w:val="nil"/>
              <w:bottom w:val="nil"/>
              <w:right w:val="single" w:sz="8" w:space="0" w:color="auto"/>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r>
      <w:tr w:rsidR="00445218" w:rsidRPr="007E7CD6" w:rsidTr="00636751">
        <w:trPr>
          <w:gridBefore w:val="1"/>
          <w:wBefore w:w="149" w:type="dxa"/>
          <w:trHeight w:val="300"/>
        </w:trPr>
        <w:tc>
          <w:tcPr>
            <w:tcW w:w="466" w:type="dxa"/>
            <w:gridSpan w:val="2"/>
            <w:tcBorders>
              <w:top w:val="nil"/>
              <w:left w:val="single" w:sz="8" w:space="0" w:color="auto"/>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2.</w:t>
            </w:r>
          </w:p>
        </w:tc>
        <w:tc>
          <w:tcPr>
            <w:tcW w:w="265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CAPITAL STOCK</w:t>
            </w:r>
          </w:p>
        </w:tc>
        <w:tc>
          <w:tcPr>
            <w:tcW w:w="1218"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$0 </w:t>
            </w: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0 </w:t>
            </w:r>
          </w:p>
        </w:tc>
        <w:tc>
          <w:tcPr>
            <w:tcW w:w="1572"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$0 </w:t>
            </w:r>
          </w:p>
        </w:tc>
        <w:tc>
          <w:tcPr>
            <w:tcW w:w="1706"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0 </w:t>
            </w: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0 </w:t>
            </w:r>
          </w:p>
        </w:tc>
        <w:tc>
          <w:tcPr>
            <w:tcW w:w="1172"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833"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374" w:type="dxa"/>
            <w:gridSpan w:val="2"/>
            <w:tcBorders>
              <w:top w:val="nil"/>
              <w:left w:val="nil"/>
              <w:bottom w:val="nil"/>
              <w:right w:val="single" w:sz="8" w:space="0" w:color="auto"/>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r>
      <w:tr w:rsidR="00445218" w:rsidRPr="007E7CD6" w:rsidTr="00636751">
        <w:trPr>
          <w:gridBefore w:val="1"/>
          <w:wBefore w:w="149" w:type="dxa"/>
          <w:trHeight w:val="300"/>
        </w:trPr>
        <w:tc>
          <w:tcPr>
            <w:tcW w:w="466" w:type="dxa"/>
            <w:gridSpan w:val="2"/>
            <w:tcBorders>
              <w:top w:val="nil"/>
              <w:left w:val="single" w:sz="8" w:space="0" w:color="auto"/>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3.</w:t>
            </w:r>
          </w:p>
        </w:tc>
        <w:tc>
          <w:tcPr>
            <w:tcW w:w="265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RETAINED EARNINGS</w:t>
            </w:r>
          </w:p>
        </w:tc>
        <w:tc>
          <w:tcPr>
            <w:tcW w:w="1218"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0 </w:t>
            </w: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0 </w:t>
            </w:r>
          </w:p>
        </w:tc>
        <w:tc>
          <w:tcPr>
            <w:tcW w:w="1572"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0 </w:t>
            </w:r>
          </w:p>
        </w:tc>
        <w:tc>
          <w:tcPr>
            <w:tcW w:w="1706"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0 </w:t>
            </w: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0 </w:t>
            </w:r>
          </w:p>
        </w:tc>
        <w:tc>
          <w:tcPr>
            <w:tcW w:w="1172"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833"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374" w:type="dxa"/>
            <w:gridSpan w:val="2"/>
            <w:tcBorders>
              <w:top w:val="nil"/>
              <w:left w:val="nil"/>
              <w:bottom w:val="nil"/>
              <w:right w:val="single" w:sz="8" w:space="0" w:color="auto"/>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r>
      <w:tr w:rsidR="00445218" w:rsidRPr="007E7CD6" w:rsidTr="00636751">
        <w:trPr>
          <w:gridBefore w:val="1"/>
          <w:wBefore w:w="149" w:type="dxa"/>
          <w:trHeight w:val="300"/>
        </w:trPr>
        <w:tc>
          <w:tcPr>
            <w:tcW w:w="466" w:type="dxa"/>
            <w:gridSpan w:val="2"/>
            <w:tcBorders>
              <w:top w:val="nil"/>
              <w:left w:val="single" w:sz="8" w:space="0" w:color="auto"/>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4.</w:t>
            </w:r>
          </w:p>
        </w:tc>
        <w:tc>
          <w:tcPr>
            <w:tcW w:w="265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OTHER PAID IN CAPITAL</w:t>
            </w:r>
          </w:p>
        </w:tc>
        <w:tc>
          <w:tcPr>
            <w:tcW w:w="1218"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0 </w:t>
            </w: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0 </w:t>
            </w:r>
          </w:p>
        </w:tc>
        <w:tc>
          <w:tcPr>
            <w:tcW w:w="1572"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0 </w:t>
            </w:r>
          </w:p>
        </w:tc>
        <w:tc>
          <w:tcPr>
            <w:tcW w:w="1706"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0 </w:t>
            </w: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0 </w:t>
            </w:r>
          </w:p>
        </w:tc>
        <w:tc>
          <w:tcPr>
            <w:tcW w:w="1172"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833"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374" w:type="dxa"/>
            <w:gridSpan w:val="2"/>
            <w:tcBorders>
              <w:top w:val="nil"/>
              <w:left w:val="nil"/>
              <w:bottom w:val="nil"/>
              <w:right w:val="single" w:sz="8" w:space="0" w:color="auto"/>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r>
      <w:tr w:rsidR="00445218" w:rsidRPr="007E7CD6" w:rsidTr="00636751">
        <w:trPr>
          <w:gridBefore w:val="1"/>
          <w:wBefore w:w="149" w:type="dxa"/>
          <w:trHeight w:val="300"/>
        </w:trPr>
        <w:tc>
          <w:tcPr>
            <w:tcW w:w="466" w:type="dxa"/>
            <w:gridSpan w:val="2"/>
            <w:tcBorders>
              <w:top w:val="nil"/>
              <w:left w:val="single" w:sz="8" w:space="0" w:color="auto"/>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5.</w:t>
            </w:r>
          </w:p>
        </w:tc>
        <w:tc>
          <w:tcPr>
            <w:tcW w:w="265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OTHER COMMON EQUITY</w:t>
            </w:r>
          </w:p>
        </w:tc>
        <w:tc>
          <w:tcPr>
            <w:tcW w:w="1218"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single"/>
              </w:rPr>
            </w:pPr>
            <w:r w:rsidRPr="00445218">
              <w:rPr>
                <w:rFonts w:cs="Calibri"/>
                <w:sz w:val="20"/>
                <w:szCs w:val="20"/>
                <w:u w:val="single"/>
              </w:rPr>
              <w:t xml:space="preserve">0 </w:t>
            </w: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single"/>
              </w:rPr>
            </w:pPr>
            <w:r w:rsidRPr="00445218">
              <w:rPr>
                <w:rFonts w:cs="Calibri"/>
                <w:sz w:val="20"/>
                <w:szCs w:val="20"/>
                <w:u w:val="single"/>
              </w:rPr>
              <w:t xml:space="preserve">0 </w:t>
            </w:r>
          </w:p>
        </w:tc>
        <w:tc>
          <w:tcPr>
            <w:tcW w:w="1572"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single"/>
              </w:rPr>
            </w:pPr>
            <w:r w:rsidRPr="00445218">
              <w:rPr>
                <w:rFonts w:cs="Calibri"/>
                <w:sz w:val="20"/>
                <w:szCs w:val="20"/>
                <w:u w:val="single"/>
              </w:rPr>
              <w:t xml:space="preserve">0 </w:t>
            </w:r>
          </w:p>
        </w:tc>
        <w:tc>
          <w:tcPr>
            <w:tcW w:w="1706"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single"/>
              </w:rPr>
            </w:pPr>
            <w:r w:rsidRPr="00445218">
              <w:rPr>
                <w:rFonts w:cs="Calibri"/>
                <w:sz w:val="20"/>
                <w:szCs w:val="20"/>
                <w:u w:val="single"/>
              </w:rPr>
              <w:t xml:space="preserve">0 </w:t>
            </w: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single"/>
              </w:rPr>
            </w:pPr>
            <w:r w:rsidRPr="00445218">
              <w:rPr>
                <w:rFonts w:cs="Calibri"/>
                <w:sz w:val="20"/>
                <w:szCs w:val="20"/>
                <w:u w:val="single"/>
              </w:rPr>
              <w:t xml:space="preserve">0 </w:t>
            </w:r>
          </w:p>
        </w:tc>
        <w:tc>
          <w:tcPr>
            <w:tcW w:w="1172"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833"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374" w:type="dxa"/>
            <w:gridSpan w:val="2"/>
            <w:tcBorders>
              <w:top w:val="nil"/>
              <w:left w:val="nil"/>
              <w:bottom w:val="nil"/>
              <w:right w:val="single" w:sz="8" w:space="0" w:color="auto"/>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r>
      <w:tr w:rsidR="00445218" w:rsidRPr="007E7CD6" w:rsidTr="00636751">
        <w:trPr>
          <w:gridBefore w:val="1"/>
          <w:wBefore w:w="149" w:type="dxa"/>
          <w:trHeight w:val="300"/>
        </w:trPr>
        <w:tc>
          <w:tcPr>
            <w:tcW w:w="466" w:type="dxa"/>
            <w:gridSpan w:val="2"/>
            <w:tcBorders>
              <w:top w:val="nil"/>
              <w:left w:val="single" w:sz="8" w:space="0" w:color="auto"/>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w:t>
            </w:r>
          </w:p>
        </w:tc>
        <w:tc>
          <w:tcPr>
            <w:tcW w:w="265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xml:space="preserve">   TOTAL COMMON EQUITY</w:t>
            </w:r>
          </w:p>
        </w:tc>
        <w:tc>
          <w:tcPr>
            <w:tcW w:w="1218"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$61,545 </w:t>
            </w: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$0 </w:t>
            </w:r>
          </w:p>
        </w:tc>
        <w:tc>
          <w:tcPr>
            <w:tcW w:w="1572"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$61,545 </w:t>
            </w:r>
          </w:p>
        </w:tc>
        <w:tc>
          <w:tcPr>
            <w:tcW w:w="1706"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($23,899)</w:t>
            </w: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$37,646 </w:t>
            </w:r>
          </w:p>
        </w:tc>
        <w:tc>
          <w:tcPr>
            <w:tcW w:w="11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85.58%</w:t>
            </w:r>
          </w:p>
        </w:tc>
        <w:tc>
          <w:tcPr>
            <w:tcW w:w="833"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9.01%</w:t>
            </w:r>
          </w:p>
        </w:tc>
        <w:tc>
          <w:tcPr>
            <w:tcW w:w="1374" w:type="dxa"/>
            <w:gridSpan w:val="2"/>
            <w:tcBorders>
              <w:top w:val="nil"/>
              <w:left w:val="nil"/>
              <w:bottom w:val="nil"/>
              <w:right w:val="single" w:sz="8" w:space="0" w:color="auto"/>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7.71%</w:t>
            </w:r>
          </w:p>
        </w:tc>
      </w:tr>
      <w:tr w:rsidR="00445218" w:rsidRPr="007E7CD6" w:rsidTr="00636751">
        <w:trPr>
          <w:gridBefore w:val="1"/>
          <w:wBefore w:w="149" w:type="dxa"/>
          <w:trHeight w:val="300"/>
        </w:trPr>
        <w:tc>
          <w:tcPr>
            <w:tcW w:w="466" w:type="dxa"/>
            <w:gridSpan w:val="2"/>
            <w:tcBorders>
              <w:top w:val="nil"/>
              <w:left w:val="single" w:sz="8" w:space="0" w:color="auto"/>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w:t>
            </w:r>
          </w:p>
        </w:tc>
        <w:tc>
          <w:tcPr>
            <w:tcW w:w="265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218"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rPr>
            </w:pP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rPr>
            </w:pPr>
          </w:p>
        </w:tc>
        <w:tc>
          <w:tcPr>
            <w:tcW w:w="1572" w:type="dxa"/>
            <w:tcBorders>
              <w:top w:val="nil"/>
              <w:left w:val="nil"/>
              <w:bottom w:val="nil"/>
              <w:right w:val="nil"/>
            </w:tcBorders>
            <w:shd w:val="clear" w:color="auto" w:fill="auto"/>
            <w:noWrap/>
            <w:vAlign w:val="bottom"/>
            <w:hideMark/>
          </w:tcPr>
          <w:p w:rsidR="00445218" w:rsidRPr="00445218" w:rsidRDefault="00445218" w:rsidP="00445218">
            <w:pPr>
              <w:rPr>
                <w:rFonts w:cs="Calibri"/>
              </w:rPr>
            </w:pPr>
          </w:p>
        </w:tc>
        <w:tc>
          <w:tcPr>
            <w:tcW w:w="1706"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rPr>
            </w:pP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rPr>
            </w:pPr>
          </w:p>
        </w:tc>
        <w:tc>
          <w:tcPr>
            <w:tcW w:w="1172"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rPr>
            </w:pPr>
          </w:p>
        </w:tc>
        <w:tc>
          <w:tcPr>
            <w:tcW w:w="833" w:type="dxa"/>
            <w:tcBorders>
              <w:top w:val="nil"/>
              <w:left w:val="nil"/>
              <w:bottom w:val="nil"/>
              <w:right w:val="nil"/>
            </w:tcBorders>
            <w:shd w:val="clear" w:color="auto" w:fill="auto"/>
            <w:noWrap/>
            <w:vAlign w:val="bottom"/>
            <w:hideMark/>
          </w:tcPr>
          <w:p w:rsidR="00445218" w:rsidRPr="00445218" w:rsidRDefault="00445218" w:rsidP="00445218">
            <w:pPr>
              <w:rPr>
                <w:rFonts w:cs="Calibri"/>
              </w:rPr>
            </w:pPr>
          </w:p>
        </w:tc>
        <w:tc>
          <w:tcPr>
            <w:tcW w:w="1374" w:type="dxa"/>
            <w:gridSpan w:val="2"/>
            <w:tcBorders>
              <w:top w:val="nil"/>
              <w:left w:val="nil"/>
              <w:bottom w:val="nil"/>
              <w:right w:val="single" w:sz="8" w:space="0" w:color="auto"/>
            </w:tcBorders>
            <w:shd w:val="clear" w:color="auto" w:fill="auto"/>
            <w:noWrap/>
            <w:vAlign w:val="bottom"/>
            <w:hideMark/>
          </w:tcPr>
          <w:p w:rsidR="00445218" w:rsidRPr="00445218" w:rsidRDefault="00445218" w:rsidP="00445218">
            <w:pPr>
              <w:rPr>
                <w:rFonts w:cs="Calibri"/>
              </w:rPr>
            </w:pPr>
            <w:r w:rsidRPr="00445218">
              <w:rPr>
                <w:rFonts w:cs="Calibri"/>
              </w:rPr>
              <w:t> </w:t>
            </w:r>
          </w:p>
        </w:tc>
      </w:tr>
      <w:tr w:rsidR="00445218" w:rsidRPr="007E7CD6" w:rsidTr="00636751">
        <w:trPr>
          <w:gridBefore w:val="1"/>
          <w:wBefore w:w="149" w:type="dxa"/>
          <w:trHeight w:val="300"/>
        </w:trPr>
        <w:tc>
          <w:tcPr>
            <w:tcW w:w="466" w:type="dxa"/>
            <w:gridSpan w:val="2"/>
            <w:tcBorders>
              <w:top w:val="nil"/>
              <w:left w:val="single" w:sz="8" w:space="0" w:color="auto"/>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6.</w:t>
            </w:r>
          </w:p>
        </w:tc>
        <w:tc>
          <w:tcPr>
            <w:tcW w:w="265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LONG-TERM DEBT</w:t>
            </w:r>
          </w:p>
        </w:tc>
        <w:tc>
          <w:tcPr>
            <w:tcW w:w="1218"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$10,371 </w:t>
            </w: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$0 </w:t>
            </w:r>
          </w:p>
        </w:tc>
        <w:tc>
          <w:tcPr>
            <w:tcW w:w="1572"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$10,371 </w:t>
            </w:r>
          </w:p>
        </w:tc>
        <w:tc>
          <w:tcPr>
            <w:tcW w:w="1706"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($4,027)</w:t>
            </w: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6,344</w:t>
            </w:r>
          </w:p>
        </w:tc>
        <w:tc>
          <w:tcPr>
            <w:tcW w:w="11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14.42%</w:t>
            </w:r>
          </w:p>
        </w:tc>
        <w:tc>
          <w:tcPr>
            <w:tcW w:w="833"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11.24%</w:t>
            </w:r>
          </w:p>
        </w:tc>
        <w:tc>
          <w:tcPr>
            <w:tcW w:w="1374" w:type="dxa"/>
            <w:gridSpan w:val="2"/>
            <w:tcBorders>
              <w:top w:val="nil"/>
              <w:left w:val="nil"/>
              <w:bottom w:val="nil"/>
              <w:right w:val="single" w:sz="8" w:space="0" w:color="auto"/>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1.62%</w:t>
            </w:r>
          </w:p>
        </w:tc>
      </w:tr>
      <w:tr w:rsidR="00445218" w:rsidRPr="007E7CD6" w:rsidTr="00636751">
        <w:trPr>
          <w:gridBefore w:val="1"/>
          <w:wBefore w:w="149" w:type="dxa"/>
          <w:trHeight w:val="300"/>
        </w:trPr>
        <w:tc>
          <w:tcPr>
            <w:tcW w:w="466" w:type="dxa"/>
            <w:gridSpan w:val="2"/>
            <w:tcBorders>
              <w:top w:val="nil"/>
              <w:left w:val="single" w:sz="8" w:space="0" w:color="auto"/>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7.</w:t>
            </w:r>
          </w:p>
        </w:tc>
        <w:tc>
          <w:tcPr>
            <w:tcW w:w="265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SHORT-TERM DEBT</w:t>
            </w:r>
          </w:p>
        </w:tc>
        <w:tc>
          <w:tcPr>
            <w:tcW w:w="1218"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0 </w:t>
            </w: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0 </w:t>
            </w:r>
          </w:p>
        </w:tc>
        <w:tc>
          <w:tcPr>
            <w:tcW w:w="1572"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0 </w:t>
            </w:r>
          </w:p>
        </w:tc>
        <w:tc>
          <w:tcPr>
            <w:tcW w:w="1706"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single"/>
              </w:rPr>
            </w:pPr>
            <w:r w:rsidRPr="00445218">
              <w:rPr>
                <w:rFonts w:cs="Calibri"/>
                <w:sz w:val="20"/>
                <w:szCs w:val="20"/>
                <w:u w:val="single"/>
              </w:rPr>
              <w:t xml:space="preserve">0 </w:t>
            </w: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0 </w:t>
            </w:r>
          </w:p>
        </w:tc>
        <w:tc>
          <w:tcPr>
            <w:tcW w:w="11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0.00%</w:t>
            </w:r>
          </w:p>
        </w:tc>
        <w:tc>
          <w:tcPr>
            <w:tcW w:w="833"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0.00%</w:t>
            </w:r>
          </w:p>
        </w:tc>
        <w:tc>
          <w:tcPr>
            <w:tcW w:w="1374" w:type="dxa"/>
            <w:gridSpan w:val="2"/>
            <w:tcBorders>
              <w:top w:val="nil"/>
              <w:left w:val="nil"/>
              <w:bottom w:val="nil"/>
              <w:right w:val="single" w:sz="8" w:space="0" w:color="auto"/>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0.00%</w:t>
            </w:r>
          </w:p>
        </w:tc>
      </w:tr>
      <w:tr w:rsidR="00445218" w:rsidRPr="007E7CD6" w:rsidTr="00636751">
        <w:trPr>
          <w:gridBefore w:val="1"/>
          <w:wBefore w:w="149" w:type="dxa"/>
          <w:trHeight w:val="300"/>
        </w:trPr>
        <w:tc>
          <w:tcPr>
            <w:tcW w:w="466" w:type="dxa"/>
            <w:gridSpan w:val="2"/>
            <w:tcBorders>
              <w:top w:val="nil"/>
              <w:left w:val="single" w:sz="8" w:space="0" w:color="auto"/>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8.</w:t>
            </w:r>
          </w:p>
        </w:tc>
        <w:tc>
          <w:tcPr>
            <w:tcW w:w="265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PREFERRED STOCK</w:t>
            </w:r>
          </w:p>
        </w:tc>
        <w:tc>
          <w:tcPr>
            <w:tcW w:w="1218"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single"/>
              </w:rPr>
            </w:pPr>
            <w:r w:rsidRPr="00445218">
              <w:rPr>
                <w:rFonts w:cs="Calibri"/>
                <w:sz w:val="20"/>
                <w:szCs w:val="20"/>
                <w:u w:val="single"/>
              </w:rPr>
              <w:t xml:space="preserve">0 </w:t>
            </w: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single"/>
              </w:rPr>
            </w:pPr>
            <w:r w:rsidRPr="00445218">
              <w:rPr>
                <w:rFonts w:cs="Calibri"/>
                <w:sz w:val="20"/>
                <w:szCs w:val="20"/>
                <w:u w:val="single"/>
              </w:rPr>
              <w:t xml:space="preserve">0 </w:t>
            </w:r>
          </w:p>
        </w:tc>
        <w:tc>
          <w:tcPr>
            <w:tcW w:w="1572"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single"/>
              </w:rPr>
            </w:pPr>
            <w:r w:rsidRPr="00445218">
              <w:rPr>
                <w:rFonts w:cs="Calibri"/>
                <w:sz w:val="20"/>
                <w:szCs w:val="20"/>
                <w:u w:val="single"/>
              </w:rPr>
              <w:t xml:space="preserve">0 </w:t>
            </w:r>
          </w:p>
        </w:tc>
        <w:tc>
          <w:tcPr>
            <w:tcW w:w="1706"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single"/>
              </w:rPr>
            </w:pPr>
            <w:r w:rsidRPr="00445218">
              <w:rPr>
                <w:rFonts w:cs="Calibri"/>
                <w:sz w:val="20"/>
                <w:szCs w:val="20"/>
                <w:u w:val="single"/>
              </w:rPr>
              <w:t xml:space="preserve">0 </w:t>
            </w: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single"/>
              </w:rPr>
            </w:pPr>
            <w:r w:rsidRPr="00445218">
              <w:rPr>
                <w:rFonts w:cs="Calibri"/>
                <w:sz w:val="20"/>
                <w:szCs w:val="20"/>
                <w:u w:val="single"/>
              </w:rPr>
              <w:t xml:space="preserve">0 </w:t>
            </w:r>
          </w:p>
        </w:tc>
        <w:tc>
          <w:tcPr>
            <w:tcW w:w="11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single"/>
              </w:rPr>
            </w:pPr>
            <w:r w:rsidRPr="00445218">
              <w:rPr>
                <w:rFonts w:cs="Calibri"/>
                <w:sz w:val="20"/>
                <w:szCs w:val="20"/>
                <w:u w:val="single"/>
              </w:rPr>
              <w:t>0.00%</w:t>
            </w:r>
          </w:p>
        </w:tc>
        <w:tc>
          <w:tcPr>
            <w:tcW w:w="833"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single"/>
              </w:rPr>
            </w:pPr>
            <w:r w:rsidRPr="00445218">
              <w:rPr>
                <w:rFonts w:cs="Calibri"/>
                <w:sz w:val="20"/>
                <w:szCs w:val="20"/>
                <w:u w:val="single"/>
              </w:rPr>
              <w:t>0.00%</w:t>
            </w:r>
          </w:p>
        </w:tc>
        <w:tc>
          <w:tcPr>
            <w:tcW w:w="1374" w:type="dxa"/>
            <w:gridSpan w:val="2"/>
            <w:tcBorders>
              <w:top w:val="nil"/>
              <w:left w:val="nil"/>
              <w:bottom w:val="nil"/>
              <w:right w:val="single" w:sz="8" w:space="0" w:color="auto"/>
            </w:tcBorders>
            <w:shd w:val="clear" w:color="auto" w:fill="auto"/>
            <w:noWrap/>
            <w:vAlign w:val="bottom"/>
            <w:hideMark/>
          </w:tcPr>
          <w:p w:rsidR="00445218" w:rsidRPr="00445218" w:rsidRDefault="00445218" w:rsidP="00445218">
            <w:pPr>
              <w:jc w:val="right"/>
              <w:rPr>
                <w:rFonts w:cs="Calibri"/>
                <w:sz w:val="20"/>
                <w:szCs w:val="20"/>
                <w:u w:val="single"/>
              </w:rPr>
            </w:pPr>
            <w:r w:rsidRPr="00445218">
              <w:rPr>
                <w:rFonts w:cs="Calibri"/>
                <w:sz w:val="20"/>
                <w:szCs w:val="20"/>
                <w:u w:val="single"/>
              </w:rPr>
              <w:t>0.00%</w:t>
            </w:r>
          </w:p>
        </w:tc>
      </w:tr>
      <w:tr w:rsidR="00445218" w:rsidRPr="007E7CD6" w:rsidTr="00636751">
        <w:trPr>
          <w:gridBefore w:val="1"/>
          <w:wBefore w:w="149" w:type="dxa"/>
          <w:trHeight w:val="300"/>
        </w:trPr>
        <w:tc>
          <w:tcPr>
            <w:tcW w:w="466" w:type="dxa"/>
            <w:gridSpan w:val="2"/>
            <w:tcBorders>
              <w:top w:val="nil"/>
              <w:left w:val="single" w:sz="8" w:space="0" w:color="auto"/>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w:t>
            </w:r>
          </w:p>
        </w:tc>
        <w:tc>
          <w:tcPr>
            <w:tcW w:w="265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xml:space="preserve">   TOTAL DEBT</w:t>
            </w:r>
          </w:p>
        </w:tc>
        <w:tc>
          <w:tcPr>
            <w:tcW w:w="1218"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$10,371 </w:t>
            </w: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$0 </w:t>
            </w:r>
          </w:p>
        </w:tc>
        <w:tc>
          <w:tcPr>
            <w:tcW w:w="1572"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xml:space="preserve">$10,371 </w:t>
            </w:r>
          </w:p>
        </w:tc>
        <w:tc>
          <w:tcPr>
            <w:tcW w:w="1706"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($4,027)</w:t>
            </w: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$6,344</w:t>
            </w:r>
          </w:p>
        </w:tc>
        <w:tc>
          <w:tcPr>
            <w:tcW w:w="11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14.42%</w:t>
            </w:r>
          </w:p>
        </w:tc>
        <w:tc>
          <w:tcPr>
            <w:tcW w:w="833"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11.24%</w:t>
            </w:r>
          </w:p>
        </w:tc>
        <w:tc>
          <w:tcPr>
            <w:tcW w:w="1374" w:type="dxa"/>
            <w:gridSpan w:val="2"/>
            <w:tcBorders>
              <w:top w:val="nil"/>
              <w:left w:val="nil"/>
              <w:bottom w:val="nil"/>
              <w:right w:val="single" w:sz="8" w:space="0" w:color="auto"/>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1.62%</w:t>
            </w:r>
          </w:p>
        </w:tc>
      </w:tr>
      <w:tr w:rsidR="00445218" w:rsidRPr="007E7CD6" w:rsidTr="00636751">
        <w:trPr>
          <w:gridBefore w:val="1"/>
          <w:wBefore w:w="149" w:type="dxa"/>
          <w:trHeight w:val="300"/>
        </w:trPr>
        <w:tc>
          <w:tcPr>
            <w:tcW w:w="466" w:type="dxa"/>
            <w:gridSpan w:val="2"/>
            <w:tcBorders>
              <w:top w:val="nil"/>
              <w:left w:val="single" w:sz="8" w:space="0" w:color="auto"/>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w:t>
            </w:r>
          </w:p>
        </w:tc>
        <w:tc>
          <w:tcPr>
            <w:tcW w:w="265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218"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572"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706"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172"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833"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374" w:type="dxa"/>
            <w:gridSpan w:val="2"/>
            <w:tcBorders>
              <w:top w:val="nil"/>
              <w:left w:val="nil"/>
              <w:bottom w:val="nil"/>
              <w:right w:val="single" w:sz="8" w:space="0" w:color="auto"/>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r>
      <w:tr w:rsidR="00445218" w:rsidRPr="007E7CD6" w:rsidTr="00636751">
        <w:trPr>
          <w:gridBefore w:val="1"/>
          <w:wBefore w:w="149" w:type="dxa"/>
          <w:trHeight w:val="336"/>
        </w:trPr>
        <w:tc>
          <w:tcPr>
            <w:tcW w:w="466" w:type="dxa"/>
            <w:gridSpan w:val="2"/>
            <w:tcBorders>
              <w:top w:val="nil"/>
              <w:left w:val="single" w:sz="8" w:space="0" w:color="auto"/>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9.</w:t>
            </w:r>
          </w:p>
        </w:tc>
        <w:tc>
          <w:tcPr>
            <w:tcW w:w="265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CUSTOMER DEPOSITS</w:t>
            </w:r>
          </w:p>
        </w:tc>
        <w:tc>
          <w:tcPr>
            <w:tcW w:w="1218"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single"/>
              </w:rPr>
            </w:pPr>
            <w:r w:rsidRPr="00445218">
              <w:rPr>
                <w:rFonts w:cs="Calibri"/>
                <w:sz w:val="20"/>
                <w:szCs w:val="20"/>
                <w:u w:val="single"/>
              </w:rPr>
              <w:t xml:space="preserve">0 </w:t>
            </w: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single"/>
              </w:rPr>
            </w:pPr>
            <w:r w:rsidRPr="00445218">
              <w:rPr>
                <w:rFonts w:cs="Calibri"/>
                <w:sz w:val="20"/>
                <w:szCs w:val="20"/>
                <w:u w:val="single"/>
              </w:rPr>
              <w:t xml:space="preserve">0 </w:t>
            </w:r>
          </w:p>
        </w:tc>
        <w:tc>
          <w:tcPr>
            <w:tcW w:w="1572"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single"/>
              </w:rPr>
            </w:pPr>
            <w:r w:rsidRPr="00445218">
              <w:rPr>
                <w:rFonts w:cs="Calibri"/>
                <w:sz w:val="20"/>
                <w:szCs w:val="20"/>
                <w:u w:val="single"/>
              </w:rPr>
              <w:t xml:space="preserve">0 </w:t>
            </w:r>
          </w:p>
        </w:tc>
        <w:tc>
          <w:tcPr>
            <w:tcW w:w="1706"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single"/>
              </w:rPr>
            </w:pPr>
            <w:r w:rsidRPr="00445218">
              <w:rPr>
                <w:rFonts w:cs="Calibri"/>
                <w:sz w:val="20"/>
                <w:szCs w:val="20"/>
                <w:u w:val="single"/>
              </w:rPr>
              <w:t xml:space="preserve">0 </w:t>
            </w: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single"/>
              </w:rPr>
            </w:pPr>
            <w:r w:rsidRPr="00445218">
              <w:rPr>
                <w:rFonts w:cs="Calibri"/>
                <w:sz w:val="20"/>
                <w:szCs w:val="20"/>
                <w:u w:val="single"/>
              </w:rPr>
              <w:t xml:space="preserve">0 </w:t>
            </w:r>
          </w:p>
        </w:tc>
        <w:tc>
          <w:tcPr>
            <w:tcW w:w="11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single"/>
              </w:rPr>
            </w:pPr>
            <w:r w:rsidRPr="00445218">
              <w:rPr>
                <w:rFonts w:cs="Calibri"/>
                <w:sz w:val="20"/>
                <w:szCs w:val="20"/>
                <w:u w:val="single"/>
              </w:rPr>
              <w:t>0.00%</w:t>
            </w:r>
          </w:p>
        </w:tc>
        <w:tc>
          <w:tcPr>
            <w:tcW w:w="833"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2.00%</w:t>
            </w:r>
          </w:p>
        </w:tc>
        <w:tc>
          <w:tcPr>
            <w:tcW w:w="1374" w:type="dxa"/>
            <w:gridSpan w:val="2"/>
            <w:tcBorders>
              <w:top w:val="nil"/>
              <w:left w:val="nil"/>
              <w:bottom w:val="nil"/>
              <w:right w:val="single" w:sz="8" w:space="0" w:color="auto"/>
            </w:tcBorders>
            <w:shd w:val="clear" w:color="auto" w:fill="auto"/>
            <w:noWrap/>
            <w:vAlign w:val="bottom"/>
            <w:hideMark/>
          </w:tcPr>
          <w:p w:rsidR="00445218" w:rsidRPr="00445218" w:rsidRDefault="00445218" w:rsidP="00445218">
            <w:pPr>
              <w:jc w:val="right"/>
              <w:rPr>
                <w:rFonts w:cs="Calibri"/>
                <w:sz w:val="20"/>
                <w:szCs w:val="20"/>
                <w:u w:val="single"/>
              </w:rPr>
            </w:pPr>
            <w:r w:rsidRPr="00445218">
              <w:rPr>
                <w:rFonts w:cs="Calibri"/>
                <w:sz w:val="20"/>
                <w:szCs w:val="20"/>
                <w:u w:val="single"/>
              </w:rPr>
              <w:t>0.00%</w:t>
            </w:r>
          </w:p>
        </w:tc>
      </w:tr>
      <w:tr w:rsidR="00445218" w:rsidRPr="007E7CD6" w:rsidTr="00636751">
        <w:trPr>
          <w:gridBefore w:val="1"/>
          <w:wBefore w:w="149" w:type="dxa"/>
          <w:trHeight w:val="300"/>
        </w:trPr>
        <w:tc>
          <w:tcPr>
            <w:tcW w:w="466" w:type="dxa"/>
            <w:gridSpan w:val="2"/>
            <w:tcBorders>
              <w:top w:val="nil"/>
              <w:left w:val="single" w:sz="8" w:space="0" w:color="auto"/>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w:t>
            </w:r>
          </w:p>
        </w:tc>
        <w:tc>
          <w:tcPr>
            <w:tcW w:w="265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218"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572"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706"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172"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833"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374" w:type="dxa"/>
            <w:gridSpan w:val="2"/>
            <w:tcBorders>
              <w:top w:val="nil"/>
              <w:left w:val="nil"/>
              <w:bottom w:val="nil"/>
              <w:right w:val="single" w:sz="8" w:space="0" w:color="auto"/>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r>
      <w:tr w:rsidR="00445218" w:rsidRPr="007E7CD6" w:rsidTr="00636751">
        <w:trPr>
          <w:gridBefore w:val="1"/>
          <w:wBefore w:w="149" w:type="dxa"/>
          <w:trHeight w:val="336"/>
        </w:trPr>
        <w:tc>
          <w:tcPr>
            <w:tcW w:w="466" w:type="dxa"/>
            <w:gridSpan w:val="2"/>
            <w:tcBorders>
              <w:top w:val="nil"/>
              <w:left w:val="single" w:sz="8" w:space="0" w:color="auto"/>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10.</w:t>
            </w:r>
          </w:p>
        </w:tc>
        <w:tc>
          <w:tcPr>
            <w:tcW w:w="265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TOTAL</w:t>
            </w:r>
          </w:p>
        </w:tc>
        <w:tc>
          <w:tcPr>
            <w:tcW w:w="1218"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double"/>
              </w:rPr>
            </w:pPr>
            <w:r w:rsidRPr="00445218">
              <w:rPr>
                <w:rFonts w:cs="Calibri"/>
                <w:sz w:val="20"/>
                <w:szCs w:val="20"/>
                <w:u w:val="double"/>
              </w:rPr>
              <w:t xml:space="preserve">$71,916 </w:t>
            </w: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double"/>
              </w:rPr>
            </w:pPr>
            <w:r w:rsidRPr="00445218">
              <w:rPr>
                <w:rFonts w:cs="Calibri"/>
                <w:sz w:val="20"/>
                <w:szCs w:val="20"/>
                <w:u w:val="double"/>
              </w:rPr>
              <w:t xml:space="preserve">$0 </w:t>
            </w:r>
          </w:p>
        </w:tc>
        <w:tc>
          <w:tcPr>
            <w:tcW w:w="1572"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double"/>
              </w:rPr>
            </w:pPr>
            <w:r w:rsidRPr="00445218">
              <w:rPr>
                <w:rFonts w:cs="Calibri"/>
                <w:sz w:val="20"/>
                <w:szCs w:val="20"/>
                <w:u w:val="double"/>
              </w:rPr>
              <w:t xml:space="preserve">$71,916 </w:t>
            </w:r>
          </w:p>
        </w:tc>
        <w:tc>
          <w:tcPr>
            <w:tcW w:w="1706"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double"/>
              </w:rPr>
            </w:pPr>
            <w:r w:rsidRPr="00445218">
              <w:rPr>
                <w:rFonts w:cs="Calibri"/>
                <w:sz w:val="20"/>
                <w:szCs w:val="20"/>
                <w:u w:val="double"/>
              </w:rPr>
              <w:t>($27,926)</w:t>
            </w: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double"/>
              </w:rPr>
            </w:pPr>
            <w:r w:rsidRPr="00445218">
              <w:rPr>
                <w:rFonts w:cs="Calibri"/>
                <w:sz w:val="20"/>
                <w:szCs w:val="20"/>
                <w:u w:val="double"/>
              </w:rPr>
              <w:t xml:space="preserve">$43,990 </w:t>
            </w:r>
          </w:p>
        </w:tc>
        <w:tc>
          <w:tcPr>
            <w:tcW w:w="11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double"/>
              </w:rPr>
            </w:pPr>
            <w:r w:rsidRPr="00445218">
              <w:rPr>
                <w:rFonts w:cs="Calibri"/>
                <w:sz w:val="20"/>
                <w:szCs w:val="20"/>
                <w:u w:val="double"/>
              </w:rPr>
              <w:t>100.00%</w:t>
            </w:r>
          </w:p>
        </w:tc>
        <w:tc>
          <w:tcPr>
            <w:tcW w:w="833"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u w:val="single"/>
              </w:rPr>
            </w:pPr>
          </w:p>
        </w:tc>
        <w:tc>
          <w:tcPr>
            <w:tcW w:w="1374" w:type="dxa"/>
            <w:gridSpan w:val="2"/>
            <w:tcBorders>
              <w:top w:val="nil"/>
              <w:left w:val="nil"/>
              <w:bottom w:val="nil"/>
              <w:right w:val="single" w:sz="8" w:space="0" w:color="auto"/>
            </w:tcBorders>
            <w:shd w:val="clear" w:color="auto" w:fill="auto"/>
            <w:noWrap/>
            <w:vAlign w:val="bottom"/>
            <w:hideMark/>
          </w:tcPr>
          <w:p w:rsidR="00445218" w:rsidRPr="00445218" w:rsidRDefault="00445218" w:rsidP="00445218">
            <w:pPr>
              <w:jc w:val="right"/>
              <w:rPr>
                <w:rFonts w:cs="Calibri"/>
                <w:sz w:val="20"/>
                <w:szCs w:val="20"/>
                <w:u w:val="single"/>
              </w:rPr>
            </w:pPr>
            <w:r w:rsidRPr="00445218">
              <w:rPr>
                <w:rFonts w:cs="Calibri"/>
                <w:sz w:val="20"/>
                <w:szCs w:val="20"/>
                <w:u w:val="single"/>
              </w:rPr>
              <w:t>9.33%</w:t>
            </w:r>
          </w:p>
        </w:tc>
      </w:tr>
      <w:tr w:rsidR="00445218" w:rsidRPr="007E7CD6" w:rsidTr="00636751">
        <w:trPr>
          <w:gridBefore w:val="1"/>
          <w:wBefore w:w="149" w:type="dxa"/>
          <w:trHeight w:val="300"/>
        </w:trPr>
        <w:tc>
          <w:tcPr>
            <w:tcW w:w="466" w:type="dxa"/>
            <w:gridSpan w:val="2"/>
            <w:tcBorders>
              <w:top w:val="nil"/>
              <w:left w:val="single" w:sz="8" w:space="0" w:color="auto"/>
              <w:bottom w:val="nil"/>
              <w:right w:val="nil"/>
            </w:tcBorders>
            <w:shd w:val="clear" w:color="auto" w:fill="auto"/>
            <w:noWrap/>
            <w:vAlign w:val="bottom"/>
            <w:hideMark/>
          </w:tcPr>
          <w:p w:rsidR="00445218" w:rsidRPr="00445218" w:rsidRDefault="00445218" w:rsidP="00445218">
            <w:pPr>
              <w:jc w:val="right"/>
              <w:rPr>
                <w:rFonts w:cs="Calibri"/>
                <w:sz w:val="20"/>
                <w:szCs w:val="20"/>
              </w:rPr>
            </w:pPr>
            <w:r w:rsidRPr="00445218">
              <w:rPr>
                <w:rFonts w:cs="Calibri"/>
                <w:sz w:val="20"/>
                <w:szCs w:val="20"/>
              </w:rPr>
              <w:t> </w:t>
            </w:r>
          </w:p>
        </w:tc>
        <w:tc>
          <w:tcPr>
            <w:tcW w:w="265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218"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572"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706"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172"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833"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374" w:type="dxa"/>
            <w:gridSpan w:val="2"/>
            <w:tcBorders>
              <w:top w:val="nil"/>
              <w:left w:val="nil"/>
              <w:bottom w:val="nil"/>
              <w:right w:val="single" w:sz="8" w:space="0" w:color="auto"/>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r>
      <w:tr w:rsidR="00445218" w:rsidRPr="007E7CD6" w:rsidTr="00636751">
        <w:trPr>
          <w:gridBefore w:val="1"/>
          <w:wBefore w:w="149" w:type="dxa"/>
          <w:trHeight w:val="300"/>
        </w:trPr>
        <w:tc>
          <w:tcPr>
            <w:tcW w:w="466" w:type="dxa"/>
            <w:gridSpan w:val="2"/>
            <w:tcBorders>
              <w:top w:val="nil"/>
              <w:left w:val="single" w:sz="8" w:space="0" w:color="auto"/>
              <w:bottom w:val="nil"/>
              <w:right w:val="nil"/>
            </w:tcBorders>
            <w:shd w:val="clear" w:color="auto" w:fill="auto"/>
            <w:noWrap/>
            <w:vAlign w:val="bottom"/>
            <w:hideMark/>
          </w:tcPr>
          <w:p w:rsidR="00445218" w:rsidRPr="00445218" w:rsidRDefault="00445218" w:rsidP="00445218">
            <w:pPr>
              <w:rPr>
                <w:rFonts w:cs="Calibri"/>
              </w:rPr>
            </w:pPr>
            <w:r w:rsidRPr="00445218">
              <w:rPr>
                <w:rFonts w:cs="Calibri"/>
              </w:rPr>
              <w:t> </w:t>
            </w:r>
          </w:p>
        </w:tc>
        <w:tc>
          <w:tcPr>
            <w:tcW w:w="2658" w:type="dxa"/>
            <w:tcBorders>
              <w:top w:val="nil"/>
              <w:left w:val="nil"/>
              <w:bottom w:val="nil"/>
              <w:right w:val="nil"/>
            </w:tcBorders>
            <w:shd w:val="clear" w:color="auto" w:fill="auto"/>
            <w:noWrap/>
            <w:vAlign w:val="bottom"/>
            <w:hideMark/>
          </w:tcPr>
          <w:p w:rsidR="00445218" w:rsidRPr="00445218" w:rsidRDefault="00445218" w:rsidP="00445218">
            <w:pPr>
              <w:rPr>
                <w:rFonts w:cs="Calibri"/>
              </w:rPr>
            </w:pPr>
          </w:p>
        </w:tc>
        <w:tc>
          <w:tcPr>
            <w:tcW w:w="1218"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rPr>
            </w:pP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rPr>
            </w:pPr>
          </w:p>
        </w:tc>
        <w:tc>
          <w:tcPr>
            <w:tcW w:w="4850" w:type="dxa"/>
            <w:gridSpan w:val="5"/>
            <w:tcBorders>
              <w:top w:val="nil"/>
              <w:left w:val="nil"/>
              <w:bottom w:val="nil"/>
              <w:right w:val="nil"/>
            </w:tcBorders>
            <w:shd w:val="clear" w:color="auto" w:fill="auto"/>
            <w:noWrap/>
            <w:vAlign w:val="bottom"/>
            <w:hideMark/>
          </w:tcPr>
          <w:p w:rsidR="00445218" w:rsidRPr="00445218" w:rsidRDefault="00445218" w:rsidP="00445218">
            <w:pPr>
              <w:rPr>
                <w:rFonts w:cs="Calibri"/>
                <w:b/>
                <w:bCs/>
                <w:sz w:val="20"/>
                <w:szCs w:val="20"/>
              </w:rPr>
            </w:pPr>
            <w:r w:rsidRPr="00445218">
              <w:rPr>
                <w:rFonts w:cs="Calibri"/>
                <w:b/>
                <w:bCs/>
                <w:sz w:val="20"/>
                <w:szCs w:val="20"/>
              </w:rPr>
              <w:t>RANGE OF REASONABLENESS</w:t>
            </w:r>
          </w:p>
        </w:tc>
        <w:tc>
          <w:tcPr>
            <w:tcW w:w="1172" w:type="dxa"/>
            <w:gridSpan w:val="2"/>
            <w:tcBorders>
              <w:top w:val="nil"/>
              <w:left w:val="nil"/>
              <w:bottom w:val="nil"/>
              <w:right w:val="nil"/>
            </w:tcBorders>
            <w:shd w:val="clear" w:color="auto" w:fill="auto"/>
            <w:noWrap/>
            <w:vAlign w:val="bottom"/>
            <w:hideMark/>
          </w:tcPr>
          <w:p w:rsidR="00445218" w:rsidRPr="00445218" w:rsidRDefault="00445218" w:rsidP="00445218">
            <w:pPr>
              <w:jc w:val="center"/>
              <w:rPr>
                <w:rFonts w:cs="Calibri"/>
                <w:b/>
                <w:bCs/>
                <w:sz w:val="20"/>
                <w:szCs w:val="20"/>
                <w:u w:val="single"/>
              </w:rPr>
            </w:pPr>
            <w:r w:rsidRPr="00445218">
              <w:rPr>
                <w:rFonts w:cs="Calibri"/>
                <w:b/>
                <w:bCs/>
                <w:sz w:val="20"/>
                <w:szCs w:val="20"/>
                <w:u w:val="single"/>
              </w:rPr>
              <w:t>LOW</w:t>
            </w:r>
          </w:p>
        </w:tc>
        <w:tc>
          <w:tcPr>
            <w:tcW w:w="833" w:type="dxa"/>
            <w:tcBorders>
              <w:top w:val="nil"/>
              <w:left w:val="nil"/>
              <w:bottom w:val="nil"/>
              <w:right w:val="nil"/>
            </w:tcBorders>
            <w:shd w:val="clear" w:color="auto" w:fill="auto"/>
            <w:noWrap/>
            <w:vAlign w:val="bottom"/>
            <w:hideMark/>
          </w:tcPr>
          <w:p w:rsidR="00445218" w:rsidRPr="00445218" w:rsidRDefault="00445218" w:rsidP="00445218">
            <w:pPr>
              <w:jc w:val="center"/>
              <w:rPr>
                <w:rFonts w:cs="Calibri"/>
                <w:b/>
                <w:bCs/>
                <w:sz w:val="20"/>
                <w:szCs w:val="20"/>
                <w:u w:val="single"/>
              </w:rPr>
            </w:pPr>
            <w:r w:rsidRPr="00445218">
              <w:rPr>
                <w:rFonts w:cs="Calibri"/>
                <w:b/>
                <w:bCs/>
                <w:sz w:val="20"/>
                <w:szCs w:val="20"/>
                <w:u w:val="single"/>
              </w:rPr>
              <w:t>HIGH</w:t>
            </w:r>
          </w:p>
        </w:tc>
        <w:tc>
          <w:tcPr>
            <w:tcW w:w="1374" w:type="dxa"/>
            <w:gridSpan w:val="2"/>
            <w:tcBorders>
              <w:top w:val="nil"/>
              <w:left w:val="nil"/>
              <w:bottom w:val="nil"/>
              <w:right w:val="single" w:sz="8" w:space="0" w:color="auto"/>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r>
      <w:tr w:rsidR="00445218" w:rsidRPr="007E7CD6" w:rsidTr="00636751">
        <w:trPr>
          <w:gridBefore w:val="1"/>
          <w:wBefore w:w="149" w:type="dxa"/>
          <w:trHeight w:val="300"/>
        </w:trPr>
        <w:tc>
          <w:tcPr>
            <w:tcW w:w="466" w:type="dxa"/>
            <w:gridSpan w:val="2"/>
            <w:tcBorders>
              <w:top w:val="nil"/>
              <w:left w:val="single" w:sz="8" w:space="0" w:color="auto"/>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c>
          <w:tcPr>
            <w:tcW w:w="265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218"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4850" w:type="dxa"/>
            <w:gridSpan w:val="5"/>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xml:space="preserve">    RETURN ON EQUITY</w:t>
            </w:r>
          </w:p>
        </w:tc>
        <w:tc>
          <w:tcPr>
            <w:tcW w:w="11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double"/>
              </w:rPr>
            </w:pPr>
            <w:r w:rsidRPr="00445218">
              <w:rPr>
                <w:rFonts w:cs="Calibri"/>
                <w:sz w:val="20"/>
                <w:szCs w:val="20"/>
                <w:u w:val="double"/>
              </w:rPr>
              <w:t>8.01%</w:t>
            </w:r>
          </w:p>
        </w:tc>
        <w:tc>
          <w:tcPr>
            <w:tcW w:w="833"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double"/>
              </w:rPr>
            </w:pPr>
            <w:r w:rsidRPr="00445218">
              <w:rPr>
                <w:rFonts w:cs="Calibri"/>
                <w:sz w:val="20"/>
                <w:szCs w:val="20"/>
                <w:u w:val="double"/>
              </w:rPr>
              <w:t>10.01%</w:t>
            </w:r>
          </w:p>
        </w:tc>
        <w:tc>
          <w:tcPr>
            <w:tcW w:w="1374" w:type="dxa"/>
            <w:gridSpan w:val="2"/>
            <w:tcBorders>
              <w:top w:val="nil"/>
              <w:left w:val="nil"/>
              <w:bottom w:val="nil"/>
              <w:right w:val="single" w:sz="8" w:space="0" w:color="auto"/>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r>
      <w:tr w:rsidR="00445218" w:rsidRPr="007E7CD6" w:rsidTr="00636751">
        <w:trPr>
          <w:gridBefore w:val="1"/>
          <w:wBefore w:w="149" w:type="dxa"/>
          <w:trHeight w:val="300"/>
        </w:trPr>
        <w:tc>
          <w:tcPr>
            <w:tcW w:w="466" w:type="dxa"/>
            <w:gridSpan w:val="2"/>
            <w:tcBorders>
              <w:top w:val="nil"/>
              <w:left w:val="single" w:sz="8" w:space="0" w:color="auto"/>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c>
          <w:tcPr>
            <w:tcW w:w="2658" w:type="dxa"/>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218"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1572" w:type="dxa"/>
            <w:gridSpan w:val="2"/>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p>
        </w:tc>
        <w:tc>
          <w:tcPr>
            <w:tcW w:w="4850" w:type="dxa"/>
            <w:gridSpan w:val="5"/>
            <w:tcBorders>
              <w:top w:val="nil"/>
              <w:left w:val="nil"/>
              <w:bottom w:val="nil"/>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xml:space="preserve">    OVERALL RATE OF RETURN</w:t>
            </w:r>
          </w:p>
        </w:tc>
        <w:tc>
          <w:tcPr>
            <w:tcW w:w="1172" w:type="dxa"/>
            <w:gridSpan w:val="2"/>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double"/>
              </w:rPr>
            </w:pPr>
            <w:r w:rsidRPr="00445218">
              <w:rPr>
                <w:rFonts w:cs="Calibri"/>
                <w:sz w:val="20"/>
                <w:szCs w:val="20"/>
                <w:u w:val="double"/>
              </w:rPr>
              <w:t>8.48%</w:t>
            </w:r>
          </w:p>
        </w:tc>
        <w:tc>
          <w:tcPr>
            <w:tcW w:w="833" w:type="dxa"/>
            <w:tcBorders>
              <w:top w:val="nil"/>
              <w:left w:val="nil"/>
              <w:bottom w:val="nil"/>
              <w:right w:val="nil"/>
            </w:tcBorders>
            <w:shd w:val="clear" w:color="auto" w:fill="auto"/>
            <w:noWrap/>
            <w:vAlign w:val="bottom"/>
            <w:hideMark/>
          </w:tcPr>
          <w:p w:rsidR="00445218" w:rsidRPr="00445218" w:rsidRDefault="00445218" w:rsidP="00445218">
            <w:pPr>
              <w:jc w:val="right"/>
              <w:rPr>
                <w:rFonts w:cs="Calibri"/>
                <w:sz w:val="20"/>
                <w:szCs w:val="20"/>
                <w:u w:val="double"/>
              </w:rPr>
            </w:pPr>
            <w:r w:rsidRPr="00445218">
              <w:rPr>
                <w:rFonts w:cs="Calibri"/>
                <w:sz w:val="20"/>
                <w:szCs w:val="20"/>
                <w:u w:val="double"/>
              </w:rPr>
              <w:t>10.19%</w:t>
            </w:r>
          </w:p>
        </w:tc>
        <w:tc>
          <w:tcPr>
            <w:tcW w:w="1374" w:type="dxa"/>
            <w:gridSpan w:val="2"/>
            <w:tcBorders>
              <w:top w:val="nil"/>
              <w:left w:val="nil"/>
              <w:bottom w:val="nil"/>
              <w:right w:val="single" w:sz="8" w:space="0" w:color="auto"/>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r>
      <w:tr w:rsidR="00445218" w:rsidRPr="007E7CD6" w:rsidTr="00636751">
        <w:trPr>
          <w:gridBefore w:val="1"/>
          <w:wBefore w:w="149" w:type="dxa"/>
          <w:trHeight w:val="312"/>
        </w:trPr>
        <w:tc>
          <w:tcPr>
            <w:tcW w:w="466" w:type="dxa"/>
            <w:gridSpan w:val="2"/>
            <w:tcBorders>
              <w:top w:val="nil"/>
              <w:left w:val="single" w:sz="8" w:space="0" w:color="auto"/>
              <w:bottom w:val="single" w:sz="8" w:space="0" w:color="auto"/>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c>
          <w:tcPr>
            <w:tcW w:w="2658" w:type="dxa"/>
            <w:tcBorders>
              <w:top w:val="nil"/>
              <w:left w:val="nil"/>
              <w:bottom w:val="single" w:sz="8" w:space="0" w:color="auto"/>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c>
          <w:tcPr>
            <w:tcW w:w="1218" w:type="dxa"/>
            <w:gridSpan w:val="2"/>
            <w:tcBorders>
              <w:top w:val="nil"/>
              <w:left w:val="nil"/>
              <w:bottom w:val="single" w:sz="8" w:space="0" w:color="auto"/>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c>
          <w:tcPr>
            <w:tcW w:w="1572" w:type="dxa"/>
            <w:gridSpan w:val="2"/>
            <w:tcBorders>
              <w:top w:val="nil"/>
              <w:left w:val="nil"/>
              <w:bottom w:val="single" w:sz="8" w:space="0" w:color="auto"/>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c>
          <w:tcPr>
            <w:tcW w:w="1572" w:type="dxa"/>
            <w:tcBorders>
              <w:top w:val="nil"/>
              <w:left w:val="nil"/>
              <w:bottom w:val="single" w:sz="8" w:space="0" w:color="auto"/>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c>
          <w:tcPr>
            <w:tcW w:w="1706" w:type="dxa"/>
            <w:gridSpan w:val="2"/>
            <w:tcBorders>
              <w:top w:val="nil"/>
              <w:left w:val="nil"/>
              <w:bottom w:val="single" w:sz="8" w:space="0" w:color="auto"/>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c>
          <w:tcPr>
            <w:tcW w:w="1572" w:type="dxa"/>
            <w:gridSpan w:val="2"/>
            <w:tcBorders>
              <w:top w:val="nil"/>
              <w:left w:val="nil"/>
              <w:bottom w:val="single" w:sz="8" w:space="0" w:color="auto"/>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c>
          <w:tcPr>
            <w:tcW w:w="1172" w:type="dxa"/>
            <w:gridSpan w:val="2"/>
            <w:tcBorders>
              <w:top w:val="nil"/>
              <w:left w:val="nil"/>
              <w:bottom w:val="single" w:sz="8" w:space="0" w:color="auto"/>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c>
          <w:tcPr>
            <w:tcW w:w="833" w:type="dxa"/>
            <w:tcBorders>
              <w:top w:val="nil"/>
              <w:left w:val="nil"/>
              <w:bottom w:val="single" w:sz="8" w:space="0" w:color="auto"/>
              <w:right w:val="nil"/>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c>
          <w:tcPr>
            <w:tcW w:w="1374" w:type="dxa"/>
            <w:gridSpan w:val="2"/>
            <w:tcBorders>
              <w:top w:val="nil"/>
              <w:left w:val="nil"/>
              <w:bottom w:val="single" w:sz="8" w:space="0" w:color="auto"/>
              <w:right w:val="single" w:sz="8" w:space="0" w:color="auto"/>
            </w:tcBorders>
            <w:shd w:val="clear" w:color="auto" w:fill="auto"/>
            <w:noWrap/>
            <w:vAlign w:val="bottom"/>
            <w:hideMark/>
          </w:tcPr>
          <w:p w:rsidR="00445218" w:rsidRPr="00445218" w:rsidRDefault="00445218" w:rsidP="00445218">
            <w:pPr>
              <w:rPr>
                <w:rFonts w:cs="Calibri"/>
                <w:sz w:val="20"/>
                <w:szCs w:val="20"/>
              </w:rPr>
            </w:pPr>
            <w:r w:rsidRPr="00445218">
              <w:rPr>
                <w:rFonts w:cs="Calibri"/>
                <w:sz w:val="20"/>
                <w:szCs w:val="20"/>
              </w:rPr>
              <w:t> </w:t>
            </w:r>
          </w:p>
        </w:tc>
      </w:tr>
      <w:tr w:rsidR="00445218" w:rsidRPr="00C73500" w:rsidTr="00636751">
        <w:trPr>
          <w:gridAfter w:val="1"/>
          <w:wAfter w:w="1219" w:type="dxa"/>
          <w:trHeight w:val="300"/>
        </w:trPr>
        <w:tc>
          <w:tcPr>
            <w:tcW w:w="509" w:type="dxa"/>
            <w:gridSpan w:val="2"/>
            <w:tcBorders>
              <w:top w:val="single" w:sz="8" w:space="0" w:color="auto"/>
              <w:left w:val="single" w:sz="8" w:space="0" w:color="auto"/>
              <w:bottom w:val="nil"/>
              <w:right w:val="nil"/>
            </w:tcBorders>
            <w:shd w:val="clear" w:color="auto" w:fill="auto"/>
            <w:noWrap/>
            <w:vAlign w:val="bottom"/>
            <w:hideMark/>
          </w:tcPr>
          <w:p w:rsidR="00445218" w:rsidRPr="00A748D1" w:rsidRDefault="00445218" w:rsidP="00445218">
            <w:pPr>
              <w:rPr>
                <w:rFonts w:ascii="SWISS" w:hAnsi="SWISS" w:cs="Arial"/>
                <w:color w:val="000000"/>
                <w:sz w:val="20"/>
                <w:szCs w:val="20"/>
              </w:rPr>
            </w:pPr>
            <w:bookmarkStart w:id="13" w:name="RANGE!I32:O59"/>
            <w:r w:rsidRPr="00A748D1">
              <w:rPr>
                <w:rFonts w:ascii="SWISS" w:hAnsi="SWISS" w:cs="Arial"/>
                <w:color w:val="000000"/>
                <w:sz w:val="20"/>
                <w:szCs w:val="20"/>
              </w:rPr>
              <w:lastRenderedPageBreak/>
              <w:t> </w:t>
            </w:r>
            <w:bookmarkEnd w:id="13"/>
          </w:p>
        </w:tc>
        <w:tc>
          <w:tcPr>
            <w:tcW w:w="7511" w:type="dxa"/>
            <w:gridSpan w:val="8"/>
            <w:tcBorders>
              <w:top w:val="single" w:sz="8" w:space="0" w:color="auto"/>
              <w:left w:val="nil"/>
              <w:bottom w:val="nil"/>
              <w:right w:val="nil"/>
            </w:tcBorders>
            <w:shd w:val="clear" w:color="auto" w:fill="auto"/>
            <w:noWrap/>
            <w:vAlign w:val="bottom"/>
            <w:hideMark/>
          </w:tcPr>
          <w:p w:rsidR="00445218" w:rsidRPr="00A748D1" w:rsidRDefault="00445218" w:rsidP="00445218">
            <w:pPr>
              <w:rPr>
                <w:rFonts w:ascii="SWISS" w:hAnsi="SWISS" w:cs="Arial"/>
                <w:b/>
                <w:bCs/>
                <w:color w:val="000000"/>
                <w:sz w:val="20"/>
                <w:szCs w:val="20"/>
              </w:rPr>
            </w:pPr>
            <w:r w:rsidRPr="00A748D1">
              <w:rPr>
                <w:rFonts w:ascii="SWISS" w:hAnsi="SWISS" w:cs="Arial"/>
                <w:b/>
                <w:bCs/>
                <w:color w:val="000000"/>
                <w:sz w:val="20"/>
                <w:szCs w:val="20"/>
              </w:rPr>
              <w:t>FIMC HIDEAWAY, INC.</w:t>
            </w:r>
          </w:p>
        </w:tc>
        <w:tc>
          <w:tcPr>
            <w:tcW w:w="5053" w:type="dxa"/>
            <w:gridSpan w:val="7"/>
            <w:tcBorders>
              <w:top w:val="single" w:sz="8" w:space="0" w:color="auto"/>
              <w:left w:val="nil"/>
              <w:bottom w:val="nil"/>
              <w:right w:val="single" w:sz="8" w:space="0" w:color="000000"/>
            </w:tcBorders>
            <w:shd w:val="clear" w:color="auto" w:fill="auto"/>
            <w:noWrap/>
            <w:vAlign w:val="bottom"/>
            <w:hideMark/>
          </w:tcPr>
          <w:p w:rsidR="00445218" w:rsidRPr="00C73500" w:rsidRDefault="00445218" w:rsidP="00445218">
            <w:pPr>
              <w:jc w:val="right"/>
              <w:rPr>
                <w:rFonts w:ascii="SWISS" w:hAnsi="SWISS" w:cs="Arial"/>
                <w:b/>
                <w:bCs/>
                <w:color w:val="000000"/>
                <w:sz w:val="20"/>
                <w:szCs w:val="20"/>
              </w:rPr>
            </w:pPr>
            <w:r w:rsidRPr="00C73500">
              <w:rPr>
                <w:rFonts w:ascii="SWISS" w:hAnsi="SWISS" w:cs="Arial"/>
                <w:b/>
                <w:bCs/>
                <w:color w:val="000000"/>
                <w:sz w:val="20"/>
                <w:szCs w:val="20"/>
              </w:rPr>
              <w:t>SCHEDULE NO. 3-A</w:t>
            </w:r>
          </w:p>
        </w:tc>
      </w:tr>
      <w:tr w:rsidR="00445218" w:rsidRPr="00A748D1" w:rsidTr="00636751">
        <w:trPr>
          <w:gridAfter w:val="1"/>
          <w:wAfter w:w="1219" w:type="dxa"/>
          <w:trHeight w:val="300"/>
        </w:trPr>
        <w:tc>
          <w:tcPr>
            <w:tcW w:w="509" w:type="dxa"/>
            <w:gridSpan w:val="2"/>
            <w:tcBorders>
              <w:top w:val="nil"/>
              <w:left w:val="single" w:sz="8" w:space="0" w:color="auto"/>
              <w:bottom w:val="nil"/>
              <w:right w:val="nil"/>
            </w:tcBorders>
            <w:shd w:val="clear" w:color="auto" w:fill="auto"/>
            <w:noWrap/>
            <w:vAlign w:val="bottom"/>
            <w:hideMark/>
          </w:tcPr>
          <w:p w:rsidR="00445218" w:rsidRPr="00A748D1" w:rsidRDefault="00445218" w:rsidP="00445218">
            <w:pPr>
              <w:rPr>
                <w:rFonts w:ascii="SWISS" w:hAnsi="SWISS" w:cs="Arial"/>
                <w:color w:val="000000"/>
                <w:sz w:val="20"/>
                <w:szCs w:val="20"/>
              </w:rPr>
            </w:pPr>
            <w:r w:rsidRPr="00A748D1">
              <w:rPr>
                <w:rFonts w:ascii="SWISS" w:hAnsi="SWISS" w:cs="Arial"/>
                <w:color w:val="000000"/>
                <w:sz w:val="20"/>
                <w:szCs w:val="20"/>
              </w:rPr>
              <w:t> </w:t>
            </w:r>
          </w:p>
        </w:tc>
        <w:tc>
          <w:tcPr>
            <w:tcW w:w="7511" w:type="dxa"/>
            <w:gridSpan w:val="8"/>
            <w:tcBorders>
              <w:top w:val="nil"/>
              <w:left w:val="nil"/>
              <w:bottom w:val="nil"/>
              <w:right w:val="nil"/>
            </w:tcBorders>
            <w:shd w:val="clear" w:color="auto" w:fill="auto"/>
            <w:noWrap/>
            <w:vAlign w:val="bottom"/>
            <w:hideMark/>
          </w:tcPr>
          <w:p w:rsidR="00445218" w:rsidRPr="00A748D1" w:rsidRDefault="00445218" w:rsidP="00445218">
            <w:pPr>
              <w:rPr>
                <w:rFonts w:ascii="SWISS" w:hAnsi="SWISS" w:cs="Arial"/>
                <w:b/>
                <w:bCs/>
                <w:color w:val="000000"/>
                <w:sz w:val="20"/>
                <w:szCs w:val="20"/>
              </w:rPr>
            </w:pPr>
            <w:r>
              <w:rPr>
                <w:rFonts w:ascii="SWISS" w:hAnsi="SWISS" w:cs="Arial"/>
                <w:b/>
                <w:bCs/>
                <w:color w:val="000000"/>
                <w:sz w:val="20"/>
                <w:szCs w:val="20"/>
              </w:rPr>
              <w:t>TEST YEAR ENDED June 30, 2017</w:t>
            </w:r>
          </w:p>
        </w:tc>
        <w:tc>
          <w:tcPr>
            <w:tcW w:w="5053" w:type="dxa"/>
            <w:gridSpan w:val="7"/>
            <w:tcBorders>
              <w:top w:val="nil"/>
              <w:left w:val="nil"/>
              <w:bottom w:val="nil"/>
              <w:right w:val="single" w:sz="8" w:space="0" w:color="000000"/>
            </w:tcBorders>
            <w:shd w:val="clear" w:color="auto" w:fill="auto"/>
            <w:noWrap/>
            <w:vAlign w:val="bottom"/>
            <w:hideMark/>
          </w:tcPr>
          <w:p w:rsidR="00445218" w:rsidRPr="007B4999" w:rsidRDefault="00445218" w:rsidP="00445218">
            <w:pPr>
              <w:jc w:val="right"/>
              <w:rPr>
                <w:rFonts w:ascii="SWISS" w:hAnsi="SWISS" w:cs="Arial"/>
                <w:b/>
                <w:color w:val="000000"/>
                <w:sz w:val="20"/>
                <w:szCs w:val="20"/>
              </w:rPr>
            </w:pPr>
            <w:r w:rsidRPr="007B4999">
              <w:rPr>
                <w:rFonts w:ascii="SWISS" w:hAnsi="SWISS" w:cs="Arial"/>
                <w:b/>
                <w:color w:val="000000"/>
                <w:sz w:val="20"/>
                <w:szCs w:val="20"/>
              </w:rPr>
              <w:t>DOCKET NO. 20170147-WS</w:t>
            </w:r>
          </w:p>
        </w:tc>
      </w:tr>
      <w:tr w:rsidR="00445218" w:rsidRPr="00A748D1" w:rsidTr="00636751">
        <w:trPr>
          <w:gridAfter w:val="1"/>
          <w:wAfter w:w="1219" w:type="dxa"/>
          <w:trHeight w:val="312"/>
        </w:trPr>
        <w:tc>
          <w:tcPr>
            <w:tcW w:w="509" w:type="dxa"/>
            <w:gridSpan w:val="2"/>
            <w:tcBorders>
              <w:top w:val="nil"/>
              <w:left w:val="single" w:sz="8" w:space="0" w:color="auto"/>
              <w:bottom w:val="single" w:sz="8" w:space="0" w:color="auto"/>
              <w:right w:val="nil"/>
            </w:tcBorders>
            <w:shd w:val="clear" w:color="auto" w:fill="auto"/>
            <w:noWrap/>
            <w:vAlign w:val="bottom"/>
            <w:hideMark/>
          </w:tcPr>
          <w:p w:rsidR="00445218" w:rsidRPr="00A748D1" w:rsidRDefault="00445218" w:rsidP="00445218">
            <w:pPr>
              <w:rPr>
                <w:rFonts w:ascii="SWISS" w:hAnsi="SWISS" w:cs="Arial"/>
                <w:color w:val="000000"/>
                <w:sz w:val="20"/>
                <w:szCs w:val="20"/>
              </w:rPr>
            </w:pPr>
            <w:r w:rsidRPr="00A748D1">
              <w:rPr>
                <w:rFonts w:ascii="SWISS" w:hAnsi="SWISS" w:cs="Arial"/>
                <w:color w:val="000000"/>
                <w:sz w:val="20"/>
                <w:szCs w:val="20"/>
              </w:rPr>
              <w:t> </w:t>
            </w:r>
          </w:p>
        </w:tc>
        <w:tc>
          <w:tcPr>
            <w:tcW w:w="7511" w:type="dxa"/>
            <w:gridSpan w:val="8"/>
            <w:tcBorders>
              <w:top w:val="nil"/>
              <w:left w:val="nil"/>
              <w:bottom w:val="single" w:sz="8" w:space="0" w:color="auto"/>
              <w:right w:val="nil"/>
            </w:tcBorders>
            <w:shd w:val="clear" w:color="auto" w:fill="auto"/>
            <w:noWrap/>
            <w:vAlign w:val="bottom"/>
            <w:hideMark/>
          </w:tcPr>
          <w:p w:rsidR="00445218" w:rsidRPr="00A748D1" w:rsidRDefault="00445218" w:rsidP="00445218">
            <w:pPr>
              <w:rPr>
                <w:rFonts w:ascii="SWISS" w:hAnsi="SWISS" w:cs="Arial"/>
                <w:b/>
                <w:bCs/>
                <w:color w:val="000000"/>
                <w:sz w:val="20"/>
                <w:szCs w:val="20"/>
              </w:rPr>
            </w:pPr>
            <w:r w:rsidRPr="00A748D1">
              <w:rPr>
                <w:rFonts w:ascii="SWISS" w:hAnsi="SWISS" w:cs="Arial"/>
                <w:b/>
                <w:bCs/>
                <w:color w:val="000000"/>
                <w:sz w:val="20"/>
                <w:szCs w:val="20"/>
              </w:rPr>
              <w:t>SCHEDULE OF COMBINED WATER OPERATING INCOME</w:t>
            </w:r>
          </w:p>
        </w:tc>
        <w:tc>
          <w:tcPr>
            <w:tcW w:w="1553" w:type="dxa"/>
            <w:gridSpan w:val="2"/>
            <w:tcBorders>
              <w:top w:val="nil"/>
              <w:left w:val="nil"/>
              <w:bottom w:val="single" w:sz="8" w:space="0" w:color="auto"/>
              <w:right w:val="nil"/>
            </w:tcBorders>
            <w:shd w:val="clear" w:color="auto" w:fill="auto"/>
            <w:noWrap/>
            <w:vAlign w:val="bottom"/>
            <w:hideMark/>
          </w:tcPr>
          <w:p w:rsidR="00445218" w:rsidRPr="00A748D1" w:rsidRDefault="00445218" w:rsidP="00445218">
            <w:pPr>
              <w:rPr>
                <w:rFonts w:ascii="SWISS" w:hAnsi="SWISS" w:cs="Arial"/>
                <w:color w:val="000000"/>
                <w:sz w:val="20"/>
                <w:szCs w:val="20"/>
              </w:rPr>
            </w:pPr>
            <w:r w:rsidRPr="00A748D1">
              <w:rPr>
                <w:rFonts w:ascii="SWISS" w:hAnsi="SWISS" w:cs="Arial"/>
                <w:color w:val="000000"/>
                <w:sz w:val="20"/>
                <w:szCs w:val="20"/>
              </w:rPr>
              <w:t> </w:t>
            </w:r>
          </w:p>
        </w:tc>
        <w:tc>
          <w:tcPr>
            <w:tcW w:w="1350" w:type="dxa"/>
            <w:gridSpan w:val="2"/>
            <w:tcBorders>
              <w:top w:val="nil"/>
              <w:left w:val="nil"/>
              <w:bottom w:val="single" w:sz="8" w:space="0" w:color="auto"/>
              <w:right w:val="nil"/>
            </w:tcBorders>
            <w:shd w:val="clear" w:color="auto" w:fill="auto"/>
            <w:noWrap/>
            <w:vAlign w:val="bottom"/>
            <w:hideMark/>
          </w:tcPr>
          <w:p w:rsidR="00445218" w:rsidRPr="00A748D1" w:rsidRDefault="00445218" w:rsidP="00445218">
            <w:pPr>
              <w:rPr>
                <w:rFonts w:ascii="SWISS" w:hAnsi="SWISS" w:cs="Arial"/>
                <w:color w:val="000000"/>
                <w:sz w:val="20"/>
                <w:szCs w:val="20"/>
              </w:rPr>
            </w:pPr>
            <w:r w:rsidRPr="00A748D1">
              <w:rPr>
                <w:rFonts w:ascii="SWISS" w:hAnsi="SWISS" w:cs="Arial"/>
                <w:color w:val="000000"/>
                <w:sz w:val="20"/>
                <w:szCs w:val="20"/>
              </w:rPr>
              <w:t> </w:t>
            </w:r>
          </w:p>
        </w:tc>
        <w:tc>
          <w:tcPr>
            <w:tcW w:w="2150" w:type="dxa"/>
            <w:gridSpan w:val="3"/>
            <w:tcBorders>
              <w:top w:val="nil"/>
              <w:left w:val="nil"/>
              <w:bottom w:val="single" w:sz="8" w:space="0" w:color="auto"/>
              <w:right w:val="single" w:sz="8" w:space="0" w:color="auto"/>
            </w:tcBorders>
            <w:shd w:val="clear" w:color="auto" w:fill="auto"/>
            <w:noWrap/>
            <w:vAlign w:val="bottom"/>
            <w:hideMark/>
          </w:tcPr>
          <w:p w:rsidR="00445218" w:rsidRPr="00A748D1" w:rsidRDefault="00445218" w:rsidP="00445218">
            <w:pPr>
              <w:rPr>
                <w:rFonts w:ascii="SWISS" w:hAnsi="SWISS" w:cs="Arial"/>
                <w:color w:val="000000"/>
                <w:sz w:val="20"/>
                <w:szCs w:val="20"/>
              </w:rPr>
            </w:pPr>
            <w:r w:rsidRPr="00A748D1">
              <w:rPr>
                <w:rFonts w:ascii="SWISS" w:hAnsi="SWISS" w:cs="Arial"/>
                <w:color w:val="000000"/>
                <w:sz w:val="20"/>
                <w:szCs w:val="20"/>
              </w:rPr>
              <w:t> </w:t>
            </w:r>
          </w:p>
        </w:tc>
      </w:tr>
      <w:tr w:rsidR="00445218" w:rsidRPr="00A748D1" w:rsidTr="00636751">
        <w:trPr>
          <w:gridAfter w:val="1"/>
          <w:wAfter w:w="1219" w:type="dxa"/>
          <w:trHeight w:val="312"/>
        </w:trPr>
        <w:tc>
          <w:tcPr>
            <w:tcW w:w="509" w:type="dxa"/>
            <w:gridSpan w:val="2"/>
            <w:tcBorders>
              <w:top w:val="nil"/>
              <w:left w:val="single" w:sz="8" w:space="0" w:color="auto"/>
              <w:bottom w:val="nil"/>
              <w:right w:val="nil"/>
            </w:tcBorders>
            <w:shd w:val="clear" w:color="auto" w:fill="auto"/>
            <w:noWrap/>
            <w:vAlign w:val="bottom"/>
            <w:hideMark/>
          </w:tcPr>
          <w:p w:rsidR="00445218" w:rsidRPr="00A748D1" w:rsidRDefault="00445218" w:rsidP="00445218">
            <w:pPr>
              <w:rPr>
                <w:rFonts w:ascii="SWISS" w:hAnsi="SWISS" w:cs="Arial"/>
                <w:color w:val="000000"/>
                <w:sz w:val="20"/>
                <w:szCs w:val="20"/>
              </w:rPr>
            </w:pPr>
            <w:r w:rsidRPr="00A748D1">
              <w:rPr>
                <w:rFonts w:ascii="SWISS" w:hAnsi="SWISS" w:cs="Arial"/>
                <w:color w:val="000000"/>
                <w:sz w:val="20"/>
                <w:szCs w:val="20"/>
              </w:rPr>
              <w:t> </w:t>
            </w:r>
          </w:p>
        </w:tc>
        <w:tc>
          <w:tcPr>
            <w:tcW w:w="3482" w:type="dxa"/>
            <w:gridSpan w:val="3"/>
            <w:tcBorders>
              <w:top w:val="nil"/>
              <w:left w:val="nil"/>
              <w:bottom w:val="nil"/>
              <w:right w:val="nil"/>
            </w:tcBorders>
            <w:shd w:val="clear" w:color="auto" w:fill="auto"/>
            <w:noWrap/>
            <w:vAlign w:val="bottom"/>
            <w:hideMark/>
          </w:tcPr>
          <w:p w:rsidR="00445218" w:rsidRPr="00A748D1" w:rsidRDefault="00445218" w:rsidP="00445218">
            <w:pPr>
              <w:rPr>
                <w:rFonts w:ascii="SWISS" w:hAnsi="SWISS" w:cs="Arial"/>
                <w:color w:val="000000"/>
                <w:sz w:val="20"/>
                <w:szCs w:val="20"/>
              </w:rPr>
            </w:pPr>
            <w:r w:rsidRPr="00A748D1">
              <w:rPr>
                <w:rFonts w:ascii="SWISS" w:hAnsi="SWISS" w:cs="Arial"/>
                <w:color w:val="000000"/>
                <w:sz w:val="20"/>
                <w:szCs w:val="20"/>
              </w:rPr>
              <w:t> </w:t>
            </w:r>
          </w:p>
        </w:tc>
        <w:tc>
          <w:tcPr>
            <w:tcW w:w="1987" w:type="dxa"/>
            <w:gridSpan w:val="2"/>
            <w:tcBorders>
              <w:top w:val="nil"/>
              <w:left w:val="nil"/>
              <w:bottom w:val="nil"/>
              <w:right w:val="nil"/>
            </w:tcBorders>
            <w:shd w:val="clear" w:color="auto" w:fill="auto"/>
            <w:noWrap/>
            <w:vAlign w:val="bottom"/>
            <w:hideMark/>
          </w:tcPr>
          <w:p w:rsidR="00445218" w:rsidRPr="00A748D1" w:rsidRDefault="00445218" w:rsidP="00445218">
            <w:pPr>
              <w:rPr>
                <w:rFonts w:ascii="SWISS" w:hAnsi="SWISS" w:cs="Arial"/>
                <w:b/>
                <w:bCs/>
                <w:color w:val="000000"/>
                <w:sz w:val="20"/>
                <w:szCs w:val="20"/>
              </w:rPr>
            </w:pPr>
            <w:r w:rsidRPr="00A748D1">
              <w:rPr>
                <w:rFonts w:ascii="SWISS" w:hAnsi="SWISS" w:cs="Arial"/>
                <w:b/>
                <w:bCs/>
                <w:color w:val="000000"/>
                <w:sz w:val="20"/>
                <w:szCs w:val="20"/>
              </w:rPr>
              <w:t> </w:t>
            </w:r>
          </w:p>
        </w:tc>
        <w:tc>
          <w:tcPr>
            <w:tcW w:w="2042" w:type="dxa"/>
            <w:gridSpan w:val="3"/>
            <w:tcBorders>
              <w:top w:val="nil"/>
              <w:left w:val="nil"/>
              <w:bottom w:val="nil"/>
              <w:right w:val="nil"/>
            </w:tcBorders>
            <w:shd w:val="clear" w:color="auto" w:fill="auto"/>
            <w:noWrap/>
            <w:vAlign w:val="bottom"/>
            <w:hideMark/>
          </w:tcPr>
          <w:p w:rsidR="00445218" w:rsidRPr="00A748D1" w:rsidRDefault="00445218" w:rsidP="00445218">
            <w:pPr>
              <w:jc w:val="center"/>
              <w:rPr>
                <w:rFonts w:ascii="SWISS" w:hAnsi="SWISS" w:cs="Arial"/>
                <w:b/>
                <w:bCs/>
                <w:color w:val="000000"/>
                <w:sz w:val="20"/>
                <w:szCs w:val="20"/>
              </w:rPr>
            </w:pPr>
            <w:r w:rsidRPr="00A748D1">
              <w:rPr>
                <w:rFonts w:ascii="SWISS" w:hAnsi="SWISS" w:cs="Arial"/>
                <w:b/>
                <w:bCs/>
                <w:color w:val="000000"/>
                <w:sz w:val="20"/>
                <w:szCs w:val="20"/>
              </w:rPr>
              <w:t> </w:t>
            </w:r>
          </w:p>
        </w:tc>
        <w:tc>
          <w:tcPr>
            <w:tcW w:w="1553" w:type="dxa"/>
            <w:gridSpan w:val="2"/>
            <w:tcBorders>
              <w:top w:val="nil"/>
              <w:left w:val="nil"/>
              <w:bottom w:val="nil"/>
              <w:right w:val="nil"/>
            </w:tcBorders>
            <w:shd w:val="clear" w:color="auto" w:fill="auto"/>
            <w:noWrap/>
            <w:vAlign w:val="bottom"/>
            <w:hideMark/>
          </w:tcPr>
          <w:p w:rsidR="00445218" w:rsidRPr="00A748D1" w:rsidRDefault="00636751" w:rsidP="00445218">
            <w:pPr>
              <w:jc w:val="center"/>
              <w:rPr>
                <w:rFonts w:ascii="SWISS" w:hAnsi="SWISS" w:cs="Arial"/>
                <w:b/>
                <w:bCs/>
                <w:color w:val="000000"/>
                <w:sz w:val="20"/>
                <w:szCs w:val="20"/>
              </w:rPr>
            </w:pPr>
            <w:r>
              <w:rPr>
                <w:rFonts w:ascii="SWISS" w:hAnsi="SWISS" w:cs="Arial"/>
                <w:b/>
                <w:bCs/>
                <w:color w:val="000000"/>
                <w:sz w:val="20"/>
                <w:szCs w:val="20"/>
              </w:rPr>
              <w:t>COMMISSION</w:t>
            </w:r>
          </w:p>
        </w:tc>
        <w:tc>
          <w:tcPr>
            <w:tcW w:w="1350" w:type="dxa"/>
            <w:gridSpan w:val="2"/>
            <w:tcBorders>
              <w:top w:val="nil"/>
              <w:left w:val="nil"/>
              <w:bottom w:val="nil"/>
              <w:right w:val="nil"/>
            </w:tcBorders>
            <w:shd w:val="clear" w:color="auto" w:fill="auto"/>
            <w:noWrap/>
            <w:vAlign w:val="bottom"/>
            <w:hideMark/>
          </w:tcPr>
          <w:p w:rsidR="00445218" w:rsidRPr="00A748D1" w:rsidRDefault="00445218" w:rsidP="00445218">
            <w:pPr>
              <w:jc w:val="center"/>
              <w:rPr>
                <w:rFonts w:ascii="SWISS" w:hAnsi="SWISS" w:cs="Arial"/>
                <w:b/>
                <w:bCs/>
                <w:color w:val="000000"/>
                <w:sz w:val="20"/>
                <w:szCs w:val="20"/>
              </w:rPr>
            </w:pPr>
            <w:r w:rsidRPr="00A748D1">
              <w:rPr>
                <w:rFonts w:ascii="SWISS" w:hAnsi="SWISS" w:cs="Arial"/>
                <w:b/>
                <w:bCs/>
                <w:color w:val="000000"/>
                <w:sz w:val="20"/>
                <w:szCs w:val="20"/>
              </w:rPr>
              <w:t>ADJUST.</w:t>
            </w:r>
          </w:p>
        </w:tc>
        <w:tc>
          <w:tcPr>
            <w:tcW w:w="2150" w:type="dxa"/>
            <w:gridSpan w:val="3"/>
            <w:tcBorders>
              <w:top w:val="nil"/>
              <w:left w:val="nil"/>
              <w:bottom w:val="nil"/>
              <w:right w:val="single" w:sz="8" w:space="0" w:color="auto"/>
            </w:tcBorders>
            <w:shd w:val="clear" w:color="auto" w:fill="auto"/>
            <w:noWrap/>
            <w:vAlign w:val="bottom"/>
            <w:hideMark/>
          </w:tcPr>
          <w:p w:rsidR="00445218" w:rsidRPr="00A748D1" w:rsidRDefault="00445218" w:rsidP="00445218">
            <w:pPr>
              <w:rPr>
                <w:rFonts w:ascii="SWISS" w:hAnsi="SWISS" w:cs="Arial"/>
                <w:b/>
                <w:bCs/>
                <w:color w:val="000000"/>
                <w:sz w:val="20"/>
                <w:szCs w:val="20"/>
              </w:rPr>
            </w:pPr>
            <w:r w:rsidRPr="00A748D1">
              <w:rPr>
                <w:rFonts w:ascii="SWISS" w:hAnsi="SWISS" w:cs="Arial"/>
                <w:b/>
                <w:bCs/>
                <w:color w:val="000000"/>
                <w:sz w:val="20"/>
                <w:szCs w:val="20"/>
              </w:rPr>
              <w:t> </w:t>
            </w:r>
          </w:p>
        </w:tc>
      </w:tr>
      <w:tr w:rsidR="00445218" w:rsidRPr="00A748D1" w:rsidTr="00636751">
        <w:trPr>
          <w:gridAfter w:val="1"/>
          <w:wAfter w:w="1219" w:type="dxa"/>
          <w:trHeight w:val="300"/>
        </w:trPr>
        <w:tc>
          <w:tcPr>
            <w:tcW w:w="509" w:type="dxa"/>
            <w:gridSpan w:val="2"/>
            <w:tcBorders>
              <w:top w:val="nil"/>
              <w:left w:val="single" w:sz="8" w:space="0" w:color="auto"/>
              <w:bottom w:val="nil"/>
              <w:right w:val="nil"/>
            </w:tcBorders>
            <w:shd w:val="clear" w:color="auto" w:fill="auto"/>
            <w:noWrap/>
            <w:vAlign w:val="bottom"/>
            <w:hideMark/>
          </w:tcPr>
          <w:p w:rsidR="00445218" w:rsidRPr="00A748D1" w:rsidRDefault="00445218" w:rsidP="00445218">
            <w:pPr>
              <w:rPr>
                <w:rFonts w:ascii="SWISS" w:hAnsi="SWISS" w:cs="Arial"/>
                <w:color w:val="000000"/>
                <w:sz w:val="20"/>
                <w:szCs w:val="20"/>
              </w:rPr>
            </w:pPr>
            <w:r w:rsidRPr="00A748D1">
              <w:rPr>
                <w:rFonts w:ascii="SWISS" w:hAnsi="SWISS" w:cs="Arial"/>
                <w:color w:val="000000"/>
                <w:sz w:val="20"/>
                <w:szCs w:val="20"/>
              </w:rPr>
              <w:t> </w:t>
            </w:r>
          </w:p>
        </w:tc>
        <w:tc>
          <w:tcPr>
            <w:tcW w:w="3482" w:type="dxa"/>
            <w:gridSpan w:val="3"/>
            <w:tcBorders>
              <w:top w:val="nil"/>
              <w:left w:val="nil"/>
              <w:bottom w:val="nil"/>
              <w:right w:val="nil"/>
            </w:tcBorders>
            <w:shd w:val="clear" w:color="auto" w:fill="auto"/>
            <w:noWrap/>
            <w:vAlign w:val="bottom"/>
            <w:hideMark/>
          </w:tcPr>
          <w:p w:rsidR="00445218" w:rsidRPr="00A748D1" w:rsidRDefault="00445218" w:rsidP="00445218">
            <w:pPr>
              <w:rPr>
                <w:rFonts w:ascii="SWISS" w:hAnsi="SWISS" w:cs="Arial"/>
                <w:color w:val="000000"/>
                <w:sz w:val="20"/>
                <w:szCs w:val="20"/>
              </w:rPr>
            </w:pPr>
          </w:p>
        </w:tc>
        <w:tc>
          <w:tcPr>
            <w:tcW w:w="1987" w:type="dxa"/>
            <w:gridSpan w:val="2"/>
            <w:tcBorders>
              <w:top w:val="nil"/>
              <w:left w:val="nil"/>
              <w:bottom w:val="nil"/>
              <w:right w:val="nil"/>
            </w:tcBorders>
            <w:shd w:val="clear" w:color="auto" w:fill="auto"/>
            <w:noWrap/>
            <w:vAlign w:val="bottom"/>
            <w:hideMark/>
          </w:tcPr>
          <w:p w:rsidR="00445218" w:rsidRPr="00A748D1" w:rsidRDefault="00445218" w:rsidP="00445218">
            <w:pPr>
              <w:jc w:val="center"/>
              <w:rPr>
                <w:rFonts w:ascii="SWISS" w:hAnsi="SWISS" w:cs="Arial"/>
                <w:b/>
                <w:bCs/>
                <w:color w:val="000000"/>
                <w:sz w:val="20"/>
                <w:szCs w:val="20"/>
              </w:rPr>
            </w:pPr>
            <w:r w:rsidRPr="00A748D1">
              <w:rPr>
                <w:rFonts w:ascii="SWISS" w:hAnsi="SWISS" w:cs="Arial"/>
                <w:b/>
                <w:bCs/>
                <w:color w:val="000000"/>
                <w:sz w:val="20"/>
                <w:szCs w:val="20"/>
              </w:rPr>
              <w:t>TEST YEAR</w:t>
            </w:r>
          </w:p>
        </w:tc>
        <w:tc>
          <w:tcPr>
            <w:tcW w:w="2042" w:type="dxa"/>
            <w:gridSpan w:val="3"/>
            <w:tcBorders>
              <w:top w:val="nil"/>
              <w:left w:val="nil"/>
              <w:bottom w:val="nil"/>
              <w:right w:val="nil"/>
            </w:tcBorders>
            <w:shd w:val="clear" w:color="auto" w:fill="auto"/>
            <w:noWrap/>
            <w:vAlign w:val="bottom"/>
            <w:hideMark/>
          </w:tcPr>
          <w:p w:rsidR="00445218" w:rsidRPr="00A748D1" w:rsidRDefault="00636751" w:rsidP="00445218">
            <w:pPr>
              <w:jc w:val="center"/>
              <w:rPr>
                <w:rFonts w:ascii="SWISS" w:hAnsi="SWISS" w:cs="Arial"/>
                <w:b/>
                <w:bCs/>
                <w:color w:val="000000"/>
                <w:sz w:val="20"/>
                <w:szCs w:val="20"/>
              </w:rPr>
            </w:pPr>
            <w:r>
              <w:rPr>
                <w:rFonts w:ascii="SWISS" w:hAnsi="SWISS" w:cs="Arial"/>
                <w:b/>
                <w:bCs/>
                <w:color w:val="000000"/>
                <w:sz w:val="20"/>
                <w:szCs w:val="20"/>
              </w:rPr>
              <w:t>COMMISSION</w:t>
            </w:r>
          </w:p>
        </w:tc>
        <w:tc>
          <w:tcPr>
            <w:tcW w:w="1553" w:type="dxa"/>
            <w:gridSpan w:val="2"/>
            <w:tcBorders>
              <w:top w:val="nil"/>
              <w:left w:val="nil"/>
              <w:bottom w:val="nil"/>
              <w:right w:val="nil"/>
            </w:tcBorders>
            <w:shd w:val="clear" w:color="auto" w:fill="auto"/>
            <w:noWrap/>
            <w:vAlign w:val="bottom"/>
            <w:hideMark/>
          </w:tcPr>
          <w:p w:rsidR="00445218" w:rsidRPr="00A748D1" w:rsidRDefault="00445218" w:rsidP="00445218">
            <w:pPr>
              <w:jc w:val="center"/>
              <w:rPr>
                <w:rFonts w:ascii="SWISS" w:hAnsi="SWISS" w:cs="Arial"/>
                <w:b/>
                <w:bCs/>
                <w:color w:val="000000"/>
                <w:sz w:val="20"/>
                <w:szCs w:val="20"/>
              </w:rPr>
            </w:pPr>
            <w:r w:rsidRPr="00A748D1">
              <w:rPr>
                <w:rFonts w:ascii="SWISS" w:hAnsi="SWISS" w:cs="Arial"/>
                <w:b/>
                <w:bCs/>
                <w:color w:val="000000"/>
                <w:sz w:val="20"/>
                <w:szCs w:val="20"/>
              </w:rPr>
              <w:t>ADJUSTED</w:t>
            </w:r>
          </w:p>
        </w:tc>
        <w:tc>
          <w:tcPr>
            <w:tcW w:w="1350" w:type="dxa"/>
            <w:gridSpan w:val="2"/>
            <w:tcBorders>
              <w:top w:val="nil"/>
              <w:left w:val="nil"/>
              <w:bottom w:val="nil"/>
              <w:right w:val="nil"/>
            </w:tcBorders>
            <w:shd w:val="clear" w:color="auto" w:fill="auto"/>
            <w:noWrap/>
            <w:vAlign w:val="bottom"/>
            <w:hideMark/>
          </w:tcPr>
          <w:p w:rsidR="00445218" w:rsidRPr="00A748D1" w:rsidRDefault="00445218" w:rsidP="00445218">
            <w:pPr>
              <w:jc w:val="center"/>
              <w:rPr>
                <w:rFonts w:ascii="SWISS" w:hAnsi="SWISS" w:cs="Arial"/>
                <w:b/>
                <w:bCs/>
                <w:color w:val="000000"/>
                <w:sz w:val="20"/>
                <w:szCs w:val="20"/>
              </w:rPr>
            </w:pPr>
            <w:r w:rsidRPr="00A748D1">
              <w:rPr>
                <w:rFonts w:ascii="SWISS" w:hAnsi="SWISS" w:cs="Arial"/>
                <w:b/>
                <w:bCs/>
                <w:color w:val="000000"/>
                <w:sz w:val="20"/>
                <w:szCs w:val="20"/>
              </w:rPr>
              <w:t>FOR</w:t>
            </w:r>
          </w:p>
        </w:tc>
        <w:tc>
          <w:tcPr>
            <w:tcW w:w="2150" w:type="dxa"/>
            <w:gridSpan w:val="3"/>
            <w:tcBorders>
              <w:top w:val="nil"/>
              <w:left w:val="nil"/>
              <w:bottom w:val="nil"/>
              <w:right w:val="single" w:sz="8" w:space="0" w:color="auto"/>
            </w:tcBorders>
            <w:shd w:val="clear" w:color="auto" w:fill="auto"/>
            <w:noWrap/>
            <w:vAlign w:val="bottom"/>
            <w:hideMark/>
          </w:tcPr>
          <w:p w:rsidR="00445218" w:rsidRPr="00A748D1" w:rsidRDefault="00445218" w:rsidP="00445218">
            <w:pPr>
              <w:jc w:val="center"/>
              <w:rPr>
                <w:rFonts w:ascii="SWISS" w:hAnsi="SWISS" w:cs="Arial"/>
                <w:b/>
                <w:bCs/>
                <w:color w:val="000000"/>
                <w:sz w:val="20"/>
                <w:szCs w:val="20"/>
              </w:rPr>
            </w:pPr>
            <w:r w:rsidRPr="00A748D1">
              <w:rPr>
                <w:rFonts w:ascii="SWISS" w:hAnsi="SWISS" w:cs="Arial"/>
                <w:b/>
                <w:bCs/>
                <w:color w:val="000000"/>
                <w:sz w:val="20"/>
                <w:szCs w:val="20"/>
              </w:rPr>
              <w:t>REVENUE</w:t>
            </w:r>
          </w:p>
        </w:tc>
      </w:tr>
      <w:tr w:rsidR="00445218" w:rsidRPr="00A748D1" w:rsidTr="00636751">
        <w:trPr>
          <w:gridAfter w:val="1"/>
          <w:wAfter w:w="1219" w:type="dxa"/>
          <w:trHeight w:val="312"/>
        </w:trPr>
        <w:tc>
          <w:tcPr>
            <w:tcW w:w="509" w:type="dxa"/>
            <w:gridSpan w:val="2"/>
            <w:tcBorders>
              <w:top w:val="nil"/>
              <w:left w:val="single" w:sz="8" w:space="0" w:color="auto"/>
              <w:bottom w:val="single" w:sz="8" w:space="0" w:color="auto"/>
              <w:right w:val="nil"/>
            </w:tcBorders>
            <w:shd w:val="clear" w:color="auto" w:fill="auto"/>
            <w:noWrap/>
            <w:vAlign w:val="bottom"/>
            <w:hideMark/>
          </w:tcPr>
          <w:p w:rsidR="00445218" w:rsidRPr="00A748D1" w:rsidRDefault="00445218" w:rsidP="00445218">
            <w:pPr>
              <w:rPr>
                <w:rFonts w:ascii="SWISS" w:hAnsi="SWISS" w:cs="Arial"/>
                <w:color w:val="000000"/>
                <w:sz w:val="20"/>
                <w:szCs w:val="20"/>
              </w:rPr>
            </w:pPr>
            <w:r w:rsidRPr="00A748D1">
              <w:rPr>
                <w:rFonts w:ascii="SWISS" w:hAnsi="SWISS" w:cs="Arial"/>
                <w:color w:val="000000"/>
                <w:sz w:val="20"/>
                <w:szCs w:val="20"/>
              </w:rPr>
              <w:t> </w:t>
            </w:r>
          </w:p>
        </w:tc>
        <w:tc>
          <w:tcPr>
            <w:tcW w:w="3482" w:type="dxa"/>
            <w:gridSpan w:val="3"/>
            <w:tcBorders>
              <w:top w:val="nil"/>
              <w:left w:val="nil"/>
              <w:bottom w:val="single" w:sz="8" w:space="0" w:color="auto"/>
              <w:right w:val="nil"/>
            </w:tcBorders>
            <w:shd w:val="clear" w:color="auto" w:fill="auto"/>
            <w:noWrap/>
            <w:vAlign w:val="bottom"/>
            <w:hideMark/>
          </w:tcPr>
          <w:p w:rsidR="00445218" w:rsidRPr="00A748D1" w:rsidRDefault="00445218" w:rsidP="00445218">
            <w:pPr>
              <w:rPr>
                <w:rFonts w:ascii="SWISS" w:hAnsi="SWISS" w:cs="Arial"/>
                <w:color w:val="000000"/>
                <w:sz w:val="20"/>
                <w:szCs w:val="20"/>
              </w:rPr>
            </w:pPr>
            <w:r w:rsidRPr="00A748D1">
              <w:rPr>
                <w:rFonts w:ascii="SWISS" w:hAnsi="SWISS" w:cs="Arial"/>
                <w:color w:val="000000"/>
                <w:sz w:val="20"/>
                <w:szCs w:val="20"/>
              </w:rPr>
              <w:t> </w:t>
            </w:r>
          </w:p>
        </w:tc>
        <w:tc>
          <w:tcPr>
            <w:tcW w:w="1987" w:type="dxa"/>
            <w:gridSpan w:val="2"/>
            <w:tcBorders>
              <w:top w:val="nil"/>
              <w:left w:val="nil"/>
              <w:bottom w:val="single" w:sz="8" w:space="0" w:color="auto"/>
              <w:right w:val="nil"/>
            </w:tcBorders>
            <w:shd w:val="clear" w:color="auto" w:fill="auto"/>
            <w:noWrap/>
            <w:vAlign w:val="bottom"/>
            <w:hideMark/>
          </w:tcPr>
          <w:p w:rsidR="00445218" w:rsidRPr="00A748D1" w:rsidRDefault="00445218" w:rsidP="00445218">
            <w:pPr>
              <w:jc w:val="center"/>
              <w:rPr>
                <w:rFonts w:ascii="SWISS" w:hAnsi="SWISS" w:cs="Arial"/>
                <w:b/>
                <w:bCs/>
                <w:color w:val="000000"/>
                <w:sz w:val="20"/>
                <w:szCs w:val="20"/>
              </w:rPr>
            </w:pPr>
            <w:r w:rsidRPr="00A748D1">
              <w:rPr>
                <w:rFonts w:ascii="SWISS" w:hAnsi="SWISS" w:cs="Arial"/>
                <w:b/>
                <w:bCs/>
                <w:color w:val="000000"/>
                <w:sz w:val="20"/>
                <w:szCs w:val="20"/>
              </w:rPr>
              <w:t>PER UTILITY</w:t>
            </w:r>
          </w:p>
        </w:tc>
        <w:tc>
          <w:tcPr>
            <w:tcW w:w="2042" w:type="dxa"/>
            <w:gridSpan w:val="3"/>
            <w:tcBorders>
              <w:top w:val="nil"/>
              <w:left w:val="nil"/>
              <w:bottom w:val="single" w:sz="8" w:space="0" w:color="auto"/>
              <w:right w:val="nil"/>
            </w:tcBorders>
            <w:shd w:val="clear" w:color="auto" w:fill="auto"/>
            <w:noWrap/>
            <w:vAlign w:val="bottom"/>
            <w:hideMark/>
          </w:tcPr>
          <w:p w:rsidR="00445218" w:rsidRPr="00A748D1" w:rsidRDefault="00445218" w:rsidP="00445218">
            <w:pPr>
              <w:jc w:val="center"/>
              <w:rPr>
                <w:rFonts w:ascii="SWISS" w:hAnsi="SWISS" w:cs="Arial"/>
                <w:b/>
                <w:bCs/>
                <w:color w:val="000000"/>
                <w:sz w:val="20"/>
                <w:szCs w:val="20"/>
              </w:rPr>
            </w:pPr>
            <w:r w:rsidRPr="00A748D1">
              <w:rPr>
                <w:rFonts w:ascii="SWISS" w:hAnsi="SWISS" w:cs="Arial"/>
                <w:b/>
                <w:bCs/>
                <w:color w:val="000000"/>
                <w:sz w:val="20"/>
                <w:szCs w:val="20"/>
              </w:rPr>
              <w:t>ADJUSTMENTS</w:t>
            </w:r>
          </w:p>
        </w:tc>
        <w:tc>
          <w:tcPr>
            <w:tcW w:w="1553" w:type="dxa"/>
            <w:gridSpan w:val="2"/>
            <w:tcBorders>
              <w:top w:val="nil"/>
              <w:left w:val="nil"/>
              <w:bottom w:val="single" w:sz="8" w:space="0" w:color="auto"/>
              <w:right w:val="nil"/>
            </w:tcBorders>
            <w:shd w:val="clear" w:color="auto" w:fill="auto"/>
            <w:noWrap/>
            <w:vAlign w:val="bottom"/>
            <w:hideMark/>
          </w:tcPr>
          <w:p w:rsidR="00445218" w:rsidRPr="00A748D1" w:rsidRDefault="00445218" w:rsidP="00445218">
            <w:pPr>
              <w:jc w:val="center"/>
              <w:rPr>
                <w:rFonts w:ascii="SWISS" w:hAnsi="SWISS" w:cs="Arial"/>
                <w:b/>
                <w:bCs/>
                <w:color w:val="000000"/>
                <w:sz w:val="20"/>
                <w:szCs w:val="20"/>
              </w:rPr>
            </w:pPr>
            <w:r w:rsidRPr="00A748D1">
              <w:rPr>
                <w:rFonts w:ascii="SWISS" w:hAnsi="SWISS" w:cs="Arial"/>
                <w:b/>
                <w:bCs/>
                <w:color w:val="000000"/>
                <w:sz w:val="20"/>
                <w:szCs w:val="20"/>
              </w:rPr>
              <w:t>TEST YEAR</w:t>
            </w:r>
          </w:p>
        </w:tc>
        <w:tc>
          <w:tcPr>
            <w:tcW w:w="1350" w:type="dxa"/>
            <w:gridSpan w:val="2"/>
            <w:tcBorders>
              <w:top w:val="nil"/>
              <w:left w:val="nil"/>
              <w:bottom w:val="single" w:sz="8" w:space="0" w:color="auto"/>
              <w:right w:val="nil"/>
            </w:tcBorders>
            <w:shd w:val="clear" w:color="auto" w:fill="auto"/>
            <w:noWrap/>
            <w:vAlign w:val="bottom"/>
            <w:hideMark/>
          </w:tcPr>
          <w:p w:rsidR="00445218" w:rsidRPr="00A748D1" w:rsidRDefault="00445218" w:rsidP="00445218">
            <w:pPr>
              <w:jc w:val="center"/>
              <w:rPr>
                <w:rFonts w:ascii="SWISS" w:hAnsi="SWISS" w:cs="Arial"/>
                <w:b/>
                <w:bCs/>
                <w:color w:val="000000"/>
                <w:sz w:val="20"/>
                <w:szCs w:val="20"/>
              </w:rPr>
            </w:pPr>
            <w:r w:rsidRPr="00A748D1">
              <w:rPr>
                <w:rFonts w:ascii="SWISS" w:hAnsi="SWISS" w:cs="Arial"/>
                <w:b/>
                <w:bCs/>
                <w:color w:val="000000"/>
                <w:sz w:val="20"/>
                <w:szCs w:val="20"/>
              </w:rPr>
              <w:t>INCREASE</w:t>
            </w:r>
          </w:p>
        </w:tc>
        <w:tc>
          <w:tcPr>
            <w:tcW w:w="2150" w:type="dxa"/>
            <w:gridSpan w:val="3"/>
            <w:tcBorders>
              <w:top w:val="nil"/>
              <w:left w:val="nil"/>
              <w:bottom w:val="single" w:sz="8" w:space="0" w:color="auto"/>
              <w:right w:val="single" w:sz="8" w:space="0" w:color="auto"/>
            </w:tcBorders>
            <w:shd w:val="clear" w:color="auto" w:fill="auto"/>
            <w:noWrap/>
            <w:vAlign w:val="bottom"/>
            <w:hideMark/>
          </w:tcPr>
          <w:p w:rsidR="00445218" w:rsidRPr="00A748D1" w:rsidRDefault="00445218" w:rsidP="00445218">
            <w:pPr>
              <w:jc w:val="center"/>
              <w:rPr>
                <w:rFonts w:ascii="SWISS" w:hAnsi="SWISS" w:cs="Arial"/>
                <w:b/>
                <w:bCs/>
                <w:color w:val="000000"/>
                <w:sz w:val="20"/>
                <w:szCs w:val="20"/>
              </w:rPr>
            </w:pPr>
            <w:r w:rsidRPr="00A748D1">
              <w:rPr>
                <w:rFonts w:ascii="SWISS" w:hAnsi="SWISS" w:cs="Arial"/>
                <w:b/>
                <w:bCs/>
                <w:color w:val="000000"/>
                <w:sz w:val="20"/>
                <w:szCs w:val="20"/>
              </w:rPr>
              <w:t>REQUIREMENT</w:t>
            </w:r>
          </w:p>
        </w:tc>
      </w:tr>
      <w:tr w:rsidR="00445218" w:rsidRPr="00A748D1" w:rsidTr="00636751">
        <w:trPr>
          <w:gridAfter w:val="1"/>
          <w:wAfter w:w="1219" w:type="dxa"/>
          <w:trHeight w:val="312"/>
        </w:trPr>
        <w:tc>
          <w:tcPr>
            <w:tcW w:w="509" w:type="dxa"/>
            <w:gridSpan w:val="2"/>
            <w:tcBorders>
              <w:top w:val="nil"/>
              <w:left w:val="single" w:sz="8" w:space="0" w:color="auto"/>
              <w:bottom w:val="nil"/>
              <w:right w:val="nil"/>
            </w:tcBorders>
            <w:shd w:val="clear" w:color="auto" w:fill="auto"/>
            <w:noWrap/>
            <w:vAlign w:val="bottom"/>
            <w:hideMark/>
          </w:tcPr>
          <w:p w:rsidR="00445218" w:rsidRPr="00A748D1" w:rsidRDefault="00445218" w:rsidP="00445218">
            <w:pPr>
              <w:rPr>
                <w:rFonts w:ascii="SWISS" w:hAnsi="SWISS" w:cs="Arial"/>
                <w:color w:val="000000"/>
                <w:sz w:val="20"/>
                <w:szCs w:val="20"/>
              </w:rPr>
            </w:pPr>
            <w:r w:rsidRPr="00A748D1">
              <w:rPr>
                <w:rFonts w:ascii="SWISS" w:hAnsi="SWISS" w:cs="Arial"/>
                <w:color w:val="000000"/>
                <w:sz w:val="20"/>
                <w:szCs w:val="20"/>
              </w:rPr>
              <w:t> </w:t>
            </w:r>
          </w:p>
        </w:tc>
        <w:tc>
          <w:tcPr>
            <w:tcW w:w="3482" w:type="dxa"/>
            <w:gridSpan w:val="3"/>
            <w:tcBorders>
              <w:top w:val="nil"/>
              <w:left w:val="nil"/>
              <w:bottom w:val="nil"/>
              <w:right w:val="nil"/>
            </w:tcBorders>
            <w:shd w:val="clear" w:color="auto" w:fill="auto"/>
            <w:noWrap/>
            <w:vAlign w:val="bottom"/>
            <w:hideMark/>
          </w:tcPr>
          <w:p w:rsidR="00445218" w:rsidRPr="00A748D1" w:rsidRDefault="00445218" w:rsidP="00445218">
            <w:pPr>
              <w:rPr>
                <w:rFonts w:ascii="SWISS" w:hAnsi="SWISS" w:cs="Arial"/>
                <w:color w:val="000000"/>
                <w:sz w:val="20"/>
                <w:szCs w:val="20"/>
              </w:rPr>
            </w:pPr>
            <w:r w:rsidRPr="00A748D1">
              <w:rPr>
                <w:rFonts w:ascii="SWISS" w:hAnsi="SWISS" w:cs="Arial"/>
                <w:color w:val="000000"/>
                <w:sz w:val="20"/>
                <w:szCs w:val="20"/>
              </w:rPr>
              <w:t> </w:t>
            </w:r>
          </w:p>
        </w:tc>
        <w:tc>
          <w:tcPr>
            <w:tcW w:w="1987" w:type="dxa"/>
            <w:gridSpan w:val="2"/>
            <w:tcBorders>
              <w:top w:val="nil"/>
              <w:left w:val="nil"/>
              <w:bottom w:val="nil"/>
              <w:right w:val="nil"/>
            </w:tcBorders>
            <w:shd w:val="clear" w:color="auto" w:fill="auto"/>
            <w:noWrap/>
            <w:vAlign w:val="bottom"/>
            <w:hideMark/>
          </w:tcPr>
          <w:p w:rsidR="00445218" w:rsidRPr="00A748D1" w:rsidRDefault="00445218" w:rsidP="00445218">
            <w:pPr>
              <w:rPr>
                <w:rFonts w:ascii="SWISS" w:hAnsi="SWISS" w:cs="Arial"/>
                <w:color w:val="000000"/>
                <w:sz w:val="20"/>
                <w:szCs w:val="20"/>
              </w:rPr>
            </w:pPr>
            <w:r w:rsidRPr="00A748D1">
              <w:rPr>
                <w:rFonts w:ascii="SWISS" w:hAnsi="SWISS" w:cs="Arial"/>
                <w:color w:val="000000"/>
                <w:sz w:val="20"/>
                <w:szCs w:val="20"/>
              </w:rPr>
              <w:t> </w:t>
            </w:r>
          </w:p>
        </w:tc>
        <w:tc>
          <w:tcPr>
            <w:tcW w:w="2042" w:type="dxa"/>
            <w:gridSpan w:val="3"/>
            <w:tcBorders>
              <w:top w:val="nil"/>
              <w:left w:val="nil"/>
              <w:bottom w:val="nil"/>
              <w:right w:val="nil"/>
            </w:tcBorders>
            <w:shd w:val="clear" w:color="auto" w:fill="auto"/>
            <w:noWrap/>
            <w:vAlign w:val="bottom"/>
            <w:hideMark/>
          </w:tcPr>
          <w:p w:rsidR="00445218" w:rsidRPr="00A748D1" w:rsidRDefault="00445218" w:rsidP="00445218">
            <w:pPr>
              <w:rPr>
                <w:rFonts w:ascii="SWISS" w:hAnsi="SWISS" w:cs="Arial"/>
                <w:color w:val="000000"/>
                <w:sz w:val="20"/>
                <w:szCs w:val="20"/>
              </w:rPr>
            </w:pPr>
            <w:r w:rsidRPr="00A748D1">
              <w:rPr>
                <w:rFonts w:ascii="SWISS" w:hAnsi="SWISS" w:cs="Arial"/>
                <w:color w:val="000000"/>
                <w:sz w:val="20"/>
                <w:szCs w:val="20"/>
              </w:rPr>
              <w:t> </w:t>
            </w:r>
          </w:p>
        </w:tc>
        <w:tc>
          <w:tcPr>
            <w:tcW w:w="1553" w:type="dxa"/>
            <w:gridSpan w:val="2"/>
            <w:tcBorders>
              <w:top w:val="nil"/>
              <w:left w:val="nil"/>
              <w:bottom w:val="nil"/>
              <w:right w:val="nil"/>
            </w:tcBorders>
            <w:shd w:val="clear" w:color="auto" w:fill="auto"/>
            <w:noWrap/>
            <w:vAlign w:val="bottom"/>
            <w:hideMark/>
          </w:tcPr>
          <w:p w:rsidR="00445218" w:rsidRPr="00A748D1" w:rsidRDefault="00445218" w:rsidP="00445218">
            <w:pPr>
              <w:rPr>
                <w:rFonts w:ascii="SWISS" w:hAnsi="SWISS" w:cs="Arial"/>
                <w:color w:val="000000"/>
                <w:sz w:val="20"/>
                <w:szCs w:val="20"/>
              </w:rPr>
            </w:pPr>
            <w:r w:rsidRPr="00A748D1">
              <w:rPr>
                <w:rFonts w:ascii="SWISS" w:hAnsi="SWISS" w:cs="Arial"/>
                <w:color w:val="000000"/>
                <w:sz w:val="20"/>
                <w:szCs w:val="20"/>
              </w:rPr>
              <w:t> </w:t>
            </w:r>
          </w:p>
        </w:tc>
        <w:tc>
          <w:tcPr>
            <w:tcW w:w="1350" w:type="dxa"/>
            <w:gridSpan w:val="2"/>
            <w:tcBorders>
              <w:top w:val="nil"/>
              <w:left w:val="nil"/>
              <w:bottom w:val="nil"/>
              <w:right w:val="nil"/>
            </w:tcBorders>
            <w:shd w:val="clear" w:color="auto" w:fill="auto"/>
            <w:noWrap/>
            <w:vAlign w:val="bottom"/>
            <w:hideMark/>
          </w:tcPr>
          <w:p w:rsidR="00445218" w:rsidRPr="00A748D1" w:rsidRDefault="00445218" w:rsidP="00445218">
            <w:pPr>
              <w:rPr>
                <w:rFonts w:ascii="SWISS" w:hAnsi="SWISS" w:cs="Arial"/>
                <w:color w:val="000000"/>
                <w:sz w:val="20"/>
                <w:szCs w:val="20"/>
              </w:rPr>
            </w:pPr>
            <w:r w:rsidRPr="00A748D1">
              <w:rPr>
                <w:rFonts w:ascii="SWISS" w:hAnsi="SWISS" w:cs="Arial"/>
                <w:color w:val="000000"/>
                <w:sz w:val="20"/>
                <w:szCs w:val="20"/>
              </w:rPr>
              <w:t> </w:t>
            </w:r>
          </w:p>
        </w:tc>
        <w:tc>
          <w:tcPr>
            <w:tcW w:w="2150" w:type="dxa"/>
            <w:gridSpan w:val="3"/>
            <w:tcBorders>
              <w:top w:val="nil"/>
              <w:left w:val="nil"/>
              <w:bottom w:val="nil"/>
              <w:right w:val="single" w:sz="8" w:space="0" w:color="auto"/>
            </w:tcBorders>
            <w:shd w:val="clear" w:color="auto" w:fill="auto"/>
            <w:noWrap/>
            <w:vAlign w:val="bottom"/>
            <w:hideMark/>
          </w:tcPr>
          <w:p w:rsidR="00445218" w:rsidRPr="00A748D1" w:rsidRDefault="00445218" w:rsidP="00445218">
            <w:pPr>
              <w:rPr>
                <w:rFonts w:ascii="SWISS" w:hAnsi="SWISS" w:cs="Arial"/>
                <w:color w:val="000000"/>
                <w:sz w:val="20"/>
                <w:szCs w:val="20"/>
              </w:rPr>
            </w:pPr>
            <w:r w:rsidRPr="00A748D1">
              <w:rPr>
                <w:rFonts w:ascii="SWISS" w:hAnsi="SWISS" w:cs="Arial"/>
                <w:color w:val="000000"/>
                <w:sz w:val="20"/>
                <w:szCs w:val="20"/>
              </w:rPr>
              <w:t> </w:t>
            </w:r>
          </w:p>
        </w:tc>
      </w:tr>
      <w:tr w:rsidR="00445218" w:rsidRPr="007B4999" w:rsidTr="00636751">
        <w:trPr>
          <w:gridAfter w:val="1"/>
          <w:wAfter w:w="1219" w:type="dxa"/>
          <w:trHeight w:val="300"/>
        </w:trPr>
        <w:tc>
          <w:tcPr>
            <w:tcW w:w="509" w:type="dxa"/>
            <w:gridSpan w:val="2"/>
            <w:tcBorders>
              <w:top w:val="nil"/>
              <w:left w:val="single" w:sz="8" w:space="0" w:color="auto"/>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1.</w:t>
            </w:r>
          </w:p>
        </w:tc>
        <w:tc>
          <w:tcPr>
            <w:tcW w:w="348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b/>
                <w:bCs/>
                <w:sz w:val="20"/>
                <w:szCs w:val="20"/>
              </w:rPr>
            </w:pPr>
            <w:r w:rsidRPr="007B4999">
              <w:rPr>
                <w:rFonts w:ascii="SWISS" w:hAnsi="SWISS" w:cs="Arial"/>
                <w:b/>
                <w:bCs/>
                <w:sz w:val="20"/>
                <w:szCs w:val="20"/>
              </w:rPr>
              <w:t xml:space="preserve">OPERATING REVENUES               </w:t>
            </w:r>
          </w:p>
        </w:tc>
        <w:tc>
          <w:tcPr>
            <w:tcW w:w="1987" w:type="dxa"/>
            <w:gridSpan w:val="2"/>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u w:val="single"/>
              </w:rPr>
            </w:pPr>
            <w:r w:rsidRPr="007B4999">
              <w:rPr>
                <w:rFonts w:ascii="SWISS" w:hAnsi="SWISS" w:cs="Arial"/>
                <w:sz w:val="20"/>
                <w:szCs w:val="20"/>
                <w:u w:val="single"/>
              </w:rPr>
              <w:t>$43,813</w:t>
            </w:r>
          </w:p>
        </w:tc>
        <w:tc>
          <w:tcPr>
            <w:tcW w:w="2042" w:type="dxa"/>
            <w:gridSpan w:val="3"/>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u w:val="single"/>
              </w:rPr>
            </w:pPr>
            <w:r>
              <w:rPr>
                <w:rFonts w:ascii="SWISS" w:hAnsi="SWISS" w:cs="Arial"/>
                <w:sz w:val="20"/>
                <w:szCs w:val="20"/>
                <w:u w:val="single"/>
              </w:rPr>
              <w:t>(</w:t>
            </w:r>
            <w:r w:rsidRPr="007B4999">
              <w:rPr>
                <w:rFonts w:ascii="SWISS" w:hAnsi="SWISS" w:cs="Arial"/>
                <w:sz w:val="20"/>
                <w:szCs w:val="20"/>
                <w:u w:val="single"/>
              </w:rPr>
              <w:t>$2,133</w:t>
            </w:r>
            <w:r>
              <w:rPr>
                <w:rFonts w:ascii="SWISS" w:hAnsi="SWISS" w:cs="Arial"/>
                <w:sz w:val="20"/>
                <w:szCs w:val="20"/>
                <w:u w:val="single"/>
              </w:rPr>
              <w:t>)</w:t>
            </w:r>
          </w:p>
        </w:tc>
        <w:tc>
          <w:tcPr>
            <w:tcW w:w="1553" w:type="dxa"/>
            <w:gridSpan w:val="2"/>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u w:val="single"/>
              </w:rPr>
            </w:pPr>
            <w:r w:rsidRPr="007B4999">
              <w:rPr>
                <w:rFonts w:ascii="SWISS" w:hAnsi="SWISS" w:cs="Arial"/>
                <w:sz w:val="20"/>
                <w:szCs w:val="20"/>
                <w:u w:val="single"/>
              </w:rPr>
              <w:t>$41,680</w:t>
            </w:r>
          </w:p>
        </w:tc>
        <w:tc>
          <w:tcPr>
            <w:tcW w:w="1350" w:type="dxa"/>
            <w:gridSpan w:val="2"/>
            <w:tcBorders>
              <w:top w:val="nil"/>
              <w:left w:val="nil"/>
              <w:bottom w:val="nil"/>
              <w:right w:val="nil"/>
            </w:tcBorders>
            <w:shd w:val="clear" w:color="auto" w:fill="auto"/>
            <w:noWrap/>
            <w:vAlign w:val="bottom"/>
            <w:hideMark/>
          </w:tcPr>
          <w:p w:rsidR="00445218" w:rsidRPr="007B4999" w:rsidRDefault="00FC5B51" w:rsidP="00445218">
            <w:pPr>
              <w:jc w:val="right"/>
              <w:rPr>
                <w:rFonts w:ascii="SWISS" w:hAnsi="SWISS" w:cs="Arial"/>
                <w:sz w:val="20"/>
                <w:szCs w:val="20"/>
                <w:u w:val="single"/>
              </w:rPr>
            </w:pPr>
            <w:r w:rsidRPr="00FC5B51">
              <w:rPr>
                <w:rFonts w:ascii="SWISS" w:hAnsi="SWISS" w:cs="Arial"/>
                <w:sz w:val="20"/>
                <w:szCs w:val="20"/>
                <w:u w:val="single"/>
              </w:rPr>
              <w:t>$5,247</w:t>
            </w:r>
          </w:p>
        </w:tc>
        <w:tc>
          <w:tcPr>
            <w:tcW w:w="2150" w:type="dxa"/>
            <w:gridSpan w:val="3"/>
            <w:tcBorders>
              <w:top w:val="nil"/>
              <w:left w:val="nil"/>
              <w:bottom w:val="nil"/>
              <w:right w:val="single" w:sz="8" w:space="0" w:color="auto"/>
            </w:tcBorders>
            <w:shd w:val="clear" w:color="auto" w:fill="auto"/>
            <w:noWrap/>
            <w:vAlign w:val="bottom"/>
            <w:hideMark/>
          </w:tcPr>
          <w:p w:rsidR="00445218" w:rsidRPr="007B4999" w:rsidRDefault="00FC5B51" w:rsidP="00445218">
            <w:pPr>
              <w:jc w:val="right"/>
              <w:rPr>
                <w:rFonts w:ascii="SWISS" w:hAnsi="SWISS" w:cs="Arial"/>
                <w:sz w:val="20"/>
                <w:szCs w:val="20"/>
                <w:u w:val="single"/>
              </w:rPr>
            </w:pPr>
            <w:r w:rsidRPr="00FC5B51">
              <w:rPr>
                <w:rFonts w:ascii="SWISS" w:hAnsi="SWISS" w:cs="Arial"/>
                <w:sz w:val="20"/>
                <w:szCs w:val="20"/>
                <w:u w:val="single"/>
              </w:rPr>
              <w:t>$46,927</w:t>
            </w:r>
          </w:p>
        </w:tc>
      </w:tr>
      <w:tr w:rsidR="00445218" w:rsidRPr="007B4999" w:rsidTr="00636751">
        <w:trPr>
          <w:gridAfter w:val="1"/>
          <w:wAfter w:w="1219" w:type="dxa"/>
          <w:trHeight w:val="300"/>
        </w:trPr>
        <w:tc>
          <w:tcPr>
            <w:tcW w:w="509" w:type="dxa"/>
            <w:gridSpan w:val="2"/>
            <w:tcBorders>
              <w:top w:val="nil"/>
              <w:left w:val="single" w:sz="8" w:space="0" w:color="auto"/>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c>
          <w:tcPr>
            <w:tcW w:w="348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987"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04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553"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350" w:type="dxa"/>
            <w:gridSpan w:val="2"/>
            <w:tcBorders>
              <w:top w:val="nil"/>
              <w:left w:val="nil"/>
              <w:bottom w:val="nil"/>
              <w:right w:val="nil"/>
            </w:tcBorders>
            <w:shd w:val="clear" w:color="auto" w:fill="auto"/>
            <w:noWrap/>
            <w:vAlign w:val="bottom"/>
            <w:hideMark/>
          </w:tcPr>
          <w:p w:rsidR="00445218" w:rsidRPr="007B4999" w:rsidRDefault="00FC5B51" w:rsidP="00445218">
            <w:pPr>
              <w:jc w:val="right"/>
              <w:rPr>
                <w:rFonts w:ascii="SWISS" w:hAnsi="SWISS" w:cs="Arial"/>
                <w:sz w:val="20"/>
                <w:szCs w:val="20"/>
              </w:rPr>
            </w:pPr>
            <w:r w:rsidRPr="00FC5B51">
              <w:rPr>
                <w:rFonts w:ascii="SWISS" w:hAnsi="SWISS" w:cs="Arial"/>
                <w:sz w:val="20"/>
                <w:szCs w:val="20"/>
              </w:rPr>
              <w:t>12.59%</w:t>
            </w:r>
          </w:p>
        </w:tc>
        <w:tc>
          <w:tcPr>
            <w:tcW w:w="2150" w:type="dxa"/>
            <w:gridSpan w:val="3"/>
            <w:tcBorders>
              <w:top w:val="nil"/>
              <w:left w:val="nil"/>
              <w:bottom w:val="nil"/>
              <w:right w:val="single" w:sz="8" w:space="0" w:color="auto"/>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r>
      <w:tr w:rsidR="00445218" w:rsidRPr="007B4999" w:rsidTr="00636751">
        <w:trPr>
          <w:gridAfter w:val="1"/>
          <w:wAfter w:w="1219" w:type="dxa"/>
          <w:trHeight w:val="300"/>
        </w:trPr>
        <w:tc>
          <w:tcPr>
            <w:tcW w:w="509" w:type="dxa"/>
            <w:gridSpan w:val="2"/>
            <w:tcBorders>
              <w:top w:val="nil"/>
              <w:left w:val="single" w:sz="8" w:space="0" w:color="auto"/>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c>
          <w:tcPr>
            <w:tcW w:w="348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b/>
                <w:bCs/>
                <w:sz w:val="20"/>
                <w:szCs w:val="20"/>
              </w:rPr>
            </w:pPr>
            <w:r w:rsidRPr="007B4999">
              <w:rPr>
                <w:rFonts w:ascii="SWISS" w:hAnsi="SWISS" w:cs="Arial"/>
                <w:b/>
                <w:bCs/>
                <w:sz w:val="20"/>
                <w:szCs w:val="20"/>
              </w:rPr>
              <w:t>OPERATING EXPENSES:</w:t>
            </w:r>
          </w:p>
        </w:tc>
        <w:tc>
          <w:tcPr>
            <w:tcW w:w="1987"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04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553"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350"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150" w:type="dxa"/>
            <w:gridSpan w:val="3"/>
            <w:tcBorders>
              <w:top w:val="nil"/>
              <w:left w:val="nil"/>
              <w:bottom w:val="nil"/>
              <w:right w:val="single" w:sz="8" w:space="0" w:color="auto"/>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r>
      <w:tr w:rsidR="00445218" w:rsidRPr="007B4999" w:rsidTr="00636751">
        <w:trPr>
          <w:gridAfter w:val="1"/>
          <w:wAfter w:w="1219" w:type="dxa"/>
          <w:trHeight w:val="300"/>
        </w:trPr>
        <w:tc>
          <w:tcPr>
            <w:tcW w:w="509" w:type="dxa"/>
            <w:gridSpan w:val="2"/>
            <w:tcBorders>
              <w:top w:val="nil"/>
              <w:left w:val="single" w:sz="8" w:space="0" w:color="auto"/>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2.</w:t>
            </w:r>
          </w:p>
        </w:tc>
        <w:tc>
          <w:tcPr>
            <w:tcW w:w="348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xml:space="preserve">  OPERATION &amp; MAINTENANCE</w:t>
            </w:r>
          </w:p>
        </w:tc>
        <w:tc>
          <w:tcPr>
            <w:tcW w:w="1987" w:type="dxa"/>
            <w:gridSpan w:val="2"/>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 xml:space="preserve">$32,087 </w:t>
            </w:r>
          </w:p>
        </w:tc>
        <w:tc>
          <w:tcPr>
            <w:tcW w:w="2042" w:type="dxa"/>
            <w:gridSpan w:val="3"/>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w:t>
            </w:r>
            <w:r>
              <w:rPr>
                <w:rFonts w:ascii="SWISS" w:hAnsi="SWISS" w:cs="Arial"/>
                <w:sz w:val="20"/>
                <w:szCs w:val="20"/>
              </w:rPr>
              <w:t>5,860</w:t>
            </w:r>
          </w:p>
        </w:tc>
        <w:tc>
          <w:tcPr>
            <w:tcW w:w="1553" w:type="dxa"/>
            <w:gridSpan w:val="2"/>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$3</w:t>
            </w:r>
            <w:r>
              <w:rPr>
                <w:rFonts w:ascii="SWISS" w:hAnsi="SWISS" w:cs="Arial"/>
                <w:sz w:val="20"/>
                <w:szCs w:val="20"/>
              </w:rPr>
              <w:t>7,947</w:t>
            </w:r>
          </w:p>
        </w:tc>
        <w:tc>
          <w:tcPr>
            <w:tcW w:w="1350" w:type="dxa"/>
            <w:gridSpan w:val="2"/>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 xml:space="preserve">$0 </w:t>
            </w:r>
          </w:p>
        </w:tc>
        <w:tc>
          <w:tcPr>
            <w:tcW w:w="2150" w:type="dxa"/>
            <w:gridSpan w:val="3"/>
            <w:tcBorders>
              <w:top w:val="nil"/>
              <w:left w:val="nil"/>
              <w:bottom w:val="nil"/>
              <w:right w:val="single" w:sz="8" w:space="0" w:color="auto"/>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$3</w:t>
            </w:r>
            <w:r>
              <w:rPr>
                <w:rFonts w:ascii="SWISS" w:hAnsi="SWISS" w:cs="Arial"/>
                <w:sz w:val="20"/>
                <w:szCs w:val="20"/>
              </w:rPr>
              <w:t>7,947</w:t>
            </w:r>
            <w:r w:rsidRPr="007B4999">
              <w:rPr>
                <w:rFonts w:ascii="SWISS" w:hAnsi="SWISS" w:cs="Arial"/>
                <w:sz w:val="20"/>
                <w:szCs w:val="20"/>
              </w:rPr>
              <w:t xml:space="preserve"> </w:t>
            </w:r>
          </w:p>
        </w:tc>
      </w:tr>
      <w:tr w:rsidR="00445218" w:rsidRPr="007B4999" w:rsidTr="00636751">
        <w:trPr>
          <w:gridAfter w:val="1"/>
          <w:wAfter w:w="1219" w:type="dxa"/>
          <w:trHeight w:val="300"/>
        </w:trPr>
        <w:tc>
          <w:tcPr>
            <w:tcW w:w="509" w:type="dxa"/>
            <w:gridSpan w:val="2"/>
            <w:tcBorders>
              <w:top w:val="nil"/>
              <w:left w:val="single" w:sz="8" w:space="0" w:color="auto"/>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c>
          <w:tcPr>
            <w:tcW w:w="348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987"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04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553"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350"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150" w:type="dxa"/>
            <w:gridSpan w:val="3"/>
            <w:tcBorders>
              <w:top w:val="nil"/>
              <w:left w:val="nil"/>
              <w:bottom w:val="nil"/>
              <w:right w:val="single" w:sz="8" w:space="0" w:color="auto"/>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r>
      <w:tr w:rsidR="00445218" w:rsidRPr="007B4999" w:rsidTr="00636751">
        <w:trPr>
          <w:gridAfter w:val="1"/>
          <w:wAfter w:w="1219" w:type="dxa"/>
          <w:trHeight w:val="300"/>
        </w:trPr>
        <w:tc>
          <w:tcPr>
            <w:tcW w:w="509" w:type="dxa"/>
            <w:gridSpan w:val="2"/>
            <w:tcBorders>
              <w:top w:val="nil"/>
              <w:left w:val="single" w:sz="8" w:space="0" w:color="auto"/>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3.</w:t>
            </w:r>
          </w:p>
        </w:tc>
        <w:tc>
          <w:tcPr>
            <w:tcW w:w="348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xml:space="preserve">  DEPRECIATION </w:t>
            </w:r>
          </w:p>
        </w:tc>
        <w:tc>
          <w:tcPr>
            <w:tcW w:w="1987" w:type="dxa"/>
            <w:gridSpan w:val="2"/>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 xml:space="preserve">0 </w:t>
            </w:r>
          </w:p>
        </w:tc>
        <w:tc>
          <w:tcPr>
            <w:tcW w:w="2042" w:type="dxa"/>
            <w:gridSpan w:val="3"/>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2,831</w:t>
            </w:r>
          </w:p>
        </w:tc>
        <w:tc>
          <w:tcPr>
            <w:tcW w:w="1553" w:type="dxa"/>
            <w:gridSpan w:val="2"/>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2,831</w:t>
            </w:r>
          </w:p>
        </w:tc>
        <w:tc>
          <w:tcPr>
            <w:tcW w:w="1350" w:type="dxa"/>
            <w:gridSpan w:val="2"/>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0</w:t>
            </w:r>
          </w:p>
        </w:tc>
        <w:tc>
          <w:tcPr>
            <w:tcW w:w="2150" w:type="dxa"/>
            <w:gridSpan w:val="3"/>
            <w:tcBorders>
              <w:top w:val="nil"/>
              <w:left w:val="nil"/>
              <w:bottom w:val="nil"/>
              <w:right w:val="single" w:sz="8" w:space="0" w:color="auto"/>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2,831</w:t>
            </w:r>
          </w:p>
        </w:tc>
      </w:tr>
      <w:tr w:rsidR="00445218" w:rsidRPr="007B4999" w:rsidTr="00636751">
        <w:trPr>
          <w:gridAfter w:val="1"/>
          <w:wAfter w:w="1219" w:type="dxa"/>
          <w:trHeight w:val="300"/>
        </w:trPr>
        <w:tc>
          <w:tcPr>
            <w:tcW w:w="509" w:type="dxa"/>
            <w:gridSpan w:val="2"/>
            <w:tcBorders>
              <w:top w:val="nil"/>
              <w:left w:val="single" w:sz="8" w:space="0" w:color="auto"/>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c>
          <w:tcPr>
            <w:tcW w:w="348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987"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04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553"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350"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150" w:type="dxa"/>
            <w:gridSpan w:val="3"/>
            <w:tcBorders>
              <w:top w:val="nil"/>
              <w:left w:val="nil"/>
              <w:bottom w:val="nil"/>
              <w:right w:val="single" w:sz="8" w:space="0" w:color="auto"/>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r>
      <w:tr w:rsidR="00445218" w:rsidRPr="007B4999" w:rsidTr="00636751">
        <w:trPr>
          <w:gridAfter w:val="1"/>
          <w:wAfter w:w="1219" w:type="dxa"/>
          <w:trHeight w:val="300"/>
        </w:trPr>
        <w:tc>
          <w:tcPr>
            <w:tcW w:w="509" w:type="dxa"/>
            <w:gridSpan w:val="2"/>
            <w:tcBorders>
              <w:top w:val="nil"/>
              <w:left w:val="single" w:sz="8" w:space="0" w:color="auto"/>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4.</w:t>
            </w:r>
          </w:p>
        </w:tc>
        <w:tc>
          <w:tcPr>
            <w:tcW w:w="348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xml:space="preserve">  AMORTIZATION</w:t>
            </w:r>
          </w:p>
        </w:tc>
        <w:tc>
          <w:tcPr>
            <w:tcW w:w="1987" w:type="dxa"/>
            <w:gridSpan w:val="2"/>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 xml:space="preserve">0 </w:t>
            </w:r>
          </w:p>
        </w:tc>
        <w:tc>
          <w:tcPr>
            <w:tcW w:w="2042" w:type="dxa"/>
            <w:gridSpan w:val="3"/>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Pr>
                <w:rFonts w:ascii="SWISS" w:hAnsi="SWISS" w:cs="Arial"/>
                <w:sz w:val="20"/>
                <w:szCs w:val="20"/>
              </w:rPr>
              <w:t>(</w:t>
            </w:r>
            <w:r w:rsidRPr="007B4999">
              <w:rPr>
                <w:rFonts w:ascii="SWISS" w:hAnsi="SWISS" w:cs="Arial"/>
                <w:sz w:val="20"/>
                <w:szCs w:val="20"/>
              </w:rPr>
              <w:t>833</w:t>
            </w:r>
            <w:r>
              <w:rPr>
                <w:rFonts w:ascii="SWISS" w:hAnsi="SWISS" w:cs="Arial"/>
                <w:sz w:val="20"/>
                <w:szCs w:val="20"/>
              </w:rPr>
              <w:t>)</w:t>
            </w:r>
          </w:p>
        </w:tc>
        <w:tc>
          <w:tcPr>
            <w:tcW w:w="1553" w:type="dxa"/>
            <w:gridSpan w:val="2"/>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Pr>
                <w:rFonts w:ascii="SWISS" w:hAnsi="SWISS" w:cs="Arial"/>
                <w:sz w:val="20"/>
                <w:szCs w:val="20"/>
              </w:rPr>
              <w:t>(</w:t>
            </w:r>
            <w:r w:rsidRPr="007B4999">
              <w:rPr>
                <w:rFonts w:ascii="SWISS" w:hAnsi="SWISS" w:cs="Arial"/>
                <w:sz w:val="20"/>
                <w:szCs w:val="20"/>
              </w:rPr>
              <w:t>833</w:t>
            </w:r>
            <w:r>
              <w:rPr>
                <w:rFonts w:ascii="SWISS" w:hAnsi="SWISS" w:cs="Arial"/>
                <w:sz w:val="20"/>
                <w:szCs w:val="20"/>
              </w:rPr>
              <w:t>)</w:t>
            </w:r>
          </w:p>
        </w:tc>
        <w:tc>
          <w:tcPr>
            <w:tcW w:w="1350" w:type="dxa"/>
            <w:gridSpan w:val="2"/>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0</w:t>
            </w:r>
          </w:p>
        </w:tc>
        <w:tc>
          <w:tcPr>
            <w:tcW w:w="2150" w:type="dxa"/>
            <w:gridSpan w:val="3"/>
            <w:tcBorders>
              <w:top w:val="nil"/>
              <w:left w:val="nil"/>
              <w:bottom w:val="nil"/>
              <w:right w:val="single" w:sz="8" w:space="0" w:color="auto"/>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(833)</w:t>
            </w:r>
          </w:p>
        </w:tc>
      </w:tr>
      <w:tr w:rsidR="00445218" w:rsidRPr="007B4999" w:rsidTr="00636751">
        <w:trPr>
          <w:gridAfter w:val="1"/>
          <w:wAfter w:w="1219" w:type="dxa"/>
          <w:trHeight w:val="300"/>
        </w:trPr>
        <w:tc>
          <w:tcPr>
            <w:tcW w:w="509" w:type="dxa"/>
            <w:gridSpan w:val="2"/>
            <w:tcBorders>
              <w:top w:val="nil"/>
              <w:left w:val="single" w:sz="8" w:space="0" w:color="auto"/>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c>
          <w:tcPr>
            <w:tcW w:w="348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987"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04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553"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350"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150" w:type="dxa"/>
            <w:gridSpan w:val="3"/>
            <w:tcBorders>
              <w:top w:val="nil"/>
              <w:left w:val="nil"/>
              <w:bottom w:val="nil"/>
              <w:right w:val="single" w:sz="8" w:space="0" w:color="auto"/>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r>
      <w:tr w:rsidR="00445218" w:rsidRPr="007B4999" w:rsidTr="00636751">
        <w:trPr>
          <w:gridAfter w:val="1"/>
          <w:wAfter w:w="1219" w:type="dxa"/>
          <w:trHeight w:val="300"/>
        </w:trPr>
        <w:tc>
          <w:tcPr>
            <w:tcW w:w="509" w:type="dxa"/>
            <w:gridSpan w:val="2"/>
            <w:tcBorders>
              <w:top w:val="nil"/>
              <w:left w:val="single" w:sz="8" w:space="0" w:color="auto"/>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5.</w:t>
            </w:r>
          </w:p>
        </w:tc>
        <w:tc>
          <w:tcPr>
            <w:tcW w:w="348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xml:space="preserve">  TAXES OTHER THAN INCOME</w:t>
            </w:r>
          </w:p>
        </w:tc>
        <w:tc>
          <w:tcPr>
            <w:tcW w:w="1987" w:type="dxa"/>
            <w:gridSpan w:val="2"/>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 xml:space="preserve">3,493 </w:t>
            </w:r>
          </w:p>
        </w:tc>
        <w:tc>
          <w:tcPr>
            <w:tcW w:w="2042" w:type="dxa"/>
            <w:gridSpan w:val="3"/>
            <w:tcBorders>
              <w:top w:val="nil"/>
              <w:left w:val="nil"/>
              <w:bottom w:val="nil"/>
              <w:right w:val="nil"/>
            </w:tcBorders>
            <w:shd w:val="clear" w:color="auto" w:fill="auto"/>
            <w:noWrap/>
            <w:vAlign w:val="bottom"/>
            <w:hideMark/>
          </w:tcPr>
          <w:p w:rsidR="00445218" w:rsidRPr="007B4999" w:rsidRDefault="00FC5B51" w:rsidP="00445218">
            <w:pPr>
              <w:jc w:val="right"/>
              <w:rPr>
                <w:rFonts w:ascii="SWISS" w:hAnsi="SWISS" w:cs="Arial"/>
                <w:sz w:val="20"/>
                <w:szCs w:val="20"/>
              </w:rPr>
            </w:pPr>
            <w:r w:rsidRPr="00FC5B51">
              <w:rPr>
                <w:rFonts w:ascii="SWISS" w:hAnsi="SWISS" w:cs="Arial"/>
                <w:sz w:val="20"/>
                <w:szCs w:val="20"/>
              </w:rPr>
              <w:t>(110)</w:t>
            </w:r>
          </w:p>
        </w:tc>
        <w:tc>
          <w:tcPr>
            <w:tcW w:w="1553" w:type="dxa"/>
            <w:gridSpan w:val="2"/>
            <w:tcBorders>
              <w:top w:val="nil"/>
              <w:left w:val="nil"/>
              <w:bottom w:val="nil"/>
              <w:right w:val="nil"/>
            </w:tcBorders>
            <w:shd w:val="clear" w:color="auto" w:fill="auto"/>
            <w:noWrap/>
            <w:vAlign w:val="bottom"/>
            <w:hideMark/>
          </w:tcPr>
          <w:p w:rsidR="00445218" w:rsidRPr="007B4999" w:rsidRDefault="00FC5B51" w:rsidP="00445218">
            <w:pPr>
              <w:jc w:val="right"/>
              <w:rPr>
                <w:rFonts w:ascii="SWISS" w:hAnsi="SWISS" w:cs="Arial"/>
                <w:sz w:val="20"/>
                <w:szCs w:val="20"/>
              </w:rPr>
            </w:pPr>
            <w:r w:rsidRPr="00FC5B51">
              <w:rPr>
                <w:rFonts w:ascii="SWISS" w:hAnsi="SWISS" w:cs="Arial"/>
                <w:sz w:val="20"/>
                <w:szCs w:val="20"/>
              </w:rPr>
              <w:t>3,383</w:t>
            </w:r>
          </w:p>
        </w:tc>
        <w:tc>
          <w:tcPr>
            <w:tcW w:w="1350" w:type="dxa"/>
            <w:gridSpan w:val="2"/>
            <w:tcBorders>
              <w:top w:val="nil"/>
              <w:left w:val="nil"/>
              <w:bottom w:val="nil"/>
              <w:right w:val="nil"/>
            </w:tcBorders>
            <w:shd w:val="clear" w:color="auto" w:fill="auto"/>
            <w:noWrap/>
            <w:vAlign w:val="bottom"/>
            <w:hideMark/>
          </w:tcPr>
          <w:p w:rsidR="00445218" w:rsidRPr="007B4999" w:rsidRDefault="00FC5B51" w:rsidP="00445218">
            <w:pPr>
              <w:jc w:val="right"/>
              <w:rPr>
                <w:rFonts w:ascii="SWISS" w:hAnsi="SWISS" w:cs="Arial"/>
                <w:sz w:val="20"/>
                <w:szCs w:val="20"/>
              </w:rPr>
            </w:pPr>
            <w:r w:rsidRPr="00FC5B51">
              <w:rPr>
                <w:rFonts w:ascii="SWISS" w:hAnsi="SWISS" w:cs="Arial"/>
                <w:sz w:val="20"/>
                <w:szCs w:val="20"/>
              </w:rPr>
              <w:t>236</w:t>
            </w:r>
          </w:p>
        </w:tc>
        <w:tc>
          <w:tcPr>
            <w:tcW w:w="2150" w:type="dxa"/>
            <w:gridSpan w:val="3"/>
            <w:tcBorders>
              <w:top w:val="nil"/>
              <w:left w:val="nil"/>
              <w:bottom w:val="nil"/>
              <w:right w:val="single" w:sz="8" w:space="0" w:color="auto"/>
            </w:tcBorders>
            <w:shd w:val="clear" w:color="auto" w:fill="auto"/>
            <w:noWrap/>
            <w:vAlign w:val="bottom"/>
            <w:hideMark/>
          </w:tcPr>
          <w:p w:rsidR="00445218" w:rsidRPr="007B4999" w:rsidRDefault="00FC5B51" w:rsidP="00445218">
            <w:pPr>
              <w:jc w:val="right"/>
              <w:rPr>
                <w:rFonts w:ascii="SWISS" w:hAnsi="SWISS" w:cs="Arial"/>
                <w:sz w:val="20"/>
                <w:szCs w:val="20"/>
              </w:rPr>
            </w:pPr>
            <w:r w:rsidRPr="00FC5B51">
              <w:rPr>
                <w:rFonts w:ascii="SWISS" w:hAnsi="SWISS" w:cs="Arial"/>
                <w:sz w:val="20"/>
                <w:szCs w:val="20"/>
              </w:rPr>
              <w:t>3,619</w:t>
            </w:r>
          </w:p>
        </w:tc>
      </w:tr>
      <w:tr w:rsidR="00445218" w:rsidRPr="007B4999" w:rsidTr="00636751">
        <w:trPr>
          <w:gridAfter w:val="1"/>
          <w:wAfter w:w="1219" w:type="dxa"/>
          <w:trHeight w:val="300"/>
        </w:trPr>
        <w:tc>
          <w:tcPr>
            <w:tcW w:w="509" w:type="dxa"/>
            <w:gridSpan w:val="2"/>
            <w:tcBorders>
              <w:top w:val="nil"/>
              <w:left w:val="single" w:sz="8" w:space="0" w:color="auto"/>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c>
          <w:tcPr>
            <w:tcW w:w="348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987"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04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553"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350"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150" w:type="dxa"/>
            <w:gridSpan w:val="3"/>
            <w:tcBorders>
              <w:top w:val="nil"/>
              <w:left w:val="nil"/>
              <w:bottom w:val="nil"/>
              <w:right w:val="single" w:sz="8" w:space="0" w:color="auto"/>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r>
      <w:tr w:rsidR="00445218" w:rsidRPr="007B4999" w:rsidTr="00636751">
        <w:trPr>
          <w:gridAfter w:val="1"/>
          <w:wAfter w:w="1219" w:type="dxa"/>
          <w:trHeight w:val="300"/>
        </w:trPr>
        <w:tc>
          <w:tcPr>
            <w:tcW w:w="509" w:type="dxa"/>
            <w:gridSpan w:val="2"/>
            <w:tcBorders>
              <w:top w:val="nil"/>
              <w:left w:val="single" w:sz="8" w:space="0" w:color="auto"/>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6.</w:t>
            </w:r>
          </w:p>
        </w:tc>
        <w:tc>
          <w:tcPr>
            <w:tcW w:w="348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xml:space="preserve">  INCOME TAXES</w:t>
            </w:r>
          </w:p>
        </w:tc>
        <w:tc>
          <w:tcPr>
            <w:tcW w:w="1987" w:type="dxa"/>
            <w:gridSpan w:val="2"/>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u w:val="single"/>
              </w:rPr>
            </w:pPr>
            <w:r w:rsidRPr="007B4999">
              <w:rPr>
                <w:rFonts w:ascii="SWISS" w:hAnsi="SWISS" w:cs="Arial"/>
                <w:sz w:val="20"/>
                <w:szCs w:val="20"/>
                <w:u w:val="single"/>
              </w:rPr>
              <w:t xml:space="preserve">0 </w:t>
            </w:r>
          </w:p>
        </w:tc>
        <w:tc>
          <w:tcPr>
            <w:tcW w:w="2042" w:type="dxa"/>
            <w:gridSpan w:val="3"/>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u w:val="single"/>
              </w:rPr>
            </w:pPr>
            <w:r w:rsidRPr="007B4999">
              <w:rPr>
                <w:rFonts w:ascii="SWISS" w:hAnsi="SWISS" w:cs="Arial"/>
                <w:sz w:val="20"/>
                <w:szCs w:val="20"/>
                <w:u w:val="single"/>
              </w:rPr>
              <w:t>0</w:t>
            </w:r>
          </w:p>
        </w:tc>
        <w:tc>
          <w:tcPr>
            <w:tcW w:w="1553" w:type="dxa"/>
            <w:gridSpan w:val="2"/>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u w:val="single"/>
              </w:rPr>
            </w:pPr>
            <w:r w:rsidRPr="007B4999">
              <w:rPr>
                <w:rFonts w:ascii="SWISS" w:hAnsi="SWISS" w:cs="Arial"/>
                <w:sz w:val="20"/>
                <w:szCs w:val="20"/>
                <w:u w:val="single"/>
              </w:rPr>
              <w:t>0</w:t>
            </w:r>
          </w:p>
        </w:tc>
        <w:tc>
          <w:tcPr>
            <w:tcW w:w="1350" w:type="dxa"/>
            <w:gridSpan w:val="2"/>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u w:val="single"/>
              </w:rPr>
            </w:pPr>
            <w:r w:rsidRPr="007B4999">
              <w:rPr>
                <w:rFonts w:ascii="SWISS" w:hAnsi="SWISS" w:cs="Arial"/>
                <w:sz w:val="20"/>
                <w:szCs w:val="20"/>
                <w:u w:val="single"/>
              </w:rPr>
              <w:t>0</w:t>
            </w:r>
          </w:p>
        </w:tc>
        <w:tc>
          <w:tcPr>
            <w:tcW w:w="2150" w:type="dxa"/>
            <w:gridSpan w:val="3"/>
            <w:tcBorders>
              <w:top w:val="nil"/>
              <w:left w:val="nil"/>
              <w:bottom w:val="nil"/>
              <w:right w:val="single" w:sz="8" w:space="0" w:color="auto"/>
            </w:tcBorders>
            <w:shd w:val="clear" w:color="auto" w:fill="auto"/>
            <w:noWrap/>
            <w:vAlign w:val="bottom"/>
            <w:hideMark/>
          </w:tcPr>
          <w:p w:rsidR="00445218" w:rsidRPr="007B4999" w:rsidRDefault="00445218" w:rsidP="00445218">
            <w:pPr>
              <w:jc w:val="right"/>
              <w:rPr>
                <w:rFonts w:ascii="SWISS" w:hAnsi="SWISS" w:cs="Arial"/>
                <w:sz w:val="20"/>
                <w:szCs w:val="20"/>
                <w:u w:val="single"/>
              </w:rPr>
            </w:pPr>
            <w:r w:rsidRPr="007B4999">
              <w:rPr>
                <w:rFonts w:ascii="SWISS" w:hAnsi="SWISS" w:cs="Arial"/>
                <w:sz w:val="20"/>
                <w:szCs w:val="20"/>
                <w:u w:val="single"/>
              </w:rPr>
              <w:t xml:space="preserve">0 </w:t>
            </w:r>
          </w:p>
        </w:tc>
      </w:tr>
      <w:tr w:rsidR="00445218" w:rsidRPr="007B4999" w:rsidTr="00636751">
        <w:trPr>
          <w:gridAfter w:val="1"/>
          <w:wAfter w:w="1219" w:type="dxa"/>
          <w:trHeight w:val="300"/>
        </w:trPr>
        <w:tc>
          <w:tcPr>
            <w:tcW w:w="509" w:type="dxa"/>
            <w:gridSpan w:val="2"/>
            <w:tcBorders>
              <w:top w:val="nil"/>
              <w:left w:val="single" w:sz="8" w:space="0" w:color="auto"/>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c>
          <w:tcPr>
            <w:tcW w:w="348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987"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04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553"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350"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150" w:type="dxa"/>
            <w:gridSpan w:val="3"/>
            <w:tcBorders>
              <w:top w:val="nil"/>
              <w:left w:val="nil"/>
              <w:bottom w:val="nil"/>
              <w:right w:val="single" w:sz="8" w:space="0" w:color="auto"/>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r>
      <w:tr w:rsidR="00445218" w:rsidRPr="007B4999" w:rsidTr="00636751">
        <w:trPr>
          <w:gridAfter w:val="1"/>
          <w:wAfter w:w="1219" w:type="dxa"/>
          <w:trHeight w:val="300"/>
        </w:trPr>
        <w:tc>
          <w:tcPr>
            <w:tcW w:w="509" w:type="dxa"/>
            <w:gridSpan w:val="2"/>
            <w:tcBorders>
              <w:top w:val="nil"/>
              <w:left w:val="single" w:sz="8" w:space="0" w:color="auto"/>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7.</w:t>
            </w:r>
          </w:p>
        </w:tc>
        <w:tc>
          <w:tcPr>
            <w:tcW w:w="348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b/>
                <w:bCs/>
                <w:sz w:val="20"/>
                <w:szCs w:val="20"/>
              </w:rPr>
            </w:pPr>
            <w:r w:rsidRPr="007B4999">
              <w:rPr>
                <w:rFonts w:ascii="SWISS" w:hAnsi="SWISS" w:cs="Arial"/>
                <w:b/>
                <w:bCs/>
                <w:sz w:val="20"/>
                <w:szCs w:val="20"/>
              </w:rPr>
              <w:t xml:space="preserve">TOTAL OPERATING EXPENSES    </w:t>
            </w:r>
          </w:p>
        </w:tc>
        <w:tc>
          <w:tcPr>
            <w:tcW w:w="1987" w:type="dxa"/>
            <w:gridSpan w:val="2"/>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u w:val="single"/>
              </w:rPr>
            </w:pPr>
            <w:r w:rsidRPr="007B4999">
              <w:rPr>
                <w:rFonts w:ascii="SWISS" w:hAnsi="SWISS" w:cs="Arial"/>
                <w:sz w:val="20"/>
                <w:szCs w:val="20"/>
                <w:u w:val="single"/>
              </w:rPr>
              <w:t>$35,580</w:t>
            </w:r>
          </w:p>
        </w:tc>
        <w:tc>
          <w:tcPr>
            <w:tcW w:w="2042" w:type="dxa"/>
            <w:gridSpan w:val="3"/>
            <w:tcBorders>
              <w:top w:val="nil"/>
              <w:left w:val="nil"/>
              <w:bottom w:val="nil"/>
              <w:right w:val="nil"/>
            </w:tcBorders>
            <w:shd w:val="clear" w:color="auto" w:fill="auto"/>
            <w:noWrap/>
            <w:vAlign w:val="bottom"/>
            <w:hideMark/>
          </w:tcPr>
          <w:p w:rsidR="00445218" w:rsidRPr="007B4999" w:rsidRDefault="00FC5B51" w:rsidP="00445218">
            <w:pPr>
              <w:jc w:val="right"/>
              <w:rPr>
                <w:rFonts w:ascii="SWISS" w:hAnsi="SWISS" w:cs="Arial"/>
                <w:sz w:val="20"/>
                <w:szCs w:val="20"/>
                <w:u w:val="single"/>
              </w:rPr>
            </w:pPr>
            <w:r w:rsidRPr="00FC5B51">
              <w:rPr>
                <w:rFonts w:ascii="SWISS" w:hAnsi="SWISS" w:cs="Arial"/>
                <w:sz w:val="20"/>
                <w:szCs w:val="20"/>
                <w:u w:val="single"/>
              </w:rPr>
              <w:t>$7,747</w:t>
            </w:r>
            <w:r w:rsidR="00445218" w:rsidRPr="007B4999">
              <w:rPr>
                <w:rFonts w:ascii="SWISS" w:hAnsi="SWISS" w:cs="Arial"/>
                <w:sz w:val="20"/>
                <w:szCs w:val="20"/>
                <w:u w:val="single"/>
              </w:rPr>
              <w:t xml:space="preserve"> </w:t>
            </w:r>
          </w:p>
        </w:tc>
        <w:tc>
          <w:tcPr>
            <w:tcW w:w="1553" w:type="dxa"/>
            <w:gridSpan w:val="2"/>
            <w:tcBorders>
              <w:top w:val="nil"/>
              <w:left w:val="nil"/>
              <w:bottom w:val="nil"/>
              <w:right w:val="nil"/>
            </w:tcBorders>
            <w:shd w:val="clear" w:color="auto" w:fill="auto"/>
            <w:noWrap/>
            <w:vAlign w:val="bottom"/>
            <w:hideMark/>
          </w:tcPr>
          <w:p w:rsidR="00445218" w:rsidRPr="007B4999" w:rsidRDefault="00FC5B51" w:rsidP="00445218">
            <w:pPr>
              <w:jc w:val="right"/>
              <w:rPr>
                <w:rFonts w:ascii="SWISS" w:hAnsi="SWISS" w:cs="Arial"/>
                <w:sz w:val="20"/>
                <w:szCs w:val="20"/>
                <w:u w:val="single"/>
              </w:rPr>
            </w:pPr>
            <w:r w:rsidRPr="00FC5B51">
              <w:rPr>
                <w:rFonts w:ascii="SWISS" w:hAnsi="SWISS" w:cs="Arial"/>
                <w:sz w:val="20"/>
                <w:szCs w:val="20"/>
                <w:u w:val="single"/>
              </w:rPr>
              <w:t>$43,327</w:t>
            </w:r>
          </w:p>
        </w:tc>
        <w:tc>
          <w:tcPr>
            <w:tcW w:w="1350" w:type="dxa"/>
            <w:gridSpan w:val="2"/>
            <w:tcBorders>
              <w:top w:val="nil"/>
              <w:left w:val="nil"/>
              <w:bottom w:val="nil"/>
              <w:right w:val="nil"/>
            </w:tcBorders>
            <w:shd w:val="clear" w:color="auto" w:fill="auto"/>
            <w:noWrap/>
            <w:vAlign w:val="bottom"/>
            <w:hideMark/>
          </w:tcPr>
          <w:p w:rsidR="00445218" w:rsidRPr="007B4999" w:rsidRDefault="00FC5B51" w:rsidP="00445218">
            <w:pPr>
              <w:jc w:val="right"/>
              <w:rPr>
                <w:rFonts w:ascii="SWISS" w:hAnsi="SWISS" w:cs="Arial"/>
                <w:sz w:val="20"/>
                <w:szCs w:val="20"/>
                <w:u w:val="single"/>
              </w:rPr>
            </w:pPr>
            <w:r w:rsidRPr="00FC5B51">
              <w:rPr>
                <w:rFonts w:ascii="SWISS" w:hAnsi="SWISS" w:cs="Arial"/>
                <w:sz w:val="20"/>
                <w:szCs w:val="20"/>
                <w:u w:val="single"/>
              </w:rPr>
              <w:t>$236</w:t>
            </w:r>
            <w:r w:rsidR="00445218" w:rsidRPr="007B4999">
              <w:rPr>
                <w:rFonts w:ascii="SWISS" w:hAnsi="SWISS" w:cs="Arial"/>
                <w:sz w:val="20"/>
                <w:szCs w:val="20"/>
                <w:u w:val="single"/>
              </w:rPr>
              <w:t xml:space="preserve"> </w:t>
            </w:r>
          </w:p>
        </w:tc>
        <w:tc>
          <w:tcPr>
            <w:tcW w:w="2150" w:type="dxa"/>
            <w:gridSpan w:val="3"/>
            <w:tcBorders>
              <w:top w:val="nil"/>
              <w:left w:val="nil"/>
              <w:bottom w:val="nil"/>
              <w:right w:val="single" w:sz="8" w:space="0" w:color="auto"/>
            </w:tcBorders>
            <w:shd w:val="clear" w:color="auto" w:fill="auto"/>
            <w:noWrap/>
            <w:vAlign w:val="bottom"/>
            <w:hideMark/>
          </w:tcPr>
          <w:p w:rsidR="00445218" w:rsidRPr="007B4999" w:rsidRDefault="00FC5B51" w:rsidP="00445218">
            <w:pPr>
              <w:jc w:val="right"/>
              <w:rPr>
                <w:rFonts w:ascii="SWISS" w:hAnsi="SWISS" w:cs="Arial"/>
                <w:sz w:val="20"/>
                <w:szCs w:val="20"/>
                <w:u w:val="single"/>
              </w:rPr>
            </w:pPr>
            <w:r w:rsidRPr="00FC5B51">
              <w:rPr>
                <w:rFonts w:ascii="SWISS" w:hAnsi="SWISS" w:cs="Arial"/>
                <w:sz w:val="20"/>
                <w:szCs w:val="20"/>
                <w:u w:val="single"/>
              </w:rPr>
              <w:t>$43,563</w:t>
            </w:r>
          </w:p>
        </w:tc>
      </w:tr>
      <w:tr w:rsidR="00445218" w:rsidRPr="007B4999" w:rsidTr="00636751">
        <w:trPr>
          <w:gridAfter w:val="1"/>
          <w:wAfter w:w="1219" w:type="dxa"/>
          <w:trHeight w:val="300"/>
        </w:trPr>
        <w:tc>
          <w:tcPr>
            <w:tcW w:w="509" w:type="dxa"/>
            <w:gridSpan w:val="2"/>
            <w:tcBorders>
              <w:top w:val="nil"/>
              <w:left w:val="single" w:sz="8" w:space="0" w:color="auto"/>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c>
          <w:tcPr>
            <w:tcW w:w="348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987"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04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553"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350"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150" w:type="dxa"/>
            <w:gridSpan w:val="3"/>
            <w:tcBorders>
              <w:top w:val="nil"/>
              <w:left w:val="nil"/>
              <w:bottom w:val="nil"/>
              <w:right w:val="single" w:sz="8" w:space="0" w:color="auto"/>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r>
      <w:tr w:rsidR="00445218" w:rsidRPr="007B4999" w:rsidTr="00636751">
        <w:trPr>
          <w:gridAfter w:val="1"/>
          <w:wAfter w:w="1219" w:type="dxa"/>
          <w:trHeight w:val="300"/>
        </w:trPr>
        <w:tc>
          <w:tcPr>
            <w:tcW w:w="509" w:type="dxa"/>
            <w:gridSpan w:val="2"/>
            <w:tcBorders>
              <w:top w:val="nil"/>
              <w:left w:val="single" w:sz="8" w:space="0" w:color="auto"/>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8.</w:t>
            </w:r>
          </w:p>
        </w:tc>
        <w:tc>
          <w:tcPr>
            <w:tcW w:w="348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b/>
                <w:bCs/>
                <w:sz w:val="20"/>
                <w:szCs w:val="20"/>
              </w:rPr>
            </w:pPr>
            <w:r w:rsidRPr="007B4999">
              <w:rPr>
                <w:rFonts w:ascii="SWISS" w:hAnsi="SWISS" w:cs="Arial"/>
                <w:b/>
                <w:bCs/>
                <w:sz w:val="20"/>
                <w:szCs w:val="20"/>
              </w:rPr>
              <w:t xml:space="preserve">OPERATING INCOME/(LOSS)        </w:t>
            </w:r>
          </w:p>
        </w:tc>
        <w:tc>
          <w:tcPr>
            <w:tcW w:w="1987" w:type="dxa"/>
            <w:gridSpan w:val="2"/>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u w:val="double"/>
              </w:rPr>
            </w:pPr>
            <w:r w:rsidRPr="007B4999">
              <w:rPr>
                <w:rFonts w:ascii="SWISS" w:hAnsi="SWISS" w:cs="Arial"/>
                <w:sz w:val="20"/>
                <w:szCs w:val="20"/>
                <w:u w:val="double"/>
              </w:rPr>
              <w:t xml:space="preserve">$8,233 </w:t>
            </w:r>
          </w:p>
        </w:tc>
        <w:tc>
          <w:tcPr>
            <w:tcW w:w="204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u w:val="double"/>
              </w:rPr>
            </w:pPr>
          </w:p>
        </w:tc>
        <w:tc>
          <w:tcPr>
            <w:tcW w:w="1553" w:type="dxa"/>
            <w:gridSpan w:val="2"/>
            <w:tcBorders>
              <w:top w:val="nil"/>
              <w:left w:val="nil"/>
              <w:bottom w:val="nil"/>
              <w:right w:val="nil"/>
            </w:tcBorders>
            <w:shd w:val="clear" w:color="auto" w:fill="auto"/>
            <w:noWrap/>
            <w:vAlign w:val="bottom"/>
            <w:hideMark/>
          </w:tcPr>
          <w:p w:rsidR="00445218" w:rsidRPr="007B4999" w:rsidRDefault="00FC5B51" w:rsidP="00445218">
            <w:pPr>
              <w:jc w:val="right"/>
              <w:rPr>
                <w:rFonts w:ascii="SWISS" w:hAnsi="SWISS" w:cs="Arial"/>
                <w:sz w:val="20"/>
                <w:szCs w:val="20"/>
                <w:u w:val="double"/>
              </w:rPr>
            </w:pPr>
            <w:r w:rsidRPr="00FC5B51">
              <w:rPr>
                <w:rFonts w:ascii="SWISS" w:hAnsi="SWISS" w:cs="Arial"/>
                <w:sz w:val="20"/>
                <w:szCs w:val="20"/>
                <w:u w:val="double"/>
              </w:rPr>
              <w:t>($1,647)</w:t>
            </w:r>
          </w:p>
        </w:tc>
        <w:tc>
          <w:tcPr>
            <w:tcW w:w="1350"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u w:val="double"/>
              </w:rPr>
            </w:pPr>
          </w:p>
        </w:tc>
        <w:tc>
          <w:tcPr>
            <w:tcW w:w="2150" w:type="dxa"/>
            <w:gridSpan w:val="3"/>
            <w:tcBorders>
              <w:top w:val="nil"/>
              <w:left w:val="nil"/>
              <w:bottom w:val="nil"/>
              <w:right w:val="single" w:sz="8" w:space="0" w:color="auto"/>
            </w:tcBorders>
            <w:shd w:val="clear" w:color="auto" w:fill="auto"/>
            <w:noWrap/>
            <w:vAlign w:val="bottom"/>
            <w:hideMark/>
          </w:tcPr>
          <w:p w:rsidR="00445218" w:rsidRPr="007B4999" w:rsidRDefault="00445218" w:rsidP="00445218">
            <w:pPr>
              <w:jc w:val="right"/>
              <w:rPr>
                <w:rFonts w:ascii="SWISS" w:hAnsi="SWISS" w:cs="Arial"/>
                <w:sz w:val="20"/>
                <w:szCs w:val="20"/>
                <w:u w:val="double"/>
              </w:rPr>
            </w:pPr>
            <w:r w:rsidRPr="007B4999">
              <w:rPr>
                <w:rFonts w:ascii="SWISS" w:hAnsi="SWISS" w:cs="Arial"/>
                <w:sz w:val="20"/>
                <w:szCs w:val="20"/>
                <w:u w:val="double"/>
              </w:rPr>
              <w:t>$3,3</w:t>
            </w:r>
            <w:r>
              <w:rPr>
                <w:rFonts w:ascii="SWISS" w:hAnsi="SWISS" w:cs="Arial"/>
                <w:sz w:val="20"/>
                <w:szCs w:val="20"/>
                <w:u w:val="double"/>
              </w:rPr>
              <w:t>64</w:t>
            </w:r>
          </w:p>
        </w:tc>
      </w:tr>
      <w:tr w:rsidR="00445218" w:rsidRPr="007B4999" w:rsidTr="00636751">
        <w:trPr>
          <w:gridAfter w:val="1"/>
          <w:wAfter w:w="1219" w:type="dxa"/>
          <w:trHeight w:val="300"/>
        </w:trPr>
        <w:tc>
          <w:tcPr>
            <w:tcW w:w="509" w:type="dxa"/>
            <w:gridSpan w:val="2"/>
            <w:tcBorders>
              <w:top w:val="nil"/>
              <w:left w:val="single" w:sz="8" w:space="0" w:color="auto"/>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c>
          <w:tcPr>
            <w:tcW w:w="348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987"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04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553"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350"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150" w:type="dxa"/>
            <w:gridSpan w:val="3"/>
            <w:tcBorders>
              <w:top w:val="nil"/>
              <w:left w:val="nil"/>
              <w:bottom w:val="nil"/>
              <w:right w:val="single" w:sz="8" w:space="0" w:color="auto"/>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r>
      <w:tr w:rsidR="00445218" w:rsidRPr="007B4999" w:rsidTr="00636751">
        <w:trPr>
          <w:gridAfter w:val="1"/>
          <w:wAfter w:w="1219" w:type="dxa"/>
          <w:trHeight w:val="300"/>
        </w:trPr>
        <w:tc>
          <w:tcPr>
            <w:tcW w:w="509" w:type="dxa"/>
            <w:gridSpan w:val="2"/>
            <w:tcBorders>
              <w:top w:val="nil"/>
              <w:left w:val="single" w:sz="8" w:space="0" w:color="auto"/>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9.</w:t>
            </w:r>
          </w:p>
        </w:tc>
        <w:tc>
          <w:tcPr>
            <w:tcW w:w="348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b/>
                <w:bCs/>
                <w:sz w:val="20"/>
                <w:szCs w:val="20"/>
              </w:rPr>
            </w:pPr>
            <w:r w:rsidRPr="007B4999">
              <w:rPr>
                <w:rFonts w:ascii="SWISS" w:hAnsi="SWISS" w:cs="Arial"/>
                <w:b/>
                <w:bCs/>
                <w:sz w:val="20"/>
                <w:szCs w:val="20"/>
              </w:rPr>
              <w:t xml:space="preserve">WATER RATE BASE           </w:t>
            </w:r>
          </w:p>
        </w:tc>
        <w:tc>
          <w:tcPr>
            <w:tcW w:w="1987" w:type="dxa"/>
            <w:gridSpan w:val="2"/>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u w:val="double"/>
              </w:rPr>
            </w:pPr>
            <w:r w:rsidRPr="007B4999">
              <w:rPr>
                <w:rFonts w:ascii="SWISS" w:hAnsi="SWISS" w:cs="Arial"/>
                <w:sz w:val="20"/>
                <w:szCs w:val="20"/>
                <w:u w:val="double"/>
              </w:rPr>
              <w:t xml:space="preserve">$120,894 </w:t>
            </w:r>
          </w:p>
        </w:tc>
        <w:tc>
          <w:tcPr>
            <w:tcW w:w="204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u w:val="double"/>
              </w:rPr>
            </w:pPr>
          </w:p>
        </w:tc>
        <w:tc>
          <w:tcPr>
            <w:tcW w:w="1553" w:type="dxa"/>
            <w:gridSpan w:val="2"/>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u w:val="double"/>
              </w:rPr>
            </w:pPr>
            <w:r w:rsidRPr="007B4999">
              <w:rPr>
                <w:rFonts w:ascii="SWISS" w:hAnsi="SWISS" w:cs="Arial"/>
                <w:sz w:val="20"/>
                <w:szCs w:val="20"/>
                <w:u w:val="double"/>
              </w:rPr>
              <w:t>$3</w:t>
            </w:r>
            <w:r>
              <w:rPr>
                <w:rFonts w:ascii="SWISS" w:hAnsi="SWISS" w:cs="Arial"/>
                <w:sz w:val="20"/>
                <w:szCs w:val="20"/>
                <w:u w:val="double"/>
              </w:rPr>
              <w:t>6,054</w:t>
            </w:r>
            <w:r w:rsidRPr="007B4999">
              <w:rPr>
                <w:rFonts w:ascii="SWISS" w:hAnsi="SWISS" w:cs="Arial"/>
                <w:sz w:val="20"/>
                <w:szCs w:val="20"/>
                <w:u w:val="double"/>
              </w:rPr>
              <w:t xml:space="preserve"> </w:t>
            </w:r>
          </w:p>
        </w:tc>
        <w:tc>
          <w:tcPr>
            <w:tcW w:w="1350"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u w:val="double"/>
              </w:rPr>
            </w:pPr>
          </w:p>
        </w:tc>
        <w:tc>
          <w:tcPr>
            <w:tcW w:w="2150" w:type="dxa"/>
            <w:gridSpan w:val="3"/>
            <w:tcBorders>
              <w:top w:val="nil"/>
              <w:left w:val="nil"/>
              <w:bottom w:val="nil"/>
              <w:right w:val="single" w:sz="8" w:space="0" w:color="auto"/>
            </w:tcBorders>
            <w:shd w:val="clear" w:color="auto" w:fill="auto"/>
            <w:noWrap/>
            <w:vAlign w:val="bottom"/>
            <w:hideMark/>
          </w:tcPr>
          <w:p w:rsidR="00445218" w:rsidRPr="007B4999" w:rsidRDefault="00445218" w:rsidP="00445218">
            <w:pPr>
              <w:jc w:val="right"/>
              <w:rPr>
                <w:rFonts w:ascii="SWISS" w:hAnsi="SWISS" w:cs="Arial"/>
                <w:sz w:val="20"/>
                <w:szCs w:val="20"/>
                <w:u w:val="double"/>
              </w:rPr>
            </w:pPr>
            <w:r w:rsidRPr="007B4999">
              <w:rPr>
                <w:rFonts w:ascii="SWISS" w:hAnsi="SWISS" w:cs="Arial"/>
                <w:sz w:val="20"/>
                <w:szCs w:val="20"/>
                <w:u w:val="double"/>
              </w:rPr>
              <w:t>$3</w:t>
            </w:r>
            <w:r>
              <w:rPr>
                <w:rFonts w:ascii="SWISS" w:hAnsi="SWISS" w:cs="Arial"/>
                <w:sz w:val="20"/>
                <w:szCs w:val="20"/>
                <w:u w:val="double"/>
              </w:rPr>
              <w:t>6,054</w:t>
            </w:r>
          </w:p>
        </w:tc>
      </w:tr>
      <w:tr w:rsidR="00445218" w:rsidRPr="007B4999" w:rsidTr="00636751">
        <w:trPr>
          <w:gridAfter w:val="1"/>
          <w:wAfter w:w="1219" w:type="dxa"/>
          <w:trHeight w:val="300"/>
        </w:trPr>
        <w:tc>
          <w:tcPr>
            <w:tcW w:w="509" w:type="dxa"/>
            <w:gridSpan w:val="2"/>
            <w:tcBorders>
              <w:top w:val="nil"/>
              <w:left w:val="single" w:sz="8" w:space="0" w:color="auto"/>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c>
          <w:tcPr>
            <w:tcW w:w="348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987"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042"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553"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350" w:type="dxa"/>
            <w:gridSpan w:val="2"/>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150" w:type="dxa"/>
            <w:gridSpan w:val="3"/>
            <w:tcBorders>
              <w:top w:val="nil"/>
              <w:left w:val="nil"/>
              <w:bottom w:val="nil"/>
              <w:right w:val="single" w:sz="8" w:space="0" w:color="auto"/>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r>
      <w:tr w:rsidR="00445218" w:rsidRPr="007B4999" w:rsidTr="00636751">
        <w:trPr>
          <w:gridAfter w:val="1"/>
          <w:wAfter w:w="1219" w:type="dxa"/>
          <w:trHeight w:val="300"/>
        </w:trPr>
        <w:tc>
          <w:tcPr>
            <w:tcW w:w="509" w:type="dxa"/>
            <w:gridSpan w:val="2"/>
            <w:tcBorders>
              <w:top w:val="nil"/>
              <w:left w:val="single" w:sz="8" w:space="0" w:color="auto"/>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10.</w:t>
            </w:r>
          </w:p>
        </w:tc>
        <w:tc>
          <w:tcPr>
            <w:tcW w:w="3482" w:type="dxa"/>
            <w:gridSpan w:val="3"/>
            <w:tcBorders>
              <w:top w:val="nil"/>
              <w:left w:val="nil"/>
              <w:right w:val="nil"/>
            </w:tcBorders>
            <w:shd w:val="clear" w:color="auto" w:fill="auto"/>
            <w:noWrap/>
            <w:vAlign w:val="bottom"/>
            <w:hideMark/>
          </w:tcPr>
          <w:p w:rsidR="00445218" w:rsidRPr="007B4999" w:rsidRDefault="00445218" w:rsidP="00445218">
            <w:pPr>
              <w:rPr>
                <w:rFonts w:ascii="SWlSS" w:hAnsi="SWlSS" w:cs="Arial"/>
                <w:b/>
                <w:bCs/>
                <w:sz w:val="20"/>
                <w:szCs w:val="20"/>
              </w:rPr>
            </w:pPr>
            <w:r w:rsidRPr="007B4999">
              <w:rPr>
                <w:rFonts w:ascii="SWlSS" w:hAnsi="SWlSS" w:cs="Arial"/>
                <w:b/>
                <w:bCs/>
                <w:sz w:val="20"/>
                <w:szCs w:val="20"/>
              </w:rPr>
              <w:t>RATE OF RETURN</w:t>
            </w:r>
          </w:p>
        </w:tc>
        <w:tc>
          <w:tcPr>
            <w:tcW w:w="1987" w:type="dxa"/>
            <w:gridSpan w:val="2"/>
            <w:tcBorders>
              <w:top w:val="nil"/>
              <w:left w:val="nil"/>
              <w:right w:val="nil"/>
            </w:tcBorders>
            <w:shd w:val="clear" w:color="auto" w:fill="auto"/>
            <w:noWrap/>
            <w:vAlign w:val="bottom"/>
            <w:hideMark/>
          </w:tcPr>
          <w:p w:rsidR="00445218" w:rsidRPr="007B4999" w:rsidRDefault="00445218" w:rsidP="00445218">
            <w:pPr>
              <w:jc w:val="right"/>
              <w:rPr>
                <w:rFonts w:ascii="SWlSS" w:hAnsi="SWlSS" w:cs="Arial"/>
                <w:sz w:val="20"/>
                <w:szCs w:val="20"/>
                <w:u w:val="double"/>
              </w:rPr>
            </w:pPr>
            <w:r w:rsidRPr="007B4999">
              <w:rPr>
                <w:rFonts w:ascii="SWlSS" w:hAnsi="SWlSS" w:cs="Arial"/>
                <w:sz w:val="20"/>
                <w:szCs w:val="20"/>
                <w:u w:val="double"/>
              </w:rPr>
              <w:t>6.81%</w:t>
            </w:r>
          </w:p>
        </w:tc>
        <w:tc>
          <w:tcPr>
            <w:tcW w:w="2042" w:type="dxa"/>
            <w:gridSpan w:val="3"/>
            <w:tcBorders>
              <w:top w:val="nil"/>
              <w:left w:val="nil"/>
              <w:right w:val="nil"/>
            </w:tcBorders>
            <w:shd w:val="clear" w:color="auto" w:fill="auto"/>
            <w:noWrap/>
            <w:vAlign w:val="bottom"/>
            <w:hideMark/>
          </w:tcPr>
          <w:p w:rsidR="00445218" w:rsidRPr="007B4999" w:rsidRDefault="00445218" w:rsidP="00445218">
            <w:pPr>
              <w:rPr>
                <w:rFonts w:ascii="SWlSS" w:hAnsi="SWlSS" w:cs="Arial"/>
                <w:sz w:val="20"/>
                <w:szCs w:val="20"/>
                <w:u w:val="double"/>
              </w:rPr>
            </w:pPr>
          </w:p>
        </w:tc>
        <w:tc>
          <w:tcPr>
            <w:tcW w:w="1553" w:type="dxa"/>
            <w:gridSpan w:val="2"/>
            <w:tcBorders>
              <w:top w:val="nil"/>
              <w:left w:val="nil"/>
              <w:right w:val="nil"/>
            </w:tcBorders>
            <w:shd w:val="clear" w:color="auto" w:fill="auto"/>
            <w:noWrap/>
            <w:vAlign w:val="bottom"/>
            <w:hideMark/>
          </w:tcPr>
          <w:p w:rsidR="00445218" w:rsidRPr="007B4999" w:rsidRDefault="00FC5B51" w:rsidP="00445218">
            <w:pPr>
              <w:jc w:val="right"/>
              <w:rPr>
                <w:rFonts w:ascii="SWlSS" w:hAnsi="SWlSS" w:cs="Arial"/>
                <w:sz w:val="20"/>
                <w:szCs w:val="20"/>
                <w:u w:val="double"/>
              </w:rPr>
            </w:pPr>
            <w:r w:rsidRPr="00FC5B51">
              <w:rPr>
                <w:rFonts w:ascii="SWlSS" w:hAnsi="SWlSS" w:cs="Arial"/>
                <w:sz w:val="20"/>
                <w:szCs w:val="20"/>
                <w:u w:val="double"/>
              </w:rPr>
              <w:t>(4.57%)</w:t>
            </w:r>
          </w:p>
        </w:tc>
        <w:tc>
          <w:tcPr>
            <w:tcW w:w="1350" w:type="dxa"/>
            <w:gridSpan w:val="2"/>
            <w:tcBorders>
              <w:top w:val="nil"/>
              <w:left w:val="nil"/>
              <w:right w:val="nil"/>
            </w:tcBorders>
            <w:shd w:val="clear" w:color="auto" w:fill="auto"/>
            <w:noWrap/>
            <w:vAlign w:val="bottom"/>
            <w:hideMark/>
          </w:tcPr>
          <w:p w:rsidR="00445218" w:rsidRPr="007B4999" w:rsidRDefault="00445218" w:rsidP="00445218">
            <w:pPr>
              <w:rPr>
                <w:rFonts w:ascii="SWISS" w:hAnsi="SWISS" w:cs="Arial"/>
                <w:sz w:val="20"/>
                <w:szCs w:val="20"/>
                <w:u w:val="double"/>
              </w:rPr>
            </w:pPr>
          </w:p>
        </w:tc>
        <w:tc>
          <w:tcPr>
            <w:tcW w:w="2150" w:type="dxa"/>
            <w:gridSpan w:val="3"/>
            <w:tcBorders>
              <w:top w:val="nil"/>
              <w:left w:val="nil"/>
              <w:right w:val="single" w:sz="8" w:space="0" w:color="auto"/>
            </w:tcBorders>
            <w:shd w:val="clear" w:color="auto" w:fill="auto"/>
            <w:noWrap/>
            <w:vAlign w:val="bottom"/>
            <w:hideMark/>
          </w:tcPr>
          <w:p w:rsidR="00445218" w:rsidRPr="007B4999" w:rsidRDefault="00445218" w:rsidP="00445218">
            <w:pPr>
              <w:jc w:val="right"/>
              <w:rPr>
                <w:rFonts w:ascii="SWISS" w:hAnsi="SWISS" w:cs="Arial"/>
                <w:sz w:val="20"/>
                <w:szCs w:val="20"/>
                <w:u w:val="double"/>
              </w:rPr>
            </w:pPr>
            <w:r w:rsidRPr="007B4999">
              <w:rPr>
                <w:rFonts w:ascii="SWISS" w:hAnsi="SWISS" w:cs="Arial"/>
                <w:sz w:val="20"/>
                <w:szCs w:val="20"/>
                <w:u w:val="double"/>
              </w:rPr>
              <w:t>9.33%</w:t>
            </w:r>
          </w:p>
        </w:tc>
      </w:tr>
      <w:tr w:rsidR="00445218" w:rsidRPr="007B4999" w:rsidTr="00636751">
        <w:trPr>
          <w:gridAfter w:val="1"/>
          <w:wAfter w:w="1219" w:type="dxa"/>
          <w:trHeight w:val="300"/>
        </w:trPr>
        <w:tc>
          <w:tcPr>
            <w:tcW w:w="509" w:type="dxa"/>
            <w:gridSpan w:val="2"/>
            <w:tcBorders>
              <w:top w:val="nil"/>
              <w:left w:val="single" w:sz="8" w:space="0" w:color="auto"/>
              <w:bottom w:val="single" w:sz="4" w:space="0" w:color="auto"/>
              <w:right w:val="nil"/>
            </w:tcBorders>
            <w:shd w:val="clear" w:color="auto" w:fill="auto"/>
            <w:noWrap/>
            <w:vAlign w:val="bottom"/>
            <w:hideMark/>
          </w:tcPr>
          <w:p w:rsidR="00445218" w:rsidRPr="007B4999" w:rsidRDefault="00445218" w:rsidP="00445218">
            <w:pPr>
              <w:jc w:val="center"/>
              <w:rPr>
                <w:rFonts w:ascii="SWISS" w:hAnsi="SWISS" w:cs="Arial"/>
                <w:sz w:val="20"/>
                <w:szCs w:val="20"/>
              </w:rPr>
            </w:pPr>
            <w:r w:rsidRPr="007B4999">
              <w:rPr>
                <w:rFonts w:ascii="SWISS" w:hAnsi="SWISS" w:cs="Arial"/>
                <w:sz w:val="20"/>
                <w:szCs w:val="20"/>
              </w:rPr>
              <w:t> </w:t>
            </w:r>
          </w:p>
        </w:tc>
        <w:tc>
          <w:tcPr>
            <w:tcW w:w="3482" w:type="dxa"/>
            <w:gridSpan w:val="3"/>
            <w:tcBorders>
              <w:top w:val="nil"/>
              <w:left w:val="nil"/>
              <w:bottom w:val="single" w:sz="4" w:space="0" w:color="auto"/>
              <w:right w:val="nil"/>
            </w:tcBorders>
            <w:shd w:val="clear" w:color="auto" w:fill="auto"/>
            <w:noWrap/>
            <w:vAlign w:val="bottom"/>
            <w:hideMark/>
          </w:tcPr>
          <w:p w:rsidR="00445218" w:rsidRPr="007B4999" w:rsidRDefault="00445218" w:rsidP="00445218">
            <w:pPr>
              <w:rPr>
                <w:rFonts w:ascii="SWlSS" w:hAnsi="SWlSS" w:cs="Arial"/>
                <w:sz w:val="20"/>
                <w:szCs w:val="20"/>
              </w:rPr>
            </w:pPr>
          </w:p>
        </w:tc>
        <w:tc>
          <w:tcPr>
            <w:tcW w:w="1987" w:type="dxa"/>
            <w:gridSpan w:val="2"/>
            <w:tcBorders>
              <w:top w:val="nil"/>
              <w:left w:val="nil"/>
              <w:bottom w:val="single" w:sz="4" w:space="0" w:color="auto"/>
              <w:right w:val="nil"/>
            </w:tcBorders>
            <w:shd w:val="clear" w:color="auto" w:fill="auto"/>
            <w:noWrap/>
            <w:vAlign w:val="bottom"/>
            <w:hideMark/>
          </w:tcPr>
          <w:p w:rsidR="00445218" w:rsidRPr="007B4999" w:rsidRDefault="00445218" w:rsidP="00445218">
            <w:pPr>
              <w:rPr>
                <w:rFonts w:ascii="SWlSS" w:hAnsi="SWlSS" w:cs="Arial"/>
                <w:sz w:val="20"/>
                <w:szCs w:val="20"/>
              </w:rPr>
            </w:pPr>
          </w:p>
        </w:tc>
        <w:tc>
          <w:tcPr>
            <w:tcW w:w="2042" w:type="dxa"/>
            <w:gridSpan w:val="3"/>
            <w:tcBorders>
              <w:top w:val="nil"/>
              <w:left w:val="nil"/>
              <w:bottom w:val="single" w:sz="4" w:space="0" w:color="auto"/>
              <w:right w:val="nil"/>
            </w:tcBorders>
            <w:shd w:val="clear" w:color="auto" w:fill="auto"/>
            <w:noWrap/>
            <w:vAlign w:val="bottom"/>
            <w:hideMark/>
          </w:tcPr>
          <w:p w:rsidR="00445218" w:rsidRPr="007B4999" w:rsidRDefault="00445218" w:rsidP="00445218">
            <w:pPr>
              <w:rPr>
                <w:rFonts w:ascii="SWlSS" w:hAnsi="SWlSS" w:cs="Arial"/>
                <w:sz w:val="20"/>
                <w:szCs w:val="20"/>
              </w:rPr>
            </w:pPr>
          </w:p>
        </w:tc>
        <w:tc>
          <w:tcPr>
            <w:tcW w:w="1553" w:type="dxa"/>
            <w:gridSpan w:val="2"/>
            <w:tcBorders>
              <w:top w:val="nil"/>
              <w:left w:val="nil"/>
              <w:bottom w:val="single" w:sz="4" w:space="0" w:color="auto"/>
              <w:right w:val="nil"/>
            </w:tcBorders>
            <w:shd w:val="clear" w:color="auto" w:fill="auto"/>
            <w:noWrap/>
            <w:vAlign w:val="bottom"/>
            <w:hideMark/>
          </w:tcPr>
          <w:p w:rsidR="00445218" w:rsidRPr="007B4999" w:rsidRDefault="00445218" w:rsidP="00445218">
            <w:pPr>
              <w:rPr>
                <w:rFonts w:ascii="SWlSS" w:hAnsi="SWlSS" w:cs="Arial"/>
                <w:sz w:val="20"/>
                <w:szCs w:val="20"/>
              </w:rPr>
            </w:pPr>
          </w:p>
        </w:tc>
        <w:tc>
          <w:tcPr>
            <w:tcW w:w="1350" w:type="dxa"/>
            <w:gridSpan w:val="2"/>
            <w:tcBorders>
              <w:top w:val="nil"/>
              <w:left w:val="nil"/>
              <w:bottom w:val="single" w:sz="4" w:space="0" w:color="auto"/>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150" w:type="dxa"/>
            <w:gridSpan w:val="3"/>
            <w:tcBorders>
              <w:top w:val="nil"/>
              <w:left w:val="nil"/>
              <w:bottom w:val="single" w:sz="4" w:space="0" w:color="auto"/>
              <w:right w:val="single" w:sz="8" w:space="0" w:color="auto"/>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r>
    </w:tbl>
    <w:p w:rsidR="00445218" w:rsidRDefault="00445218" w:rsidP="00B22AD8">
      <w:pPr>
        <w:spacing w:after="240"/>
        <w:jc w:val="both"/>
        <w:sectPr w:rsidR="00445218" w:rsidSect="00445218">
          <w:headerReference w:type="default" r:id="rId14"/>
          <w:headerReference w:type="first" r:id="rId15"/>
          <w:pgSz w:w="15840" w:h="12240" w:orient="landscape" w:code="1"/>
          <w:pgMar w:top="1440" w:right="1440" w:bottom="1440" w:left="1440" w:header="720" w:footer="720" w:gutter="0"/>
          <w:cols w:space="720"/>
          <w:titlePg/>
          <w:docGrid w:linePitch="360"/>
        </w:sectPr>
      </w:pPr>
    </w:p>
    <w:tbl>
      <w:tblPr>
        <w:tblW w:w="12236" w:type="dxa"/>
        <w:jc w:val="center"/>
        <w:tblInd w:w="-122" w:type="dxa"/>
        <w:tblLook w:val="04A0" w:firstRow="1" w:lastRow="0" w:firstColumn="1" w:lastColumn="0" w:noHBand="0" w:noVBand="1"/>
      </w:tblPr>
      <w:tblGrid>
        <w:gridCol w:w="485"/>
        <w:gridCol w:w="3460"/>
        <w:gridCol w:w="1633"/>
        <w:gridCol w:w="1722"/>
        <w:gridCol w:w="1572"/>
        <w:gridCol w:w="1258"/>
        <w:gridCol w:w="2160"/>
      </w:tblGrid>
      <w:tr w:rsidR="00445218" w:rsidRPr="007B4999" w:rsidTr="00445218">
        <w:trPr>
          <w:trHeight w:val="300"/>
          <w:jc w:val="center"/>
        </w:trPr>
        <w:tc>
          <w:tcPr>
            <w:tcW w:w="485" w:type="dxa"/>
            <w:tcBorders>
              <w:top w:val="single" w:sz="8" w:space="0" w:color="auto"/>
              <w:left w:val="single" w:sz="8" w:space="0" w:color="auto"/>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bookmarkStart w:id="14" w:name="RANGE!I16:O43"/>
            <w:r w:rsidRPr="007B4999">
              <w:rPr>
                <w:rFonts w:ascii="SWISS" w:hAnsi="SWISS" w:cs="Arial"/>
                <w:color w:val="000000"/>
                <w:sz w:val="20"/>
                <w:szCs w:val="20"/>
              </w:rPr>
              <w:lastRenderedPageBreak/>
              <w:t> </w:t>
            </w:r>
            <w:bookmarkEnd w:id="14"/>
          </w:p>
        </w:tc>
        <w:tc>
          <w:tcPr>
            <w:tcW w:w="5093" w:type="dxa"/>
            <w:gridSpan w:val="2"/>
            <w:tcBorders>
              <w:top w:val="single" w:sz="8" w:space="0" w:color="auto"/>
              <w:left w:val="nil"/>
              <w:bottom w:val="nil"/>
              <w:right w:val="nil"/>
            </w:tcBorders>
            <w:shd w:val="clear" w:color="auto" w:fill="auto"/>
            <w:noWrap/>
            <w:vAlign w:val="bottom"/>
            <w:hideMark/>
          </w:tcPr>
          <w:p w:rsidR="00445218" w:rsidRPr="007B4999" w:rsidRDefault="00445218" w:rsidP="00445218">
            <w:pPr>
              <w:rPr>
                <w:rFonts w:ascii="SWISS" w:hAnsi="SWISS" w:cs="Arial"/>
                <w:b/>
                <w:bCs/>
                <w:color w:val="000000"/>
                <w:sz w:val="20"/>
                <w:szCs w:val="20"/>
              </w:rPr>
            </w:pPr>
            <w:r w:rsidRPr="007B4999">
              <w:rPr>
                <w:rFonts w:ascii="SWISS" w:hAnsi="SWISS" w:cs="Arial"/>
                <w:b/>
                <w:bCs/>
                <w:color w:val="000000"/>
                <w:sz w:val="20"/>
                <w:szCs w:val="20"/>
              </w:rPr>
              <w:t>FIMC HIDEAWAY, INC.</w:t>
            </w:r>
          </w:p>
        </w:tc>
        <w:tc>
          <w:tcPr>
            <w:tcW w:w="1722" w:type="dxa"/>
            <w:tcBorders>
              <w:top w:val="single" w:sz="8" w:space="0" w:color="auto"/>
              <w:left w:val="nil"/>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w:t>
            </w:r>
          </w:p>
        </w:tc>
        <w:tc>
          <w:tcPr>
            <w:tcW w:w="4936" w:type="dxa"/>
            <w:gridSpan w:val="3"/>
            <w:tcBorders>
              <w:top w:val="single" w:sz="8" w:space="0" w:color="auto"/>
              <w:left w:val="nil"/>
              <w:bottom w:val="nil"/>
              <w:right w:val="single" w:sz="8" w:space="0" w:color="000000"/>
            </w:tcBorders>
            <w:shd w:val="clear" w:color="auto" w:fill="auto"/>
            <w:noWrap/>
            <w:vAlign w:val="bottom"/>
            <w:hideMark/>
          </w:tcPr>
          <w:p w:rsidR="00445218" w:rsidRPr="007B4999" w:rsidRDefault="00445218" w:rsidP="00445218">
            <w:pPr>
              <w:jc w:val="right"/>
              <w:rPr>
                <w:rFonts w:ascii="SWISS" w:hAnsi="SWISS" w:cs="Arial"/>
                <w:b/>
                <w:bCs/>
                <w:color w:val="000000"/>
                <w:sz w:val="20"/>
                <w:szCs w:val="20"/>
              </w:rPr>
            </w:pPr>
            <w:r w:rsidRPr="007B4999">
              <w:rPr>
                <w:rFonts w:ascii="SWISS" w:hAnsi="SWISS" w:cs="Arial"/>
                <w:b/>
                <w:bCs/>
                <w:color w:val="000000"/>
                <w:sz w:val="20"/>
                <w:szCs w:val="20"/>
              </w:rPr>
              <w:t>SCHEDULE NO. 3-B</w:t>
            </w:r>
          </w:p>
        </w:tc>
      </w:tr>
      <w:tr w:rsidR="00445218" w:rsidRPr="007B4999" w:rsidTr="00445218">
        <w:trPr>
          <w:trHeight w:val="300"/>
          <w:jc w:val="center"/>
        </w:trPr>
        <w:tc>
          <w:tcPr>
            <w:tcW w:w="485" w:type="dxa"/>
            <w:tcBorders>
              <w:top w:val="nil"/>
              <w:left w:val="single" w:sz="8" w:space="0" w:color="auto"/>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w:t>
            </w:r>
          </w:p>
        </w:tc>
        <w:tc>
          <w:tcPr>
            <w:tcW w:w="6815" w:type="dxa"/>
            <w:gridSpan w:val="3"/>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b/>
                <w:bCs/>
                <w:color w:val="000000"/>
                <w:sz w:val="20"/>
                <w:szCs w:val="20"/>
              </w:rPr>
            </w:pPr>
            <w:r>
              <w:rPr>
                <w:rFonts w:ascii="SWISS" w:hAnsi="SWISS" w:cs="Arial"/>
                <w:b/>
                <w:bCs/>
                <w:color w:val="000000"/>
                <w:sz w:val="20"/>
                <w:szCs w:val="20"/>
              </w:rPr>
              <w:t>TEST YEAR ENDED June 30, 2017</w:t>
            </w:r>
          </w:p>
        </w:tc>
        <w:tc>
          <w:tcPr>
            <w:tcW w:w="4936" w:type="dxa"/>
            <w:gridSpan w:val="3"/>
            <w:tcBorders>
              <w:top w:val="nil"/>
              <w:left w:val="nil"/>
              <w:bottom w:val="nil"/>
              <w:right w:val="single" w:sz="8" w:space="0" w:color="000000"/>
            </w:tcBorders>
            <w:shd w:val="clear" w:color="auto" w:fill="auto"/>
            <w:noWrap/>
            <w:vAlign w:val="bottom"/>
            <w:hideMark/>
          </w:tcPr>
          <w:p w:rsidR="00445218" w:rsidRPr="007B4999" w:rsidRDefault="00445218" w:rsidP="00445218">
            <w:pPr>
              <w:jc w:val="right"/>
              <w:rPr>
                <w:rFonts w:ascii="SWISS" w:hAnsi="SWISS" w:cs="Arial"/>
                <w:color w:val="000000"/>
                <w:sz w:val="20"/>
                <w:szCs w:val="20"/>
              </w:rPr>
            </w:pPr>
            <w:r w:rsidRPr="007B4999">
              <w:rPr>
                <w:rFonts w:ascii="SWISS" w:hAnsi="SWISS" w:cs="Arial"/>
                <w:b/>
                <w:color w:val="000000"/>
                <w:sz w:val="20"/>
                <w:szCs w:val="20"/>
              </w:rPr>
              <w:t>DOCKET NO. 20170147-WS</w:t>
            </w:r>
          </w:p>
        </w:tc>
      </w:tr>
      <w:tr w:rsidR="00445218" w:rsidRPr="007B4999" w:rsidTr="00445218">
        <w:trPr>
          <w:trHeight w:val="312"/>
          <w:jc w:val="center"/>
        </w:trPr>
        <w:tc>
          <w:tcPr>
            <w:tcW w:w="485" w:type="dxa"/>
            <w:tcBorders>
              <w:top w:val="nil"/>
              <w:left w:val="single" w:sz="8" w:space="0" w:color="auto"/>
              <w:bottom w:val="single" w:sz="8" w:space="0" w:color="auto"/>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w:t>
            </w:r>
          </w:p>
        </w:tc>
        <w:tc>
          <w:tcPr>
            <w:tcW w:w="8333" w:type="dxa"/>
            <w:gridSpan w:val="4"/>
            <w:tcBorders>
              <w:top w:val="nil"/>
              <w:left w:val="nil"/>
              <w:bottom w:val="single" w:sz="8" w:space="0" w:color="auto"/>
              <w:right w:val="nil"/>
            </w:tcBorders>
            <w:shd w:val="clear" w:color="auto" w:fill="auto"/>
            <w:noWrap/>
            <w:vAlign w:val="bottom"/>
            <w:hideMark/>
          </w:tcPr>
          <w:p w:rsidR="00445218" w:rsidRPr="007B4999" w:rsidRDefault="00445218" w:rsidP="00445218">
            <w:pPr>
              <w:rPr>
                <w:rFonts w:ascii="SWISS" w:hAnsi="SWISS" w:cs="Arial"/>
                <w:b/>
                <w:bCs/>
                <w:color w:val="000000"/>
                <w:sz w:val="20"/>
                <w:szCs w:val="20"/>
              </w:rPr>
            </w:pPr>
            <w:r w:rsidRPr="007B4999">
              <w:rPr>
                <w:rFonts w:ascii="SWISS" w:hAnsi="SWISS" w:cs="Arial"/>
                <w:b/>
                <w:bCs/>
                <w:color w:val="000000"/>
                <w:sz w:val="20"/>
                <w:szCs w:val="20"/>
              </w:rPr>
              <w:t>SCHEDULE OF</w:t>
            </w:r>
            <w:r>
              <w:rPr>
                <w:rFonts w:ascii="SWISS" w:hAnsi="SWISS" w:cs="Arial"/>
                <w:b/>
                <w:bCs/>
                <w:color w:val="000000"/>
                <w:sz w:val="20"/>
                <w:szCs w:val="20"/>
              </w:rPr>
              <w:t xml:space="preserve"> </w:t>
            </w:r>
            <w:r w:rsidRPr="007B4999">
              <w:rPr>
                <w:rFonts w:ascii="SWISS" w:hAnsi="SWISS" w:cs="Arial"/>
                <w:b/>
                <w:bCs/>
                <w:color w:val="000000"/>
                <w:sz w:val="20"/>
                <w:szCs w:val="20"/>
              </w:rPr>
              <w:t>COMBINED WASTEWATER OPERATING INCOME</w:t>
            </w:r>
          </w:p>
        </w:tc>
        <w:tc>
          <w:tcPr>
            <w:tcW w:w="1258" w:type="dxa"/>
            <w:tcBorders>
              <w:top w:val="nil"/>
              <w:left w:val="nil"/>
              <w:bottom w:val="single" w:sz="8" w:space="0" w:color="auto"/>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w:t>
            </w:r>
          </w:p>
        </w:tc>
        <w:tc>
          <w:tcPr>
            <w:tcW w:w="2160" w:type="dxa"/>
            <w:tcBorders>
              <w:top w:val="nil"/>
              <w:left w:val="nil"/>
              <w:bottom w:val="single" w:sz="8" w:space="0" w:color="auto"/>
              <w:right w:val="single" w:sz="8" w:space="0" w:color="auto"/>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w:t>
            </w:r>
          </w:p>
        </w:tc>
      </w:tr>
      <w:tr w:rsidR="00445218" w:rsidRPr="007B4999" w:rsidTr="00445218">
        <w:trPr>
          <w:trHeight w:val="300"/>
          <w:jc w:val="center"/>
        </w:trPr>
        <w:tc>
          <w:tcPr>
            <w:tcW w:w="485" w:type="dxa"/>
            <w:tcBorders>
              <w:top w:val="nil"/>
              <w:left w:val="single" w:sz="8" w:space="0" w:color="auto"/>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w:t>
            </w:r>
          </w:p>
        </w:tc>
        <w:tc>
          <w:tcPr>
            <w:tcW w:w="1633"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b/>
                <w:bCs/>
                <w:color w:val="000000"/>
                <w:sz w:val="20"/>
                <w:szCs w:val="20"/>
              </w:rPr>
            </w:pPr>
            <w:r w:rsidRPr="007B4999">
              <w:rPr>
                <w:rFonts w:ascii="SWISS" w:hAnsi="SWISS" w:cs="Arial"/>
                <w:b/>
                <w:bCs/>
                <w:color w:val="000000"/>
                <w:sz w:val="20"/>
                <w:szCs w:val="20"/>
              </w:rPr>
              <w:t> </w:t>
            </w:r>
          </w:p>
        </w:tc>
        <w:tc>
          <w:tcPr>
            <w:tcW w:w="1722" w:type="dxa"/>
            <w:tcBorders>
              <w:top w:val="nil"/>
              <w:left w:val="nil"/>
              <w:bottom w:val="nil"/>
              <w:right w:val="nil"/>
            </w:tcBorders>
            <w:shd w:val="clear" w:color="auto" w:fill="auto"/>
            <w:noWrap/>
            <w:vAlign w:val="bottom"/>
            <w:hideMark/>
          </w:tcPr>
          <w:p w:rsidR="00445218" w:rsidRPr="007B4999" w:rsidRDefault="00445218" w:rsidP="00445218">
            <w:pPr>
              <w:jc w:val="center"/>
              <w:rPr>
                <w:rFonts w:ascii="SWISS" w:hAnsi="SWISS" w:cs="Arial"/>
                <w:b/>
                <w:bCs/>
                <w:color w:val="000000"/>
                <w:sz w:val="20"/>
                <w:szCs w:val="20"/>
              </w:rPr>
            </w:pPr>
            <w:r w:rsidRPr="007B4999">
              <w:rPr>
                <w:rFonts w:ascii="SWISS" w:hAnsi="SWISS" w:cs="Arial"/>
                <w:b/>
                <w:bCs/>
                <w:color w:val="000000"/>
                <w:sz w:val="20"/>
                <w:szCs w:val="20"/>
              </w:rPr>
              <w:t> </w:t>
            </w:r>
          </w:p>
        </w:tc>
        <w:tc>
          <w:tcPr>
            <w:tcW w:w="1518" w:type="dxa"/>
            <w:tcBorders>
              <w:top w:val="nil"/>
              <w:left w:val="nil"/>
              <w:bottom w:val="nil"/>
              <w:right w:val="nil"/>
            </w:tcBorders>
            <w:shd w:val="clear" w:color="auto" w:fill="auto"/>
            <w:noWrap/>
            <w:vAlign w:val="bottom"/>
            <w:hideMark/>
          </w:tcPr>
          <w:p w:rsidR="00445218" w:rsidRPr="007B4999" w:rsidRDefault="00636751" w:rsidP="00445218">
            <w:pPr>
              <w:jc w:val="center"/>
              <w:rPr>
                <w:rFonts w:ascii="SWISS" w:hAnsi="SWISS" w:cs="Arial"/>
                <w:b/>
                <w:bCs/>
                <w:color w:val="000000"/>
                <w:sz w:val="20"/>
                <w:szCs w:val="20"/>
              </w:rPr>
            </w:pPr>
            <w:r>
              <w:rPr>
                <w:rFonts w:ascii="SWISS" w:hAnsi="SWISS" w:cs="Arial"/>
                <w:b/>
                <w:bCs/>
                <w:color w:val="000000"/>
                <w:sz w:val="20"/>
                <w:szCs w:val="20"/>
              </w:rPr>
              <w:t>COMMISSION</w:t>
            </w:r>
          </w:p>
        </w:tc>
        <w:tc>
          <w:tcPr>
            <w:tcW w:w="1258" w:type="dxa"/>
            <w:tcBorders>
              <w:top w:val="nil"/>
              <w:left w:val="nil"/>
              <w:bottom w:val="nil"/>
              <w:right w:val="nil"/>
            </w:tcBorders>
            <w:shd w:val="clear" w:color="auto" w:fill="auto"/>
            <w:noWrap/>
            <w:vAlign w:val="bottom"/>
            <w:hideMark/>
          </w:tcPr>
          <w:p w:rsidR="00445218" w:rsidRPr="007B4999" w:rsidRDefault="00445218" w:rsidP="00445218">
            <w:pPr>
              <w:jc w:val="center"/>
              <w:rPr>
                <w:rFonts w:ascii="SWISS" w:hAnsi="SWISS" w:cs="Arial"/>
                <w:b/>
                <w:bCs/>
                <w:color w:val="000000"/>
                <w:sz w:val="20"/>
                <w:szCs w:val="20"/>
              </w:rPr>
            </w:pPr>
            <w:r w:rsidRPr="007B4999">
              <w:rPr>
                <w:rFonts w:ascii="SWISS" w:hAnsi="SWISS" w:cs="Arial"/>
                <w:b/>
                <w:bCs/>
                <w:color w:val="000000"/>
                <w:sz w:val="20"/>
                <w:szCs w:val="20"/>
              </w:rPr>
              <w:t>ADJUST.</w:t>
            </w:r>
          </w:p>
        </w:tc>
        <w:tc>
          <w:tcPr>
            <w:tcW w:w="2160" w:type="dxa"/>
            <w:tcBorders>
              <w:top w:val="nil"/>
              <w:left w:val="nil"/>
              <w:bottom w:val="nil"/>
              <w:right w:val="single" w:sz="8" w:space="0" w:color="auto"/>
            </w:tcBorders>
            <w:shd w:val="clear" w:color="auto" w:fill="auto"/>
            <w:noWrap/>
            <w:vAlign w:val="bottom"/>
            <w:hideMark/>
          </w:tcPr>
          <w:p w:rsidR="00445218" w:rsidRPr="007B4999" w:rsidRDefault="00445218" w:rsidP="00445218">
            <w:pPr>
              <w:rPr>
                <w:rFonts w:ascii="SWISS" w:hAnsi="SWISS" w:cs="Arial"/>
                <w:b/>
                <w:bCs/>
                <w:color w:val="000000"/>
                <w:sz w:val="20"/>
                <w:szCs w:val="20"/>
              </w:rPr>
            </w:pPr>
            <w:r w:rsidRPr="007B4999">
              <w:rPr>
                <w:rFonts w:ascii="SWISS" w:hAnsi="SWISS" w:cs="Arial"/>
                <w:b/>
                <w:bCs/>
                <w:color w:val="000000"/>
                <w:sz w:val="20"/>
                <w:szCs w:val="20"/>
              </w:rPr>
              <w:t> </w:t>
            </w:r>
          </w:p>
        </w:tc>
      </w:tr>
      <w:tr w:rsidR="00445218" w:rsidRPr="007B4999" w:rsidTr="00445218">
        <w:trPr>
          <w:trHeight w:val="189"/>
          <w:jc w:val="center"/>
        </w:trPr>
        <w:tc>
          <w:tcPr>
            <w:tcW w:w="485" w:type="dxa"/>
            <w:tcBorders>
              <w:top w:val="nil"/>
              <w:left w:val="single" w:sz="8" w:space="0" w:color="auto"/>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p>
        </w:tc>
        <w:tc>
          <w:tcPr>
            <w:tcW w:w="1633" w:type="dxa"/>
            <w:tcBorders>
              <w:top w:val="nil"/>
              <w:left w:val="nil"/>
              <w:bottom w:val="nil"/>
              <w:right w:val="nil"/>
            </w:tcBorders>
            <w:shd w:val="clear" w:color="auto" w:fill="auto"/>
            <w:noWrap/>
            <w:vAlign w:val="bottom"/>
            <w:hideMark/>
          </w:tcPr>
          <w:p w:rsidR="00445218" w:rsidRPr="007B4999" w:rsidRDefault="00445218" w:rsidP="00445218">
            <w:pPr>
              <w:jc w:val="center"/>
              <w:rPr>
                <w:rFonts w:ascii="SWISS" w:hAnsi="SWISS" w:cs="Arial"/>
                <w:b/>
                <w:bCs/>
                <w:color w:val="000000"/>
                <w:sz w:val="20"/>
                <w:szCs w:val="20"/>
              </w:rPr>
            </w:pPr>
            <w:r w:rsidRPr="007B4999">
              <w:rPr>
                <w:rFonts w:ascii="SWISS" w:hAnsi="SWISS" w:cs="Arial"/>
                <w:b/>
                <w:bCs/>
                <w:color w:val="000000"/>
                <w:sz w:val="20"/>
                <w:szCs w:val="20"/>
              </w:rPr>
              <w:t>TEST YEAR</w:t>
            </w:r>
          </w:p>
        </w:tc>
        <w:tc>
          <w:tcPr>
            <w:tcW w:w="1722" w:type="dxa"/>
            <w:tcBorders>
              <w:top w:val="nil"/>
              <w:left w:val="nil"/>
              <w:bottom w:val="nil"/>
              <w:right w:val="nil"/>
            </w:tcBorders>
            <w:shd w:val="clear" w:color="auto" w:fill="auto"/>
            <w:noWrap/>
            <w:vAlign w:val="bottom"/>
            <w:hideMark/>
          </w:tcPr>
          <w:p w:rsidR="00445218" w:rsidRPr="007B4999" w:rsidRDefault="00636751" w:rsidP="00445218">
            <w:pPr>
              <w:jc w:val="center"/>
              <w:rPr>
                <w:rFonts w:ascii="SWISS" w:hAnsi="SWISS" w:cs="Arial"/>
                <w:b/>
                <w:bCs/>
                <w:color w:val="000000"/>
                <w:sz w:val="20"/>
                <w:szCs w:val="20"/>
              </w:rPr>
            </w:pPr>
            <w:r>
              <w:rPr>
                <w:rFonts w:ascii="SWISS" w:hAnsi="SWISS" w:cs="Arial"/>
                <w:b/>
                <w:bCs/>
                <w:color w:val="000000"/>
                <w:sz w:val="20"/>
                <w:szCs w:val="20"/>
              </w:rPr>
              <w:t>COMMISSION</w:t>
            </w:r>
            <w:r w:rsidR="00445218" w:rsidRPr="007B4999">
              <w:rPr>
                <w:rFonts w:ascii="SWISS" w:hAnsi="SWISS" w:cs="Arial"/>
                <w:b/>
                <w:bCs/>
                <w:color w:val="000000"/>
                <w:sz w:val="20"/>
                <w:szCs w:val="20"/>
              </w:rPr>
              <w:t xml:space="preserve"> </w:t>
            </w:r>
          </w:p>
        </w:tc>
        <w:tc>
          <w:tcPr>
            <w:tcW w:w="1518" w:type="dxa"/>
            <w:tcBorders>
              <w:top w:val="nil"/>
              <w:left w:val="nil"/>
              <w:bottom w:val="nil"/>
              <w:right w:val="nil"/>
            </w:tcBorders>
            <w:shd w:val="clear" w:color="auto" w:fill="auto"/>
            <w:noWrap/>
            <w:vAlign w:val="bottom"/>
            <w:hideMark/>
          </w:tcPr>
          <w:p w:rsidR="00445218" w:rsidRPr="007B4999" w:rsidRDefault="00445218" w:rsidP="00445218">
            <w:pPr>
              <w:jc w:val="center"/>
              <w:rPr>
                <w:rFonts w:ascii="SWISS" w:hAnsi="SWISS" w:cs="Arial"/>
                <w:b/>
                <w:bCs/>
                <w:color w:val="000000"/>
                <w:sz w:val="20"/>
                <w:szCs w:val="20"/>
              </w:rPr>
            </w:pPr>
            <w:r w:rsidRPr="007B4999">
              <w:rPr>
                <w:rFonts w:ascii="SWISS" w:hAnsi="SWISS" w:cs="Arial"/>
                <w:b/>
                <w:bCs/>
                <w:color w:val="000000"/>
                <w:sz w:val="20"/>
                <w:szCs w:val="20"/>
              </w:rPr>
              <w:t>ADJUSTED</w:t>
            </w:r>
          </w:p>
        </w:tc>
        <w:tc>
          <w:tcPr>
            <w:tcW w:w="1258" w:type="dxa"/>
            <w:tcBorders>
              <w:top w:val="nil"/>
              <w:left w:val="nil"/>
              <w:bottom w:val="nil"/>
              <w:right w:val="nil"/>
            </w:tcBorders>
            <w:shd w:val="clear" w:color="auto" w:fill="auto"/>
            <w:noWrap/>
            <w:vAlign w:val="bottom"/>
            <w:hideMark/>
          </w:tcPr>
          <w:p w:rsidR="00445218" w:rsidRPr="007B4999" w:rsidRDefault="00445218" w:rsidP="00445218">
            <w:pPr>
              <w:jc w:val="center"/>
              <w:rPr>
                <w:rFonts w:ascii="SWISS" w:hAnsi="SWISS" w:cs="Arial"/>
                <w:b/>
                <w:bCs/>
                <w:color w:val="000000"/>
                <w:sz w:val="20"/>
                <w:szCs w:val="20"/>
              </w:rPr>
            </w:pPr>
            <w:r w:rsidRPr="007B4999">
              <w:rPr>
                <w:rFonts w:ascii="SWISS" w:hAnsi="SWISS" w:cs="Arial"/>
                <w:b/>
                <w:bCs/>
                <w:color w:val="000000"/>
                <w:sz w:val="20"/>
                <w:szCs w:val="20"/>
              </w:rPr>
              <w:t>FOR</w:t>
            </w:r>
          </w:p>
        </w:tc>
        <w:tc>
          <w:tcPr>
            <w:tcW w:w="2160" w:type="dxa"/>
            <w:tcBorders>
              <w:top w:val="nil"/>
              <w:left w:val="nil"/>
              <w:bottom w:val="nil"/>
              <w:right w:val="single" w:sz="8" w:space="0" w:color="auto"/>
            </w:tcBorders>
            <w:shd w:val="clear" w:color="auto" w:fill="auto"/>
            <w:noWrap/>
            <w:vAlign w:val="bottom"/>
            <w:hideMark/>
          </w:tcPr>
          <w:p w:rsidR="00445218" w:rsidRPr="007B4999" w:rsidRDefault="00445218" w:rsidP="00445218">
            <w:pPr>
              <w:jc w:val="center"/>
              <w:rPr>
                <w:rFonts w:ascii="SWISS" w:hAnsi="SWISS" w:cs="Arial"/>
                <w:b/>
                <w:bCs/>
                <w:color w:val="000000"/>
                <w:sz w:val="20"/>
                <w:szCs w:val="20"/>
              </w:rPr>
            </w:pPr>
            <w:r w:rsidRPr="007B4999">
              <w:rPr>
                <w:rFonts w:ascii="SWISS" w:hAnsi="SWISS" w:cs="Arial"/>
                <w:b/>
                <w:bCs/>
                <w:color w:val="000000"/>
                <w:sz w:val="20"/>
                <w:szCs w:val="20"/>
              </w:rPr>
              <w:t>REVENUE</w:t>
            </w:r>
          </w:p>
        </w:tc>
      </w:tr>
      <w:tr w:rsidR="00445218" w:rsidRPr="007B4999" w:rsidTr="00445218">
        <w:trPr>
          <w:trHeight w:val="312"/>
          <w:jc w:val="center"/>
        </w:trPr>
        <w:tc>
          <w:tcPr>
            <w:tcW w:w="485" w:type="dxa"/>
            <w:tcBorders>
              <w:top w:val="nil"/>
              <w:left w:val="single" w:sz="8" w:space="0" w:color="auto"/>
              <w:bottom w:val="single" w:sz="8" w:space="0" w:color="auto"/>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single" w:sz="8" w:space="0" w:color="auto"/>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w:t>
            </w:r>
          </w:p>
        </w:tc>
        <w:tc>
          <w:tcPr>
            <w:tcW w:w="1633" w:type="dxa"/>
            <w:tcBorders>
              <w:top w:val="nil"/>
              <w:left w:val="nil"/>
              <w:bottom w:val="single" w:sz="8" w:space="0" w:color="auto"/>
              <w:right w:val="nil"/>
            </w:tcBorders>
            <w:shd w:val="clear" w:color="auto" w:fill="auto"/>
            <w:noWrap/>
            <w:vAlign w:val="bottom"/>
            <w:hideMark/>
          </w:tcPr>
          <w:p w:rsidR="00445218" w:rsidRPr="007B4999" w:rsidRDefault="00445218" w:rsidP="00445218">
            <w:pPr>
              <w:jc w:val="center"/>
              <w:rPr>
                <w:rFonts w:ascii="SWISS" w:hAnsi="SWISS" w:cs="Arial"/>
                <w:b/>
                <w:bCs/>
                <w:color w:val="000000"/>
                <w:sz w:val="20"/>
                <w:szCs w:val="20"/>
              </w:rPr>
            </w:pPr>
            <w:r w:rsidRPr="007B4999">
              <w:rPr>
                <w:rFonts w:ascii="SWISS" w:hAnsi="SWISS" w:cs="Arial"/>
                <w:b/>
                <w:bCs/>
                <w:color w:val="000000"/>
                <w:sz w:val="20"/>
                <w:szCs w:val="20"/>
              </w:rPr>
              <w:t>PER UTILITY</w:t>
            </w:r>
          </w:p>
        </w:tc>
        <w:tc>
          <w:tcPr>
            <w:tcW w:w="1722" w:type="dxa"/>
            <w:tcBorders>
              <w:top w:val="nil"/>
              <w:left w:val="nil"/>
              <w:bottom w:val="single" w:sz="8" w:space="0" w:color="auto"/>
              <w:right w:val="nil"/>
            </w:tcBorders>
            <w:shd w:val="clear" w:color="auto" w:fill="auto"/>
            <w:noWrap/>
            <w:vAlign w:val="bottom"/>
            <w:hideMark/>
          </w:tcPr>
          <w:p w:rsidR="00445218" w:rsidRPr="007B4999" w:rsidRDefault="00445218" w:rsidP="00445218">
            <w:pPr>
              <w:jc w:val="center"/>
              <w:rPr>
                <w:rFonts w:ascii="SWISS" w:hAnsi="SWISS" w:cs="Arial"/>
                <w:b/>
                <w:bCs/>
                <w:color w:val="000000"/>
                <w:sz w:val="20"/>
                <w:szCs w:val="20"/>
              </w:rPr>
            </w:pPr>
            <w:r w:rsidRPr="007B4999">
              <w:rPr>
                <w:rFonts w:ascii="SWISS" w:hAnsi="SWISS" w:cs="Arial"/>
                <w:b/>
                <w:bCs/>
                <w:color w:val="000000"/>
                <w:sz w:val="20"/>
                <w:szCs w:val="20"/>
              </w:rPr>
              <w:t>ADJUSTMENTS</w:t>
            </w:r>
          </w:p>
        </w:tc>
        <w:tc>
          <w:tcPr>
            <w:tcW w:w="1518" w:type="dxa"/>
            <w:tcBorders>
              <w:top w:val="nil"/>
              <w:left w:val="nil"/>
              <w:bottom w:val="single" w:sz="8" w:space="0" w:color="auto"/>
              <w:right w:val="nil"/>
            </w:tcBorders>
            <w:shd w:val="clear" w:color="auto" w:fill="auto"/>
            <w:noWrap/>
            <w:vAlign w:val="bottom"/>
            <w:hideMark/>
          </w:tcPr>
          <w:p w:rsidR="00445218" w:rsidRPr="007B4999" w:rsidRDefault="00445218" w:rsidP="00445218">
            <w:pPr>
              <w:jc w:val="center"/>
              <w:rPr>
                <w:rFonts w:ascii="SWISS" w:hAnsi="SWISS" w:cs="Arial"/>
                <w:b/>
                <w:bCs/>
                <w:color w:val="000000"/>
                <w:sz w:val="20"/>
                <w:szCs w:val="20"/>
              </w:rPr>
            </w:pPr>
            <w:r w:rsidRPr="007B4999">
              <w:rPr>
                <w:rFonts w:ascii="SWISS" w:hAnsi="SWISS" w:cs="Arial"/>
                <w:b/>
                <w:bCs/>
                <w:color w:val="000000"/>
                <w:sz w:val="20"/>
                <w:szCs w:val="20"/>
              </w:rPr>
              <w:t>TEST YEAR</w:t>
            </w:r>
          </w:p>
        </w:tc>
        <w:tc>
          <w:tcPr>
            <w:tcW w:w="1258" w:type="dxa"/>
            <w:tcBorders>
              <w:top w:val="nil"/>
              <w:left w:val="nil"/>
              <w:bottom w:val="single" w:sz="8" w:space="0" w:color="auto"/>
              <w:right w:val="nil"/>
            </w:tcBorders>
            <w:shd w:val="clear" w:color="auto" w:fill="auto"/>
            <w:noWrap/>
            <w:vAlign w:val="bottom"/>
            <w:hideMark/>
          </w:tcPr>
          <w:p w:rsidR="00445218" w:rsidRPr="007B4999" w:rsidRDefault="00445218" w:rsidP="00445218">
            <w:pPr>
              <w:jc w:val="center"/>
              <w:rPr>
                <w:rFonts w:ascii="SWISS" w:hAnsi="SWISS" w:cs="Arial"/>
                <w:b/>
                <w:bCs/>
                <w:color w:val="000000"/>
                <w:sz w:val="20"/>
                <w:szCs w:val="20"/>
              </w:rPr>
            </w:pPr>
            <w:r w:rsidRPr="007B4999">
              <w:rPr>
                <w:rFonts w:ascii="SWISS" w:hAnsi="SWISS" w:cs="Arial"/>
                <w:b/>
                <w:bCs/>
                <w:color w:val="000000"/>
                <w:sz w:val="20"/>
                <w:szCs w:val="20"/>
              </w:rPr>
              <w:t>INCREASE</w:t>
            </w:r>
          </w:p>
        </w:tc>
        <w:tc>
          <w:tcPr>
            <w:tcW w:w="2160" w:type="dxa"/>
            <w:tcBorders>
              <w:top w:val="nil"/>
              <w:left w:val="nil"/>
              <w:bottom w:val="single" w:sz="8" w:space="0" w:color="auto"/>
              <w:right w:val="single" w:sz="8" w:space="0" w:color="auto"/>
            </w:tcBorders>
            <w:shd w:val="clear" w:color="auto" w:fill="auto"/>
            <w:noWrap/>
            <w:vAlign w:val="bottom"/>
            <w:hideMark/>
          </w:tcPr>
          <w:p w:rsidR="00445218" w:rsidRPr="007B4999" w:rsidRDefault="00445218" w:rsidP="00445218">
            <w:pPr>
              <w:jc w:val="center"/>
              <w:rPr>
                <w:rFonts w:ascii="SWISS" w:hAnsi="SWISS" w:cs="Arial"/>
                <w:b/>
                <w:bCs/>
                <w:color w:val="000000"/>
                <w:sz w:val="20"/>
                <w:szCs w:val="20"/>
              </w:rPr>
            </w:pPr>
            <w:r w:rsidRPr="007B4999">
              <w:rPr>
                <w:rFonts w:ascii="SWISS" w:hAnsi="SWISS" w:cs="Arial"/>
                <w:b/>
                <w:bCs/>
                <w:color w:val="000000"/>
                <w:sz w:val="20"/>
                <w:szCs w:val="20"/>
              </w:rPr>
              <w:t>REQUIREMENT</w:t>
            </w:r>
          </w:p>
        </w:tc>
      </w:tr>
      <w:tr w:rsidR="00445218" w:rsidRPr="007B4999" w:rsidTr="00445218">
        <w:trPr>
          <w:trHeight w:val="300"/>
          <w:jc w:val="center"/>
        </w:trPr>
        <w:tc>
          <w:tcPr>
            <w:tcW w:w="485" w:type="dxa"/>
            <w:tcBorders>
              <w:top w:val="nil"/>
              <w:left w:val="single" w:sz="8" w:space="0" w:color="auto"/>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w:t>
            </w:r>
          </w:p>
        </w:tc>
        <w:tc>
          <w:tcPr>
            <w:tcW w:w="1633"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w:t>
            </w:r>
          </w:p>
        </w:tc>
        <w:tc>
          <w:tcPr>
            <w:tcW w:w="1722"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w:t>
            </w:r>
          </w:p>
        </w:tc>
        <w:tc>
          <w:tcPr>
            <w:tcW w:w="1518"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w:t>
            </w:r>
          </w:p>
        </w:tc>
        <w:tc>
          <w:tcPr>
            <w:tcW w:w="1258"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w:t>
            </w:r>
          </w:p>
        </w:tc>
        <w:tc>
          <w:tcPr>
            <w:tcW w:w="2160" w:type="dxa"/>
            <w:tcBorders>
              <w:top w:val="nil"/>
              <w:left w:val="nil"/>
              <w:bottom w:val="nil"/>
              <w:right w:val="single" w:sz="8" w:space="0" w:color="auto"/>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w:t>
            </w:r>
          </w:p>
        </w:tc>
      </w:tr>
      <w:tr w:rsidR="00445218" w:rsidRPr="007B4999" w:rsidTr="00445218">
        <w:trPr>
          <w:trHeight w:val="300"/>
          <w:jc w:val="center"/>
        </w:trPr>
        <w:tc>
          <w:tcPr>
            <w:tcW w:w="485" w:type="dxa"/>
            <w:tcBorders>
              <w:top w:val="nil"/>
              <w:left w:val="single" w:sz="8" w:space="0" w:color="auto"/>
              <w:bottom w:val="nil"/>
              <w:right w:val="nil"/>
            </w:tcBorders>
            <w:shd w:val="clear" w:color="auto" w:fill="auto"/>
            <w:noWrap/>
            <w:vAlign w:val="bottom"/>
            <w:hideMark/>
          </w:tcPr>
          <w:p w:rsidR="00445218" w:rsidRPr="007B4999" w:rsidRDefault="00445218" w:rsidP="00445218">
            <w:pPr>
              <w:jc w:val="right"/>
              <w:rPr>
                <w:rFonts w:ascii="SWISS" w:hAnsi="SWISS" w:cs="Arial"/>
                <w:color w:val="000000"/>
                <w:sz w:val="20"/>
                <w:szCs w:val="20"/>
              </w:rPr>
            </w:pPr>
            <w:r w:rsidRPr="007B4999">
              <w:rPr>
                <w:rFonts w:ascii="SWISS" w:hAnsi="SWISS" w:cs="Arial"/>
                <w:color w:val="000000"/>
                <w:sz w:val="20"/>
                <w:szCs w:val="20"/>
              </w:rPr>
              <w:t>1.</w:t>
            </w:r>
          </w:p>
        </w:tc>
        <w:tc>
          <w:tcPr>
            <w:tcW w:w="3460"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b/>
                <w:bCs/>
                <w:color w:val="000000"/>
                <w:sz w:val="20"/>
                <w:szCs w:val="20"/>
              </w:rPr>
            </w:pPr>
            <w:r w:rsidRPr="007B4999">
              <w:rPr>
                <w:rFonts w:ascii="SWISS" w:hAnsi="SWISS" w:cs="Arial"/>
                <w:b/>
                <w:bCs/>
                <w:color w:val="000000"/>
                <w:sz w:val="20"/>
                <w:szCs w:val="20"/>
              </w:rPr>
              <w:t xml:space="preserve">OPERATING REVENUES               </w:t>
            </w:r>
          </w:p>
        </w:tc>
        <w:tc>
          <w:tcPr>
            <w:tcW w:w="1633" w:type="dxa"/>
            <w:tcBorders>
              <w:top w:val="nil"/>
              <w:left w:val="nil"/>
              <w:bottom w:val="nil"/>
              <w:right w:val="nil"/>
            </w:tcBorders>
            <w:shd w:val="clear" w:color="auto" w:fill="auto"/>
            <w:noWrap/>
            <w:vAlign w:val="bottom"/>
            <w:hideMark/>
          </w:tcPr>
          <w:p w:rsidR="00445218" w:rsidRPr="00962971" w:rsidRDefault="00445218" w:rsidP="00445218">
            <w:pPr>
              <w:jc w:val="right"/>
              <w:rPr>
                <w:rFonts w:ascii="SWISS" w:hAnsi="SWISS" w:cs="Arial"/>
                <w:sz w:val="20"/>
                <w:szCs w:val="20"/>
                <w:u w:val="single"/>
              </w:rPr>
            </w:pPr>
            <w:r w:rsidRPr="00962971">
              <w:rPr>
                <w:rFonts w:ascii="SWISS" w:hAnsi="SWISS" w:cs="Arial"/>
                <w:sz w:val="20"/>
                <w:szCs w:val="20"/>
                <w:u w:val="single"/>
              </w:rPr>
              <w:t>$55,469</w:t>
            </w:r>
          </w:p>
        </w:tc>
        <w:tc>
          <w:tcPr>
            <w:tcW w:w="1722" w:type="dxa"/>
            <w:tcBorders>
              <w:top w:val="nil"/>
              <w:left w:val="nil"/>
              <w:bottom w:val="nil"/>
              <w:right w:val="nil"/>
            </w:tcBorders>
            <w:shd w:val="clear" w:color="auto" w:fill="auto"/>
            <w:noWrap/>
            <w:vAlign w:val="bottom"/>
            <w:hideMark/>
          </w:tcPr>
          <w:p w:rsidR="00445218" w:rsidRPr="00962971" w:rsidRDefault="00445218" w:rsidP="00445218">
            <w:pPr>
              <w:jc w:val="right"/>
              <w:rPr>
                <w:rFonts w:ascii="SWISS" w:hAnsi="SWISS" w:cs="Arial"/>
                <w:sz w:val="20"/>
                <w:szCs w:val="20"/>
                <w:u w:val="single"/>
              </w:rPr>
            </w:pPr>
            <w:r w:rsidRPr="00962971">
              <w:rPr>
                <w:rFonts w:ascii="SWISS" w:hAnsi="SWISS" w:cs="Arial"/>
                <w:sz w:val="20"/>
                <w:szCs w:val="20"/>
                <w:u w:val="single"/>
              </w:rPr>
              <w:t>($2,965)</w:t>
            </w:r>
          </w:p>
        </w:tc>
        <w:tc>
          <w:tcPr>
            <w:tcW w:w="1518" w:type="dxa"/>
            <w:tcBorders>
              <w:top w:val="nil"/>
              <w:left w:val="nil"/>
              <w:bottom w:val="nil"/>
              <w:right w:val="nil"/>
            </w:tcBorders>
            <w:shd w:val="clear" w:color="auto" w:fill="auto"/>
            <w:noWrap/>
            <w:vAlign w:val="bottom"/>
            <w:hideMark/>
          </w:tcPr>
          <w:p w:rsidR="00445218" w:rsidRPr="00962971" w:rsidRDefault="00445218" w:rsidP="00445218">
            <w:pPr>
              <w:jc w:val="right"/>
              <w:rPr>
                <w:rFonts w:ascii="SWISS" w:hAnsi="SWISS" w:cs="Arial"/>
                <w:sz w:val="20"/>
                <w:szCs w:val="20"/>
                <w:u w:val="single"/>
              </w:rPr>
            </w:pPr>
            <w:r w:rsidRPr="00962971">
              <w:rPr>
                <w:rFonts w:ascii="SWISS" w:hAnsi="SWISS" w:cs="Arial"/>
                <w:sz w:val="20"/>
                <w:szCs w:val="20"/>
                <w:u w:val="single"/>
              </w:rPr>
              <w:t>$52,504</w:t>
            </w:r>
          </w:p>
        </w:tc>
        <w:tc>
          <w:tcPr>
            <w:tcW w:w="1258" w:type="dxa"/>
            <w:tcBorders>
              <w:top w:val="nil"/>
              <w:left w:val="nil"/>
              <w:bottom w:val="nil"/>
              <w:right w:val="nil"/>
            </w:tcBorders>
            <w:shd w:val="clear" w:color="auto" w:fill="auto"/>
            <w:noWrap/>
            <w:vAlign w:val="bottom"/>
            <w:hideMark/>
          </w:tcPr>
          <w:p w:rsidR="00445218" w:rsidRPr="00962971" w:rsidRDefault="00B457F4" w:rsidP="00445218">
            <w:pPr>
              <w:jc w:val="right"/>
              <w:rPr>
                <w:rFonts w:ascii="SWISS" w:hAnsi="SWISS" w:cs="Arial"/>
                <w:sz w:val="20"/>
                <w:szCs w:val="20"/>
                <w:u w:val="single"/>
              </w:rPr>
            </w:pPr>
            <w:r w:rsidRPr="00B457F4">
              <w:rPr>
                <w:rFonts w:ascii="SWISS" w:hAnsi="SWISS" w:cs="Arial"/>
                <w:sz w:val="20"/>
                <w:szCs w:val="20"/>
                <w:u w:val="single"/>
              </w:rPr>
              <w:t>$4,023</w:t>
            </w:r>
          </w:p>
        </w:tc>
        <w:tc>
          <w:tcPr>
            <w:tcW w:w="2160" w:type="dxa"/>
            <w:tcBorders>
              <w:top w:val="nil"/>
              <w:left w:val="nil"/>
              <w:bottom w:val="nil"/>
              <w:right w:val="single" w:sz="8" w:space="0" w:color="auto"/>
            </w:tcBorders>
            <w:shd w:val="clear" w:color="auto" w:fill="auto"/>
            <w:noWrap/>
            <w:vAlign w:val="bottom"/>
            <w:hideMark/>
          </w:tcPr>
          <w:p w:rsidR="00445218" w:rsidRPr="007B4999" w:rsidRDefault="00B457F4" w:rsidP="00445218">
            <w:pPr>
              <w:jc w:val="right"/>
              <w:rPr>
                <w:rFonts w:ascii="SWISS" w:hAnsi="SWISS" w:cs="Arial"/>
                <w:sz w:val="20"/>
                <w:szCs w:val="20"/>
                <w:u w:val="single"/>
              </w:rPr>
            </w:pPr>
            <w:r w:rsidRPr="00B457F4">
              <w:rPr>
                <w:rFonts w:ascii="SWISS" w:hAnsi="SWISS" w:cs="Arial"/>
                <w:sz w:val="20"/>
                <w:szCs w:val="20"/>
                <w:u w:val="single"/>
              </w:rPr>
              <w:t>$56,527</w:t>
            </w:r>
          </w:p>
        </w:tc>
      </w:tr>
      <w:tr w:rsidR="00445218" w:rsidRPr="007B4999" w:rsidTr="00445218">
        <w:trPr>
          <w:trHeight w:val="300"/>
          <w:jc w:val="center"/>
        </w:trPr>
        <w:tc>
          <w:tcPr>
            <w:tcW w:w="485" w:type="dxa"/>
            <w:tcBorders>
              <w:top w:val="nil"/>
              <w:left w:val="single" w:sz="8" w:space="0" w:color="auto"/>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p>
        </w:tc>
        <w:tc>
          <w:tcPr>
            <w:tcW w:w="1633"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722"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518"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258" w:type="dxa"/>
            <w:tcBorders>
              <w:top w:val="nil"/>
              <w:left w:val="nil"/>
              <w:bottom w:val="nil"/>
              <w:right w:val="nil"/>
            </w:tcBorders>
            <w:shd w:val="clear" w:color="auto" w:fill="auto"/>
            <w:noWrap/>
            <w:vAlign w:val="bottom"/>
            <w:hideMark/>
          </w:tcPr>
          <w:p w:rsidR="00445218" w:rsidRPr="007B4999" w:rsidRDefault="00B457F4" w:rsidP="00445218">
            <w:pPr>
              <w:jc w:val="right"/>
              <w:rPr>
                <w:rFonts w:ascii="SWISS" w:hAnsi="SWISS" w:cs="Arial"/>
                <w:sz w:val="20"/>
                <w:szCs w:val="20"/>
              </w:rPr>
            </w:pPr>
            <w:r w:rsidRPr="00B457F4">
              <w:rPr>
                <w:rFonts w:ascii="SWISS" w:hAnsi="SWISS" w:cs="Arial"/>
                <w:sz w:val="20"/>
                <w:szCs w:val="20"/>
              </w:rPr>
              <w:t>7.66%</w:t>
            </w:r>
          </w:p>
        </w:tc>
        <w:tc>
          <w:tcPr>
            <w:tcW w:w="2160" w:type="dxa"/>
            <w:tcBorders>
              <w:top w:val="nil"/>
              <w:left w:val="nil"/>
              <w:bottom w:val="nil"/>
              <w:right w:val="single" w:sz="8" w:space="0" w:color="auto"/>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r>
      <w:tr w:rsidR="00445218" w:rsidRPr="007B4999" w:rsidTr="00445218">
        <w:trPr>
          <w:trHeight w:val="300"/>
          <w:jc w:val="center"/>
        </w:trPr>
        <w:tc>
          <w:tcPr>
            <w:tcW w:w="485" w:type="dxa"/>
            <w:tcBorders>
              <w:top w:val="nil"/>
              <w:left w:val="single" w:sz="8" w:space="0" w:color="auto"/>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b/>
                <w:bCs/>
                <w:color w:val="000000"/>
                <w:sz w:val="20"/>
                <w:szCs w:val="20"/>
              </w:rPr>
            </w:pPr>
            <w:r w:rsidRPr="007B4999">
              <w:rPr>
                <w:rFonts w:ascii="SWISS" w:hAnsi="SWISS" w:cs="Arial"/>
                <w:b/>
                <w:bCs/>
                <w:color w:val="000000"/>
                <w:sz w:val="20"/>
                <w:szCs w:val="20"/>
              </w:rPr>
              <w:t>OPERATING EXPENSES:</w:t>
            </w:r>
          </w:p>
        </w:tc>
        <w:tc>
          <w:tcPr>
            <w:tcW w:w="1633"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722"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518"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258"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160" w:type="dxa"/>
            <w:tcBorders>
              <w:top w:val="nil"/>
              <w:left w:val="nil"/>
              <w:bottom w:val="nil"/>
              <w:right w:val="single" w:sz="8" w:space="0" w:color="auto"/>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r>
      <w:tr w:rsidR="00445218" w:rsidRPr="007B4999" w:rsidTr="00445218">
        <w:trPr>
          <w:trHeight w:val="300"/>
          <w:jc w:val="center"/>
        </w:trPr>
        <w:tc>
          <w:tcPr>
            <w:tcW w:w="485" w:type="dxa"/>
            <w:tcBorders>
              <w:top w:val="nil"/>
              <w:left w:val="single" w:sz="8" w:space="0" w:color="auto"/>
              <w:bottom w:val="nil"/>
              <w:right w:val="nil"/>
            </w:tcBorders>
            <w:shd w:val="clear" w:color="auto" w:fill="auto"/>
            <w:noWrap/>
            <w:vAlign w:val="bottom"/>
            <w:hideMark/>
          </w:tcPr>
          <w:p w:rsidR="00445218" w:rsidRPr="007B4999" w:rsidRDefault="00445218" w:rsidP="00445218">
            <w:pPr>
              <w:jc w:val="right"/>
              <w:rPr>
                <w:rFonts w:ascii="SWISS" w:hAnsi="SWISS" w:cs="Arial"/>
                <w:color w:val="000000"/>
                <w:sz w:val="20"/>
                <w:szCs w:val="20"/>
              </w:rPr>
            </w:pPr>
            <w:r w:rsidRPr="007B4999">
              <w:rPr>
                <w:rFonts w:ascii="SWISS" w:hAnsi="SWISS" w:cs="Arial"/>
                <w:color w:val="000000"/>
                <w:sz w:val="20"/>
                <w:szCs w:val="20"/>
              </w:rPr>
              <w:t>2.</w:t>
            </w:r>
          </w:p>
        </w:tc>
        <w:tc>
          <w:tcPr>
            <w:tcW w:w="3460"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xml:space="preserve">  OPERATION &amp; MAINTENANCE</w:t>
            </w:r>
          </w:p>
        </w:tc>
        <w:tc>
          <w:tcPr>
            <w:tcW w:w="1633" w:type="dxa"/>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 xml:space="preserve">$27,558 </w:t>
            </w:r>
          </w:p>
        </w:tc>
        <w:tc>
          <w:tcPr>
            <w:tcW w:w="1722" w:type="dxa"/>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w:t>
            </w:r>
            <w:r>
              <w:rPr>
                <w:rFonts w:ascii="SWISS" w:hAnsi="SWISS" w:cs="Arial"/>
                <w:sz w:val="20"/>
                <w:szCs w:val="20"/>
              </w:rPr>
              <w:t>18,135</w:t>
            </w:r>
          </w:p>
        </w:tc>
        <w:tc>
          <w:tcPr>
            <w:tcW w:w="1518" w:type="dxa"/>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$4</w:t>
            </w:r>
            <w:r>
              <w:rPr>
                <w:rFonts w:ascii="SWISS" w:hAnsi="SWISS" w:cs="Arial"/>
                <w:sz w:val="20"/>
                <w:szCs w:val="20"/>
              </w:rPr>
              <w:t>5,693</w:t>
            </w:r>
          </w:p>
        </w:tc>
        <w:tc>
          <w:tcPr>
            <w:tcW w:w="1258" w:type="dxa"/>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 xml:space="preserve">$0 </w:t>
            </w:r>
          </w:p>
        </w:tc>
        <w:tc>
          <w:tcPr>
            <w:tcW w:w="2160" w:type="dxa"/>
            <w:tcBorders>
              <w:top w:val="nil"/>
              <w:left w:val="nil"/>
              <w:bottom w:val="nil"/>
              <w:right w:val="single" w:sz="8" w:space="0" w:color="auto"/>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$4</w:t>
            </w:r>
            <w:r>
              <w:rPr>
                <w:rFonts w:ascii="SWISS" w:hAnsi="SWISS" w:cs="Arial"/>
                <w:sz w:val="20"/>
                <w:szCs w:val="20"/>
              </w:rPr>
              <w:t>5,693</w:t>
            </w:r>
            <w:r w:rsidRPr="007B4999">
              <w:rPr>
                <w:rFonts w:ascii="SWISS" w:hAnsi="SWISS" w:cs="Arial"/>
                <w:sz w:val="20"/>
                <w:szCs w:val="20"/>
              </w:rPr>
              <w:t xml:space="preserve"> </w:t>
            </w:r>
          </w:p>
        </w:tc>
      </w:tr>
      <w:tr w:rsidR="00445218" w:rsidRPr="007B4999" w:rsidTr="00445218">
        <w:trPr>
          <w:trHeight w:val="300"/>
          <w:jc w:val="center"/>
        </w:trPr>
        <w:tc>
          <w:tcPr>
            <w:tcW w:w="485" w:type="dxa"/>
            <w:tcBorders>
              <w:top w:val="nil"/>
              <w:left w:val="single" w:sz="8" w:space="0" w:color="auto"/>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p>
        </w:tc>
        <w:tc>
          <w:tcPr>
            <w:tcW w:w="1633"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722"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518"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258"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160" w:type="dxa"/>
            <w:tcBorders>
              <w:top w:val="nil"/>
              <w:left w:val="nil"/>
              <w:bottom w:val="nil"/>
              <w:right w:val="single" w:sz="8" w:space="0" w:color="auto"/>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r>
      <w:tr w:rsidR="00445218" w:rsidRPr="007B4999" w:rsidTr="00445218">
        <w:trPr>
          <w:trHeight w:val="300"/>
          <w:jc w:val="center"/>
        </w:trPr>
        <w:tc>
          <w:tcPr>
            <w:tcW w:w="485" w:type="dxa"/>
            <w:tcBorders>
              <w:top w:val="nil"/>
              <w:left w:val="single" w:sz="8" w:space="0" w:color="auto"/>
              <w:bottom w:val="nil"/>
              <w:right w:val="nil"/>
            </w:tcBorders>
            <w:shd w:val="clear" w:color="auto" w:fill="auto"/>
            <w:noWrap/>
            <w:vAlign w:val="bottom"/>
            <w:hideMark/>
          </w:tcPr>
          <w:p w:rsidR="00445218" w:rsidRPr="007B4999" w:rsidRDefault="00445218" w:rsidP="00445218">
            <w:pPr>
              <w:jc w:val="right"/>
              <w:rPr>
                <w:rFonts w:ascii="SWISS" w:hAnsi="SWISS" w:cs="Arial"/>
                <w:color w:val="000000"/>
                <w:sz w:val="20"/>
                <w:szCs w:val="20"/>
              </w:rPr>
            </w:pPr>
            <w:r w:rsidRPr="007B4999">
              <w:rPr>
                <w:rFonts w:ascii="SWISS" w:hAnsi="SWISS" w:cs="Arial"/>
                <w:color w:val="000000"/>
                <w:sz w:val="20"/>
                <w:szCs w:val="20"/>
              </w:rPr>
              <w:t>3.</w:t>
            </w:r>
          </w:p>
        </w:tc>
        <w:tc>
          <w:tcPr>
            <w:tcW w:w="3460"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xml:space="preserve">  DEPRECIATION </w:t>
            </w:r>
          </w:p>
        </w:tc>
        <w:tc>
          <w:tcPr>
            <w:tcW w:w="1633" w:type="dxa"/>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 xml:space="preserve">0 </w:t>
            </w:r>
          </w:p>
        </w:tc>
        <w:tc>
          <w:tcPr>
            <w:tcW w:w="1722" w:type="dxa"/>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3,447</w:t>
            </w:r>
          </w:p>
        </w:tc>
        <w:tc>
          <w:tcPr>
            <w:tcW w:w="1518" w:type="dxa"/>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$3,447</w:t>
            </w:r>
          </w:p>
        </w:tc>
        <w:tc>
          <w:tcPr>
            <w:tcW w:w="1258" w:type="dxa"/>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0</w:t>
            </w:r>
          </w:p>
        </w:tc>
        <w:tc>
          <w:tcPr>
            <w:tcW w:w="2160" w:type="dxa"/>
            <w:tcBorders>
              <w:top w:val="nil"/>
              <w:left w:val="nil"/>
              <w:bottom w:val="nil"/>
              <w:right w:val="single" w:sz="8" w:space="0" w:color="auto"/>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3,447</w:t>
            </w:r>
          </w:p>
        </w:tc>
      </w:tr>
      <w:tr w:rsidR="00445218" w:rsidRPr="007B4999" w:rsidTr="00445218">
        <w:trPr>
          <w:trHeight w:val="312"/>
          <w:jc w:val="center"/>
        </w:trPr>
        <w:tc>
          <w:tcPr>
            <w:tcW w:w="485" w:type="dxa"/>
            <w:tcBorders>
              <w:top w:val="nil"/>
              <w:left w:val="single" w:sz="8" w:space="0" w:color="auto"/>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p>
        </w:tc>
        <w:tc>
          <w:tcPr>
            <w:tcW w:w="1633"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722"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518"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258"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160" w:type="dxa"/>
            <w:tcBorders>
              <w:top w:val="nil"/>
              <w:left w:val="nil"/>
              <w:bottom w:val="nil"/>
              <w:right w:val="single" w:sz="8" w:space="0" w:color="auto"/>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r>
      <w:tr w:rsidR="00445218" w:rsidRPr="007B4999" w:rsidTr="00445218">
        <w:trPr>
          <w:trHeight w:val="300"/>
          <w:jc w:val="center"/>
        </w:trPr>
        <w:tc>
          <w:tcPr>
            <w:tcW w:w="485" w:type="dxa"/>
            <w:tcBorders>
              <w:top w:val="nil"/>
              <w:left w:val="single" w:sz="8" w:space="0" w:color="auto"/>
              <w:bottom w:val="nil"/>
              <w:right w:val="nil"/>
            </w:tcBorders>
            <w:shd w:val="clear" w:color="auto" w:fill="auto"/>
            <w:noWrap/>
            <w:vAlign w:val="bottom"/>
            <w:hideMark/>
          </w:tcPr>
          <w:p w:rsidR="00445218" w:rsidRPr="007B4999" w:rsidRDefault="00445218" w:rsidP="00445218">
            <w:pPr>
              <w:jc w:val="right"/>
              <w:rPr>
                <w:rFonts w:ascii="SWISS" w:hAnsi="SWISS" w:cs="Arial"/>
                <w:color w:val="000000"/>
                <w:sz w:val="20"/>
                <w:szCs w:val="20"/>
              </w:rPr>
            </w:pPr>
            <w:r w:rsidRPr="007B4999">
              <w:rPr>
                <w:rFonts w:ascii="SWISS" w:hAnsi="SWISS" w:cs="Arial"/>
                <w:color w:val="000000"/>
                <w:sz w:val="20"/>
                <w:szCs w:val="20"/>
              </w:rPr>
              <w:t>4.</w:t>
            </w:r>
          </w:p>
        </w:tc>
        <w:tc>
          <w:tcPr>
            <w:tcW w:w="3460"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xml:space="preserve">  AMORTIZATION</w:t>
            </w:r>
          </w:p>
        </w:tc>
        <w:tc>
          <w:tcPr>
            <w:tcW w:w="1633" w:type="dxa"/>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 xml:space="preserve">0 </w:t>
            </w:r>
          </w:p>
        </w:tc>
        <w:tc>
          <w:tcPr>
            <w:tcW w:w="1722" w:type="dxa"/>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Pr>
                <w:rFonts w:ascii="SWISS" w:hAnsi="SWISS" w:cs="Arial"/>
                <w:sz w:val="20"/>
                <w:szCs w:val="20"/>
              </w:rPr>
              <w:t>(</w:t>
            </w:r>
            <w:r w:rsidRPr="007B4999">
              <w:rPr>
                <w:rFonts w:ascii="SWISS" w:hAnsi="SWISS" w:cs="Arial"/>
                <w:sz w:val="20"/>
                <w:szCs w:val="20"/>
              </w:rPr>
              <w:t>1,202</w:t>
            </w:r>
            <w:r>
              <w:rPr>
                <w:rFonts w:ascii="SWISS" w:hAnsi="SWISS" w:cs="Arial"/>
                <w:sz w:val="20"/>
                <w:szCs w:val="20"/>
              </w:rPr>
              <w:t>)</w:t>
            </w:r>
          </w:p>
        </w:tc>
        <w:tc>
          <w:tcPr>
            <w:tcW w:w="1518" w:type="dxa"/>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Pr>
                <w:rFonts w:ascii="SWISS" w:hAnsi="SWISS" w:cs="Arial"/>
                <w:sz w:val="20"/>
                <w:szCs w:val="20"/>
              </w:rPr>
              <w:t>(</w:t>
            </w:r>
            <w:r w:rsidRPr="007B4999">
              <w:rPr>
                <w:rFonts w:ascii="SWISS" w:hAnsi="SWISS" w:cs="Arial"/>
                <w:sz w:val="20"/>
                <w:szCs w:val="20"/>
              </w:rPr>
              <w:t>1,202</w:t>
            </w:r>
            <w:r>
              <w:rPr>
                <w:rFonts w:ascii="SWISS" w:hAnsi="SWISS" w:cs="Arial"/>
                <w:sz w:val="20"/>
                <w:szCs w:val="20"/>
              </w:rPr>
              <w:t>)</w:t>
            </w:r>
          </w:p>
        </w:tc>
        <w:tc>
          <w:tcPr>
            <w:tcW w:w="1258" w:type="dxa"/>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0</w:t>
            </w:r>
          </w:p>
        </w:tc>
        <w:tc>
          <w:tcPr>
            <w:tcW w:w="2160" w:type="dxa"/>
            <w:tcBorders>
              <w:top w:val="nil"/>
              <w:left w:val="nil"/>
              <w:bottom w:val="nil"/>
              <w:right w:val="single" w:sz="8" w:space="0" w:color="auto"/>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(1,202)</w:t>
            </w:r>
          </w:p>
        </w:tc>
      </w:tr>
      <w:tr w:rsidR="00445218" w:rsidRPr="007B4999" w:rsidTr="00445218">
        <w:trPr>
          <w:trHeight w:val="312"/>
          <w:jc w:val="center"/>
        </w:trPr>
        <w:tc>
          <w:tcPr>
            <w:tcW w:w="485" w:type="dxa"/>
            <w:tcBorders>
              <w:top w:val="nil"/>
              <w:left w:val="single" w:sz="8" w:space="0" w:color="auto"/>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p>
        </w:tc>
        <w:tc>
          <w:tcPr>
            <w:tcW w:w="1633"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722"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518"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258"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160" w:type="dxa"/>
            <w:tcBorders>
              <w:top w:val="nil"/>
              <w:left w:val="nil"/>
              <w:bottom w:val="nil"/>
              <w:right w:val="single" w:sz="8" w:space="0" w:color="auto"/>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r>
      <w:tr w:rsidR="00445218" w:rsidRPr="007B4999" w:rsidTr="00445218">
        <w:trPr>
          <w:trHeight w:val="300"/>
          <w:jc w:val="center"/>
        </w:trPr>
        <w:tc>
          <w:tcPr>
            <w:tcW w:w="485" w:type="dxa"/>
            <w:tcBorders>
              <w:top w:val="nil"/>
              <w:left w:val="single" w:sz="8" w:space="0" w:color="auto"/>
              <w:bottom w:val="nil"/>
              <w:right w:val="nil"/>
            </w:tcBorders>
            <w:shd w:val="clear" w:color="auto" w:fill="auto"/>
            <w:noWrap/>
            <w:vAlign w:val="bottom"/>
            <w:hideMark/>
          </w:tcPr>
          <w:p w:rsidR="00445218" w:rsidRPr="007B4999" w:rsidRDefault="00445218" w:rsidP="00445218">
            <w:pPr>
              <w:jc w:val="right"/>
              <w:rPr>
                <w:rFonts w:ascii="SWISS" w:hAnsi="SWISS" w:cs="Arial"/>
                <w:color w:val="000000"/>
                <w:sz w:val="20"/>
                <w:szCs w:val="20"/>
              </w:rPr>
            </w:pPr>
            <w:r w:rsidRPr="007B4999">
              <w:rPr>
                <w:rFonts w:ascii="SWISS" w:hAnsi="SWISS" w:cs="Arial"/>
                <w:color w:val="000000"/>
                <w:sz w:val="20"/>
                <w:szCs w:val="20"/>
              </w:rPr>
              <w:t>5.</w:t>
            </w:r>
          </w:p>
        </w:tc>
        <w:tc>
          <w:tcPr>
            <w:tcW w:w="3460"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xml:space="preserve">  TAXES OTHER THAN INCOME</w:t>
            </w:r>
          </w:p>
        </w:tc>
        <w:tc>
          <w:tcPr>
            <w:tcW w:w="1633" w:type="dxa"/>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 xml:space="preserve">2,734 </w:t>
            </w:r>
          </w:p>
        </w:tc>
        <w:tc>
          <w:tcPr>
            <w:tcW w:w="1722" w:type="dxa"/>
            <w:tcBorders>
              <w:top w:val="nil"/>
              <w:left w:val="nil"/>
              <w:bottom w:val="nil"/>
              <w:right w:val="nil"/>
            </w:tcBorders>
            <w:shd w:val="clear" w:color="auto" w:fill="auto"/>
            <w:noWrap/>
            <w:vAlign w:val="bottom"/>
            <w:hideMark/>
          </w:tcPr>
          <w:p w:rsidR="00445218" w:rsidRPr="007B4999" w:rsidRDefault="00B457F4" w:rsidP="00445218">
            <w:pPr>
              <w:jc w:val="right"/>
              <w:rPr>
                <w:rFonts w:ascii="SWISS" w:hAnsi="SWISS" w:cs="Arial"/>
                <w:sz w:val="20"/>
                <w:szCs w:val="20"/>
              </w:rPr>
            </w:pPr>
            <w:r w:rsidRPr="00B457F4">
              <w:rPr>
                <w:rFonts w:ascii="SWISS" w:hAnsi="SWISS" w:cs="Arial"/>
                <w:sz w:val="20"/>
                <w:szCs w:val="20"/>
              </w:rPr>
              <w:t>1,106</w:t>
            </w:r>
          </w:p>
        </w:tc>
        <w:tc>
          <w:tcPr>
            <w:tcW w:w="1518" w:type="dxa"/>
            <w:tcBorders>
              <w:top w:val="nil"/>
              <w:left w:val="nil"/>
              <w:bottom w:val="nil"/>
              <w:right w:val="nil"/>
            </w:tcBorders>
            <w:shd w:val="clear" w:color="auto" w:fill="auto"/>
            <w:noWrap/>
            <w:vAlign w:val="bottom"/>
            <w:hideMark/>
          </w:tcPr>
          <w:p w:rsidR="00445218" w:rsidRPr="007B4999" w:rsidRDefault="00B457F4" w:rsidP="00445218">
            <w:pPr>
              <w:jc w:val="right"/>
              <w:rPr>
                <w:rFonts w:ascii="SWISS" w:hAnsi="SWISS" w:cs="Arial"/>
                <w:sz w:val="20"/>
                <w:szCs w:val="20"/>
              </w:rPr>
            </w:pPr>
            <w:r w:rsidRPr="00B457F4">
              <w:rPr>
                <w:rFonts w:ascii="SWISS" w:hAnsi="SWISS" w:cs="Arial"/>
                <w:sz w:val="20"/>
                <w:szCs w:val="20"/>
              </w:rPr>
              <w:t>3,840</w:t>
            </w:r>
          </w:p>
        </w:tc>
        <w:tc>
          <w:tcPr>
            <w:tcW w:w="1258" w:type="dxa"/>
            <w:tcBorders>
              <w:top w:val="nil"/>
              <w:left w:val="nil"/>
              <w:bottom w:val="nil"/>
              <w:right w:val="nil"/>
            </w:tcBorders>
            <w:shd w:val="clear" w:color="auto" w:fill="auto"/>
            <w:noWrap/>
            <w:vAlign w:val="bottom"/>
            <w:hideMark/>
          </w:tcPr>
          <w:p w:rsidR="00445218" w:rsidRPr="007B4999" w:rsidRDefault="00B457F4" w:rsidP="00445218">
            <w:pPr>
              <w:jc w:val="right"/>
              <w:rPr>
                <w:rFonts w:ascii="SWISS" w:hAnsi="SWISS" w:cs="Arial"/>
                <w:sz w:val="20"/>
                <w:szCs w:val="20"/>
              </w:rPr>
            </w:pPr>
            <w:r w:rsidRPr="00B457F4">
              <w:rPr>
                <w:rFonts w:ascii="SWISS" w:hAnsi="SWISS" w:cs="Arial"/>
                <w:sz w:val="20"/>
                <w:szCs w:val="20"/>
              </w:rPr>
              <w:t>181</w:t>
            </w:r>
          </w:p>
        </w:tc>
        <w:tc>
          <w:tcPr>
            <w:tcW w:w="2160" w:type="dxa"/>
            <w:tcBorders>
              <w:top w:val="nil"/>
              <w:left w:val="nil"/>
              <w:bottom w:val="nil"/>
              <w:right w:val="single" w:sz="8" w:space="0" w:color="auto"/>
            </w:tcBorders>
            <w:shd w:val="clear" w:color="auto" w:fill="auto"/>
            <w:noWrap/>
            <w:vAlign w:val="bottom"/>
            <w:hideMark/>
          </w:tcPr>
          <w:p w:rsidR="00445218" w:rsidRPr="007B4999" w:rsidRDefault="00B457F4" w:rsidP="00445218">
            <w:pPr>
              <w:jc w:val="right"/>
              <w:rPr>
                <w:rFonts w:ascii="SWISS" w:hAnsi="SWISS" w:cs="Arial"/>
                <w:sz w:val="20"/>
                <w:szCs w:val="20"/>
              </w:rPr>
            </w:pPr>
            <w:r w:rsidRPr="00B457F4">
              <w:rPr>
                <w:rFonts w:ascii="SWISS" w:hAnsi="SWISS" w:cs="Arial"/>
                <w:sz w:val="20"/>
                <w:szCs w:val="20"/>
              </w:rPr>
              <w:t>4,021</w:t>
            </w:r>
          </w:p>
        </w:tc>
      </w:tr>
      <w:tr w:rsidR="00445218" w:rsidRPr="007B4999" w:rsidTr="00445218">
        <w:trPr>
          <w:trHeight w:val="300"/>
          <w:jc w:val="center"/>
        </w:trPr>
        <w:tc>
          <w:tcPr>
            <w:tcW w:w="485" w:type="dxa"/>
            <w:tcBorders>
              <w:top w:val="nil"/>
              <w:left w:val="single" w:sz="8" w:space="0" w:color="auto"/>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p>
        </w:tc>
        <w:tc>
          <w:tcPr>
            <w:tcW w:w="1633"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722"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518"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258"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160" w:type="dxa"/>
            <w:tcBorders>
              <w:top w:val="nil"/>
              <w:left w:val="nil"/>
              <w:bottom w:val="nil"/>
              <w:right w:val="single" w:sz="8" w:space="0" w:color="auto"/>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r>
      <w:tr w:rsidR="00445218" w:rsidRPr="007B4999" w:rsidTr="00445218">
        <w:trPr>
          <w:trHeight w:val="312"/>
          <w:jc w:val="center"/>
        </w:trPr>
        <w:tc>
          <w:tcPr>
            <w:tcW w:w="485" w:type="dxa"/>
            <w:tcBorders>
              <w:top w:val="nil"/>
              <w:left w:val="single" w:sz="8" w:space="0" w:color="auto"/>
              <w:bottom w:val="nil"/>
              <w:right w:val="nil"/>
            </w:tcBorders>
            <w:shd w:val="clear" w:color="auto" w:fill="auto"/>
            <w:noWrap/>
            <w:vAlign w:val="bottom"/>
            <w:hideMark/>
          </w:tcPr>
          <w:p w:rsidR="00445218" w:rsidRPr="007B4999" w:rsidRDefault="00445218" w:rsidP="00445218">
            <w:pPr>
              <w:jc w:val="right"/>
              <w:rPr>
                <w:rFonts w:ascii="SWISS" w:hAnsi="SWISS" w:cs="Arial"/>
                <w:color w:val="000000"/>
                <w:sz w:val="20"/>
                <w:szCs w:val="20"/>
              </w:rPr>
            </w:pPr>
            <w:r w:rsidRPr="007B4999">
              <w:rPr>
                <w:rFonts w:ascii="SWISS" w:hAnsi="SWISS" w:cs="Arial"/>
                <w:color w:val="000000"/>
                <w:sz w:val="20"/>
                <w:szCs w:val="20"/>
              </w:rPr>
              <w:t>6.</w:t>
            </w:r>
          </w:p>
        </w:tc>
        <w:tc>
          <w:tcPr>
            <w:tcW w:w="3460"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xml:space="preserve">  INCOME TAXES</w:t>
            </w:r>
          </w:p>
        </w:tc>
        <w:tc>
          <w:tcPr>
            <w:tcW w:w="1633" w:type="dxa"/>
            <w:tcBorders>
              <w:top w:val="nil"/>
              <w:left w:val="nil"/>
              <w:bottom w:val="nil"/>
              <w:right w:val="nil"/>
            </w:tcBorders>
            <w:shd w:val="clear" w:color="auto" w:fill="auto"/>
            <w:noWrap/>
            <w:vAlign w:val="bottom"/>
            <w:hideMark/>
          </w:tcPr>
          <w:p w:rsidR="00445218" w:rsidRPr="00962971" w:rsidRDefault="00445218" w:rsidP="00445218">
            <w:pPr>
              <w:jc w:val="right"/>
              <w:rPr>
                <w:rFonts w:ascii="SWISS" w:hAnsi="SWISS" w:cs="Arial"/>
                <w:sz w:val="20"/>
                <w:szCs w:val="20"/>
                <w:u w:val="single"/>
              </w:rPr>
            </w:pPr>
            <w:r w:rsidRPr="00962971">
              <w:rPr>
                <w:rFonts w:ascii="SWISS" w:hAnsi="SWISS" w:cs="Arial"/>
                <w:sz w:val="20"/>
                <w:szCs w:val="20"/>
                <w:u w:val="single"/>
              </w:rPr>
              <w:t xml:space="preserve">0 </w:t>
            </w:r>
          </w:p>
        </w:tc>
        <w:tc>
          <w:tcPr>
            <w:tcW w:w="1722" w:type="dxa"/>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u w:val="single"/>
              </w:rPr>
            </w:pPr>
            <w:r w:rsidRPr="007B4999">
              <w:rPr>
                <w:rFonts w:ascii="SWISS" w:hAnsi="SWISS" w:cs="Arial"/>
                <w:sz w:val="20"/>
                <w:szCs w:val="20"/>
                <w:u w:val="single"/>
              </w:rPr>
              <w:t>0</w:t>
            </w:r>
          </w:p>
        </w:tc>
        <w:tc>
          <w:tcPr>
            <w:tcW w:w="1518" w:type="dxa"/>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u w:val="single"/>
              </w:rPr>
            </w:pPr>
            <w:r w:rsidRPr="007B4999">
              <w:rPr>
                <w:rFonts w:ascii="SWISS" w:hAnsi="SWISS" w:cs="Arial"/>
                <w:sz w:val="20"/>
                <w:szCs w:val="20"/>
                <w:u w:val="single"/>
              </w:rPr>
              <w:t>0</w:t>
            </w:r>
          </w:p>
        </w:tc>
        <w:tc>
          <w:tcPr>
            <w:tcW w:w="1258" w:type="dxa"/>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u w:val="single"/>
              </w:rPr>
            </w:pPr>
            <w:r w:rsidRPr="007B4999">
              <w:rPr>
                <w:rFonts w:ascii="SWISS" w:hAnsi="SWISS" w:cs="Arial"/>
                <w:sz w:val="20"/>
                <w:szCs w:val="20"/>
                <w:u w:val="single"/>
              </w:rPr>
              <w:t xml:space="preserve">0 </w:t>
            </w:r>
          </w:p>
        </w:tc>
        <w:tc>
          <w:tcPr>
            <w:tcW w:w="2160" w:type="dxa"/>
            <w:tcBorders>
              <w:top w:val="nil"/>
              <w:left w:val="nil"/>
              <w:bottom w:val="nil"/>
              <w:right w:val="single" w:sz="8" w:space="0" w:color="auto"/>
            </w:tcBorders>
            <w:shd w:val="clear" w:color="auto" w:fill="auto"/>
            <w:noWrap/>
            <w:vAlign w:val="bottom"/>
            <w:hideMark/>
          </w:tcPr>
          <w:p w:rsidR="00445218" w:rsidRPr="007B4999" w:rsidRDefault="00445218" w:rsidP="00445218">
            <w:pPr>
              <w:jc w:val="right"/>
              <w:rPr>
                <w:rFonts w:ascii="SWISS" w:hAnsi="SWISS" w:cs="Arial"/>
                <w:sz w:val="20"/>
                <w:szCs w:val="20"/>
                <w:u w:val="single"/>
              </w:rPr>
            </w:pPr>
            <w:r w:rsidRPr="007B4999">
              <w:rPr>
                <w:rFonts w:ascii="SWISS" w:hAnsi="SWISS" w:cs="Arial"/>
                <w:sz w:val="20"/>
                <w:szCs w:val="20"/>
                <w:u w:val="single"/>
              </w:rPr>
              <w:t xml:space="preserve">0 </w:t>
            </w:r>
          </w:p>
        </w:tc>
      </w:tr>
      <w:tr w:rsidR="00445218" w:rsidRPr="007B4999" w:rsidTr="00445218">
        <w:trPr>
          <w:trHeight w:val="300"/>
          <w:jc w:val="center"/>
        </w:trPr>
        <w:tc>
          <w:tcPr>
            <w:tcW w:w="485" w:type="dxa"/>
            <w:tcBorders>
              <w:top w:val="nil"/>
              <w:left w:val="single" w:sz="8" w:space="0" w:color="auto"/>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p>
        </w:tc>
        <w:tc>
          <w:tcPr>
            <w:tcW w:w="1633"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722"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518"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258"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160" w:type="dxa"/>
            <w:tcBorders>
              <w:top w:val="nil"/>
              <w:left w:val="nil"/>
              <w:bottom w:val="nil"/>
              <w:right w:val="single" w:sz="8" w:space="0" w:color="auto"/>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r>
      <w:tr w:rsidR="00445218" w:rsidRPr="007B4999" w:rsidTr="00445218">
        <w:trPr>
          <w:trHeight w:val="300"/>
          <w:jc w:val="center"/>
        </w:trPr>
        <w:tc>
          <w:tcPr>
            <w:tcW w:w="485" w:type="dxa"/>
            <w:tcBorders>
              <w:top w:val="nil"/>
              <w:left w:val="single" w:sz="8" w:space="0" w:color="auto"/>
              <w:bottom w:val="nil"/>
              <w:right w:val="nil"/>
            </w:tcBorders>
            <w:shd w:val="clear" w:color="auto" w:fill="auto"/>
            <w:noWrap/>
            <w:vAlign w:val="bottom"/>
            <w:hideMark/>
          </w:tcPr>
          <w:p w:rsidR="00445218" w:rsidRPr="007B4999" w:rsidRDefault="00445218" w:rsidP="00445218">
            <w:pPr>
              <w:jc w:val="right"/>
              <w:rPr>
                <w:rFonts w:ascii="SWISS" w:hAnsi="SWISS" w:cs="Arial"/>
                <w:color w:val="000000"/>
                <w:sz w:val="20"/>
                <w:szCs w:val="20"/>
              </w:rPr>
            </w:pPr>
            <w:r w:rsidRPr="007B4999">
              <w:rPr>
                <w:rFonts w:ascii="SWISS" w:hAnsi="SWISS" w:cs="Arial"/>
                <w:color w:val="000000"/>
                <w:sz w:val="20"/>
                <w:szCs w:val="20"/>
              </w:rPr>
              <w:t>7.</w:t>
            </w:r>
          </w:p>
        </w:tc>
        <w:tc>
          <w:tcPr>
            <w:tcW w:w="3460"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b/>
                <w:bCs/>
                <w:color w:val="000000"/>
                <w:sz w:val="20"/>
                <w:szCs w:val="20"/>
              </w:rPr>
            </w:pPr>
            <w:r w:rsidRPr="007B4999">
              <w:rPr>
                <w:rFonts w:ascii="SWISS" w:hAnsi="SWISS" w:cs="Arial"/>
                <w:b/>
                <w:bCs/>
                <w:color w:val="000000"/>
                <w:sz w:val="20"/>
                <w:szCs w:val="20"/>
              </w:rPr>
              <w:t xml:space="preserve">TOTAL OPERATING EXPENSES    </w:t>
            </w:r>
          </w:p>
        </w:tc>
        <w:tc>
          <w:tcPr>
            <w:tcW w:w="1633" w:type="dxa"/>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u w:val="single"/>
              </w:rPr>
            </w:pPr>
            <w:r w:rsidRPr="007B4999">
              <w:rPr>
                <w:rFonts w:ascii="SWISS" w:hAnsi="SWISS" w:cs="Arial"/>
                <w:sz w:val="20"/>
                <w:szCs w:val="20"/>
                <w:u w:val="single"/>
              </w:rPr>
              <w:t>$30,292</w:t>
            </w:r>
          </w:p>
        </w:tc>
        <w:tc>
          <w:tcPr>
            <w:tcW w:w="1722" w:type="dxa"/>
            <w:tcBorders>
              <w:top w:val="nil"/>
              <w:left w:val="nil"/>
              <w:bottom w:val="nil"/>
              <w:right w:val="nil"/>
            </w:tcBorders>
            <w:shd w:val="clear" w:color="auto" w:fill="auto"/>
            <w:noWrap/>
            <w:vAlign w:val="bottom"/>
            <w:hideMark/>
          </w:tcPr>
          <w:p w:rsidR="00445218" w:rsidRPr="007B4999" w:rsidRDefault="00B457F4" w:rsidP="00445218">
            <w:pPr>
              <w:jc w:val="right"/>
              <w:rPr>
                <w:rFonts w:ascii="SWISS" w:hAnsi="SWISS" w:cs="Arial"/>
                <w:sz w:val="20"/>
                <w:szCs w:val="20"/>
                <w:u w:val="single"/>
              </w:rPr>
            </w:pPr>
            <w:r w:rsidRPr="00B457F4">
              <w:rPr>
                <w:rFonts w:ascii="SWISS" w:hAnsi="SWISS" w:cs="Arial"/>
                <w:sz w:val="20"/>
                <w:szCs w:val="20"/>
                <w:u w:val="single"/>
              </w:rPr>
              <w:t>$21,485</w:t>
            </w:r>
          </w:p>
        </w:tc>
        <w:tc>
          <w:tcPr>
            <w:tcW w:w="1518" w:type="dxa"/>
            <w:tcBorders>
              <w:top w:val="nil"/>
              <w:left w:val="nil"/>
              <w:bottom w:val="nil"/>
              <w:right w:val="nil"/>
            </w:tcBorders>
            <w:shd w:val="clear" w:color="auto" w:fill="auto"/>
            <w:noWrap/>
            <w:vAlign w:val="bottom"/>
            <w:hideMark/>
          </w:tcPr>
          <w:p w:rsidR="00445218" w:rsidRPr="007B4999" w:rsidRDefault="00B457F4" w:rsidP="00445218">
            <w:pPr>
              <w:jc w:val="right"/>
              <w:rPr>
                <w:rFonts w:ascii="SWISS" w:hAnsi="SWISS" w:cs="Arial"/>
                <w:sz w:val="20"/>
                <w:szCs w:val="20"/>
                <w:u w:val="single"/>
              </w:rPr>
            </w:pPr>
            <w:r w:rsidRPr="00B457F4">
              <w:rPr>
                <w:rFonts w:ascii="SWISS" w:hAnsi="SWISS" w:cs="Arial"/>
                <w:sz w:val="20"/>
                <w:szCs w:val="20"/>
                <w:u w:val="single"/>
              </w:rPr>
              <w:t>$51,777</w:t>
            </w:r>
          </w:p>
        </w:tc>
        <w:tc>
          <w:tcPr>
            <w:tcW w:w="1258" w:type="dxa"/>
            <w:tcBorders>
              <w:top w:val="nil"/>
              <w:left w:val="nil"/>
              <w:bottom w:val="nil"/>
              <w:right w:val="nil"/>
            </w:tcBorders>
            <w:shd w:val="clear" w:color="auto" w:fill="auto"/>
            <w:noWrap/>
            <w:vAlign w:val="bottom"/>
            <w:hideMark/>
          </w:tcPr>
          <w:p w:rsidR="00445218" w:rsidRPr="007B4999" w:rsidRDefault="00B457F4" w:rsidP="00445218">
            <w:pPr>
              <w:jc w:val="right"/>
              <w:rPr>
                <w:rFonts w:ascii="SWISS" w:hAnsi="SWISS" w:cs="Arial"/>
                <w:sz w:val="20"/>
                <w:szCs w:val="20"/>
                <w:u w:val="single"/>
              </w:rPr>
            </w:pPr>
            <w:r w:rsidRPr="00B457F4">
              <w:rPr>
                <w:rFonts w:ascii="SWISS" w:hAnsi="SWISS" w:cs="Arial"/>
                <w:sz w:val="20"/>
                <w:szCs w:val="20"/>
                <w:u w:val="single"/>
              </w:rPr>
              <w:t>$181</w:t>
            </w:r>
          </w:p>
        </w:tc>
        <w:tc>
          <w:tcPr>
            <w:tcW w:w="2160" w:type="dxa"/>
            <w:tcBorders>
              <w:top w:val="nil"/>
              <w:left w:val="nil"/>
              <w:bottom w:val="nil"/>
              <w:right w:val="single" w:sz="8" w:space="0" w:color="auto"/>
            </w:tcBorders>
            <w:shd w:val="clear" w:color="auto" w:fill="auto"/>
            <w:noWrap/>
            <w:vAlign w:val="bottom"/>
            <w:hideMark/>
          </w:tcPr>
          <w:p w:rsidR="00445218" w:rsidRPr="007B4999" w:rsidRDefault="00B457F4" w:rsidP="00445218">
            <w:pPr>
              <w:jc w:val="right"/>
              <w:rPr>
                <w:rFonts w:ascii="SWISS" w:hAnsi="SWISS" w:cs="Arial"/>
                <w:sz w:val="20"/>
                <w:szCs w:val="20"/>
                <w:u w:val="single"/>
              </w:rPr>
            </w:pPr>
            <w:r w:rsidRPr="00B457F4">
              <w:rPr>
                <w:rFonts w:ascii="SWISS" w:hAnsi="SWISS" w:cs="Arial"/>
                <w:sz w:val="20"/>
                <w:szCs w:val="20"/>
                <w:u w:val="single"/>
              </w:rPr>
              <w:t>$51,958</w:t>
            </w:r>
          </w:p>
        </w:tc>
      </w:tr>
      <w:tr w:rsidR="00445218" w:rsidRPr="007B4999" w:rsidTr="00445218">
        <w:trPr>
          <w:trHeight w:val="312"/>
          <w:jc w:val="center"/>
        </w:trPr>
        <w:tc>
          <w:tcPr>
            <w:tcW w:w="485" w:type="dxa"/>
            <w:tcBorders>
              <w:top w:val="nil"/>
              <w:left w:val="single" w:sz="8" w:space="0" w:color="auto"/>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p>
        </w:tc>
        <w:tc>
          <w:tcPr>
            <w:tcW w:w="1633"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722"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518"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258"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160" w:type="dxa"/>
            <w:tcBorders>
              <w:top w:val="nil"/>
              <w:left w:val="nil"/>
              <w:bottom w:val="nil"/>
              <w:right w:val="single" w:sz="8" w:space="0" w:color="auto"/>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r>
      <w:tr w:rsidR="00445218" w:rsidRPr="007B4999" w:rsidTr="00445218">
        <w:trPr>
          <w:trHeight w:val="300"/>
          <w:jc w:val="center"/>
        </w:trPr>
        <w:tc>
          <w:tcPr>
            <w:tcW w:w="485" w:type="dxa"/>
            <w:tcBorders>
              <w:top w:val="nil"/>
              <w:left w:val="single" w:sz="8" w:space="0" w:color="auto"/>
              <w:bottom w:val="nil"/>
              <w:right w:val="nil"/>
            </w:tcBorders>
            <w:shd w:val="clear" w:color="auto" w:fill="auto"/>
            <w:noWrap/>
            <w:vAlign w:val="bottom"/>
            <w:hideMark/>
          </w:tcPr>
          <w:p w:rsidR="00445218" w:rsidRPr="007B4999" w:rsidRDefault="00445218" w:rsidP="00445218">
            <w:pPr>
              <w:jc w:val="right"/>
              <w:rPr>
                <w:rFonts w:ascii="SWISS" w:hAnsi="SWISS" w:cs="Arial"/>
                <w:color w:val="000000"/>
                <w:sz w:val="20"/>
                <w:szCs w:val="20"/>
              </w:rPr>
            </w:pPr>
            <w:r w:rsidRPr="007B4999">
              <w:rPr>
                <w:rFonts w:ascii="SWISS" w:hAnsi="SWISS" w:cs="Arial"/>
                <w:color w:val="000000"/>
                <w:sz w:val="20"/>
                <w:szCs w:val="20"/>
              </w:rPr>
              <w:t>8.</w:t>
            </w:r>
          </w:p>
        </w:tc>
        <w:tc>
          <w:tcPr>
            <w:tcW w:w="3460"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b/>
                <w:bCs/>
                <w:color w:val="000000"/>
                <w:sz w:val="20"/>
                <w:szCs w:val="20"/>
              </w:rPr>
            </w:pPr>
            <w:r w:rsidRPr="007B4999">
              <w:rPr>
                <w:rFonts w:ascii="SWISS" w:hAnsi="SWISS" w:cs="Arial"/>
                <w:b/>
                <w:bCs/>
                <w:color w:val="000000"/>
                <w:sz w:val="20"/>
                <w:szCs w:val="20"/>
              </w:rPr>
              <w:t xml:space="preserve">OPERATING INCOME/(LOSS)        </w:t>
            </w:r>
          </w:p>
        </w:tc>
        <w:tc>
          <w:tcPr>
            <w:tcW w:w="1633" w:type="dxa"/>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u w:val="double"/>
              </w:rPr>
            </w:pPr>
            <w:r w:rsidRPr="007B4999">
              <w:rPr>
                <w:rFonts w:ascii="SWISS" w:hAnsi="SWISS" w:cs="Arial"/>
                <w:sz w:val="20"/>
                <w:szCs w:val="20"/>
                <w:u w:val="double"/>
              </w:rPr>
              <w:t xml:space="preserve">$25,177 </w:t>
            </w:r>
          </w:p>
        </w:tc>
        <w:tc>
          <w:tcPr>
            <w:tcW w:w="1722"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u w:val="double"/>
              </w:rPr>
            </w:pPr>
          </w:p>
        </w:tc>
        <w:tc>
          <w:tcPr>
            <w:tcW w:w="1518" w:type="dxa"/>
            <w:tcBorders>
              <w:top w:val="nil"/>
              <w:left w:val="nil"/>
              <w:bottom w:val="nil"/>
              <w:right w:val="nil"/>
            </w:tcBorders>
            <w:shd w:val="clear" w:color="auto" w:fill="auto"/>
            <w:noWrap/>
            <w:vAlign w:val="bottom"/>
            <w:hideMark/>
          </w:tcPr>
          <w:p w:rsidR="00445218" w:rsidRPr="007B4999" w:rsidRDefault="00B457F4" w:rsidP="00445218">
            <w:pPr>
              <w:jc w:val="right"/>
              <w:rPr>
                <w:rFonts w:ascii="SWISS" w:hAnsi="SWISS" w:cs="Arial"/>
                <w:sz w:val="20"/>
                <w:szCs w:val="20"/>
                <w:u w:val="double"/>
              </w:rPr>
            </w:pPr>
            <w:r w:rsidRPr="00B457F4">
              <w:rPr>
                <w:rFonts w:ascii="SWISS" w:hAnsi="SWISS" w:cs="Arial"/>
                <w:sz w:val="20"/>
                <w:szCs w:val="20"/>
                <w:u w:val="double"/>
              </w:rPr>
              <w:t>$727</w:t>
            </w:r>
            <w:r w:rsidR="00445218" w:rsidRPr="007B4999">
              <w:rPr>
                <w:rFonts w:ascii="SWISS" w:hAnsi="SWISS" w:cs="Arial"/>
                <w:sz w:val="20"/>
                <w:szCs w:val="20"/>
                <w:u w:val="double"/>
              </w:rPr>
              <w:t xml:space="preserve"> </w:t>
            </w:r>
          </w:p>
        </w:tc>
        <w:tc>
          <w:tcPr>
            <w:tcW w:w="1258"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u w:val="double"/>
              </w:rPr>
            </w:pPr>
          </w:p>
        </w:tc>
        <w:tc>
          <w:tcPr>
            <w:tcW w:w="2160" w:type="dxa"/>
            <w:tcBorders>
              <w:top w:val="nil"/>
              <w:left w:val="nil"/>
              <w:bottom w:val="nil"/>
              <w:right w:val="single" w:sz="8" w:space="0" w:color="auto"/>
            </w:tcBorders>
            <w:shd w:val="clear" w:color="auto" w:fill="auto"/>
            <w:noWrap/>
            <w:vAlign w:val="bottom"/>
            <w:hideMark/>
          </w:tcPr>
          <w:p w:rsidR="00445218" w:rsidRPr="007B4999" w:rsidRDefault="00445218" w:rsidP="00445218">
            <w:pPr>
              <w:jc w:val="right"/>
              <w:rPr>
                <w:rFonts w:ascii="SWISS" w:hAnsi="SWISS" w:cs="Arial"/>
                <w:sz w:val="20"/>
                <w:szCs w:val="20"/>
                <w:u w:val="double"/>
              </w:rPr>
            </w:pPr>
            <w:r w:rsidRPr="007B4999">
              <w:rPr>
                <w:rFonts w:ascii="SWISS" w:hAnsi="SWISS" w:cs="Arial"/>
                <w:sz w:val="20"/>
                <w:szCs w:val="20"/>
                <w:u w:val="double"/>
              </w:rPr>
              <w:t>$</w:t>
            </w:r>
            <w:r>
              <w:rPr>
                <w:rFonts w:ascii="SWISS" w:hAnsi="SWISS" w:cs="Arial"/>
                <w:sz w:val="20"/>
                <w:szCs w:val="20"/>
                <w:u w:val="double"/>
              </w:rPr>
              <w:t>4,569</w:t>
            </w:r>
          </w:p>
        </w:tc>
      </w:tr>
      <w:tr w:rsidR="00445218" w:rsidRPr="007B4999" w:rsidTr="00445218">
        <w:trPr>
          <w:trHeight w:val="300"/>
          <w:jc w:val="center"/>
        </w:trPr>
        <w:tc>
          <w:tcPr>
            <w:tcW w:w="485" w:type="dxa"/>
            <w:tcBorders>
              <w:top w:val="nil"/>
              <w:left w:val="single" w:sz="8" w:space="0" w:color="auto"/>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p>
        </w:tc>
        <w:tc>
          <w:tcPr>
            <w:tcW w:w="1633"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722"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518"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258"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160" w:type="dxa"/>
            <w:tcBorders>
              <w:top w:val="nil"/>
              <w:left w:val="nil"/>
              <w:bottom w:val="nil"/>
              <w:right w:val="single" w:sz="8" w:space="0" w:color="auto"/>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r>
      <w:tr w:rsidR="00445218" w:rsidRPr="007B4999" w:rsidTr="00445218">
        <w:trPr>
          <w:trHeight w:val="300"/>
          <w:jc w:val="center"/>
        </w:trPr>
        <w:tc>
          <w:tcPr>
            <w:tcW w:w="485" w:type="dxa"/>
            <w:tcBorders>
              <w:top w:val="nil"/>
              <w:left w:val="single" w:sz="8" w:space="0" w:color="auto"/>
              <w:bottom w:val="nil"/>
              <w:right w:val="nil"/>
            </w:tcBorders>
            <w:shd w:val="clear" w:color="auto" w:fill="auto"/>
            <w:noWrap/>
            <w:vAlign w:val="bottom"/>
            <w:hideMark/>
          </w:tcPr>
          <w:p w:rsidR="00445218" w:rsidRPr="007B4999" w:rsidRDefault="00445218" w:rsidP="00445218">
            <w:pPr>
              <w:jc w:val="right"/>
              <w:rPr>
                <w:rFonts w:ascii="SWISS" w:hAnsi="SWISS" w:cs="Arial"/>
                <w:color w:val="000000"/>
                <w:sz w:val="20"/>
                <w:szCs w:val="20"/>
              </w:rPr>
            </w:pPr>
            <w:r w:rsidRPr="007B4999">
              <w:rPr>
                <w:rFonts w:ascii="SWISS" w:hAnsi="SWISS" w:cs="Arial"/>
                <w:color w:val="000000"/>
                <w:sz w:val="20"/>
                <w:szCs w:val="20"/>
              </w:rPr>
              <w:t>9.</w:t>
            </w:r>
          </w:p>
        </w:tc>
        <w:tc>
          <w:tcPr>
            <w:tcW w:w="3460"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b/>
                <w:bCs/>
                <w:color w:val="000000"/>
                <w:sz w:val="20"/>
                <w:szCs w:val="20"/>
              </w:rPr>
            </w:pPr>
            <w:r w:rsidRPr="007B4999">
              <w:rPr>
                <w:rFonts w:ascii="SWISS" w:hAnsi="SWISS" w:cs="Arial"/>
                <w:b/>
                <w:bCs/>
                <w:color w:val="000000"/>
                <w:sz w:val="20"/>
                <w:szCs w:val="20"/>
              </w:rPr>
              <w:t xml:space="preserve">WASTEWATER RATE BASE           </w:t>
            </w:r>
          </w:p>
        </w:tc>
        <w:tc>
          <w:tcPr>
            <w:tcW w:w="1633" w:type="dxa"/>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u w:val="double"/>
              </w:rPr>
            </w:pPr>
            <w:r w:rsidRPr="007B4999">
              <w:rPr>
                <w:rFonts w:ascii="SWISS" w:hAnsi="SWISS" w:cs="Arial"/>
                <w:sz w:val="20"/>
                <w:szCs w:val="20"/>
                <w:u w:val="double"/>
              </w:rPr>
              <w:t xml:space="preserve">$84,862 </w:t>
            </w:r>
          </w:p>
        </w:tc>
        <w:tc>
          <w:tcPr>
            <w:tcW w:w="1722"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u w:val="double"/>
              </w:rPr>
            </w:pPr>
          </w:p>
        </w:tc>
        <w:tc>
          <w:tcPr>
            <w:tcW w:w="1518" w:type="dxa"/>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u w:val="double"/>
              </w:rPr>
            </w:pPr>
            <w:r w:rsidRPr="007B4999">
              <w:rPr>
                <w:rFonts w:ascii="SWISS" w:hAnsi="SWISS" w:cs="Arial"/>
                <w:sz w:val="20"/>
                <w:szCs w:val="20"/>
                <w:u w:val="double"/>
              </w:rPr>
              <w:t>$7,</w:t>
            </w:r>
            <w:r>
              <w:rPr>
                <w:rFonts w:ascii="SWISS" w:hAnsi="SWISS" w:cs="Arial"/>
                <w:sz w:val="20"/>
                <w:szCs w:val="20"/>
                <w:u w:val="double"/>
              </w:rPr>
              <w:t>935</w:t>
            </w:r>
            <w:r w:rsidRPr="007B4999">
              <w:rPr>
                <w:rFonts w:ascii="SWISS" w:hAnsi="SWISS" w:cs="Arial"/>
                <w:sz w:val="20"/>
                <w:szCs w:val="20"/>
                <w:u w:val="double"/>
              </w:rPr>
              <w:t xml:space="preserve"> </w:t>
            </w:r>
          </w:p>
        </w:tc>
        <w:tc>
          <w:tcPr>
            <w:tcW w:w="1258"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u w:val="double"/>
              </w:rPr>
            </w:pPr>
          </w:p>
        </w:tc>
        <w:tc>
          <w:tcPr>
            <w:tcW w:w="2160" w:type="dxa"/>
            <w:tcBorders>
              <w:top w:val="nil"/>
              <w:left w:val="nil"/>
              <w:bottom w:val="nil"/>
              <w:right w:val="single" w:sz="8" w:space="0" w:color="auto"/>
            </w:tcBorders>
            <w:shd w:val="clear" w:color="auto" w:fill="auto"/>
            <w:noWrap/>
            <w:vAlign w:val="bottom"/>
            <w:hideMark/>
          </w:tcPr>
          <w:p w:rsidR="00445218" w:rsidRPr="007B4999" w:rsidRDefault="00445218" w:rsidP="00445218">
            <w:pPr>
              <w:jc w:val="right"/>
              <w:rPr>
                <w:rFonts w:ascii="SWISS" w:hAnsi="SWISS" w:cs="Arial"/>
                <w:sz w:val="20"/>
                <w:szCs w:val="20"/>
                <w:u w:val="double"/>
              </w:rPr>
            </w:pPr>
            <w:r w:rsidRPr="007B4999">
              <w:rPr>
                <w:rFonts w:ascii="SWISS" w:hAnsi="SWISS" w:cs="Arial"/>
                <w:sz w:val="20"/>
                <w:szCs w:val="20"/>
                <w:u w:val="double"/>
              </w:rPr>
              <w:t>$7,</w:t>
            </w:r>
            <w:r>
              <w:rPr>
                <w:rFonts w:ascii="SWISS" w:hAnsi="SWISS" w:cs="Arial"/>
                <w:sz w:val="20"/>
                <w:szCs w:val="20"/>
                <w:u w:val="double"/>
              </w:rPr>
              <w:t>935</w:t>
            </w:r>
          </w:p>
        </w:tc>
      </w:tr>
      <w:tr w:rsidR="00445218" w:rsidRPr="007B4999" w:rsidTr="00445218">
        <w:trPr>
          <w:trHeight w:val="300"/>
          <w:jc w:val="center"/>
        </w:trPr>
        <w:tc>
          <w:tcPr>
            <w:tcW w:w="485" w:type="dxa"/>
            <w:tcBorders>
              <w:top w:val="nil"/>
              <w:left w:val="single" w:sz="8" w:space="0" w:color="auto"/>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p>
        </w:tc>
        <w:tc>
          <w:tcPr>
            <w:tcW w:w="1633"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722"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518"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258"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160" w:type="dxa"/>
            <w:tcBorders>
              <w:top w:val="nil"/>
              <w:left w:val="nil"/>
              <w:bottom w:val="nil"/>
              <w:right w:val="single" w:sz="8" w:space="0" w:color="auto"/>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r>
      <w:tr w:rsidR="00445218" w:rsidRPr="007B4999" w:rsidTr="00445218">
        <w:trPr>
          <w:trHeight w:val="300"/>
          <w:jc w:val="center"/>
        </w:trPr>
        <w:tc>
          <w:tcPr>
            <w:tcW w:w="485" w:type="dxa"/>
            <w:tcBorders>
              <w:top w:val="nil"/>
              <w:left w:val="single" w:sz="8" w:space="0" w:color="auto"/>
              <w:bottom w:val="nil"/>
              <w:right w:val="nil"/>
            </w:tcBorders>
            <w:shd w:val="clear" w:color="auto" w:fill="auto"/>
            <w:noWrap/>
            <w:vAlign w:val="bottom"/>
            <w:hideMark/>
          </w:tcPr>
          <w:p w:rsidR="00445218" w:rsidRPr="007B4999" w:rsidRDefault="00445218" w:rsidP="00445218">
            <w:pPr>
              <w:jc w:val="right"/>
              <w:rPr>
                <w:rFonts w:ascii="SWISS" w:hAnsi="SWISS" w:cs="Arial"/>
                <w:color w:val="000000"/>
                <w:sz w:val="20"/>
                <w:szCs w:val="20"/>
              </w:rPr>
            </w:pPr>
            <w:r w:rsidRPr="007B4999">
              <w:rPr>
                <w:rFonts w:ascii="SWISS" w:hAnsi="SWISS" w:cs="Arial"/>
                <w:color w:val="000000"/>
                <w:sz w:val="20"/>
                <w:szCs w:val="20"/>
              </w:rPr>
              <w:t>10.</w:t>
            </w:r>
          </w:p>
        </w:tc>
        <w:tc>
          <w:tcPr>
            <w:tcW w:w="3460"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b/>
                <w:bCs/>
                <w:color w:val="000000"/>
                <w:sz w:val="20"/>
                <w:szCs w:val="20"/>
              </w:rPr>
            </w:pPr>
            <w:r w:rsidRPr="007B4999">
              <w:rPr>
                <w:rFonts w:ascii="SWISS" w:hAnsi="SWISS" w:cs="Arial"/>
                <w:b/>
                <w:bCs/>
                <w:color w:val="000000"/>
                <w:sz w:val="20"/>
                <w:szCs w:val="20"/>
              </w:rPr>
              <w:t>RATE OF RETURN</w:t>
            </w:r>
          </w:p>
        </w:tc>
        <w:tc>
          <w:tcPr>
            <w:tcW w:w="1633" w:type="dxa"/>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u w:val="double"/>
              </w:rPr>
            </w:pPr>
            <w:r w:rsidRPr="007B4999">
              <w:rPr>
                <w:rFonts w:ascii="SWISS" w:hAnsi="SWISS" w:cs="Arial"/>
                <w:sz w:val="20"/>
                <w:szCs w:val="20"/>
                <w:u w:val="double"/>
              </w:rPr>
              <w:t>29.67%</w:t>
            </w:r>
          </w:p>
        </w:tc>
        <w:tc>
          <w:tcPr>
            <w:tcW w:w="1722"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u w:val="double"/>
              </w:rPr>
            </w:pPr>
          </w:p>
        </w:tc>
        <w:tc>
          <w:tcPr>
            <w:tcW w:w="1518" w:type="dxa"/>
            <w:tcBorders>
              <w:top w:val="nil"/>
              <w:left w:val="nil"/>
              <w:bottom w:val="nil"/>
              <w:right w:val="nil"/>
            </w:tcBorders>
            <w:shd w:val="clear" w:color="auto" w:fill="auto"/>
            <w:noWrap/>
            <w:vAlign w:val="bottom"/>
            <w:hideMark/>
          </w:tcPr>
          <w:p w:rsidR="00445218" w:rsidRPr="007B4999" w:rsidRDefault="00445218" w:rsidP="00445218">
            <w:pPr>
              <w:jc w:val="right"/>
              <w:rPr>
                <w:rFonts w:ascii="SWISS" w:hAnsi="SWISS" w:cs="Arial"/>
                <w:sz w:val="20"/>
                <w:szCs w:val="20"/>
                <w:u w:val="double"/>
              </w:rPr>
            </w:pPr>
          </w:p>
        </w:tc>
        <w:tc>
          <w:tcPr>
            <w:tcW w:w="1258"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u w:val="double"/>
              </w:rPr>
            </w:pPr>
          </w:p>
        </w:tc>
        <w:tc>
          <w:tcPr>
            <w:tcW w:w="2160" w:type="dxa"/>
            <w:tcBorders>
              <w:top w:val="nil"/>
              <w:left w:val="nil"/>
              <w:bottom w:val="nil"/>
              <w:right w:val="single" w:sz="8" w:space="0" w:color="auto"/>
            </w:tcBorders>
            <w:shd w:val="clear" w:color="auto" w:fill="auto"/>
            <w:noWrap/>
            <w:vAlign w:val="bottom"/>
            <w:hideMark/>
          </w:tcPr>
          <w:p w:rsidR="00445218" w:rsidRPr="007B4999" w:rsidRDefault="00445218" w:rsidP="00445218">
            <w:pPr>
              <w:jc w:val="right"/>
              <w:rPr>
                <w:rFonts w:ascii="SWISS" w:hAnsi="SWISS" w:cs="Arial"/>
                <w:sz w:val="20"/>
                <w:szCs w:val="20"/>
                <w:u w:val="double"/>
              </w:rPr>
            </w:pPr>
          </w:p>
        </w:tc>
      </w:tr>
      <w:tr w:rsidR="00445218" w:rsidRPr="007B4999" w:rsidTr="00445218">
        <w:trPr>
          <w:trHeight w:val="300"/>
          <w:jc w:val="center"/>
        </w:trPr>
        <w:tc>
          <w:tcPr>
            <w:tcW w:w="485" w:type="dxa"/>
            <w:tcBorders>
              <w:top w:val="nil"/>
              <w:left w:val="single" w:sz="8" w:space="0" w:color="auto"/>
              <w:bottom w:val="nil"/>
              <w:right w:val="nil"/>
            </w:tcBorders>
            <w:shd w:val="clear" w:color="auto" w:fill="auto"/>
            <w:noWrap/>
            <w:vAlign w:val="bottom"/>
            <w:hideMark/>
          </w:tcPr>
          <w:p w:rsidR="00445218" w:rsidRPr="007B4999" w:rsidRDefault="00445218" w:rsidP="00445218">
            <w:pPr>
              <w:jc w:val="center"/>
              <w:rPr>
                <w:rFonts w:ascii="SWISS" w:hAnsi="SWISS" w:cs="Arial"/>
                <w:color w:val="000000"/>
                <w:sz w:val="20"/>
                <w:szCs w:val="20"/>
              </w:rPr>
            </w:pPr>
            <w:r w:rsidRPr="007B4999">
              <w:rPr>
                <w:rFonts w:ascii="SWISS" w:hAnsi="SWISS" w:cs="Arial"/>
                <w:color w:val="000000"/>
                <w:sz w:val="20"/>
                <w:szCs w:val="20"/>
              </w:rPr>
              <w:t> </w:t>
            </w:r>
          </w:p>
        </w:tc>
        <w:tc>
          <w:tcPr>
            <w:tcW w:w="3460"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p>
        </w:tc>
        <w:tc>
          <w:tcPr>
            <w:tcW w:w="1633"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722"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518"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258" w:type="dxa"/>
            <w:tcBorders>
              <w:top w:val="nil"/>
              <w:left w:val="nil"/>
              <w:bottom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2160" w:type="dxa"/>
            <w:tcBorders>
              <w:top w:val="nil"/>
              <w:left w:val="nil"/>
              <w:bottom w:val="nil"/>
              <w:right w:val="single" w:sz="8" w:space="0" w:color="auto"/>
            </w:tcBorders>
            <w:shd w:val="clear" w:color="auto" w:fill="auto"/>
            <w:noWrap/>
            <w:vAlign w:val="bottom"/>
            <w:hideMark/>
          </w:tcPr>
          <w:p w:rsidR="00445218" w:rsidRPr="007B4999" w:rsidRDefault="00445218" w:rsidP="00445218">
            <w:pPr>
              <w:rPr>
                <w:rFonts w:ascii="SWISS" w:hAnsi="SWISS" w:cs="Arial"/>
                <w:sz w:val="20"/>
                <w:szCs w:val="20"/>
              </w:rPr>
            </w:pPr>
            <w:r w:rsidRPr="007B4999">
              <w:rPr>
                <w:rFonts w:ascii="SWISS" w:hAnsi="SWISS" w:cs="Arial"/>
                <w:sz w:val="20"/>
                <w:szCs w:val="20"/>
              </w:rPr>
              <w:t> </w:t>
            </w:r>
          </w:p>
        </w:tc>
      </w:tr>
      <w:tr w:rsidR="00445218" w:rsidRPr="007B4999" w:rsidTr="00445218">
        <w:trPr>
          <w:trHeight w:val="300"/>
          <w:jc w:val="center"/>
        </w:trPr>
        <w:tc>
          <w:tcPr>
            <w:tcW w:w="485" w:type="dxa"/>
            <w:tcBorders>
              <w:top w:val="nil"/>
              <w:left w:val="single" w:sz="8" w:space="0" w:color="auto"/>
              <w:right w:val="nil"/>
            </w:tcBorders>
            <w:shd w:val="clear" w:color="auto" w:fill="auto"/>
            <w:noWrap/>
            <w:vAlign w:val="bottom"/>
            <w:hideMark/>
          </w:tcPr>
          <w:p w:rsidR="00445218" w:rsidRPr="007B4999" w:rsidRDefault="00445218" w:rsidP="00445218">
            <w:pPr>
              <w:jc w:val="right"/>
              <w:rPr>
                <w:rFonts w:ascii="SWISS" w:hAnsi="SWISS" w:cs="Arial"/>
                <w:color w:val="000000"/>
                <w:sz w:val="20"/>
                <w:szCs w:val="20"/>
              </w:rPr>
            </w:pPr>
            <w:r w:rsidRPr="007B4999">
              <w:rPr>
                <w:rFonts w:ascii="SWISS" w:hAnsi="SWISS" w:cs="Arial"/>
                <w:color w:val="000000"/>
                <w:sz w:val="20"/>
                <w:szCs w:val="20"/>
              </w:rPr>
              <w:t>11.</w:t>
            </w:r>
          </w:p>
        </w:tc>
        <w:tc>
          <w:tcPr>
            <w:tcW w:w="3460" w:type="dxa"/>
            <w:tcBorders>
              <w:top w:val="nil"/>
              <w:left w:val="nil"/>
              <w:right w:val="nil"/>
            </w:tcBorders>
            <w:shd w:val="clear" w:color="auto" w:fill="auto"/>
            <w:noWrap/>
            <w:vAlign w:val="bottom"/>
            <w:hideMark/>
          </w:tcPr>
          <w:p w:rsidR="00445218" w:rsidRPr="007B4999" w:rsidRDefault="00445218" w:rsidP="00445218">
            <w:pPr>
              <w:rPr>
                <w:rFonts w:ascii="SWISS" w:hAnsi="SWISS" w:cs="Arial"/>
                <w:b/>
                <w:bCs/>
                <w:color w:val="000000"/>
                <w:sz w:val="20"/>
                <w:szCs w:val="20"/>
              </w:rPr>
            </w:pPr>
            <w:r>
              <w:rPr>
                <w:rFonts w:ascii="SWISS" w:hAnsi="SWISS" w:cs="Arial"/>
                <w:b/>
                <w:bCs/>
                <w:color w:val="000000"/>
                <w:sz w:val="20"/>
                <w:szCs w:val="20"/>
              </w:rPr>
              <w:t>OPERATING RATIO</w:t>
            </w:r>
          </w:p>
        </w:tc>
        <w:tc>
          <w:tcPr>
            <w:tcW w:w="1633" w:type="dxa"/>
            <w:tcBorders>
              <w:top w:val="nil"/>
              <w:left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722" w:type="dxa"/>
            <w:tcBorders>
              <w:top w:val="nil"/>
              <w:left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518" w:type="dxa"/>
            <w:tcBorders>
              <w:top w:val="nil"/>
              <w:left w:val="nil"/>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258" w:type="dxa"/>
            <w:tcBorders>
              <w:top w:val="nil"/>
              <w:left w:val="nil"/>
              <w:right w:val="nil"/>
            </w:tcBorders>
            <w:shd w:val="clear" w:color="auto" w:fill="auto"/>
            <w:noWrap/>
            <w:vAlign w:val="bottom"/>
            <w:hideMark/>
          </w:tcPr>
          <w:p w:rsidR="00445218" w:rsidRPr="007B4999" w:rsidRDefault="00445218" w:rsidP="00445218">
            <w:pPr>
              <w:rPr>
                <w:rFonts w:ascii="SWISS" w:hAnsi="SWISS" w:cs="Arial"/>
              </w:rPr>
            </w:pPr>
          </w:p>
        </w:tc>
        <w:tc>
          <w:tcPr>
            <w:tcW w:w="2160" w:type="dxa"/>
            <w:tcBorders>
              <w:top w:val="nil"/>
              <w:left w:val="nil"/>
              <w:right w:val="single" w:sz="8" w:space="0" w:color="auto"/>
            </w:tcBorders>
            <w:shd w:val="clear" w:color="auto" w:fill="auto"/>
            <w:noWrap/>
            <w:vAlign w:val="bottom"/>
            <w:hideMark/>
          </w:tcPr>
          <w:p w:rsidR="00445218" w:rsidRPr="007B4999" w:rsidRDefault="00445218" w:rsidP="00445218">
            <w:pPr>
              <w:jc w:val="right"/>
              <w:rPr>
                <w:rFonts w:ascii="SWISS" w:hAnsi="SWISS" w:cs="Arial"/>
              </w:rPr>
            </w:pPr>
            <w:r w:rsidRPr="007B4999">
              <w:rPr>
                <w:rFonts w:ascii="SWISS" w:hAnsi="SWISS" w:cs="Arial"/>
              </w:rPr>
              <w:t> </w:t>
            </w:r>
            <w:r>
              <w:rPr>
                <w:rFonts w:ascii="SWISS" w:hAnsi="SWISS" w:cs="Arial"/>
                <w:sz w:val="20"/>
                <w:szCs w:val="20"/>
                <w:u w:val="double"/>
              </w:rPr>
              <w:t>10.00%</w:t>
            </w:r>
          </w:p>
        </w:tc>
      </w:tr>
      <w:tr w:rsidR="00445218" w:rsidRPr="007B4999" w:rsidTr="00445218">
        <w:trPr>
          <w:trHeight w:val="300"/>
          <w:jc w:val="center"/>
        </w:trPr>
        <w:tc>
          <w:tcPr>
            <w:tcW w:w="485" w:type="dxa"/>
            <w:tcBorders>
              <w:top w:val="nil"/>
              <w:left w:val="single" w:sz="8" w:space="0" w:color="auto"/>
              <w:bottom w:val="single" w:sz="4" w:space="0" w:color="auto"/>
              <w:right w:val="nil"/>
            </w:tcBorders>
            <w:shd w:val="clear" w:color="auto" w:fill="auto"/>
            <w:noWrap/>
            <w:vAlign w:val="bottom"/>
            <w:hideMark/>
          </w:tcPr>
          <w:p w:rsidR="00445218" w:rsidRPr="007B4999" w:rsidRDefault="00445218" w:rsidP="00445218">
            <w:pPr>
              <w:jc w:val="right"/>
              <w:rPr>
                <w:rFonts w:ascii="SWISS" w:hAnsi="SWISS" w:cs="Arial"/>
                <w:sz w:val="20"/>
                <w:szCs w:val="20"/>
              </w:rPr>
            </w:pPr>
            <w:r w:rsidRPr="007B4999">
              <w:rPr>
                <w:rFonts w:ascii="SWISS" w:hAnsi="SWISS" w:cs="Arial"/>
                <w:sz w:val="20"/>
                <w:szCs w:val="20"/>
              </w:rPr>
              <w:t> </w:t>
            </w:r>
          </w:p>
        </w:tc>
        <w:tc>
          <w:tcPr>
            <w:tcW w:w="3460" w:type="dxa"/>
            <w:tcBorders>
              <w:top w:val="nil"/>
              <w:left w:val="nil"/>
              <w:bottom w:val="single" w:sz="4" w:space="0" w:color="auto"/>
              <w:right w:val="nil"/>
            </w:tcBorders>
            <w:shd w:val="clear" w:color="auto" w:fill="auto"/>
            <w:noWrap/>
            <w:vAlign w:val="bottom"/>
            <w:hideMark/>
          </w:tcPr>
          <w:p w:rsidR="00445218" w:rsidRPr="007B4999" w:rsidRDefault="00445218" w:rsidP="00445218">
            <w:pPr>
              <w:rPr>
                <w:rFonts w:ascii="SWISS" w:hAnsi="SWISS" w:cs="Arial"/>
                <w:color w:val="000000"/>
                <w:sz w:val="20"/>
                <w:szCs w:val="20"/>
              </w:rPr>
            </w:pPr>
            <w:r w:rsidRPr="007B4999">
              <w:rPr>
                <w:rFonts w:ascii="SWISS" w:hAnsi="SWISS" w:cs="Arial"/>
                <w:color w:val="000000"/>
                <w:sz w:val="20"/>
                <w:szCs w:val="20"/>
              </w:rPr>
              <w:t xml:space="preserve"> </w:t>
            </w:r>
          </w:p>
        </w:tc>
        <w:tc>
          <w:tcPr>
            <w:tcW w:w="1633" w:type="dxa"/>
            <w:tcBorders>
              <w:top w:val="nil"/>
              <w:left w:val="nil"/>
              <w:bottom w:val="single" w:sz="4" w:space="0" w:color="auto"/>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722" w:type="dxa"/>
            <w:tcBorders>
              <w:top w:val="nil"/>
              <w:left w:val="nil"/>
              <w:bottom w:val="single" w:sz="4" w:space="0" w:color="auto"/>
              <w:right w:val="nil"/>
            </w:tcBorders>
            <w:shd w:val="clear" w:color="auto" w:fill="auto"/>
            <w:noWrap/>
            <w:vAlign w:val="bottom"/>
            <w:hideMark/>
          </w:tcPr>
          <w:p w:rsidR="00445218" w:rsidRPr="007B4999" w:rsidRDefault="00445218" w:rsidP="00445218">
            <w:pPr>
              <w:rPr>
                <w:rFonts w:ascii="SWISS" w:hAnsi="SWISS" w:cs="Arial"/>
                <w:sz w:val="20"/>
                <w:szCs w:val="20"/>
              </w:rPr>
            </w:pPr>
          </w:p>
        </w:tc>
        <w:tc>
          <w:tcPr>
            <w:tcW w:w="1518" w:type="dxa"/>
            <w:tcBorders>
              <w:top w:val="nil"/>
              <w:left w:val="nil"/>
              <w:bottom w:val="single" w:sz="4" w:space="0" w:color="auto"/>
              <w:right w:val="nil"/>
            </w:tcBorders>
            <w:shd w:val="clear" w:color="auto" w:fill="auto"/>
            <w:noWrap/>
            <w:vAlign w:val="bottom"/>
          </w:tcPr>
          <w:p w:rsidR="00445218" w:rsidRPr="007B4999" w:rsidRDefault="00445218" w:rsidP="00445218">
            <w:pPr>
              <w:jc w:val="right"/>
              <w:rPr>
                <w:rFonts w:ascii="SWISS" w:hAnsi="SWISS" w:cs="Arial"/>
                <w:sz w:val="20"/>
                <w:szCs w:val="20"/>
              </w:rPr>
            </w:pPr>
          </w:p>
        </w:tc>
        <w:tc>
          <w:tcPr>
            <w:tcW w:w="1258" w:type="dxa"/>
            <w:tcBorders>
              <w:top w:val="nil"/>
              <w:left w:val="nil"/>
              <w:bottom w:val="single" w:sz="4" w:space="0" w:color="auto"/>
              <w:right w:val="nil"/>
            </w:tcBorders>
            <w:shd w:val="clear" w:color="auto" w:fill="auto"/>
            <w:vAlign w:val="bottom"/>
          </w:tcPr>
          <w:p w:rsidR="00445218" w:rsidRPr="007B4999" w:rsidRDefault="00445218" w:rsidP="00445218">
            <w:pPr>
              <w:rPr>
                <w:rFonts w:ascii="SWISS" w:hAnsi="SWISS" w:cs="Arial"/>
                <w:b/>
                <w:bCs/>
                <w:sz w:val="20"/>
                <w:szCs w:val="20"/>
              </w:rPr>
            </w:pPr>
          </w:p>
        </w:tc>
        <w:tc>
          <w:tcPr>
            <w:tcW w:w="2160" w:type="dxa"/>
            <w:tcBorders>
              <w:top w:val="nil"/>
              <w:left w:val="nil"/>
              <w:bottom w:val="single" w:sz="4" w:space="0" w:color="auto"/>
              <w:right w:val="single" w:sz="8" w:space="0" w:color="auto"/>
            </w:tcBorders>
            <w:shd w:val="clear" w:color="auto" w:fill="auto"/>
            <w:vAlign w:val="bottom"/>
          </w:tcPr>
          <w:p w:rsidR="00445218" w:rsidRPr="007B4999" w:rsidRDefault="00445218" w:rsidP="00445218">
            <w:pPr>
              <w:jc w:val="right"/>
              <w:rPr>
                <w:rFonts w:ascii="SWISS" w:hAnsi="SWISS" w:cs="Arial"/>
                <w:b/>
                <w:bCs/>
                <w:sz w:val="20"/>
                <w:szCs w:val="20"/>
              </w:rPr>
            </w:pPr>
          </w:p>
        </w:tc>
      </w:tr>
    </w:tbl>
    <w:p w:rsidR="00445218" w:rsidRDefault="00445218" w:rsidP="00B22AD8">
      <w:pPr>
        <w:spacing w:after="240"/>
        <w:jc w:val="both"/>
        <w:sectPr w:rsidR="00445218" w:rsidSect="00445218">
          <w:headerReference w:type="default" r:id="rId16"/>
          <w:headerReference w:type="first" r:id="rId17"/>
          <w:pgSz w:w="15840" w:h="12240" w:orient="landscape" w:code="1"/>
          <w:pgMar w:top="1440" w:right="1440" w:bottom="1440" w:left="1440" w:header="720" w:footer="720" w:gutter="0"/>
          <w:cols w:space="720"/>
          <w:titlePg/>
          <w:docGrid w:linePitch="360"/>
        </w:sectPr>
      </w:pPr>
    </w:p>
    <w:tbl>
      <w:tblPr>
        <w:tblW w:w="10986" w:type="dxa"/>
        <w:jc w:val="center"/>
        <w:tblInd w:w="746" w:type="dxa"/>
        <w:tblLook w:val="04A0" w:firstRow="1" w:lastRow="0" w:firstColumn="1" w:lastColumn="0" w:noHBand="0" w:noVBand="1"/>
      </w:tblPr>
      <w:tblGrid>
        <w:gridCol w:w="526"/>
        <w:gridCol w:w="7469"/>
        <w:gridCol w:w="1217"/>
        <w:gridCol w:w="1774"/>
      </w:tblGrid>
      <w:tr w:rsidR="00445218" w:rsidRPr="005B18A4" w:rsidTr="00445218">
        <w:trPr>
          <w:trHeight w:val="300"/>
          <w:jc w:val="center"/>
        </w:trPr>
        <w:tc>
          <w:tcPr>
            <w:tcW w:w="526" w:type="dxa"/>
            <w:tcBorders>
              <w:top w:val="single" w:sz="8" w:space="0" w:color="auto"/>
              <w:left w:val="single" w:sz="8" w:space="0" w:color="auto"/>
              <w:bottom w:val="nil"/>
              <w:right w:val="nil"/>
            </w:tcBorders>
            <w:shd w:val="clear" w:color="auto" w:fill="auto"/>
            <w:noWrap/>
            <w:vAlign w:val="bottom"/>
            <w:hideMark/>
          </w:tcPr>
          <w:p w:rsidR="00445218" w:rsidRPr="005B18A4" w:rsidRDefault="00445218" w:rsidP="00445218">
            <w:pPr>
              <w:jc w:val="right"/>
              <w:rPr>
                <w:rFonts w:ascii="SWISS" w:hAnsi="SWISS" w:cs="Arial"/>
                <w:sz w:val="20"/>
                <w:szCs w:val="20"/>
              </w:rPr>
            </w:pPr>
            <w:bookmarkStart w:id="15" w:name="RANGE!A1:D115"/>
            <w:r w:rsidRPr="005B18A4">
              <w:rPr>
                <w:rFonts w:ascii="SWISS" w:hAnsi="SWISS" w:cs="Arial"/>
                <w:sz w:val="20"/>
                <w:szCs w:val="20"/>
              </w:rPr>
              <w:lastRenderedPageBreak/>
              <w:t> </w:t>
            </w:r>
            <w:bookmarkEnd w:id="15"/>
          </w:p>
        </w:tc>
        <w:tc>
          <w:tcPr>
            <w:tcW w:w="7469" w:type="dxa"/>
            <w:tcBorders>
              <w:top w:val="single" w:sz="8" w:space="0" w:color="auto"/>
              <w:left w:val="nil"/>
              <w:bottom w:val="nil"/>
              <w:right w:val="nil"/>
            </w:tcBorders>
            <w:shd w:val="clear" w:color="auto" w:fill="auto"/>
            <w:noWrap/>
            <w:vAlign w:val="center"/>
            <w:hideMark/>
          </w:tcPr>
          <w:p w:rsidR="00445218" w:rsidRPr="005B18A4" w:rsidRDefault="00445218" w:rsidP="00445218">
            <w:pPr>
              <w:rPr>
                <w:rFonts w:ascii="SWISS" w:hAnsi="SWISS" w:cs="Arial"/>
                <w:b/>
                <w:bCs/>
                <w:color w:val="000000"/>
                <w:sz w:val="20"/>
                <w:szCs w:val="20"/>
              </w:rPr>
            </w:pPr>
            <w:r w:rsidRPr="005B18A4">
              <w:rPr>
                <w:rFonts w:ascii="SWISS" w:hAnsi="SWISS" w:cs="Arial"/>
                <w:b/>
                <w:bCs/>
                <w:color w:val="000000"/>
                <w:sz w:val="20"/>
                <w:szCs w:val="20"/>
              </w:rPr>
              <w:t xml:space="preserve">FIMC </w:t>
            </w:r>
            <w:r>
              <w:rPr>
                <w:rFonts w:ascii="SWISS" w:hAnsi="SWISS" w:cs="Arial"/>
                <w:b/>
                <w:bCs/>
                <w:color w:val="000000"/>
                <w:sz w:val="20"/>
                <w:szCs w:val="20"/>
              </w:rPr>
              <w:t>HIDEAWAY, INC.</w:t>
            </w:r>
            <w:r>
              <w:t xml:space="preserve"> </w:t>
            </w:r>
            <w:r>
              <w:fldChar w:fldCharType="begin"/>
            </w:r>
            <w:r>
              <w:instrText xml:space="preserve"> TC "</w:instrText>
            </w:r>
            <w:bookmarkStart w:id="16" w:name="_Toc515885139"/>
            <w:bookmarkStart w:id="17" w:name="_Toc517858051"/>
            <w:r>
              <w:tab/>
              <w:instrText>Schedule No. 3-C Adjustments to NOI</w:instrText>
            </w:r>
            <w:bookmarkEnd w:id="16"/>
            <w:bookmarkEnd w:id="17"/>
            <w:r>
              <w:instrText xml:space="preserve">" \l 1 </w:instrText>
            </w:r>
            <w:r>
              <w:fldChar w:fldCharType="end"/>
            </w:r>
          </w:p>
        </w:tc>
        <w:tc>
          <w:tcPr>
            <w:tcW w:w="2991" w:type="dxa"/>
            <w:gridSpan w:val="2"/>
            <w:tcBorders>
              <w:top w:val="single" w:sz="8" w:space="0" w:color="auto"/>
              <w:left w:val="nil"/>
              <w:bottom w:val="nil"/>
              <w:right w:val="single" w:sz="8" w:space="0" w:color="000000"/>
            </w:tcBorders>
            <w:shd w:val="clear" w:color="auto" w:fill="auto"/>
            <w:noWrap/>
            <w:vAlign w:val="center"/>
            <w:hideMark/>
          </w:tcPr>
          <w:p w:rsidR="00445218" w:rsidRPr="005B18A4" w:rsidRDefault="00445218" w:rsidP="00445218">
            <w:pPr>
              <w:jc w:val="right"/>
              <w:rPr>
                <w:rFonts w:ascii="SWISS" w:hAnsi="SWISS" w:cs="Arial"/>
                <w:b/>
                <w:bCs/>
                <w:color w:val="000000"/>
                <w:sz w:val="20"/>
                <w:szCs w:val="20"/>
              </w:rPr>
            </w:pPr>
            <w:r>
              <w:rPr>
                <w:rFonts w:ascii="SWISS" w:hAnsi="SWISS" w:cs="Arial"/>
                <w:b/>
                <w:bCs/>
                <w:color w:val="000000"/>
                <w:sz w:val="20"/>
                <w:szCs w:val="20"/>
              </w:rPr>
              <w:t>SCHEDULE NO</w:t>
            </w:r>
            <w:r w:rsidRPr="005B18A4">
              <w:rPr>
                <w:rFonts w:ascii="SWISS" w:hAnsi="SWISS" w:cs="Arial"/>
                <w:b/>
                <w:bCs/>
                <w:color w:val="000000"/>
                <w:sz w:val="20"/>
                <w:szCs w:val="20"/>
              </w:rPr>
              <w:t>. 3-</w:t>
            </w:r>
            <w:r>
              <w:rPr>
                <w:rFonts w:ascii="SWISS" w:hAnsi="SWISS" w:cs="Arial"/>
                <w:b/>
                <w:bCs/>
                <w:color w:val="000000"/>
                <w:sz w:val="20"/>
                <w:szCs w:val="20"/>
              </w:rPr>
              <w:t>C</w:t>
            </w:r>
          </w:p>
        </w:tc>
      </w:tr>
      <w:tr w:rsidR="00445218" w:rsidRPr="005B18A4" w:rsidTr="00445218">
        <w:trPr>
          <w:trHeight w:val="300"/>
          <w:jc w:val="center"/>
        </w:trPr>
        <w:tc>
          <w:tcPr>
            <w:tcW w:w="526" w:type="dxa"/>
            <w:tcBorders>
              <w:top w:val="nil"/>
              <w:left w:val="single" w:sz="8" w:space="0" w:color="auto"/>
              <w:bottom w:val="nil"/>
              <w:right w:val="nil"/>
            </w:tcBorders>
            <w:shd w:val="clear" w:color="auto" w:fill="auto"/>
            <w:noWrap/>
            <w:vAlign w:val="bottom"/>
            <w:hideMark/>
          </w:tcPr>
          <w:p w:rsidR="00445218" w:rsidRPr="005B18A4" w:rsidRDefault="00445218" w:rsidP="00445218">
            <w:pPr>
              <w:jc w:val="right"/>
              <w:rPr>
                <w:rFonts w:ascii="SWISS" w:hAnsi="SWISS" w:cs="Arial"/>
                <w:sz w:val="20"/>
                <w:szCs w:val="20"/>
              </w:rPr>
            </w:pPr>
            <w:r w:rsidRPr="005B18A4">
              <w:rPr>
                <w:rFonts w:ascii="SWISS" w:hAnsi="SWISS" w:cs="Arial"/>
                <w:sz w:val="20"/>
                <w:szCs w:val="20"/>
              </w:rPr>
              <w:t> </w:t>
            </w:r>
          </w:p>
        </w:tc>
        <w:tc>
          <w:tcPr>
            <w:tcW w:w="7469" w:type="dxa"/>
            <w:tcBorders>
              <w:top w:val="nil"/>
              <w:left w:val="nil"/>
              <w:bottom w:val="nil"/>
              <w:right w:val="nil"/>
            </w:tcBorders>
            <w:shd w:val="clear" w:color="auto" w:fill="auto"/>
            <w:noWrap/>
            <w:vAlign w:val="center"/>
            <w:hideMark/>
          </w:tcPr>
          <w:p w:rsidR="00445218" w:rsidRPr="005B18A4" w:rsidRDefault="00445218" w:rsidP="00445218">
            <w:pPr>
              <w:rPr>
                <w:rFonts w:ascii="SWISS" w:hAnsi="SWISS" w:cs="Arial"/>
                <w:b/>
                <w:bCs/>
                <w:color w:val="000000"/>
                <w:sz w:val="20"/>
                <w:szCs w:val="20"/>
              </w:rPr>
            </w:pPr>
            <w:r w:rsidRPr="005B18A4">
              <w:rPr>
                <w:rFonts w:ascii="SWISS" w:hAnsi="SWISS" w:cs="Arial"/>
                <w:b/>
                <w:bCs/>
                <w:color w:val="000000"/>
                <w:sz w:val="20"/>
                <w:szCs w:val="20"/>
              </w:rPr>
              <w:t xml:space="preserve">TEST YEAR ENDED </w:t>
            </w:r>
            <w:r>
              <w:rPr>
                <w:rFonts w:ascii="SWISS" w:hAnsi="SWISS" w:cs="Arial"/>
                <w:b/>
                <w:bCs/>
                <w:color w:val="000000"/>
                <w:sz w:val="20"/>
                <w:szCs w:val="20"/>
              </w:rPr>
              <w:t>June 30, 20</w:t>
            </w:r>
            <w:r w:rsidRPr="005B18A4">
              <w:rPr>
                <w:rFonts w:ascii="SWISS" w:hAnsi="SWISS" w:cs="Arial"/>
                <w:b/>
                <w:bCs/>
                <w:color w:val="000000"/>
                <w:sz w:val="20"/>
                <w:szCs w:val="20"/>
              </w:rPr>
              <w:t>17</w:t>
            </w:r>
          </w:p>
        </w:tc>
        <w:tc>
          <w:tcPr>
            <w:tcW w:w="2991" w:type="dxa"/>
            <w:gridSpan w:val="2"/>
            <w:tcBorders>
              <w:top w:val="nil"/>
              <w:left w:val="nil"/>
              <w:bottom w:val="nil"/>
              <w:right w:val="single" w:sz="8" w:space="0" w:color="000000"/>
            </w:tcBorders>
            <w:shd w:val="clear" w:color="auto" w:fill="auto"/>
            <w:noWrap/>
            <w:vAlign w:val="center"/>
            <w:hideMark/>
          </w:tcPr>
          <w:p w:rsidR="00445218" w:rsidRPr="005B18A4" w:rsidRDefault="00445218" w:rsidP="00445218">
            <w:pPr>
              <w:jc w:val="right"/>
              <w:rPr>
                <w:rFonts w:ascii="SWISS" w:hAnsi="SWISS" w:cs="Arial"/>
                <w:b/>
                <w:bCs/>
                <w:color w:val="000000"/>
                <w:sz w:val="20"/>
                <w:szCs w:val="20"/>
              </w:rPr>
            </w:pPr>
            <w:r w:rsidRPr="005B18A4">
              <w:rPr>
                <w:rFonts w:ascii="SWISS" w:hAnsi="SWISS" w:cs="Arial"/>
                <w:b/>
                <w:bCs/>
                <w:color w:val="000000"/>
                <w:sz w:val="20"/>
                <w:szCs w:val="20"/>
              </w:rPr>
              <w:t>DOCKET NO. 20170147-WS</w:t>
            </w:r>
          </w:p>
        </w:tc>
      </w:tr>
      <w:tr w:rsidR="00445218" w:rsidRPr="005B18A4" w:rsidTr="00445218">
        <w:trPr>
          <w:trHeight w:val="312"/>
          <w:jc w:val="center"/>
        </w:trPr>
        <w:tc>
          <w:tcPr>
            <w:tcW w:w="526" w:type="dxa"/>
            <w:tcBorders>
              <w:top w:val="nil"/>
              <w:left w:val="single" w:sz="8" w:space="0" w:color="auto"/>
              <w:bottom w:val="single" w:sz="8" w:space="0" w:color="auto"/>
              <w:right w:val="nil"/>
            </w:tcBorders>
            <w:shd w:val="clear" w:color="auto" w:fill="auto"/>
            <w:noWrap/>
            <w:vAlign w:val="bottom"/>
            <w:hideMark/>
          </w:tcPr>
          <w:p w:rsidR="00445218" w:rsidRPr="005B18A4" w:rsidRDefault="00445218" w:rsidP="00445218">
            <w:pPr>
              <w:jc w:val="right"/>
              <w:rPr>
                <w:rFonts w:ascii="SWISS" w:hAnsi="SWISS" w:cs="Arial"/>
                <w:sz w:val="20"/>
                <w:szCs w:val="20"/>
              </w:rPr>
            </w:pPr>
            <w:r w:rsidRPr="005B18A4">
              <w:rPr>
                <w:rFonts w:ascii="SWISS" w:hAnsi="SWISS" w:cs="Arial"/>
                <w:sz w:val="20"/>
                <w:szCs w:val="20"/>
              </w:rPr>
              <w:t> </w:t>
            </w:r>
          </w:p>
        </w:tc>
        <w:tc>
          <w:tcPr>
            <w:tcW w:w="7469" w:type="dxa"/>
            <w:tcBorders>
              <w:top w:val="nil"/>
              <w:left w:val="nil"/>
              <w:bottom w:val="single" w:sz="8" w:space="0" w:color="auto"/>
              <w:right w:val="nil"/>
            </w:tcBorders>
            <w:shd w:val="clear" w:color="auto" w:fill="auto"/>
            <w:noWrap/>
            <w:vAlign w:val="center"/>
            <w:hideMark/>
          </w:tcPr>
          <w:p w:rsidR="00445218" w:rsidRPr="005B18A4" w:rsidRDefault="00445218" w:rsidP="00445218">
            <w:pPr>
              <w:rPr>
                <w:rFonts w:ascii="SWISS" w:hAnsi="SWISS" w:cs="Arial"/>
                <w:b/>
                <w:bCs/>
                <w:sz w:val="20"/>
                <w:szCs w:val="20"/>
              </w:rPr>
            </w:pPr>
            <w:r w:rsidRPr="005B18A4">
              <w:rPr>
                <w:rFonts w:ascii="SWISS" w:hAnsi="SWISS" w:cs="Arial"/>
                <w:b/>
                <w:bCs/>
                <w:sz w:val="20"/>
                <w:szCs w:val="20"/>
              </w:rPr>
              <w:t>ADJUSTMENTS TO OPERATING INCOME</w:t>
            </w:r>
          </w:p>
        </w:tc>
        <w:tc>
          <w:tcPr>
            <w:tcW w:w="2991" w:type="dxa"/>
            <w:gridSpan w:val="2"/>
            <w:tcBorders>
              <w:top w:val="nil"/>
              <w:left w:val="nil"/>
              <w:bottom w:val="single" w:sz="8" w:space="0" w:color="auto"/>
              <w:right w:val="single" w:sz="8" w:space="0" w:color="000000"/>
            </w:tcBorders>
            <w:shd w:val="clear" w:color="auto" w:fill="auto"/>
            <w:noWrap/>
            <w:vAlign w:val="center"/>
            <w:hideMark/>
          </w:tcPr>
          <w:p w:rsidR="00445218" w:rsidRPr="005B18A4" w:rsidRDefault="00445218" w:rsidP="00445218">
            <w:pPr>
              <w:jc w:val="right"/>
              <w:rPr>
                <w:rFonts w:ascii="SWISS" w:hAnsi="SWISS" w:cs="Arial"/>
                <w:b/>
                <w:bCs/>
                <w:color w:val="000000"/>
                <w:sz w:val="20"/>
                <w:szCs w:val="20"/>
              </w:rPr>
            </w:pPr>
            <w:r w:rsidRPr="005B18A4">
              <w:rPr>
                <w:rFonts w:ascii="SWISS" w:hAnsi="SWISS" w:cs="Arial"/>
                <w:b/>
                <w:bCs/>
                <w:color w:val="000000"/>
                <w:sz w:val="20"/>
                <w:szCs w:val="20"/>
              </w:rPr>
              <w:t>Page 1 of</w:t>
            </w:r>
            <w:r>
              <w:rPr>
                <w:rFonts w:ascii="SWISS" w:hAnsi="SWISS" w:cs="Arial"/>
                <w:b/>
                <w:bCs/>
                <w:color w:val="000000"/>
                <w:sz w:val="20"/>
                <w:szCs w:val="20"/>
              </w:rPr>
              <w:t xml:space="preserve"> 2</w:t>
            </w:r>
          </w:p>
        </w:tc>
      </w:tr>
      <w:tr w:rsidR="00445218" w:rsidRPr="005B18A4" w:rsidTr="00445218">
        <w:trPr>
          <w:trHeight w:val="300"/>
          <w:jc w:val="center"/>
        </w:trPr>
        <w:tc>
          <w:tcPr>
            <w:tcW w:w="526" w:type="dxa"/>
            <w:tcBorders>
              <w:top w:val="nil"/>
              <w:left w:val="single" w:sz="8" w:space="0" w:color="auto"/>
              <w:bottom w:val="nil"/>
              <w:right w:val="nil"/>
            </w:tcBorders>
            <w:shd w:val="clear" w:color="auto" w:fill="auto"/>
            <w:noWrap/>
            <w:vAlign w:val="bottom"/>
            <w:hideMark/>
          </w:tcPr>
          <w:p w:rsidR="00445218" w:rsidRPr="005B18A4" w:rsidRDefault="00445218" w:rsidP="00445218">
            <w:pPr>
              <w:jc w:val="right"/>
              <w:rPr>
                <w:rFonts w:ascii="SWISS" w:hAnsi="SWISS" w:cs="Arial"/>
                <w:sz w:val="20"/>
                <w:szCs w:val="20"/>
              </w:rPr>
            </w:pPr>
            <w:r w:rsidRPr="005B18A4">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445218" w:rsidRPr="005B18A4" w:rsidRDefault="00445218" w:rsidP="00445218">
            <w:pPr>
              <w:rPr>
                <w:rFonts w:ascii="SWISS" w:hAnsi="SWISS" w:cs="Arial"/>
                <w:sz w:val="20"/>
                <w:szCs w:val="20"/>
              </w:rPr>
            </w:pPr>
          </w:p>
        </w:tc>
        <w:tc>
          <w:tcPr>
            <w:tcW w:w="1217" w:type="dxa"/>
            <w:tcBorders>
              <w:top w:val="nil"/>
              <w:left w:val="nil"/>
              <w:bottom w:val="nil"/>
              <w:right w:val="nil"/>
            </w:tcBorders>
            <w:shd w:val="clear" w:color="auto" w:fill="auto"/>
            <w:noWrap/>
            <w:vAlign w:val="bottom"/>
            <w:hideMark/>
          </w:tcPr>
          <w:p w:rsidR="00445218" w:rsidRPr="005B18A4" w:rsidRDefault="00445218" w:rsidP="00445218">
            <w:pPr>
              <w:jc w:val="center"/>
              <w:rPr>
                <w:rFonts w:ascii="SWISS" w:hAnsi="SWISS" w:cs="Arial"/>
                <w:b/>
                <w:bCs/>
                <w:sz w:val="20"/>
                <w:szCs w:val="20"/>
                <w:u w:val="single"/>
              </w:rPr>
            </w:pPr>
            <w:r w:rsidRPr="005B18A4">
              <w:rPr>
                <w:rFonts w:ascii="SWISS" w:hAnsi="SWISS" w:cs="Arial"/>
                <w:b/>
                <w:bCs/>
                <w:sz w:val="20"/>
                <w:szCs w:val="20"/>
                <w:u w:val="single"/>
              </w:rPr>
              <w:t>WATER</w:t>
            </w:r>
          </w:p>
        </w:tc>
        <w:tc>
          <w:tcPr>
            <w:tcW w:w="1774" w:type="dxa"/>
            <w:tcBorders>
              <w:top w:val="nil"/>
              <w:left w:val="nil"/>
              <w:bottom w:val="nil"/>
              <w:right w:val="single" w:sz="8" w:space="0" w:color="auto"/>
            </w:tcBorders>
            <w:shd w:val="clear" w:color="auto" w:fill="auto"/>
            <w:noWrap/>
            <w:vAlign w:val="bottom"/>
            <w:hideMark/>
          </w:tcPr>
          <w:p w:rsidR="00445218" w:rsidRPr="005B18A4" w:rsidRDefault="00445218" w:rsidP="00445218">
            <w:pPr>
              <w:jc w:val="center"/>
              <w:rPr>
                <w:rFonts w:ascii="SWISS" w:hAnsi="SWISS" w:cs="Arial"/>
                <w:b/>
                <w:bCs/>
                <w:sz w:val="20"/>
                <w:szCs w:val="20"/>
                <w:u w:val="single"/>
              </w:rPr>
            </w:pPr>
            <w:r w:rsidRPr="005B18A4">
              <w:rPr>
                <w:rFonts w:ascii="SWISS" w:hAnsi="SWISS" w:cs="Arial"/>
                <w:b/>
                <w:bCs/>
                <w:sz w:val="20"/>
                <w:szCs w:val="20"/>
                <w:u w:val="single"/>
              </w:rPr>
              <w:t>WASTEWATER</w:t>
            </w:r>
          </w:p>
        </w:tc>
      </w:tr>
      <w:tr w:rsidR="00445218" w:rsidRPr="005B18A4" w:rsidTr="00445218">
        <w:trPr>
          <w:trHeight w:val="300"/>
          <w:jc w:val="center"/>
        </w:trPr>
        <w:tc>
          <w:tcPr>
            <w:tcW w:w="526" w:type="dxa"/>
            <w:tcBorders>
              <w:top w:val="nil"/>
              <w:left w:val="single" w:sz="8" w:space="0" w:color="auto"/>
              <w:bottom w:val="nil"/>
              <w:right w:val="nil"/>
            </w:tcBorders>
            <w:shd w:val="clear" w:color="auto" w:fill="auto"/>
            <w:noWrap/>
            <w:vAlign w:val="bottom"/>
            <w:hideMark/>
          </w:tcPr>
          <w:p w:rsidR="00445218" w:rsidRPr="005B18A4" w:rsidRDefault="00445218" w:rsidP="00445218">
            <w:pPr>
              <w:jc w:val="right"/>
              <w:rPr>
                <w:rFonts w:ascii="SWISS" w:hAnsi="SWISS" w:cs="Arial"/>
                <w:sz w:val="20"/>
                <w:szCs w:val="20"/>
              </w:rPr>
            </w:pPr>
            <w:r w:rsidRPr="005B18A4">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445218" w:rsidRPr="005B18A4" w:rsidRDefault="00445218" w:rsidP="00445218">
            <w:pPr>
              <w:rPr>
                <w:rFonts w:ascii="SWISS" w:hAnsi="SWISS" w:cs="Arial"/>
                <w:b/>
                <w:bCs/>
                <w:sz w:val="20"/>
                <w:szCs w:val="20"/>
              </w:rPr>
            </w:pPr>
            <w:r w:rsidRPr="005B18A4">
              <w:rPr>
                <w:rFonts w:ascii="SWISS" w:hAnsi="SWISS" w:cs="Arial"/>
                <w:b/>
                <w:bCs/>
                <w:sz w:val="20"/>
                <w:szCs w:val="20"/>
              </w:rPr>
              <w:t>OPERATING REVENUES</w:t>
            </w:r>
          </w:p>
        </w:tc>
        <w:tc>
          <w:tcPr>
            <w:tcW w:w="1217" w:type="dxa"/>
            <w:tcBorders>
              <w:top w:val="nil"/>
              <w:left w:val="nil"/>
              <w:bottom w:val="nil"/>
              <w:right w:val="nil"/>
            </w:tcBorders>
            <w:shd w:val="clear" w:color="auto" w:fill="auto"/>
            <w:noWrap/>
            <w:vAlign w:val="bottom"/>
            <w:hideMark/>
          </w:tcPr>
          <w:p w:rsidR="00445218" w:rsidRPr="005B18A4" w:rsidRDefault="00445218" w:rsidP="00445218">
            <w:pPr>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hideMark/>
          </w:tcPr>
          <w:p w:rsidR="00445218" w:rsidRPr="005B18A4" w:rsidRDefault="00445218" w:rsidP="00445218">
            <w:pPr>
              <w:rPr>
                <w:rFonts w:ascii="SWISS" w:hAnsi="SWISS" w:cs="Arial"/>
                <w:sz w:val="20"/>
                <w:szCs w:val="20"/>
              </w:rPr>
            </w:pPr>
            <w:r w:rsidRPr="005B18A4">
              <w:rPr>
                <w:rFonts w:ascii="SWISS" w:hAnsi="SWISS" w:cs="Arial"/>
                <w:sz w:val="20"/>
                <w:szCs w:val="20"/>
              </w:rPr>
              <w:t> </w:t>
            </w:r>
          </w:p>
        </w:tc>
      </w:tr>
      <w:tr w:rsidR="00445218" w:rsidRPr="00C73500" w:rsidTr="00445218">
        <w:trPr>
          <w:trHeight w:val="300"/>
          <w:jc w:val="center"/>
        </w:trPr>
        <w:tc>
          <w:tcPr>
            <w:tcW w:w="526" w:type="dxa"/>
            <w:tcBorders>
              <w:top w:val="nil"/>
              <w:left w:val="single" w:sz="8" w:space="0" w:color="auto"/>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r w:rsidRPr="00C73500">
              <w:rPr>
                <w:rFonts w:ascii="SWISS" w:hAnsi="SWISS" w:cs="Arial"/>
                <w:sz w:val="20"/>
                <w:szCs w:val="20"/>
              </w:rPr>
              <w:t>1.</w:t>
            </w:r>
          </w:p>
        </w:tc>
        <w:tc>
          <w:tcPr>
            <w:tcW w:w="7469"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rPr>
            </w:pPr>
            <w:r w:rsidRPr="00C73500">
              <w:rPr>
                <w:rFonts w:ascii="SWISS" w:hAnsi="SWISS" w:cs="Arial"/>
                <w:sz w:val="20"/>
                <w:szCs w:val="20"/>
              </w:rPr>
              <w:t>To reflect the appropriate test year services revenues.</w:t>
            </w:r>
          </w:p>
        </w:tc>
        <w:tc>
          <w:tcPr>
            <w:tcW w:w="1217" w:type="dxa"/>
            <w:tcBorders>
              <w:top w:val="nil"/>
              <w:left w:val="nil"/>
              <w:bottom w:val="nil"/>
              <w:right w:val="nil"/>
            </w:tcBorders>
            <w:shd w:val="clear" w:color="auto" w:fill="auto"/>
            <w:noWrap/>
            <w:vAlign w:val="bottom"/>
            <w:hideMark/>
          </w:tcPr>
          <w:p w:rsidR="00445218" w:rsidRPr="00C73500" w:rsidRDefault="00445218" w:rsidP="00445218">
            <w:pPr>
              <w:jc w:val="right"/>
              <w:rPr>
                <w:rFonts w:ascii="SWISS" w:hAnsi="SWISS" w:cs="Arial"/>
                <w:color w:val="000000"/>
                <w:sz w:val="20"/>
                <w:szCs w:val="20"/>
              </w:rPr>
            </w:pPr>
            <w:r w:rsidRPr="00C73500">
              <w:rPr>
                <w:rFonts w:ascii="SWISS" w:hAnsi="SWISS" w:cs="Arial"/>
                <w:color w:val="000000"/>
                <w:sz w:val="20"/>
                <w:szCs w:val="20"/>
              </w:rPr>
              <w:t>$986</w:t>
            </w:r>
          </w:p>
        </w:tc>
        <w:tc>
          <w:tcPr>
            <w:tcW w:w="1774" w:type="dxa"/>
            <w:tcBorders>
              <w:top w:val="nil"/>
              <w:left w:val="nil"/>
              <w:bottom w:val="nil"/>
              <w:right w:val="single" w:sz="8" w:space="0" w:color="auto"/>
            </w:tcBorders>
            <w:shd w:val="clear" w:color="auto" w:fill="auto"/>
            <w:noWrap/>
            <w:vAlign w:val="bottom"/>
            <w:hideMark/>
          </w:tcPr>
          <w:p w:rsidR="00445218" w:rsidRPr="00C73500" w:rsidRDefault="00445218" w:rsidP="00445218">
            <w:pPr>
              <w:jc w:val="right"/>
              <w:rPr>
                <w:rFonts w:ascii="SWISS" w:hAnsi="SWISS" w:cs="Arial"/>
                <w:sz w:val="20"/>
                <w:szCs w:val="20"/>
              </w:rPr>
            </w:pPr>
            <w:r w:rsidRPr="00C73500">
              <w:rPr>
                <w:rFonts w:ascii="SWISS" w:hAnsi="SWISS" w:cs="Arial"/>
                <w:sz w:val="20"/>
                <w:szCs w:val="20"/>
              </w:rPr>
              <w:t>($908)</w:t>
            </w:r>
          </w:p>
        </w:tc>
      </w:tr>
      <w:tr w:rsidR="00445218" w:rsidRPr="00C73500" w:rsidTr="00445218">
        <w:trPr>
          <w:trHeight w:val="300"/>
          <w:jc w:val="center"/>
        </w:trPr>
        <w:tc>
          <w:tcPr>
            <w:tcW w:w="526" w:type="dxa"/>
            <w:tcBorders>
              <w:top w:val="nil"/>
              <w:left w:val="single" w:sz="8" w:space="0" w:color="auto"/>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r w:rsidRPr="00C73500">
              <w:rPr>
                <w:rFonts w:ascii="SWISS" w:hAnsi="SWISS" w:cs="Arial"/>
                <w:sz w:val="20"/>
                <w:szCs w:val="20"/>
              </w:rPr>
              <w:t>2.</w:t>
            </w:r>
          </w:p>
        </w:tc>
        <w:tc>
          <w:tcPr>
            <w:tcW w:w="7469"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rPr>
            </w:pPr>
            <w:r w:rsidRPr="00C73500">
              <w:rPr>
                <w:rFonts w:ascii="SWISS" w:hAnsi="SWISS" w:cs="Arial"/>
                <w:sz w:val="20"/>
                <w:szCs w:val="20"/>
              </w:rPr>
              <w:t>To reflect the appropriate test year miscellaneous service revenues.</w:t>
            </w:r>
          </w:p>
        </w:tc>
        <w:tc>
          <w:tcPr>
            <w:tcW w:w="1217" w:type="dxa"/>
            <w:tcBorders>
              <w:top w:val="nil"/>
              <w:left w:val="nil"/>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u w:val="single"/>
              </w:rPr>
            </w:pPr>
            <w:r w:rsidRPr="00C73500">
              <w:rPr>
                <w:rFonts w:ascii="SWISS" w:hAnsi="SWISS" w:cs="Arial"/>
                <w:sz w:val="20"/>
                <w:szCs w:val="20"/>
                <w:u w:val="single"/>
              </w:rPr>
              <w:t>(3,119)</w:t>
            </w:r>
          </w:p>
        </w:tc>
        <w:tc>
          <w:tcPr>
            <w:tcW w:w="1774" w:type="dxa"/>
            <w:tcBorders>
              <w:top w:val="nil"/>
              <w:left w:val="nil"/>
              <w:bottom w:val="nil"/>
              <w:right w:val="single" w:sz="8" w:space="0" w:color="auto"/>
            </w:tcBorders>
            <w:shd w:val="clear" w:color="auto" w:fill="auto"/>
            <w:noWrap/>
            <w:vAlign w:val="bottom"/>
            <w:hideMark/>
          </w:tcPr>
          <w:p w:rsidR="00445218" w:rsidRPr="00C73500" w:rsidRDefault="00445218" w:rsidP="00445218">
            <w:pPr>
              <w:jc w:val="right"/>
              <w:rPr>
                <w:rFonts w:ascii="SWISS" w:hAnsi="SWISS" w:cs="Arial"/>
                <w:sz w:val="20"/>
                <w:szCs w:val="20"/>
                <w:u w:val="single"/>
              </w:rPr>
            </w:pPr>
            <w:r w:rsidRPr="00C73500">
              <w:rPr>
                <w:rFonts w:ascii="SWISS" w:hAnsi="SWISS" w:cs="Arial"/>
                <w:sz w:val="20"/>
                <w:szCs w:val="20"/>
                <w:u w:val="single"/>
              </w:rPr>
              <w:t>(2,057)</w:t>
            </w:r>
          </w:p>
        </w:tc>
      </w:tr>
      <w:tr w:rsidR="00445218" w:rsidRPr="00C73500" w:rsidTr="00445218">
        <w:trPr>
          <w:trHeight w:val="300"/>
          <w:jc w:val="center"/>
        </w:trPr>
        <w:tc>
          <w:tcPr>
            <w:tcW w:w="526" w:type="dxa"/>
            <w:tcBorders>
              <w:top w:val="nil"/>
              <w:left w:val="single" w:sz="8" w:space="0" w:color="auto"/>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rPr>
            </w:pPr>
            <w:r w:rsidRPr="00C73500">
              <w:rPr>
                <w:rFonts w:ascii="SWISS" w:hAnsi="SWISS" w:cs="Arial"/>
                <w:sz w:val="20"/>
                <w:szCs w:val="20"/>
              </w:rPr>
              <w:t xml:space="preserve">       Subtotal</w:t>
            </w:r>
          </w:p>
        </w:tc>
        <w:tc>
          <w:tcPr>
            <w:tcW w:w="1217" w:type="dxa"/>
            <w:tcBorders>
              <w:top w:val="nil"/>
              <w:left w:val="nil"/>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u w:val="double"/>
              </w:rPr>
            </w:pPr>
            <w:r w:rsidRPr="00C73500">
              <w:rPr>
                <w:rFonts w:ascii="SWISS" w:hAnsi="SWISS" w:cs="Arial"/>
                <w:sz w:val="20"/>
                <w:szCs w:val="20"/>
                <w:u w:val="double"/>
              </w:rPr>
              <w:t>($2,133)</w:t>
            </w:r>
          </w:p>
        </w:tc>
        <w:tc>
          <w:tcPr>
            <w:tcW w:w="1774" w:type="dxa"/>
            <w:tcBorders>
              <w:top w:val="nil"/>
              <w:left w:val="nil"/>
              <w:bottom w:val="nil"/>
              <w:right w:val="single" w:sz="8" w:space="0" w:color="auto"/>
            </w:tcBorders>
            <w:shd w:val="clear" w:color="auto" w:fill="auto"/>
            <w:noWrap/>
            <w:vAlign w:val="bottom"/>
            <w:hideMark/>
          </w:tcPr>
          <w:p w:rsidR="00445218" w:rsidRPr="00C73500" w:rsidRDefault="00445218" w:rsidP="00445218">
            <w:pPr>
              <w:jc w:val="right"/>
              <w:rPr>
                <w:rFonts w:ascii="SWISS" w:hAnsi="SWISS" w:cs="Arial"/>
                <w:sz w:val="20"/>
                <w:szCs w:val="20"/>
                <w:u w:val="double"/>
              </w:rPr>
            </w:pPr>
            <w:r w:rsidRPr="00C73500">
              <w:rPr>
                <w:rFonts w:ascii="SWISS" w:hAnsi="SWISS" w:cs="Arial"/>
                <w:sz w:val="20"/>
                <w:szCs w:val="20"/>
                <w:u w:val="double"/>
              </w:rPr>
              <w:t>($2,965)</w:t>
            </w:r>
          </w:p>
        </w:tc>
      </w:tr>
      <w:tr w:rsidR="00445218" w:rsidRPr="00C73500" w:rsidTr="00445218">
        <w:trPr>
          <w:trHeight w:val="300"/>
          <w:jc w:val="center"/>
        </w:trPr>
        <w:tc>
          <w:tcPr>
            <w:tcW w:w="526" w:type="dxa"/>
            <w:tcBorders>
              <w:top w:val="nil"/>
              <w:left w:val="single" w:sz="8" w:space="0" w:color="auto"/>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rPr>
            </w:pPr>
          </w:p>
        </w:tc>
        <w:tc>
          <w:tcPr>
            <w:tcW w:w="1217"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hideMark/>
          </w:tcPr>
          <w:p w:rsidR="00445218" w:rsidRPr="00C73500" w:rsidRDefault="00445218" w:rsidP="00445218">
            <w:pPr>
              <w:rPr>
                <w:rFonts w:ascii="SWISS" w:hAnsi="SWISS" w:cs="Arial"/>
                <w:sz w:val="20"/>
                <w:szCs w:val="20"/>
              </w:rPr>
            </w:pPr>
            <w:r w:rsidRPr="00C73500">
              <w:rPr>
                <w:rFonts w:ascii="SWISS" w:hAnsi="SWISS" w:cs="Arial"/>
                <w:sz w:val="20"/>
                <w:szCs w:val="20"/>
              </w:rPr>
              <w:t> </w:t>
            </w:r>
          </w:p>
        </w:tc>
      </w:tr>
      <w:tr w:rsidR="00445218" w:rsidRPr="00C73500" w:rsidTr="00445218">
        <w:trPr>
          <w:trHeight w:val="300"/>
          <w:jc w:val="center"/>
        </w:trPr>
        <w:tc>
          <w:tcPr>
            <w:tcW w:w="526" w:type="dxa"/>
            <w:tcBorders>
              <w:top w:val="nil"/>
              <w:left w:val="single" w:sz="8" w:space="0" w:color="auto"/>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b/>
                <w:bCs/>
                <w:sz w:val="20"/>
                <w:szCs w:val="20"/>
              </w:rPr>
            </w:pPr>
            <w:r w:rsidRPr="00C73500">
              <w:rPr>
                <w:rFonts w:ascii="SWISS" w:hAnsi="SWISS" w:cs="Arial"/>
                <w:b/>
                <w:bCs/>
                <w:sz w:val="20"/>
                <w:szCs w:val="20"/>
              </w:rPr>
              <w:t>OPERATION AND MAINTENANCE EXPENSES</w:t>
            </w:r>
          </w:p>
        </w:tc>
        <w:tc>
          <w:tcPr>
            <w:tcW w:w="1217"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hideMark/>
          </w:tcPr>
          <w:p w:rsidR="00445218" w:rsidRPr="00C73500" w:rsidRDefault="00445218" w:rsidP="00445218">
            <w:pPr>
              <w:rPr>
                <w:rFonts w:ascii="SWISS" w:hAnsi="SWISS" w:cs="Arial"/>
                <w:sz w:val="20"/>
                <w:szCs w:val="20"/>
              </w:rPr>
            </w:pPr>
            <w:r w:rsidRPr="00C73500">
              <w:rPr>
                <w:rFonts w:ascii="SWISS" w:hAnsi="SWISS" w:cs="Arial"/>
                <w:sz w:val="20"/>
                <w:szCs w:val="20"/>
              </w:rPr>
              <w:t> </w:t>
            </w:r>
          </w:p>
        </w:tc>
      </w:tr>
      <w:tr w:rsidR="00445218" w:rsidRPr="00C73500" w:rsidTr="00445218">
        <w:trPr>
          <w:trHeight w:val="300"/>
          <w:jc w:val="center"/>
        </w:trPr>
        <w:tc>
          <w:tcPr>
            <w:tcW w:w="526" w:type="dxa"/>
            <w:tcBorders>
              <w:top w:val="nil"/>
              <w:left w:val="single" w:sz="8" w:space="0" w:color="auto"/>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color w:val="000000"/>
                <w:sz w:val="20"/>
                <w:szCs w:val="20"/>
              </w:rPr>
            </w:pPr>
            <w:r w:rsidRPr="00C73500">
              <w:rPr>
                <w:rFonts w:ascii="SWISS" w:hAnsi="SWISS" w:cs="Arial"/>
                <w:color w:val="000000"/>
                <w:sz w:val="20"/>
                <w:szCs w:val="20"/>
              </w:rPr>
              <w:t>NOTE: All accounts are listed; accounts with adjustments are highlighted</w:t>
            </w:r>
          </w:p>
        </w:tc>
        <w:tc>
          <w:tcPr>
            <w:tcW w:w="1217"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hideMark/>
          </w:tcPr>
          <w:p w:rsidR="00445218" w:rsidRPr="00C73500" w:rsidRDefault="00445218" w:rsidP="00445218">
            <w:pPr>
              <w:rPr>
                <w:rFonts w:ascii="SWISS" w:hAnsi="SWISS" w:cs="Arial"/>
                <w:sz w:val="20"/>
                <w:szCs w:val="20"/>
              </w:rPr>
            </w:pPr>
            <w:r w:rsidRPr="00C73500">
              <w:rPr>
                <w:rFonts w:ascii="SWISS" w:hAnsi="SWISS" w:cs="Arial"/>
                <w:sz w:val="20"/>
                <w:szCs w:val="20"/>
              </w:rPr>
              <w:t> </w:t>
            </w:r>
          </w:p>
        </w:tc>
      </w:tr>
      <w:tr w:rsidR="00445218" w:rsidRPr="00C73500" w:rsidTr="00445218">
        <w:trPr>
          <w:trHeight w:val="300"/>
          <w:jc w:val="center"/>
        </w:trPr>
        <w:tc>
          <w:tcPr>
            <w:tcW w:w="526" w:type="dxa"/>
            <w:tcBorders>
              <w:top w:val="nil"/>
              <w:left w:val="single" w:sz="8" w:space="0" w:color="auto"/>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r w:rsidRPr="00C73500">
              <w:rPr>
                <w:rFonts w:ascii="SWISS" w:hAnsi="SWISS" w:cs="Arial"/>
                <w:sz w:val="20"/>
                <w:szCs w:val="20"/>
              </w:rPr>
              <w:t>1.</w:t>
            </w:r>
          </w:p>
        </w:tc>
        <w:tc>
          <w:tcPr>
            <w:tcW w:w="7469"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rPr>
            </w:pPr>
            <w:r w:rsidRPr="00C73500">
              <w:rPr>
                <w:rFonts w:ascii="SWISS" w:hAnsi="SWISS" w:cs="Arial"/>
                <w:sz w:val="20"/>
                <w:szCs w:val="20"/>
              </w:rPr>
              <w:t>Salaries and Wages - Officers (603/703)</w:t>
            </w:r>
          </w:p>
        </w:tc>
        <w:tc>
          <w:tcPr>
            <w:tcW w:w="1217"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tcPr>
          <w:p w:rsidR="00445218" w:rsidRPr="00C73500" w:rsidRDefault="00445218" w:rsidP="00445218">
            <w:pPr>
              <w:rPr>
                <w:rFonts w:ascii="SWISS" w:hAnsi="SWISS" w:cs="Arial"/>
                <w:sz w:val="20"/>
                <w:szCs w:val="20"/>
                <w:u w:val="double"/>
              </w:rPr>
            </w:pPr>
          </w:p>
        </w:tc>
      </w:tr>
      <w:tr w:rsidR="00445218" w:rsidRPr="00C73500" w:rsidTr="00445218">
        <w:trPr>
          <w:trHeight w:val="300"/>
          <w:jc w:val="center"/>
        </w:trPr>
        <w:tc>
          <w:tcPr>
            <w:tcW w:w="526" w:type="dxa"/>
            <w:tcBorders>
              <w:top w:val="nil"/>
              <w:left w:val="single" w:sz="8" w:space="0" w:color="auto"/>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rPr>
            </w:pPr>
            <w:r w:rsidRPr="00C73500">
              <w:rPr>
                <w:rFonts w:ascii="SWISS" w:hAnsi="SWISS" w:cs="Arial"/>
                <w:sz w:val="20"/>
                <w:szCs w:val="20"/>
              </w:rPr>
              <w:t>To reflect appropriate salaries and wages.</w:t>
            </w:r>
          </w:p>
        </w:tc>
        <w:tc>
          <w:tcPr>
            <w:tcW w:w="1217" w:type="dxa"/>
            <w:tcBorders>
              <w:top w:val="nil"/>
              <w:left w:val="nil"/>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u w:val="double"/>
              </w:rPr>
            </w:pPr>
            <w:r w:rsidRPr="00C73500">
              <w:rPr>
                <w:rFonts w:ascii="SWISS" w:hAnsi="SWISS" w:cs="Arial"/>
                <w:sz w:val="20"/>
                <w:szCs w:val="20"/>
                <w:u w:val="double"/>
              </w:rPr>
              <w:t xml:space="preserve">$13,039 </w:t>
            </w:r>
          </w:p>
        </w:tc>
        <w:tc>
          <w:tcPr>
            <w:tcW w:w="1774" w:type="dxa"/>
            <w:tcBorders>
              <w:top w:val="nil"/>
              <w:left w:val="nil"/>
              <w:bottom w:val="nil"/>
              <w:right w:val="single" w:sz="8" w:space="0" w:color="auto"/>
            </w:tcBorders>
            <w:shd w:val="clear" w:color="auto" w:fill="auto"/>
            <w:noWrap/>
            <w:vAlign w:val="bottom"/>
            <w:hideMark/>
          </w:tcPr>
          <w:p w:rsidR="00445218" w:rsidRPr="00C73500" w:rsidRDefault="00445218" w:rsidP="00445218">
            <w:pPr>
              <w:jc w:val="right"/>
              <w:rPr>
                <w:rFonts w:ascii="SWISS" w:hAnsi="SWISS" w:cs="Arial"/>
                <w:sz w:val="20"/>
                <w:szCs w:val="20"/>
                <w:u w:val="double"/>
              </w:rPr>
            </w:pPr>
            <w:r w:rsidRPr="00C73500">
              <w:rPr>
                <w:rFonts w:ascii="SWISS" w:hAnsi="SWISS" w:cs="Arial"/>
                <w:sz w:val="20"/>
                <w:szCs w:val="20"/>
                <w:u w:val="double"/>
              </w:rPr>
              <w:t>$13,961</w:t>
            </w:r>
          </w:p>
        </w:tc>
      </w:tr>
      <w:tr w:rsidR="00445218" w:rsidRPr="00C73500" w:rsidTr="00445218">
        <w:trPr>
          <w:trHeight w:val="300"/>
          <w:jc w:val="center"/>
        </w:trPr>
        <w:tc>
          <w:tcPr>
            <w:tcW w:w="526" w:type="dxa"/>
            <w:tcBorders>
              <w:top w:val="nil"/>
              <w:left w:val="single" w:sz="8" w:space="0" w:color="auto"/>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rPr>
            </w:pPr>
          </w:p>
        </w:tc>
        <w:tc>
          <w:tcPr>
            <w:tcW w:w="1217"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rPr>
            </w:pPr>
          </w:p>
        </w:tc>
        <w:tc>
          <w:tcPr>
            <w:tcW w:w="1774" w:type="dxa"/>
            <w:tcBorders>
              <w:top w:val="nil"/>
              <w:left w:val="nil"/>
              <w:bottom w:val="nil"/>
              <w:right w:val="single" w:sz="8" w:space="0" w:color="auto"/>
            </w:tcBorders>
            <w:shd w:val="clear" w:color="auto" w:fill="auto"/>
            <w:noWrap/>
            <w:vAlign w:val="bottom"/>
            <w:hideMark/>
          </w:tcPr>
          <w:p w:rsidR="00445218" w:rsidRPr="00C73500" w:rsidRDefault="00445218" w:rsidP="00445218">
            <w:pPr>
              <w:rPr>
                <w:rFonts w:ascii="SWISS" w:hAnsi="SWISS" w:cs="Arial"/>
              </w:rPr>
            </w:pPr>
            <w:r w:rsidRPr="00C73500">
              <w:rPr>
                <w:rFonts w:ascii="SWISS" w:hAnsi="SWISS" w:cs="Arial"/>
              </w:rPr>
              <w:t> </w:t>
            </w:r>
          </w:p>
        </w:tc>
      </w:tr>
      <w:tr w:rsidR="00445218" w:rsidRPr="00C73500" w:rsidTr="00445218">
        <w:trPr>
          <w:trHeight w:val="300"/>
          <w:jc w:val="center"/>
        </w:trPr>
        <w:tc>
          <w:tcPr>
            <w:tcW w:w="526" w:type="dxa"/>
            <w:tcBorders>
              <w:top w:val="nil"/>
              <w:left w:val="single" w:sz="8" w:space="0" w:color="auto"/>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r w:rsidRPr="00C73500">
              <w:rPr>
                <w:rFonts w:ascii="SWISS" w:hAnsi="SWISS" w:cs="Arial"/>
                <w:sz w:val="20"/>
                <w:szCs w:val="20"/>
              </w:rPr>
              <w:t>2.</w:t>
            </w:r>
          </w:p>
        </w:tc>
        <w:tc>
          <w:tcPr>
            <w:tcW w:w="7469"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rPr>
            </w:pPr>
            <w:r w:rsidRPr="00C73500">
              <w:rPr>
                <w:rFonts w:ascii="SWISS" w:hAnsi="SWISS" w:cs="Arial"/>
                <w:sz w:val="20"/>
                <w:szCs w:val="20"/>
              </w:rPr>
              <w:t xml:space="preserve">Sludge Removal Expense (711) </w:t>
            </w:r>
          </w:p>
        </w:tc>
        <w:tc>
          <w:tcPr>
            <w:tcW w:w="1217" w:type="dxa"/>
            <w:tcBorders>
              <w:top w:val="nil"/>
              <w:left w:val="nil"/>
              <w:bottom w:val="nil"/>
              <w:right w:val="nil"/>
            </w:tcBorders>
            <w:shd w:val="clear" w:color="auto" w:fill="auto"/>
            <w:noWrap/>
            <w:vAlign w:val="bottom"/>
          </w:tcPr>
          <w:p w:rsidR="00445218" w:rsidRPr="00C73500" w:rsidRDefault="00445218" w:rsidP="00445218">
            <w:pPr>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tcPr>
          <w:p w:rsidR="00445218" w:rsidRPr="00C73500" w:rsidRDefault="00445218" w:rsidP="00445218">
            <w:pPr>
              <w:rPr>
                <w:rFonts w:ascii="SWISS" w:hAnsi="SWISS" w:cs="Arial"/>
                <w:sz w:val="20"/>
                <w:szCs w:val="20"/>
                <w:u w:val="double"/>
              </w:rPr>
            </w:pPr>
          </w:p>
        </w:tc>
      </w:tr>
      <w:tr w:rsidR="00445218" w:rsidRPr="00C73500" w:rsidTr="00445218">
        <w:trPr>
          <w:trHeight w:val="336"/>
          <w:jc w:val="center"/>
        </w:trPr>
        <w:tc>
          <w:tcPr>
            <w:tcW w:w="526" w:type="dxa"/>
            <w:tcBorders>
              <w:top w:val="nil"/>
              <w:left w:val="single" w:sz="8" w:space="0" w:color="auto"/>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rPr>
            </w:pPr>
            <w:r w:rsidRPr="00C73500">
              <w:rPr>
                <w:rFonts w:ascii="SWISS" w:hAnsi="SWISS" w:cs="Arial"/>
                <w:sz w:val="20"/>
                <w:szCs w:val="20"/>
              </w:rPr>
              <w:t>To reflect appropriate sludge removal expense.</w:t>
            </w:r>
          </w:p>
        </w:tc>
        <w:tc>
          <w:tcPr>
            <w:tcW w:w="1217" w:type="dxa"/>
            <w:tcBorders>
              <w:top w:val="nil"/>
              <w:left w:val="nil"/>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u w:val="double"/>
              </w:rPr>
            </w:pPr>
            <w:r w:rsidRPr="00C73500">
              <w:rPr>
                <w:rFonts w:ascii="SWISS" w:hAnsi="SWISS" w:cs="Arial"/>
                <w:sz w:val="20"/>
                <w:szCs w:val="20"/>
                <w:u w:val="double"/>
              </w:rPr>
              <w:t xml:space="preserve">$0 </w:t>
            </w:r>
          </w:p>
        </w:tc>
        <w:tc>
          <w:tcPr>
            <w:tcW w:w="1774" w:type="dxa"/>
            <w:tcBorders>
              <w:top w:val="nil"/>
              <w:left w:val="nil"/>
              <w:bottom w:val="nil"/>
              <w:right w:val="single" w:sz="8" w:space="0" w:color="auto"/>
            </w:tcBorders>
            <w:shd w:val="clear" w:color="auto" w:fill="auto"/>
            <w:noWrap/>
            <w:vAlign w:val="bottom"/>
            <w:hideMark/>
          </w:tcPr>
          <w:p w:rsidR="00445218" w:rsidRPr="00C73500" w:rsidRDefault="00445218" w:rsidP="00445218">
            <w:pPr>
              <w:jc w:val="right"/>
              <w:rPr>
                <w:rFonts w:ascii="SWISS" w:hAnsi="SWISS" w:cs="Arial"/>
                <w:sz w:val="20"/>
                <w:szCs w:val="20"/>
                <w:u w:val="double"/>
              </w:rPr>
            </w:pPr>
            <w:r w:rsidRPr="00C73500">
              <w:rPr>
                <w:rFonts w:ascii="SWISS" w:hAnsi="SWISS" w:cs="Arial"/>
                <w:sz w:val="20"/>
                <w:szCs w:val="20"/>
                <w:u w:val="double"/>
              </w:rPr>
              <w:t xml:space="preserve">$387 </w:t>
            </w:r>
          </w:p>
        </w:tc>
      </w:tr>
      <w:tr w:rsidR="00445218" w:rsidRPr="00C73500" w:rsidTr="00445218">
        <w:trPr>
          <w:trHeight w:val="300"/>
          <w:jc w:val="center"/>
        </w:trPr>
        <w:tc>
          <w:tcPr>
            <w:tcW w:w="526" w:type="dxa"/>
            <w:tcBorders>
              <w:top w:val="nil"/>
              <w:left w:val="single" w:sz="8" w:space="0" w:color="auto"/>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rPr>
            </w:pPr>
          </w:p>
        </w:tc>
        <w:tc>
          <w:tcPr>
            <w:tcW w:w="1217"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tcPr>
          <w:p w:rsidR="00445218" w:rsidRPr="00C73500" w:rsidRDefault="00445218" w:rsidP="00445218">
            <w:pPr>
              <w:rPr>
                <w:rFonts w:ascii="SWISS" w:hAnsi="SWISS" w:cs="Arial"/>
                <w:sz w:val="20"/>
                <w:szCs w:val="20"/>
                <w:u w:val="double"/>
              </w:rPr>
            </w:pPr>
          </w:p>
        </w:tc>
      </w:tr>
      <w:tr w:rsidR="00445218" w:rsidRPr="00C73500" w:rsidTr="00445218">
        <w:trPr>
          <w:trHeight w:val="300"/>
          <w:jc w:val="center"/>
        </w:trPr>
        <w:tc>
          <w:tcPr>
            <w:tcW w:w="526" w:type="dxa"/>
            <w:tcBorders>
              <w:top w:val="nil"/>
              <w:left w:val="single" w:sz="8" w:space="0" w:color="auto"/>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r w:rsidRPr="00C73500">
              <w:rPr>
                <w:rFonts w:ascii="SWISS" w:hAnsi="SWISS" w:cs="Arial"/>
                <w:sz w:val="20"/>
                <w:szCs w:val="20"/>
              </w:rPr>
              <w:t> 3.</w:t>
            </w:r>
          </w:p>
        </w:tc>
        <w:tc>
          <w:tcPr>
            <w:tcW w:w="7469"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rPr>
            </w:pPr>
            <w:r w:rsidRPr="00C73500">
              <w:rPr>
                <w:rFonts w:ascii="SWISS" w:hAnsi="SWISS" w:cs="Arial"/>
                <w:sz w:val="20"/>
                <w:szCs w:val="20"/>
              </w:rPr>
              <w:t xml:space="preserve">Purchased Power (615/715) </w:t>
            </w:r>
          </w:p>
        </w:tc>
        <w:tc>
          <w:tcPr>
            <w:tcW w:w="1217"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tcPr>
          <w:p w:rsidR="00445218" w:rsidRPr="00C73500" w:rsidRDefault="00445218" w:rsidP="00445218">
            <w:pPr>
              <w:rPr>
                <w:rFonts w:ascii="SWISS" w:hAnsi="SWISS" w:cs="Arial"/>
                <w:sz w:val="20"/>
                <w:szCs w:val="20"/>
                <w:u w:val="double"/>
              </w:rPr>
            </w:pPr>
          </w:p>
        </w:tc>
      </w:tr>
      <w:tr w:rsidR="00445218" w:rsidRPr="00C73500" w:rsidTr="00445218">
        <w:trPr>
          <w:trHeight w:val="300"/>
          <w:jc w:val="center"/>
        </w:trPr>
        <w:tc>
          <w:tcPr>
            <w:tcW w:w="526" w:type="dxa"/>
            <w:tcBorders>
              <w:top w:val="nil"/>
              <w:left w:val="single" w:sz="8" w:space="0" w:color="auto"/>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rPr>
            </w:pPr>
            <w:r w:rsidRPr="00C73500">
              <w:rPr>
                <w:rFonts w:ascii="SWISS" w:hAnsi="SWISS" w:cs="Arial"/>
                <w:sz w:val="20"/>
                <w:szCs w:val="20"/>
              </w:rPr>
              <w:t>To remove late fees.</w:t>
            </w:r>
          </w:p>
        </w:tc>
        <w:tc>
          <w:tcPr>
            <w:tcW w:w="1217" w:type="dxa"/>
            <w:tcBorders>
              <w:top w:val="nil"/>
              <w:left w:val="nil"/>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u w:val="double"/>
              </w:rPr>
            </w:pPr>
            <w:r w:rsidRPr="00C73500">
              <w:rPr>
                <w:rFonts w:ascii="SWISS" w:hAnsi="SWISS" w:cs="Arial"/>
                <w:sz w:val="20"/>
                <w:szCs w:val="20"/>
                <w:u w:val="double"/>
              </w:rPr>
              <w:t xml:space="preserve">($10) </w:t>
            </w:r>
          </w:p>
        </w:tc>
        <w:tc>
          <w:tcPr>
            <w:tcW w:w="1774" w:type="dxa"/>
            <w:tcBorders>
              <w:top w:val="nil"/>
              <w:left w:val="nil"/>
              <w:bottom w:val="nil"/>
              <w:right w:val="single" w:sz="8" w:space="0" w:color="auto"/>
            </w:tcBorders>
            <w:shd w:val="clear" w:color="auto" w:fill="auto"/>
            <w:noWrap/>
            <w:vAlign w:val="bottom"/>
            <w:hideMark/>
          </w:tcPr>
          <w:p w:rsidR="00445218" w:rsidRPr="00C73500" w:rsidRDefault="00445218" w:rsidP="00445218">
            <w:pPr>
              <w:jc w:val="right"/>
              <w:rPr>
                <w:rFonts w:ascii="SWISS" w:hAnsi="SWISS" w:cs="Arial"/>
                <w:sz w:val="20"/>
                <w:szCs w:val="20"/>
                <w:u w:val="double"/>
              </w:rPr>
            </w:pPr>
            <w:r w:rsidRPr="00C73500">
              <w:rPr>
                <w:rFonts w:ascii="SWISS" w:hAnsi="SWISS" w:cs="Arial"/>
                <w:sz w:val="20"/>
                <w:szCs w:val="20"/>
                <w:u w:val="double"/>
              </w:rPr>
              <w:t>($37)</w:t>
            </w:r>
          </w:p>
        </w:tc>
      </w:tr>
      <w:tr w:rsidR="00445218" w:rsidRPr="00C73500" w:rsidTr="00445218">
        <w:trPr>
          <w:trHeight w:val="300"/>
          <w:jc w:val="center"/>
        </w:trPr>
        <w:tc>
          <w:tcPr>
            <w:tcW w:w="526" w:type="dxa"/>
            <w:tcBorders>
              <w:top w:val="nil"/>
              <w:left w:val="single" w:sz="8" w:space="0" w:color="auto"/>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rPr>
            </w:pPr>
          </w:p>
        </w:tc>
        <w:tc>
          <w:tcPr>
            <w:tcW w:w="1217" w:type="dxa"/>
            <w:tcBorders>
              <w:top w:val="nil"/>
              <w:left w:val="nil"/>
              <w:bottom w:val="nil"/>
              <w:right w:val="nil"/>
            </w:tcBorders>
            <w:shd w:val="clear" w:color="auto" w:fill="auto"/>
            <w:noWrap/>
            <w:vAlign w:val="bottom"/>
          </w:tcPr>
          <w:p w:rsidR="00445218" w:rsidRPr="00C73500" w:rsidRDefault="00445218" w:rsidP="00445218">
            <w:pPr>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tcPr>
          <w:p w:rsidR="00445218" w:rsidRPr="00C73500" w:rsidRDefault="00445218" w:rsidP="00445218">
            <w:pPr>
              <w:rPr>
                <w:rFonts w:ascii="SWISS" w:hAnsi="SWISS" w:cs="Arial"/>
                <w:sz w:val="20"/>
                <w:szCs w:val="20"/>
                <w:u w:val="double"/>
              </w:rPr>
            </w:pPr>
          </w:p>
        </w:tc>
      </w:tr>
      <w:tr w:rsidR="00445218" w:rsidRPr="00C73500" w:rsidTr="00445218">
        <w:trPr>
          <w:trHeight w:val="300"/>
          <w:jc w:val="center"/>
        </w:trPr>
        <w:tc>
          <w:tcPr>
            <w:tcW w:w="526" w:type="dxa"/>
            <w:tcBorders>
              <w:top w:val="nil"/>
              <w:left w:val="single" w:sz="8" w:space="0" w:color="auto"/>
              <w:bottom w:val="nil"/>
              <w:right w:val="nil"/>
            </w:tcBorders>
            <w:shd w:val="clear" w:color="auto" w:fill="auto"/>
            <w:noWrap/>
            <w:vAlign w:val="bottom"/>
          </w:tcPr>
          <w:p w:rsidR="00445218" w:rsidRPr="00C73500" w:rsidRDefault="00445218" w:rsidP="00445218">
            <w:pPr>
              <w:jc w:val="right"/>
              <w:rPr>
                <w:rFonts w:ascii="SWISS" w:hAnsi="SWISS" w:cs="Arial"/>
                <w:sz w:val="20"/>
                <w:szCs w:val="20"/>
              </w:rPr>
            </w:pPr>
            <w:r w:rsidRPr="00C73500">
              <w:rPr>
                <w:rFonts w:ascii="SWISS" w:hAnsi="SWISS" w:cs="Arial"/>
                <w:sz w:val="20"/>
                <w:szCs w:val="20"/>
              </w:rPr>
              <w:t>4.</w:t>
            </w:r>
          </w:p>
        </w:tc>
        <w:tc>
          <w:tcPr>
            <w:tcW w:w="7469" w:type="dxa"/>
            <w:tcBorders>
              <w:top w:val="nil"/>
              <w:left w:val="nil"/>
              <w:bottom w:val="nil"/>
              <w:right w:val="nil"/>
            </w:tcBorders>
            <w:shd w:val="clear" w:color="auto" w:fill="auto"/>
            <w:noWrap/>
            <w:vAlign w:val="bottom"/>
          </w:tcPr>
          <w:p w:rsidR="00445218" w:rsidRPr="00C73500" w:rsidRDefault="00445218" w:rsidP="00445218">
            <w:pPr>
              <w:rPr>
                <w:rFonts w:ascii="SWISS" w:hAnsi="SWISS" w:cs="Arial"/>
                <w:sz w:val="20"/>
                <w:szCs w:val="20"/>
              </w:rPr>
            </w:pPr>
            <w:r w:rsidRPr="00C73500">
              <w:rPr>
                <w:rFonts w:ascii="SWISS" w:hAnsi="SWISS" w:cs="Arial"/>
                <w:sz w:val="20"/>
                <w:szCs w:val="20"/>
              </w:rPr>
              <w:t>Materials and Supplies (620/720)</w:t>
            </w:r>
          </w:p>
        </w:tc>
        <w:tc>
          <w:tcPr>
            <w:tcW w:w="1217" w:type="dxa"/>
            <w:tcBorders>
              <w:top w:val="nil"/>
              <w:left w:val="nil"/>
              <w:bottom w:val="nil"/>
              <w:right w:val="nil"/>
            </w:tcBorders>
            <w:shd w:val="clear" w:color="auto" w:fill="auto"/>
            <w:noWrap/>
            <w:vAlign w:val="bottom"/>
          </w:tcPr>
          <w:p w:rsidR="00445218" w:rsidRPr="00C73500" w:rsidRDefault="00445218" w:rsidP="00445218">
            <w:pPr>
              <w:jc w:val="right"/>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tcPr>
          <w:p w:rsidR="00445218" w:rsidRPr="00C73500" w:rsidRDefault="00445218" w:rsidP="00445218">
            <w:pPr>
              <w:jc w:val="right"/>
              <w:rPr>
                <w:rFonts w:ascii="SWISS" w:hAnsi="SWISS" w:cs="Arial"/>
                <w:sz w:val="20"/>
                <w:szCs w:val="20"/>
              </w:rPr>
            </w:pPr>
          </w:p>
        </w:tc>
      </w:tr>
      <w:tr w:rsidR="00445218" w:rsidRPr="00C73500" w:rsidTr="00445218">
        <w:trPr>
          <w:trHeight w:val="300"/>
          <w:jc w:val="center"/>
        </w:trPr>
        <w:tc>
          <w:tcPr>
            <w:tcW w:w="526" w:type="dxa"/>
            <w:tcBorders>
              <w:top w:val="nil"/>
              <w:left w:val="single" w:sz="8" w:space="0" w:color="auto"/>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rPr>
            </w:pPr>
            <w:r w:rsidRPr="00C73500">
              <w:rPr>
                <w:rFonts w:ascii="SWISS" w:hAnsi="SWISS" w:cs="Arial"/>
                <w:sz w:val="20"/>
                <w:szCs w:val="20"/>
              </w:rPr>
              <w:t>To reflect audit adjustment.</w:t>
            </w:r>
          </w:p>
        </w:tc>
        <w:tc>
          <w:tcPr>
            <w:tcW w:w="1217" w:type="dxa"/>
            <w:tcBorders>
              <w:top w:val="nil"/>
              <w:left w:val="nil"/>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u w:val="double"/>
              </w:rPr>
            </w:pPr>
            <w:r w:rsidRPr="00C73500">
              <w:rPr>
                <w:rFonts w:ascii="SWISS" w:hAnsi="SWISS" w:cs="Arial"/>
                <w:sz w:val="20"/>
                <w:szCs w:val="20"/>
                <w:u w:val="double"/>
              </w:rPr>
              <w:t>($626)</w:t>
            </w:r>
          </w:p>
        </w:tc>
        <w:tc>
          <w:tcPr>
            <w:tcW w:w="1774" w:type="dxa"/>
            <w:tcBorders>
              <w:top w:val="nil"/>
              <w:left w:val="nil"/>
              <w:bottom w:val="nil"/>
              <w:right w:val="single" w:sz="8" w:space="0" w:color="auto"/>
            </w:tcBorders>
            <w:shd w:val="clear" w:color="auto" w:fill="auto"/>
            <w:noWrap/>
            <w:vAlign w:val="bottom"/>
            <w:hideMark/>
          </w:tcPr>
          <w:p w:rsidR="00445218" w:rsidRPr="00C73500" w:rsidRDefault="00445218" w:rsidP="00445218">
            <w:pPr>
              <w:jc w:val="right"/>
              <w:rPr>
                <w:rFonts w:ascii="SWISS" w:hAnsi="SWISS" w:cs="Arial"/>
                <w:sz w:val="20"/>
                <w:szCs w:val="20"/>
                <w:u w:val="double"/>
              </w:rPr>
            </w:pPr>
            <w:r>
              <w:rPr>
                <w:rFonts w:ascii="SWISS" w:hAnsi="SWISS" w:cs="Arial"/>
                <w:sz w:val="20"/>
                <w:szCs w:val="20"/>
                <w:u w:val="double"/>
              </w:rPr>
              <w:t>$</w:t>
            </w:r>
            <w:r w:rsidRPr="00C73500">
              <w:rPr>
                <w:rFonts w:ascii="SWISS" w:hAnsi="SWISS" w:cs="Arial"/>
                <w:sz w:val="20"/>
                <w:szCs w:val="20"/>
                <w:u w:val="double"/>
              </w:rPr>
              <w:t xml:space="preserve">0 </w:t>
            </w:r>
          </w:p>
        </w:tc>
      </w:tr>
      <w:tr w:rsidR="00445218" w:rsidRPr="00C73500" w:rsidTr="00445218">
        <w:trPr>
          <w:trHeight w:val="243"/>
          <w:jc w:val="center"/>
        </w:trPr>
        <w:tc>
          <w:tcPr>
            <w:tcW w:w="526" w:type="dxa"/>
            <w:tcBorders>
              <w:top w:val="nil"/>
              <w:left w:val="single" w:sz="8" w:space="0" w:color="auto"/>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rPr>
            </w:pPr>
          </w:p>
        </w:tc>
        <w:tc>
          <w:tcPr>
            <w:tcW w:w="1217" w:type="dxa"/>
            <w:tcBorders>
              <w:top w:val="nil"/>
              <w:left w:val="nil"/>
              <w:bottom w:val="nil"/>
              <w:right w:val="nil"/>
            </w:tcBorders>
            <w:shd w:val="clear" w:color="auto" w:fill="auto"/>
            <w:noWrap/>
            <w:vAlign w:val="bottom"/>
          </w:tcPr>
          <w:p w:rsidR="00445218" w:rsidRPr="00C73500" w:rsidRDefault="00445218" w:rsidP="00445218">
            <w:pPr>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tcPr>
          <w:p w:rsidR="00445218" w:rsidRPr="00C73500" w:rsidRDefault="00445218" w:rsidP="00445218">
            <w:pPr>
              <w:rPr>
                <w:rFonts w:ascii="SWISS" w:hAnsi="SWISS" w:cs="Arial"/>
                <w:sz w:val="20"/>
                <w:szCs w:val="20"/>
                <w:u w:val="double"/>
              </w:rPr>
            </w:pPr>
          </w:p>
        </w:tc>
      </w:tr>
      <w:tr w:rsidR="00445218" w:rsidRPr="00C73500" w:rsidTr="00445218">
        <w:trPr>
          <w:trHeight w:val="336"/>
          <w:jc w:val="center"/>
        </w:trPr>
        <w:tc>
          <w:tcPr>
            <w:tcW w:w="526" w:type="dxa"/>
            <w:tcBorders>
              <w:top w:val="nil"/>
              <w:left w:val="single" w:sz="8" w:space="0" w:color="auto"/>
              <w:bottom w:val="nil"/>
              <w:right w:val="nil"/>
            </w:tcBorders>
            <w:shd w:val="clear" w:color="auto" w:fill="auto"/>
            <w:noWrap/>
            <w:vAlign w:val="bottom"/>
          </w:tcPr>
          <w:p w:rsidR="00445218" w:rsidRPr="00C73500" w:rsidRDefault="00445218" w:rsidP="00445218">
            <w:pPr>
              <w:jc w:val="right"/>
              <w:rPr>
                <w:rFonts w:ascii="SWISS" w:hAnsi="SWISS" w:cs="Arial"/>
                <w:sz w:val="20"/>
                <w:szCs w:val="20"/>
              </w:rPr>
            </w:pPr>
            <w:r w:rsidRPr="00C73500">
              <w:rPr>
                <w:rFonts w:ascii="SWISS" w:hAnsi="SWISS" w:cs="Arial"/>
                <w:sz w:val="20"/>
                <w:szCs w:val="20"/>
              </w:rPr>
              <w:t>5.</w:t>
            </w:r>
          </w:p>
        </w:tc>
        <w:tc>
          <w:tcPr>
            <w:tcW w:w="7469" w:type="dxa"/>
            <w:tcBorders>
              <w:top w:val="nil"/>
              <w:left w:val="nil"/>
              <w:bottom w:val="nil"/>
              <w:right w:val="nil"/>
            </w:tcBorders>
            <w:shd w:val="clear" w:color="auto" w:fill="auto"/>
            <w:noWrap/>
            <w:vAlign w:val="bottom"/>
          </w:tcPr>
          <w:p w:rsidR="00445218" w:rsidRPr="00C73500" w:rsidRDefault="00445218" w:rsidP="00445218">
            <w:pPr>
              <w:rPr>
                <w:rFonts w:ascii="SWISS" w:hAnsi="SWISS" w:cs="Arial"/>
                <w:sz w:val="20"/>
                <w:szCs w:val="20"/>
              </w:rPr>
            </w:pPr>
            <w:r w:rsidRPr="00C73500">
              <w:rPr>
                <w:rFonts w:ascii="SWISS" w:hAnsi="SWISS" w:cs="Arial"/>
                <w:sz w:val="20"/>
                <w:szCs w:val="20"/>
              </w:rPr>
              <w:t>Contractual Services - Billing (630/730)</w:t>
            </w:r>
          </w:p>
        </w:tc>
        <w:tc>
          <w:tcPr>
            <w:tcW w:w="1217" w:type="dxa"/>
            <w:tcBorders>
              <w:top w:val="nil"/>
              <w:left w:val="nil"/>
              <w:bottom w:val="nil"/>
              <w:right w:val="nil"/>
            </w:tcBorders>
            <w:shd w:val="clear" w:color="auto" w:fill="auto"/>
            <w:noWrap/>
            <w:vAlign w:val="bottom"/>
          </w:tcPr>
          <w:p w:rsidR="00445218" w:rsidRPr="00C73500" w:rsidRDefault="00445218" w:rsidP="00445218">
            <w:pPr>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tcPr>
          <w:p w:rsidR="00445218" w:rsidRPr="00C73500" w:rsidRDefault="00445218" w:rsidP="00445218">
            <w:pPr>
              <w:rPr>
                <w:rFonts w:ascii="SWISS" w:hAnsi="SWISS" w:cs="Arial"/>
                <w:sz w:val="20"/>
                <w:szCs w:val="20"/>
                <w:u w:val="double"/>
              </w:rPr>
            </w:pPr>
          </w:p>
        </w:tc>
      </w:tr>
      <w:tr w:rsidR="00445218" w:rsidRPr="00C73500" w:rsidTr="00445218">
        <w:trPr>
          <w:trHeight w:val="336"/>
          <w:jc w:val="center"/>
        </w:trPr>
        <w:tc>
          <w:tcPr>
            <w:tcW w:w="526" w:type="dxa"/>
            <w:tcBorders>
              <w:top w:val="nil"/>
              <w:left w:val="single" w:sz="8" w:space="0" w:color="auto"/>
              <w:bottom w:val="nil"/>
              <w:right w:val="nil"/>
            </w:tcBorders>
            <w:shd w:val="clear" w:color="auto" w:fill="auto"/>
            <w:noWrap/>
            <w:vAlign w:val="bottom"/>
          </w:tcPr>
          <w:p w:rsidR="00445218" w:rsidRPr="00C73500" w:rsidRDefault="00445218" w:rsidP="00445218">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tcPr>
          <w:p w:rsidR="00445218" w:rsidRPr="00C73500" w:rsidRDefault="00445218" w:rsidP="00445218">
            <w:pPr>
              <w:rPr>
                <w:rFonts w:ascii="SWISS" w:hAnsi="SWISS" w:cs="Arial"/>
                <w:sz w:val="20"/>
                <w:szCs w:val="20"/>
              </w:rPr>
            </w:pPr>
            <w:r w:rsidRPr="00C73500">
              <w:rPr>
                <w:rFonts w:ascii="SWISS" w:hAnsi="SWISS" w:cs="Arial"/>
                <w:sz w:val="20"/>
                <w:szCs w:val="20"/>
              </w:rPr>
              <w:t>To reflect appropriate billing expense.</w:t>
            </w:r>
          </w:p>
        </w:tc>
        <w:tc>
          <w:tcPr>
            <w:tcW w:w="1217" w:type="dxa"/>
            <w:tcBorders>
              <w:top w:val="nil"/>
              <w:left w:val="nil"/>
              <w:bottom w:val="nil"/>
              <w:right w:val="nil"/>
            </w:tcBorders>
            <w:shd w:val="clear" w:color="auto" w:fill="auto"/>
            <w:noWrap/>
            <w:vAlign w:val="bottom"/>
          </w:tcPr>
          <w:p w:rsidR="00445218" w:rsidRPr="00C73500" w:rsidRDefault="00445218" w:rsidP="00445218">
            <w:pPr>
              <w:jc w:val="right"/>
              <w:rPr>
                <w:rFonts w:ascii="SWISS" w:hAnsi="SWISS" w:cs="Arial"/>
                <w:sz w:val="20"/>
                <w:szCs w:val="20"/>
                <w:u w:val="double"/>
              </w:rPr>
            </w:pPr>
            <w:r w:rsidRPr="00C73500">
              <w:rPr>
                <w:rFonts w:ascii="SWISS" w:hAnsi="SWISS" w:cs="Arial"/>
                <w:sz w:val="20"/>
                <w:szCs w:val="20"/>
                <w:u w:val="double"/>
              </w:rPr>
              <w:t xml:space="preserve">$223 </w:t>
            </w:r>
          </w:p>
        </w:tc>
        <w:tc>
          <w:tcPr>
            <w:tcW w:w="1774" w:type="dxa"/>
            <w:tcBorders>
              <w:top w:val="nil"/>
              <w:left w:val="nil"/>
              <w:bottom w:val="nil"/>
              <w:right w:val="single" w:sz="8" w:space="0" w:color="auto"/>
            </w:tcBorders>
            <w:shd w:val="clear" w:color="auto" w:fill="auto"/>
            <w:noWrap/>
            <w:vAlign w:val="bottom"/>
          </w:tcPr>
          <w:p w:rsidR="00445218" w:rsidRPr="00C73500" w:rsidRDefault="00445218" w:rsidP="00445218">
            <w:pPr>
              <w:jc w:val="right"/>
              <w:rPr>
                <w:rFonts w:ascii="SWISS" w:hAnsi="SWISS" w:cs="Arial"/>
                <w:sz w:val="20"/>
                <w:szCs w:val="20"/>
                <w:u w:val="double"/>
              </w:rPr>
            </w:pPr>
            <w:r w:rsidRPr="00C73500">
              <w:rPr>
                <w:rFonts w:ascii="SWISS" w:hAnsi="SWISS" w:cs="Arial"/>
                <w:sz w:val="20"/>
                <w:szCs w:val="20"/>
                <w:u w:val="double"/>
              </w:rPr>
              <w:t xml:space="preserve">$239 </w:t>
            </w:r>
          </w:p>
        </w:tc>
      </w:tr>
      <w:tr w:rsidR="00445218" w:rsidRPr="00C73500" w:rsidTr="00445218">
        <w:trPr>
          <w:trHeight w:val="336"/>
          <w:jc w:val="center"/>
        </w:trPr>
        <w:tc>
          <w:tcPr>
            <w:tcW w:w="526" w:type="dxa"/>
            <w:tcBorders>
              <w:top w:val="nil"/>
              <w:left w:val="single" w:sz="8" w:space="0" w:color="auto"/>
              <w:bottom w:val="nil"/>
              <w:right w:val="nil"/>
            </w:tcBorders>
            <w:shd w:val="clear" w:color="auto" w:fill="auto"/>
            <w:noWrap/>
            <w:vAlign w:val="bottom"/>
          </w:tcPr>
          <w:p w:rsidR="00445218" w:rsidRPr="00C73500" w:rsidRDefault="00445218" w:rsidP="00445218">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tcPr>
          <w:p w:rsidR="00445218" w:rsidRPr="00C73500" w:rsidRDefault="00445218" w:rsidP="00445218">
            <w:pPr>
              <w:rPr>
                <w:rFonts w:ascii="SWISS" w:hAnsi="SWISS" w:cs="Arial"/>
                <w:sz w:val="20"/>
                <w:szCs w:val="20"/>
              </w:rPr>
            </w:pPr>
          </w:p>
        </w:tc>
        <w:tc>
          <w:tcPr>
            <w:tcW w:w="1217" w:type="dxa"/>
            <w:tcBorders>
              <w:top w:val="nil"/>
              <w:left w:val="nil"/>
              <w:bottom w:val="nil"/>
              <w:right w:val="nil"/>
            </w:tcBorders>
            <w:shd w:val="clear" w:color="auto" w:fill="auto"/>
            <w:noWrap/>
            <w:vAlign w:val="bottom"/>
          </w:tcPr>
          <w:p w:rsidR="00445218" w:rsidRPr="00C73500" w:rsidRDefault="00445218" w:rsidP="00445218">
            <w:pPr>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tcPr>
          <w:p w:rsidR="00445218" w:rsidRPr="00C73500" w:rsidRDefault="00445218" w:rsidP="00445218">
            <w:pPr>
              <w:rPr>
                <w:rFonts w:ascii="SWISS" w:hAnsi="SWISS" w:cs="Arial"/>
                <w:sz w:val="20"/>
                <w:szCs w:val="20"/>
                <w:u w:val="double"/>
              </w:rPr>
            </w:pPr>
          </w:p>
        </w:tc>
      </w:tr>
      <w:tr w:rsidR="00445218" w:rsidRPr="00C73500" w:rsidTr="00445218">
        <w:trPr>
          <w:trHeight w:val="336"/>
          <w:jc w:val="center"/>
        </w:trPr>
        <w:tc>
          <w:tcPr>
            <w:tcW w:w="526" w:type="dxa"/>
            <w:tcBorders>
              <w:top w:val="nil"/>
              <w:left w:val="single" w:sz="8" w:space="0" w:color="auto"/>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r w:rsidRPr="00C73500">
              <w:rPr>
                <w:rFonts w:ascii="SWISS" w:hAnsi="SWISS" w:cs="Arial"/>
                <w:sz w:val="20"/>
                <w:szCs w:val="20"/>
              </w:rPr>
              <w:t>6.</w:t>
            </w:r>
          </w:p>
        </w:tc>
        <w:tc>
          <w:tcPr>
            <w:tcW w:w="7469"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rPr>
            </w:pPr>
            <w:r w:rsidRPr="00C73500">
              <w:rPr>
                <w:rFonts w:ascii="SWISS" w:hAnsi="SWISS" w:cs="Arial"/>
                <w:sz w:val="20"/>
                <w:szCs w:val="20"/>
              </w:rPr>
              <w:t>Contractual Services - Professional (631/731)</w:t>
            </w:r>
          </w:p>
        </w:tc>
        <w:tc>
          <w:tcPr>
            <w:tcW w:w="1217" w:type="dxa"/>
            <w:tcBorders>
              <w:top w:val="nil"/>
              <w:left w:val="nil"/>
              <w:bottom w:val="nil"/>
              <w:right w:val="nil"/>
            </w:tcBorders>
            <w:shd w:val="clear" w:color="auto" w:fill="auto"/>
            <w:noWrap/>
            <w:vAlign w:val="bottom"/>
          </w:tcPr>
          <w:p w:rsidR="00445218" w:rsidRPr="00C73500" w:rsidRDefault="00445218" w:rsidP="00445218">
            <w:pPr>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tcPr>
          <w:p w:rsidR="00445218" w:rsidRPr="00C73500" w:rsidRDefault="00445218" w:rsidP="00445218">
            <w:pPr>
              <w:rPr>
                <w:rFonts w:ascii="SWISS" w:hAnsi="SWISS" w:cs="Arial"/>
                <w:sz w:val="20"/>
                <w:szCs w:val="20"/>
                <w:u w:val="double"/>
              </w:rPr>
            </w:pPr>
          </w:p>
        </w:tc>
      </w:tr>
      <w:tr w:rsidR="00445218" w:rsidRPr="00C73500" w:rsidTr="00445218">
        <w:trPr>
          <w:trHeight w:val="312"/>
          <w:jc w:val="center"/>
        </w:trPr>
        <w:tc>
          <w:tcPr>
            <w:tcW w:w="526" w:type="dxa"/>
            <w:tcBorders>
              <w:top w:val="nil"/>
              <w:left w:val="single" w:sz="8" w:space="0" w:color="auto"/>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rPr>
            </w:pPr>
            <w:r w:rsidRPr="00C73500">
              <w:rPr>
                <w:rFonts w:ascii="SWISS" w:hAnsi="SWISS" w:cs="Arial"/>
                <w:sz w:val="20"/>
                <w:szCs w:val="20"/>
              </w:rPr>
              <w:t>a. To reflect audit adjustment for accountant.</w:t>
            </w:r>
          </w:p>
        </w:tc>
        <w:tc>
          <w:tcPr>
            <w:tcW w:w="1217" w:type="dxa"/>
            <w:tcBorders>
              <w:top w:val="nil"/>
              <w:left w:val="nil"/>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r w:rsidRPr="00C73500">
              <w:rPr>
                <w:rFonts w:ascii="SWISS" w:hAnsi="SWISS" w:cs="Arial"/>
                <w:sz w:val="20"/>
                <w:szCs w:val="20"/>
              </w:rPr>
              <w:t xml:space="preserve">$510 </w:t>
            </w:r>
          </w:p>
        </w:tc>
        <w:tc>
          <w:tcPr>
            <w:tcW w:w="1774" w:type="dxa"/>
            <w:tcBorders>
              <w:top w:val="nil"/>
              <w:left w:val="nil"/>
              <w:bottom w:val="nil"/>
              <w:right w:val="single" w:sz="8" w:space="0" w:color="auto"/>
            </w:tcBorders>
            <w:shd w:val="clear" w:color="auto" w:fill="auto"/>
            <w:noWrap/>
            <w:vAlign w:val="bottom"/>
            <w:hideMark/>
          </w:tcPr>
          <w:p w:rsidR="00445218" w:rsidRPr="00C73500" w:rsidRDefault="00445218" w:rsidP="00445218">
            <w:pPr>
              <w:jc w:val="right"/>
              <w:rPr>
                <w:rFonts w:ascii="SWISS" w:hAnsi="SWISS" w:cs="Arial"/>
                <w:sz w:val="20"/>
                <w:szCs w:val="20"/>
              </w:rPr>
            </w:pPr>
            <w:r w:rsidRPr="00C73500">
              <w:rPr>
                <w:rFonts w:ascii="SWISS" w:hAnsi="SWISS" w:cs="Arial"/>
                <w:sz w:val="20"/>
                <w:szCs w:val="20"/>
              </w:rPr>
              <w:t>$510</w:t>
            </w:r>
          </w:p>
        </w:tc>
      </w:tr>
      <w:tr w:rsidR="00445218" w:rsidRPr="00C73500" w:rsidTr="00445218">
        <w:trPr>
          <w:trHeight w:val="300"/>
          <w:jc w:val="center"/>
        </w:trPr>
        <w:tc>
          <w:tcPr>
            <w:tcW w:w="526" w:type="dxa"/>
            <w:tcBorders>
              <w:top w:val="nil"/>
              <w:left w:val="single" w:sz="8" w:space="0" w:color="auto"/>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rPr>
            </w:pPr>
            <w:r w:rsidRPr="00C73500">
              <w:rPr>
                <w:rFonts w:ascii="SWISS" w:hAnsi="SWISS" w:cs="Arial"/>
                <w:sz w:val="20"/>
                <w:szCs w:val="20"/>
              </w:rPr>
              <w:t>b. To reflect amortization of CPA retainer fee.</w:t>
            </w:r>
          </w:p>
        </w:tc>
        <w:tc>
          <w:tcPr>
            <w:tcW w:w="1217" w:type="dxa"/>
            <w:tcBorders>
              <w:top w:val="nil"/>
              <w:left w:val="nil"/>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r>
              <w:rPr>
                <w:rFonts w:ascii="SWISS" w:hAnsi="SWISS" w:cs="Arial"/>
                <w:sz w:val="20"/>
                <w:szCs w:val="20"/>
              </w:rPr>
              <w:t>724</w:t>
            </w:r>
          </w:p>
        </w:tc>
        <w:tc>
          <w:tcPr>
            <w:tcW w:w="1774" w:type="dxa"/>
            <w:tcBorders>
              <w:top w:val="nil"/>
              <w:left w:val="nil"/>
              <w:bottom w:val="nil"/>
              <w:right w:val="single" w:sz="8" w:space="0" w:color="auto"/>
            </w:tcBorders>
            <w:shd w:val="clear" w:color="auto" w:fill="auto"/>
            <w:noWrap/>
            <w:vAlign w:val="bottom"/>
            <w:hideMark/>
          </w:tcPr>
          <w:p w:rsidR="00445218" w:rsidRPr="00C73500" w:rsidRDefault="00445218" w:rsidP="00445218">
            <w:pPr>
              <w:jc w:val="right"/>
              <w:rPr>
                <w:rFonts w:ascii="SWISS" w:hAnsi="SWISS" w:cs="Arial"/>
                <w:sz w:val="20"/>
                <w:szCs w:val="20"/>
              </w:rPr>
            </w:pPr>
            <w:r>
              <w:rPr>
                <w:rFonts w:ascii="SWISS" w:hAnsi="SWISS" w:cs="Arial"/>
                <w:sz w:val="20"/>
                <w:szCs w:val="20"/>
              </w:rPr>
              <w:t>776</w:t>
            </w:r>
            <w:r w:rsidRPr="00C73500">
              <w:rPr>
                <w:rFonts w:ascii="SWISS" w:hAnsi="SWISS" w:cs="Arial"/>
                <w:sz w:val="20"/>
                <w:szCs w:val="20"/>
              </w:rPr>
              <w:t xml:space="preserve"> </w:t>
            </w:r>
          </w:p>
        </w:tc>
      </w:tr>
      <w:tr w:rsidR="00445218" w:rsidRPr="00C73500" w:rsidTr="00445218">
        <w:trPr>
          <w:trHeight w:val="300"/>
          <w:jc w:val="center"/>
        </w:trPr>
        <w:tc>
          <w:tcPr>
            <w:tcW w:w="526" w:type="dxa"/>
            <w:tcBorders>
              <w:top w:val="nil"/>
              <w:left w:val="single" w:sz="8" w:space="0" w:color="auto"/>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rPr>
            </w:pPr>
            <w:r w:rsidRPr="00C73500">
              <w:rPr>
                <w:rFonts w:ascii="SWISS" w:hAnsi="SWISS" w:cs="Arial"/>
                <w:sz w:val="20"/>
                <w:szCs w:val="20"/>
              </w:rPr>
              <w:t>c. To reflect appropriate amortization of DEP permit fee.</w:t>
            </w:r>
          </w:p>
        </w:tc>
        <w:tc>
          <w:tcPr>
            <w:tcW w:w="1217" w:type="dxa"/>
            <w:tcBorders>
              <w:top w:val="nil"/>
              <w:left w:val="nil"/>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u w:val="single"/>
              </w:rPr>
            </w:pPr>
            <w:r w:rsidRPr="00C73500">
              <w:rPr>
                <w:rFonts w:ascii="SWISS" w:hAnsi="SWISS" w:cs="Arial"/>
                <w:sz w:val="20"/>
                <w:szCs w:val="20"/>
                <w:u w:val="single"/>
              </w:rPr>
              <w:t xml:space="preserve">0 </w:t>
            </w:r>
          </w:p>
        </w:tc>
        <w:tc>
          <w:tcPr>
            <w:tcW w:w="1774" w:type="dxa"/>
            <w:tcBorders>
              <w:top w:val="nil"/>
              <w:left w:val="nil"/>
              <w:bottom w:val="nil"/>
              <w:right w:val="single" w:sz="8" w:space="0" w:color="auto"/>
            </w:tcBorders>
            <w:shd w:val="clear" w:color="auto" w:fill="auto"/>
            <w:noWrap/>
            <w:vAlign w:val="bottom"/>
            <w:hideMark/>
          </w:tcPr>
          <w:p w:rsidR="00445218" w:rsidRPr="00C73500" w:rsidRDefault="00445218" w:rsidP="00445218">
            <w:pPr>
              <w:jc w:val="right"/>
              <w:rPr>
                <w:rFonts w:ascii="SWISS" w:hAnsi="SWISS" w:cs="Arial"/>
                <w:sz w:val="20"/>
                <w:szCs w:val="20"/>
                <w:u w:val="single"/>
              </w:rPr>
            </w:pPr>
            <w:r w:rsidRPr="00C73500">
              <w:rPr>
                <w:rFonts w:ascii="SWISS" w:hAnsi="SWISS" w:cs="Arial"/>
                <w:sz w:val="20"/>
                <w:szCs w:val="20"/>
                <w:u w:val="single"/>
              </w:rPr>
              <w:t xml:space="preserve">(1,040) </w:t>
            </w:r>
          </w:p>
        </w:tc>
      </w:tr>
      <w:tr w:rsidR="00445218" w:rsidRPr="00C73500" w:rsidTr="00445218">
        <w:trPr>
          <w:trHeight w:val="300"/>
          <w:jc w:val="center"/>
        </w:trPr>
        <w:tc>
          <w:tcPr>
            <w:tcW w:w="526" w:type="dxa"/>
            <w:tcBorders>
              <w:top w:val="nil"/>
              <w:left w:val="single" w:sz="8" w:space="0" w:color="auto"/>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rPr>
            </w:pPr>
            <w:r w:rsidRPr="00C73500">
              <w:rPr>
                <w:rFonts w:ascii="SWISS" w:hAnsi="SWISS" w:cs="Arial"/>
                <w:sz w:val="20"/>
                <w:szCs w:val="20"/>
              </w:rPr>
              <w:t xml:space="preserve">       Subtotal</w:t>
            </w:r>
          </w:p>
        </w:tc>
        <w:tc>
          <w:tcPr>
            <w:tcW w:w="1217" w:type="dxa"/>
            <w:tcBorders>
              <w:top w:val="nil"/>
              <w:left w:val="nil"/>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u w:val="double"/>
              </w:rPr>
            </w:pPr>
            <w:r w:rsidRPr="00C73500">
              <w:rPr>
                <w:rFonts w:ascii="SWISS" w:hAnsi="SWISS" w:cs="Arial"/>
                <w:sz w:val="20"/>
                <w:szCs w:val="20"/>
                <w:u w:val="double"/>
              </w:rPr>
              <w:t>$</w:t>
            </w:r>
            <w:r>
              <w:rPr>
                <w:rFonts w:ascii="SWISS" w:hAnsi="SWISS" w:cs="Arial"/>
                <w:sz w:val="20"/>
                <w:szCs w:val="20"/>
                <w:u w:val="double"/>
              </w:rPr>
              <w:t>1,234</w:t>
            </w:r>
            <w:r w:rsidRPr="00C73500">
              <w:rPr>
                <w:rFonts w:ascii="SWISS" w:hAnsi="SWISS" w:cs="Arial"/>
                <w:sz w:val="20"/>
                <w:szCs w:val="20"/>
                <w:u w:val="double"/>
              </w:rPr>
              <w:t xml:space="preserve"> </w:t>
            </w:r>
          </w:p>
        </w:tc>
        <w:tc>
          <w:tcPr>
            <w:tcW w:w="1774" w:type="dxa"/>
            <w:tcBorders>
              <w:top w:val="nil"/>
              <w:left w:val="nil"/>
              <w:bottom w:val="nil"/>
              <w:right w:val="single" w:sz="8" w:space="0" w:color="auto"/>
            </w:tcBorders>
            <w:shd w:val="clear" w:color="auto" w:fill="auto"/>
            <w:noWrap/>
            <w:vAlign w:val="bottom"/>
            <w:hideMark/>
          </w:tcPr>
          <w:p w:rsidR="00445218" w:rsidRPr="00C73500" w:rsidRDefault="00445218" w:rsidP="00445218">
            <w:pPr>
              <w:jc w:val="right"/>
              <w:rPr>
                <w:rFonts w:ascii="SWISS" w:hAnsi="SWISS" w:cs="Arial"/>
                <w:sz w:val="20"/>
                <w:szCs w:val="20"/>
                <w:u w:val="double"/>
              </w:rPr>
            </w:pPr>
            <w:r w:rsidRPr="00C73500">
              <w:rPr>
                <w:rFonts w:ascii="SWISS" w:hAnsi="SWISS" w:cs="Arial"/>
                <w:sz w:val="20"/>
                <w:szCs w:val="20"/>
                <w:u w:val="double"/>
              </w:rPr>
              <w:t>$</w:t>
            </w:r>
            <w:r>
              <w:rPr>
                <w:rFonts w:ascii="SWISS" w:hAnsi="SWISS" w:cs="Arial"/>
                <w:sz w:val="20"/>
                <w:szCs w:val="20"/>
                <w:u w:val="double"/>
              </w:rPr>
              <w:t>246</w:t>
            </w:r>
          </w:p>
        </w:tc>
      </w:tr>
      <w:tr w:rsidR="00445218" w:rsidRPr="00C73500" w:rsidTr="00445218">
        <w:trPr>
          <w:trHeight w:val="300"/>
          <w:jc w:val="center"/>
        </w:trPr>
        <w:tc>
          <w:tcPr>
            <w:tcW w:w="526" w:type="dxa"/>
            <w:tcBorders>
              <w:top w:val="nil"/>
              <w:left w:val="single" w:sz="8" w:space="0" w:color="auto"/>
              <w:bottom w:val="nil"/>
              <w:right w:val="nil"/>
            </w:tcBorders>
            <w:shd w:val="clear" w:color="auto" w:fill="auto"/>
            <w:noWrap/>
            <w:vAlign w:val="bottom"/>
          </w:tcPr>
          <w:p w:rsidR="00445218" w:rsidRPr="00C73500" w:rsidRDefault="00445218" w:rsidP="00445218">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tcPr>
          <w:p w:rsidR="00445218" w:rsidRPr="00C73500" w:rsidRDefault="00445218" w:rsidP="00445218">
            <w:pPr>
              <w:rPr>
                <w:rFonts w:ascii="SWISS" w:hAnsi="SWISS" w:cs="Arial"/>
                <w:sz w:val="20"/>
                <w:szCs w:val="20"/>
              </w:rPr>
            </w:pPr>
          </w:p>
        </w:tc>
        <w:tc>
          <w:tcPr>
            <w:tcW w:w="1217" w:type="dxa"/>
            <w:tcBorders>
              <w:top w:val="nil"/>
              <w:left w:val="nil"/>
              <w:bottom w:val="nil"/>
              <w:right w:val="nil"/>
            </w:tcBorders>
            <w:shd w:val="clear" w:color="auto" w:fill="auto"/>
            <w:noWrap/>
            <w:vAlign w:val="bottom"/>
          </w:tcPr>
          <w:p w:rsidR="00445218" w:rsidRPr="00C73500" w:rsidRDefault="00445218" w:rsidP="00445218">
            <w:pPr>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tcPr>
          <w:p w:rsidR="00445218" w:rsidRPr="00C73500" w:rsidRDefault="00445218" w:rsidP="00445218">
            <w:pPr>
              <w:rPr>
                <w:rFonts w:ascii="SWISS" w:hAnsi="SWISS" w:cs="Arial"/>
                <w:sz w:val="20"/>
                <w:szCs w:val="20"/>
                <w:u w:val="double"/>
              </w:rPr>
            </w:pPr>
          </w:p>
        </w:tc>
      </w:tr>
      <w:tr w:rsidR="00445218" w:rsidRPr="00C73500" w:rsidTr="00445218">
        <w:trPr>
          <w:trHeight w:val="300"/>
          <w:jc w:val="center"/>
        </w:trPr>
        <w:tc>
          <w:tcPr>
            <w:tcW w:w="526" w:type="dxa"/>
            <w:tcBorders>
              <w:top w:val="nil"/>
              <w:left w:val="single" w:sz="8" w:space="0" w:color="auto"/>
              <w:bottom w:val="nil"/>
              <w:right w:val="nil"/>
            </w:tcBorders>
            <w:shd w:val="clear" w:color="auto" w:fill="auto"/>
            <w:noWrap/>
            <w:vAlign w:val="bottom"/>
          </w:tcPr>
          <w:p w:rsidR="00445218" w:rsidRPr="00C73500" w:rsidRDefault="00445218" w:rsidP="00445218">
            <w:pPr>
              <w:jc w:val="right"/>
              <w:rPr>
                <w:rFonts w:ascii="SWISS" w:hAnsi="SWISS" w:cs="Arial"/>
                <w:sz w:val="20"/>
                <w:szCs w:val="20"/>
              </w:rPr>
            </w:pPr>
            <w:r w:rsidRPr="00C73500">
              <w:rPr>
                <w:rFonts w:ascii="SWISS" w:hAnsi="SWISS" w:cs="Arial"/>
                <w:sz w:val="20"/>
                <w:szCs w:val="20"/>
              </w:rPr>
              <w:t>7.</w:t>
            </w:r>
          </w:p>
        </w:tc>
        <w:tc>
          <w:tcPr>
            <w:tcW w:w="7469" w:type="dxa"/>
            <w:tcBorders>
              <w:top w:val="nil"/>
              <w:left w:val="nil"/>
              <w:bottom w:val="nil"/>
              <w:right w:val="nil"/>
            </w:tcBorders>
            <w:shd w:val="clear" w:color="auto" w:fill="auto"/>
            <w:noWrap/>
            <w:vAlign w:val="bottom"/>
          </w:tcPr>
          <w:p w:rsidR="00445218" w:rsidRPr="00C73500" w:rsidRDefault="00445218" w:rsidP="00445218">
            <w:pPr>
              <w:rPr>
                <w:rFonts w:ascii="SWISS" w:hAnsi="SWISS" w:cs="Arial"/>
                <w:sz w:val="20"/>
                <w:szCs w:val="20"/>
              </w:rPr>
            </w:pPr>
            <w:r w:rsidRPr="00C73500">
              <w:rPr>
                <w:rFonts w:ascii="SWISS" w:hAnsi="SWISS" w:cs="Arial"/>
                <w:sz w:val="20"/>
                <w:szCs w:val="20"/>
              </w:rPr>
              <w:t>Contractual Services – Testing (635/735)</w:t>
            </w:r>
          </w:p>
        </w:tc>
        <w:tc>
          <w:tcPr>
            <w:tcW w:w="1217" w:type="dxa"/>
            <w:tcBorders>
              <w:top w:val="nil"/>
              <w:left w:val="nil"/>
              <w:bottom w:val="nil"/>
              <w:right w:val="nil"/>
            </w:tcBorders>
            <w:shd w:val="clear" w:color="auto" w:fill="auto"/>
            <w:noWrap/>
            <w:vAlign w:val="bottom"/>
          </w:tcPr>
          <w:p w:rsidR="00445218" w:rsidRPr="00C73500" w:rsidRDefault="00445218" w:rsidP="00445218">
            <w:pPr>
              <w:jc w:val="right"/>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tcPr>
          <w:p w:rsidR="00445218" w:rsidRPr="00C73500" w:rsidRDefault="00445218" w:rsidP="00445218">
            <w:pPr>
              <w:jc w:val="right"/>
              <w:rPr>
                <w:rFonts w:ascii="SWISS" w:hAnsi="SWISS" w:cs="Arial"/>
                <w:sz w:val="20"/>
                <w:szCs w:val="20"/>
              </w:rPr>
            </w:pPr>
          </w:p>
        </w:tc>
      </w:tr>
      <w:tr w:rsidR="00445218" w:rsidRPr="00C73500" w:rsidTr="00445218">
        <w:trPr>
          <w:trHeight w:val="300"/>
          <w:jc w:val="center"/>
        </w:trPr>
        <w:tc>
          <w:tcPr>
            <w:tcW w:w="526" w:type="dxa"/>
            <w:tcBorders>
              <w:top w:val="nil"/>
              <w:left w:val="single" w:sz="8" w:space="0" w:color="auto"/>
              <w:bottom w:val="nil"/>
              <w:right w:val="nil"/>
            </w:tcBorders>
            <w:shd w:val="clear" w:color="auto" w:fill="auto"/>
            <w:noWrap/>
            <w:vAlign w:val="bottom"/>
          </w:tcPr>
          <w:p w:rsidR="00445218" w:rsidRPr="00C73500" w:rsidRDefault="00445218" w:rsidP="00445218">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tcPr>
          <w:p w:rsidR="00445218" w:rsidRPr="00C73500" w:rsidRDefault="00445218" w:rsidP="00445218">
            <w:pPr>
              <w:rPr>
                <w:rFonts w:ascii="SWISS" w:hAnsi="SWISS" w:cs="Arial"/>
                <w:sz w:val="20"/>
                <w:szCs w:val="20"/>
              </w:rPr>
            </w:pPr>
            <w:r w:rsidRPr="00C73500">
              <w:rPr>
                <w:rFonts w:ascii="SWISS" w:hAnsi="SWISS" w:cs="Arial"/>
                <w:sz w:val="20"/>
                <w:szCs w:val="20"/>
              </w:rPr>
              <w:t>a. To remove expense and reclassify to Contractual Services - Other (736)</w:t>
            </w:r>
          </w:p>
        </w:tc>
        <w:tc>
          <w:tcPr>
            <w:tcW w:w="1217" w:type="dxa"/>
            <w:tcBorders>
              <w:top w:val="nil"/>
              <w:left w:val="nil"/>
              <w:bottom w:val="nil"/>
              <w:right w:val="nil"/>
            </w:tcBorders>
            <w:shd w:val="clear" w:color="auto" w:fill="auto"/>
            <w:noWrap/>
            <w:vAlign w:val="bottom"/>
          </w:tcPr>
          <w:p w:rsidR="00445218" w:rsidRPr="00C73500" w:rsidRDefault="00445218" w:rsidP="00445218">
            <w:pPr>
              <w:jc w:val="right"/>
              <w:rPr>
                <w:rFonts w:ascii="SWISS" w:hAnsi="SWISS" w:cs="Arial"/>
                <w:sz w:val="20"/>
                <w:szCs w:val="20"/>
              </w:rPr>
            </w:pPr>
            <w:r w:rsidRPr="00C73500">
              <w:rPr>
                <w:rFonts w:ascii="SWISS" w:hAnsi="SWISS" w:cs="Arial"/>
                <w:sz w:val="20"/>
                <w:szCs w:val="20"/>
              </w:rPr>
              <w:t xml:space="preserve">$0 </w:t>
            </w:r>
          </w:p>
        </w:tc>
        <w:tc>
          <w:tcPr>
            <w:tcW w:w="1774" w:type="dxa"/>
            <w:tcBorders>
              <w:top w:val="nil"/>
              <w:left w:val="nil"/>
              <w:bottom w:val="nil"/>
              <w:right w:val="single" w:sz="8" w:space="0" w:color="auto"/>
            </w:tcBorders>
            <w:shd w:val="clear" w:color="auto" w:fill="auto"/>
            <w:noWrap/>
            <w:vAlign w:val="bottom"/>
          </w:tcPr>
          <w:p w:rsidR="00445218" w:rsidRPr="00C73500" w:rsidRDefault="00445218" w:rsidP="00445218">
            <w:pPr>
              <w:jc w:val="right"/>
              <w:rPr>
                <w:rFonts w:ascii="SWISS" w:hAnsi="SWISS" w:cs="Arial"/>
                <w:sz w:val="20"/>
                <w:szCs w:val="20"/>
              </w:rPr>
            </w:pPr>
            <w:r w:rsidRPr="00C73500">
              <w:rPr>
                <w:rFonts w:ascii="SWISS" w:hAnsi="SWISS" w:cs="Arial"/>
                <w:sz w:val="20"/>
                <w:szCs w:val="20"/>
              </w:rPr>
              <w:t>($45)</w:t>
            </w:r>
          </w:p>
        </w:tc>
      </w:tr>
      <w:tr w:rsidR="00445218" w:rsidRPr="00C73500" w:rsidTr="00445218">
        <w:trPr>
          <w:trHeight w:val="300"/>
          <w:jc w:val="center"/>
        </w:trPr>
        <w:tc>
          <w:tcPr>
            <w:tcW w:w="526" w:type="dxa"/>
            <w:tcBorders>
              <w:top w:val="nil"/>
              <w:left w:val="single" w:sz="8" w:space="0" w:color="auto"/>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rPr>
            </w:pPr>
            <w:r w:rsidRPr="00C73500">
              <w:rPr>
                <w:rFonts w:ascii="SWISS" w:hAnsi="SWISS" w:cs="Arial"/>
                <w:sz w:val="20"/>
                <w:szCs w:val="20"/>
              </w:rPr>
              <w:t>b. To reflect reclassification of testing expense from Miscellaneous Expense account.</w:t>
            </w:r>
          </w:p>
        </w:tc>
        <w:tc>
          <w:tcPr>
            <w:tcW w:w="1217" w:type="dxa"/>
            <w:tcBorders>
              <w:top w:val="nil"/>
              <w:left w:val="nil"/>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r w:rsidRPr="00C73500">
              <w:rPr>
                <w:rFonts w:ascii="SWISS" w:hAnsi="SWISS" w:cs="Arial"/>
                <w:sz w:val="20"/>
                <w:szCs w:val="20"/>
              </w:rPr>
              <w:t xml:space="preserve">0 </w:t>
            </w:r>
          </w:p>
        </w:tc>
        <w:tc>
          <w:tcPr>
            <w:tcW w:w="1774" w:type="dxa"/>
            <w:tcBorders>
              <w:top w:val="nil"/>
              <w:left w:val="nil"/>
              <w:bottom w:val="nil"/>
              <w:right w:val="single" w:sz="8" w:space="0" w:color="auto"/>
            </w:tcBorders>
            <w:shd w:val="clear" w:color="auto" w:fill="auto"/>
            <w:noWrap/>
            <w:vAlign w:val="bottom"/>
            <w:hideMark/>
          </w:tcPr>
          <w:p w:rsidR="00445218" w:rsidRPr="00C73500" w:rsidRDefault="00445218" w:rsidP="00445218">
            <w:pPr>
              <w:jc w:val="right"/>
              <w:rPr>
                <w:rFonts w:ascii="SWISS" w:hAnsi="SWISS" w:cs="Arial"/>
                <w:sz w:val="20"/>
                <w:szCs w:val="20"/>
              </w:rPr>
            </w:pPr>
            <w:r w:rsidRPr="00C73500">
              <w:rPr>
                <w:rFonts w:ascii="SWISS" w:hAnsi="SWISS" w:cs="Arial"/>
                <w:sz w:val="20"/>
                <w:szCs w:val="20"/>
              </w:rPr>
              <w:t xml:space="preserve">960 </w:t>
            </w:r>
          </w:p>
        </w:tc>
      </w:tr>
      <w:tr w:rsidR="00445218" w:rsidRPr="00C73500" w:rsidTr="00445218">
        <w:trPr>
          <w:trHeight w:val="300"/>
          <w:jc w:val="center"/>
        </w:trPr>
        <w:tc>
          <w:tcPr>
            <w:tcW w:w="526" w:type="dxa"/>
            <w:tcBorders>
              <w:top w:val="nil"/>
              <w:left w:val="single" w:sz="8" w:space="0" w:color="auto"/>
              <w:bottom w:val="nil"/>
              <w:right w:val="nil"/>
            </w:tcBorders>
            <w:shd w:val="clear" w:color="auto" w:fill="auto"/>
            <w:noWrap/>
            <w:vAlign w:val="bottom"/>
          </w:tcPr>
          <w:p w:rsidR="00445218" w:rsidRPr="00C73500" w:rsidRDefault="00445218" w:rsidP="00445218">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tcPr>
          <w:p w:rsidR="00445218" w:rsidRPr="00C73500" w:rsidRDefault="00445218" w:rsidP="00445218">
            <w:pPr>
              <w:rPr>
                <w:rFonts w:ascii="SWISS" w:hAnsi="SWISS" w:cs="Arial"/>
                <w:sz w:val="20"/>
                <w:szCs w:val="20"/>
              </w:rPr>
            </w:pPr>
            <w:r w:rsidRPr="00C73500">
              <w:rPr>
                <w:rFonts w:ascii="SWISS" w:hAnsi="SWISS" w:cs="Arial"/>
                <w:sz w:val="20"/>
                <w:szCs w:val="20"/>
              </w:rPr>
              <w:t>c. To reflect the utility's triennial water compliance testing</w:t>
            </w:r>
          </w:p>
        </w:tc>
        <w:tc>
          <w:tcPr>
            <w:tcW w:w="1217" w:type="dxa"/>
            <w:tcBorders>
              <w:top w:val="nil"/>
              <w:left w:val="nil"/>
              <w:bottom w:val="nil"/>
              <w:right w:val="nil"/>
            </w:tcBorders>
            <w:shd w:val="clear" w:color="auto" w:fill="auto"/>
            <w:noWrap/>
            <w:vAlign w:val="bottom"/>
          </w:tcPr>
          <w:p w:rsidR="00445218" w:rsidRPr="00C73500" w:rsidRDefault="00445218" w:rsidP="00445218">
            <w:pPr>
              <w:jc w:val="right"/>
              <w:rPr>
                <w:rFonts w:ascii="SWISS" w:hAnsi="SWISS" w:cs="Arial"/>
                <w:sz w:val="20"/>
                <w:szCs w:val="20"/>
                <w:u w:val="single"/>
              </w:rPr>
            </w:pPr>
            <w:r w:rsidRPr="00C73500">
              <w:rPr>
                <w:rFonts w:ascii="SWISS" w:hAnsi="SWISS" w:cs="Arial"/>
                <w:sz w:val="20"/>
                <w:szCs w:val="20"/>
                <w:u w:val="single"/>
              </w:rPr>
              <w:t>518</w:t>
            </w:r>
          </w:p>
        </w:tc>
        <w:tc>
          <w:tcPr>
            <w:tcW w:w="1774" w:type="dxa"/>
            <w:tcBorders>
              <w:top w:val="nil"/>
              <w:left w:val="nil"/>
              <w:bottom w:val="nil"/>
              <w:right w:val="single" w:sz="8" w:space="0" w:color="auto"/>
            </w:tcBorders>
            <w:shd w:val="clear" w:color="auto" w:fill="auto"/>
            <w:noWrap/>
            <w:vAlign w:val="bottom"/>
          </w:tcPr>
          <w:p w:rsidR="00445218" w:rsidRPr="00C73500" w:rsidRDefault="00445218" w:rsidP="00445218">
            <w:pPr>
              <w:jc w:val="right"/>
              <w:rPr>
                <w:rFonts w:ascii="SWISS" w:hAnsi="SWISS" w:cs="Arial"/>
                <w:sz w:val="20"/>
                <w:szCs w:val="20"/>
                <w:u w:val="single"/>
              </w:rPr>
            </w:pPr>
            <w:r w:rsidRPr="00C73500">
              <w:rPr>
                <w:rFonts w:ascii="SWISS" w:hAnsi="SWISS" w:cs="Arial"/>
                <w:sz w:val="20"/>
                <w:szCs w:val="20"/>
                <w:u w:val="single"/>
              </w:rPr>
              <w:t>0</w:t>
            </w:r>
          </w:p>
        </w:tc>
      </w:tr>
      <w:tr w:rsidR="00445218" w:rsidRPr="00C73500" w:rsidTr="00445218">
        <w:trPr>
          <w:trHeight w:val="300"/>
          <w:jc w:val="center"/>
        </w:trPr>
        <w:tc>
          <w:tcPr>
            <w:tcW w:w="526" w:type="dxa"/>
            <w:tcBorders>
              <w:top w:val="nil"/>
              <w:left w:val="single" w:sz="8" w:space="0" w:color="auto"/>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rPr>
            </w:pPr>
            <w:r w:rsidRPr="00C73500">
              <w:rPr>
                <w:rFonts w:ascii="SWISS" w:hAnsi="SWISS" w:cs="Arial"/>
                <w:sz w:val="20"/>
                <w:szCs w:val="20"/>
              </w:rPr>
              <w:t xml:space="preserve">       Subtotal</w:t>
            </w:r>
          </w:p>
        </w:tc>
        <w:tc>
          <w:tcPr>
            <w:tcW w:w="1217" w:type="dxa"/>
            <w:tcBorders>
              <w:top w:val="nil"/>
              <w:left w:val="nil"/>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u w:val="double"/>
              </w:rPr>
            </w:pPr>
            <w:r w:rsidRPr="00C73500">
              <w:rPr>
                <w:rFonts w:ascii="SWISS" w:hAnsi="SWISS" w:cs="Arial"/>
                <w:sz w:val="20"/>
                <w:szCs w:val="20"/>
                <w:u w:val="double"/>
              </w:rPr>
              <w:t xml:space="preserve">$518 </w:t>
            </w:r>
          </w:p>
        </w:tc>
        <w:tc>
          <w:tcPr>
            <w:tcW w:w="1774" w:type="dxa"/>
            <w:tcBorders>
              <w:top w:val="nil"/>
              <w:left w:val="nil"/>
              <w:bottom w:val="nil"/>
              <w:right w:val="single" w:sz="8" w:space="0" w:color="auto"/>
            </w:tcBorders>
            <w:shd w:val="clear" w:color="auto" w:fill="auto"/>
            <w:noWrap/>
            <w:vAlign w:val="bottom"/>
            <w:hideMark/>
          </w:tcPr>
          <w:p w:rsidR="00445218" w:rsidRPr="00C73500" w:rsidRDefault="00445218" w:rsidP="00445218">
            <w:pPr>
              <w:jc w:val="right"/>
              <w:rPr>
                <w:rFonts w:ascii="SWISS" w:hAnsi="SWISS" w:cs="Arial"/>
                <w:sz w:val="20"/>
                <w:szCs w:val="20"/>
                <w:u w:val="double"/>
              </w:rPr>
            </w:pPr>
            <w:r w:rsidRPr="00C73500">
              <w:rPr>
                <w:rFonts w:ascii="SWISS" w:hAnsi="SWISS" w:cs="Arial"/>
                <w:sz w:val="20"/>
                <w:szCs w:val="20"/>
                <w:u w:val="double"/>
              </w:rPr>
              <w:t xml:space="preserve">$915 </w:t>
            </w:r>
          </w:p>
        </w:tc>
      </w:tr>
      <w:tr w:rsidR="00445218" w:rsidRPr="00C73500" w:rsidTr="00445218">
        <w:trPr>
          <w:trHeight w:val="300"/>
          <w:jc w:val="center"/>
        </w:trPr>
        <w:tc>
          <w:tcPr>
            <w:tcW w:w="526" w:type="dxa"/>
            <w:tcBorders>
              <w:top w:val="nil"/>
              <w:left w:val="single" w:sz="8" w:space="0" w:color="auto"/>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rPr>
            </w:pPr>
          </w:p>
        </w:tc>
        <w:tc>
          <w:tcPr>
            <w:tcW w:w="1217"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hideMark/>
          </w:tcPr>
          <w:p w:rsidR="00445218" w:rsidRPr="00C73500" w:rsidRDefault="00445218" w:rsidP="00445218">
            <w:pPr>
              <w:rPr>
                <w:rFonts w:ascii="SWISS" w:hAnsi="SWISS" w:cs="Arial"/>
                <w:sz w:val="20"/>
                <w:szCs w:val="20"/>
                <w:u w:val="double"/>
              </w:rPr>
            </w:pPr>
          </w:p>
        </w:tc>
      </w:tr>
      <w:tr w:rsidR="00445218" w:rsidRPr="00C73500" w:rsidTr="00445218">
        <w:trPr>
          <w:trHeight w:val="300"/>
          <w:jc w:val="center"/>
        </w:trPr>
        <w:tc>
          <w:tcPr>
            <w:tcW w:w="526" w:type="dxa"/>
            <w:tcBorders>
              <w:top w:val="nil"/>
              <w:left w:val="single" w:sz="8" w:space="0" w:color="auto"/>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r w:rsidRPr="00C73500">
              <w:rPr>
                <w:rFonts w:ascii="SWISS" w:hAnsi="SWISS" w:cs="Arial"/>
                <w:sz w:val="20"/>
                <w:szCs w:val="20"/>
              </w:rPr>
              <w:t>8.</w:t>
            </w:r>
          </w:p>
        </w:tc>
        <w:tc>
          <w:tcPr>
            <w:tcW w:w="7469"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rPr>
            </w:pPr>
            <w:r w:rsidRPr="00C73500">
              <w:rPr>
                <w:rFonts w:ascii="SWISS" w:hAnsi="SWISS" w:cs="Arial"/>
                <w:sz w:val="20"/>
                <w:szCs w:val="20"/>
              </w:rPr>
              <w:t>Contractual Services - Other (636/736)</w:t>
            </w:r>
          </w:p>
        </w:tc>
        <w:tc>
          <w:tcPr>
            <w:tcW w:w="1217"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u w:val="single"/>
              </w:rPr>
            </w:pPr>
          </w:p>
        </w:tc>
        <w:tc>
          <w:tcPr>
            <w:tcW w:w="1774" w:type="dxa"/>
            <w:tcBorders>
              <w:top w:val="nil"/>
              <w:left w:val="nil"/>
              <w:bottom w:val="nil"/>
              <w:right w:val="single" w:sz="8" w:space="0" w:color="auto"/>
            </w:tcBorders>
            <w:shd w:val="clear" w:color="auto" w:fill="auto"/>
            <w:noWrap/>
            <w:vAlign w:val="bottom"/>
            <w:hideMark/>
          </w:tcPr>
          <w:p w:rsidR="00445218" w:rsidRPr="00C73500" w:rsidRDefault="00445218" w:rsidP="00445218">
            <w:pPr>
              <w:rPr>
                <w:rFonts w:ascii="SWISS" w:hAnsi="SWISS" w:cs="Arial"/>
                <w:sz w:val="20"/>
                <w:szCs w:val="20"/>
                <w:u w:val="single"/>
              </w:rPr>
            </w:pPr>
          </w:p>
        </w:tc>
      </w:tr>
      <w:tr w:rsidR="00445218" w:rsidRPr="00C73500" w:rsidTr="00445218">
        <w:trPr>
          <w:trHeight w:val="300"/>
          <w:jc w:val="center"/>
        </w:trPr>
        <w:tc>
          <w:tcPr>
            <w:tcW w:w="526" w:type="dxa"/>
            <w:tcBorders>
              <w:top w:val="nil"/>
              <w:left w:val="single" w:sz="8" w:space="0" w:color="auto"/>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hideMark/>
          </w:tcPr>
          <w:p w:rsidR="00445218" w:rsidRPr="00C73500" w:rsidRDefault="00445218" w:rsidP="00445218">
            <w:pPr>
              <w:rPr>
                <w:rFonts w:ascii="SWISS" w:hAnsi="SWISS" w:cs="Arial"/>
                <w:sz w:val="20"/>
                <w:szCs w:val="20"/>
              </w:rPr>
            </w:pPr>
            <w:r w:rsidRPr="00C73500">
              <w:rPr>
                <w:rFonts w:ascii="SWISS" w:hAnsi="SWISS" w:cs="Arial"/>
                <w:sz w:val="20"/>
                <w:szCs w:val="20"/>
              </w:rPr>
              <w:t xml:space="preserve">To reflect audit adjustments related to reclassification of expenses. </w:t>
            </w:r>
          </w:p>
        </w:tc>
        <w:tc>
          <w:tcPr>
            <w:tcW w:w="1217" w:type="dxa"/>
            <w:tcBorders>
              <w:top w:val="nil"/>
              <w:left w:val="nil"/>
              <w:bottom w:val="nil"/>
              <w:right w:val="nil"/>
            </w:tcBorders>
            <w:shd w:val="clear" w:color="auto" w:fill="auto"/>
            <w:noWrap/>
            <w:vAlign w:val="bottom"/>
            <w:hideMark/>
          </w:tcPr>
          <w:p w:rsidR="00445218" w:rsidRPr="00C73500" w:rsidRDefault="00445218" w:rsidP="00445218">
            <w:pPr>
              <w:jc w:val="right"/>
              <w:rPr>
                <w:rFonts w:ascii="SWISS" w:hAnsi="SWISS" w:cs="Arial"/>
                <w:sz w:val="20"/>
                <w:szCs w:val="20"/>
                <w:u w:val="double"/>
              </w:rPr>
            </w:pPr>
            <w:r w:rsidRPr="00C73500">
              <w:rPr>
                <w:rFonts w:ascii="SWISS" w:hAnsi="SWISS" w:cs="Arial"/>
                <w:sz w:val="20"/>
                <w:szCs w:val="20"/>
                <w:u w:val="double"/>
              </w:rPr>
              <w:t xml:space="preserve">$5,952 </w:t>
            </w:r>
          </w:p>
        </w:tc>
        <w:tc>
          <w:tcPr>
            <w:tcW w:w="1774" w:type="dxa"/>
            <w:tcBorders>
              <w:top w:val="nil"/>
              <w:left w:val="nil"/>
              <w:bottom w:val="nil"/>
              <w:right w:val="single" w:sz="8" w:space="0" w:color="auto"/>
            </w:tcBorders>
            <w:shd w:val="clear" w:color="auto" w:fill="auto"/>
            <w:noWrap/>
            <w:vAlign w:val="bottom"/>
            <w:hideMark/>
          </w:tcPr>
          <w:p w:rsidR="00445218" w:rsidRPr="00C73500" w:rsidRDefault="00445218" w:rsidP="00445218">
            <w:pPr>
              <w:jc w:val="right"/>
              <w:rPr>
                <w:rFonts w:ascii="SWISS" w:hAnsi="SWISS" w:cs="Arial"/>
                <w:sz w:val="20"/>
                <w:szCs w:val="20"/>
                <w:u w:val="double"/>
              </w:rPr>
            </w:pPr>
            <w:r w:rsidRPr="00C73500">
              <w:rPr>
                <w:rFonts w:ascii="SWISS" w:hAnsi="SWISS" w:cs="Arial"/>
                <w:sz w:val="20"/>
                <w:szCs w:val="20"/>
                <w:u w:val="double"/>
              </w:rPr>
              <w:t xml:space="preserve">$17,678 </w:t>
            </w:r>
          </w:p>
        </w:tc>
      </w:tr>
      <w:tr w:rsidR="00445218" w:rsidRPr="00C73500" w:rsidTr="00445218">
        <w:trPr>
          <w:trHeight w:val="300"/>
          <w:jc w:val="center"/>
        </w:trPr>
        <w:tc>
          <w:tcPr>
            <w:tcW w:w="526" w:type="dxa"/>
            <w:tcBorders>
              <w:top w:val="nil"/>
              <w:left w:val="single" w:sz="8" w:space="0" w:color="auto"/>
              <w:right w:val="nil"/>
            </w:tcBorders>
            <w:shd w:val="clear" w:color="auto" w:fill="auto"/>
            <w:noWrap/>
            <w:vAlign w:val="bottom"/>
            <w:hideMark/>
          </w:tcPr>
          <w:p w:rsidR="00445218" w:rsidRPr="00C73500" w:rsidRDefault="00445218" w:rsidP="00445218">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right w:val="nil"/>
            </w:tcBorders>
            <w:shd w:val="clear" w:color="auto" w:fill="auto"/>
            <w:noWrap/>
            <w:vAlign w:val="bottom"/>
          </w:tcPr>
          <w:p w:rsidR="00445218" w:rsidRPr="00C73500" w:rsidRDefault="00445218" w:rsidP="00445218">
            <w:pPr>
              <w:rPr>
                <w:rFonts w:ascii="SWISS" w:hAnsi="SWISS" w:cs="Arial"/>
                <w:sz w:val="20"/>
                <w:szCs w:val="20"/>
              </w:rPr>
            </w:pPr>
          </w:p>
        </w:tc>
        <w:tc>
          <w:tcPr>
            <w:tcW w:w="1217" w:type="dxa"/>
            <w:tcBorders>
              <w:top w:val="nil"/>
              <w:left w:val="nil"/>
              <w:right w:val="nil"/>
            </w:tcBorders>
            <w:shd w:val="clear" w:color="auto" w:fill="auto"/>
            <w:noWrap/>
            <w:vAlign w:val="bottom"/>
          </w:tcPr>
          <w:p w:rsidR="00445218" w:rsidRPr="00C73500" w:rsidRDefault="00445218" w:rsidP="00445218">
            <w:pPr>
              <w:jc w:val="right"/>
              <w:rPr>
                <w:rFonts w:ascii="SWISS" w:hAnsi="SWISS" w:cs="Arial"/>
                <w:sz w:val="20"/>
                <w:szCs w:val="20"/>
                <w:u w:val="single"/>
              </w:rPr>
            </w:pPr>
          </w:p>
        </w:tc>
        <w:tc>
          <w:tcPr>
            <w:tcW w:w="1774" w:type="dxa"/>
            <w:tcBorders>
              <w:top w:val="nil"/>
              <w:left w:val="nil"/>
              <w:right w:val="single" w:sz="8" w:space="0" w:color="auto"/>
            </w:tcBorders>
            <w:shd w:val="clear" w:color="auto" w:fill="auto"/>
            <w:noWrap/>
            <w:vAlign w:val="bottom"/>
          </w:tcPr>
          <w:p w:rsidR="00445218" w:rsidRPr="00C73500" w:rsidRDefault="00445218" w:rsidP="00445218">
            <w:pPr>
              <w:jc w:val="right"/>
              <w:rPr>
                <w:rFonts w:ascii="SWISS" w:hAnsi="SWISS" w:cs="Arial"/>
                <w:sz w:val="20"/>
                <w:szCs w:val="20"/>
                <w:u w:val="single"/>
              </w:rPr>
            </w:pPr>
          </w:p>
        </w:tc>
      </w:tr>
      <w:tr w:rsidR="00445218" w:rsidRPr="00C73500" w:rsidTr="00445218">
        <w:trPr>
          <w:trHeight w:val="300"/>
          <w:jc w:val="center"/>
        </w:trPr>
        <w:tc>
          <w:tcPr>
            <w:tcW w:w="526" w:type="dxa"/>
            <w:tcBorders>
              <w:top w:val="nil"/>
              <w:left w:val="single" w:sz="8" w:space="0" w:color="auto"/>
              <w:bottom w:val="single" w:sz="4" w:space="0" w:color="auto"/>
              <w:right w:val="nil"/>
            </w:tcBorders>
            <w:shd w:val="clear" w:color="auto" w:fill="auto"/>
            <w:noWrap/>
            <w:vAlign w:val="bottom"/>
            <w:hideMark/>
          </w:tcPr>
          <w:p w:rsidR="00445218" w:rsidRPr="00C73500" w:rsidRDefault="00445218" w:rsidP="00445218">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single" w:sz="4" w:space="0" w:color="auto"/>
              <w:right w:val="nil"/>
            </w:tcBorders>
            <w:shd w:val="clear" w:color="auto" w:fill="auto"/>
            <w:noWrap/>
            <w:vAlign w:val="bottom"/>
          </w:tcPr>
          <w:p w:rsidR="00445218" w:rsidRPr="00C73500" w:rsidRDefault="00445218" w:rsidP="00445218">
            <w:pPr>
              <w:rPr>
                <w:rFonts w:ascii="SWISS" w:hAnsi="SWISS" w:cs="Arial"/>
                <w:sz w:val="20"/>
                <w:szCs w:val="20"/>
              </w:rPr>
            </w:pPr>
          </w:p>
        </w:tc>
        <w:tc>
          <w:tcPr>
            <w:tcW w:w="1217" w:type="dxa"/>
            <w:tcBorders>
              <w:top w:val="nil"/>
              <w:left w:val="nil"/>
              <w:bottom w:val="single" w:sz="4" w:space="0" w:color="auto"/>
              <w:right w:val="nil"/>
            </w:tcBorders>
            <w:shd w:val="clear" w:color="auto" w:fill="auto"/>
            <w:noWrap/>
            <w:vAlign w:val="bottom"/>
          </w:tcPr>
          <w:p w:rsidR="00445218" w:rsidRPr="00C73500" w:rsidRDefault="00445218" w:rsidP="00445218">
            <w:pPr>
              <w:jc w:val="right"/>
              <w:rPr>
                <w:rFonts w:ascii="SWISS" w:hAnsi="SWISS" w:cs="Arial"/>
                <w:sz w:val="20"/>
                <w:szCs w:val="20"/>
                <w:u w:val="double"/>
              </w:rPr>
            </w:pPr>
          </w:p>
        </w:tc>
        <w:tc>
          <w:tcPr>
            <w:tcW w:w="1774" w:type="dxa"/>
            <w:tcBorders>
              <w:top w:val="nil"/>
              <w:left w:val="nil"/>
              <w:bottom w:val="single" w:sz="4" w:space="0" w:color="auto"/>
              <w:right w:val="single" w:sz="8" w:space="0" w:color="auto"/>
            </w:tcBorders>
            <w:shd w:val="clear" w:color="auto" w:fill="auto"/>
            <w:noWrap/>
            <w:vAlign w:val="bottom"/>
          </w:tcPr>
          <w:p w:rsidR="00445218" w:rsidRPr="00C73500" w:rsidRDefault="00445218" w:rsidP="00445218">
            <w:pPr>
              <w:jc w:val="right"/>
              <w:rPr>
                <w:rFonts w:ascii="SWISS" w:hAnsi="SWISS" w:cs="Arial"/>
                <w:sz w:val="20"/>
                <w:szCs w:val="20"/>
                <w:u w:val="double"/>
              </w:rPr>
            </w:pPr>
          </w:p>
        </w:tc>
      </w:tr>
      <w:tr w:rsidR="00D51AB3" w:rsidRPr="00C73500" w:rsidTr="00F673BF">
        <w:trPr>
          <w:trHeight w:val="300"/>
          <w:jc w:val="center"/>
        </w:trPr>
        <w:tc>
          <w:tcPr>
            <w:tcW w:w="526" w:type="dxa"/>
            <w:tcBorders>
              <w:top w:val="single" w:sz="8" w:space="0" w:color="auto"/>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lastRenderedPageBreak/>
              <w:t> </w:t>
            </w:r>
          </w:p>
        </w:tc>
        <w:tc>
          <w:tcPr>
            <w:tcW w:w="7469" w:type="dxa"/>
            <w:tcBorders>
              <w:top w:val="single" w:sz="8" w:space="0" w:color="auto"/>
              <w:left w:val="nil"/>
              <w:bottom w:val="nil"/>
              <w:right w:val="nil"/>
            </w:tcBorders>
            <w:shd w:val="clear" w:color="auto" w:fill="auto"/>
            <w:noWrap/>
            <w:vAlign w:val="center"/>
            <w:hideMark/>
          </w:tcPr>
          <w:p w:rsidR="00D51AB3" w:rsidRPr="00C73500" w:rsidRDefault="00D51AB3" w:rsidP="00F673BF">
            <w:pPr>
              <w:rPr>
                <w:rFonts w:ascii="SWISS" w:hAnsi="SWISS" w:cs="Arial"/>
                <w:b/>
                <w:bCs/>
                <w:color w:val="000000"/>
                <w:sz w:val="20"/>
                <w:szCs w:val="20"/>
              </w:rPr>
            </w:pPr>
            <w:r w:rsidRPr="00C73500">
              <w:rPr>
                <w:rFonts w:ascii="SWISS" w:hAnsi="SWISS" w:cs="Arial"/>
                <w:b/>
                <w:bCs/>
                <w:color w:val="000000"/>
                <w:sz w:val="20"/>
                <w:szCs w:val="20"/>
              </w:rPr>
              <w:t xml:space="preserve">FIMC </w:t>
            </w:r>
            <w:r>
              <w:rPr>
                <w:rFonts w:ascii="SWISS" w:hAnsi="SWISS" w:cs="Arial"/>
                <w:b/>
                <w:bCs/>
                <w:color w:val="000000"/>
                <w:sz w:val="20"/>
                <w:szCs w:val="20"/>
              </w:rPr>
              <w:t>HIDEAWAY, INC.</w:t>
            </w:r>
          </w:p>
        </w:tc>
        <w:tc>
          <w:tcPr>
            <w:tcW w:w="2991" w:type="dxa"/>
            <w:gridSpan w:val="2"/>
            <w:tcBorders>
              <w:top w:val="single" w:sz="8" w:space="0" w:color="auto"/>
              <w:left w:val="nil"/>
              <w:bottom w:val="nil"/>
              <w:right w:val="single" w:sz="8" w:space="0" w:color="000000"/>
            </w:tcBorders>
            <w:shd w:val="clear" w:color="auto" w:fill="auto"/>
            <w:noWrap/>
            <w:vAlign w:val="center"/>
            <w:hideMark/>
          </w:tcPr>
          <w:p w:rsidR="00D51AB3" w:rsidRPr="00C73500" w:rsidRDefault="00D51AB3" w:rsidP="00F673BF">
            <w:pPr>
              <w:jc w:val="right"/>
              <w:rPr>
                <w:rFonts w:ascii="SWISS" w:hAnsi="SWISS" w:cs="Arial"/>
                <w:b/>
                <w:bCs/>
                <w:color w:val="000000"/>
                <w:sz w:val="20"/>
                <w:szCs w:val="20"/>
              </w:rPr>
            </w:pPr>
            <w:r w:rsidRPr="00C73500">
              <w:rPr>
                <w:rFonts w:ascii="SWISS" w:hAnsi="SWISS" w:cs="Arial"/>
                <w:b/>
                <w:bCs/>
                <w:color w:val="000000"/>
                <w:sz w:val="20"/>
                <w:szCs w:val="20"/>
              </w:rPr>
              <w:t>SCHEDULE NO. 3-C</w:t>
            </w: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center"/>
            <w:hideMark/>
          </w:tcPr>
          <w:p w:rsidR="00D51AB3" w:rsidRPr="00C73500" w:rsidRDefault="00D51AB3" w:rsidP="00F673BF">
            <w:pPr>
              <w:rPr>
                <w:rFonts w:ascii="SWISS" w:hAnsi="SWISS" w:cs="Arial"/>
                <w:b/>
                <w:bCs/>
                <w:color w:val="000000"/>
                <w:sz w:val="20"/>
                <w:szCs w:val="20"/>
              </w:rPr>
            </w:pPr>
            <w:r w:rsidRPr="00C73500">
              <w:rPr>
                <w:rFonts w:ascii="SWISS" w:hAnsi="SWISS" w:cs="Arial"/>
                <w:b/>
                <w:bCs/>
                <w:color w:val="000000"/>
                <w:sz w:val="20"/>
                <w:szCs w:val="20"/>
              </w:rPr>
              <w:t xml:space="preserve">TEST YEAR ENDED  </w:t>
            </w:r>
            <w:r>
              <w:rPr>
                <w:rFonts w:ascii="SWISS" w:hAnsi="SWISS" w:cs="Arial"/>
                <w:b/>
                <w:bCs/>
                <w:color w:val="000000"/>
                <w:sz w:val="20"/>
                <w:szCs w:val="20"/>
              </w:rPr>
              <w:t>June 30, 20</w:t>
            </w:r>
            <w:r w:rsidRPr="00C73500">
              <w:rPr>
                <w:rFonts w:ascii="SWISS" w:hAnsi="SWISS" w:cs="Arial"/>
                <w:b/>
                <w:bCs/>
                <w:color w:val="000000"/>
                <w:sz w:val="20"/>
                <w:szCs w:val="20"/>
              </w:rPr>
              <w:t>17</w:t>
            </w:r>
          </w:p>
        </w:tc>
        <w:tc>
          <w:tcPr>
            <w:tcW w:w="2991" w:type="dxa"/>
            <w:gridSpan w:val="2"/>
            <w:tcBorders>
              <w:top w:val="nil"/>
              <w:left w:val="nil"/>
              <w:bottom w:val="nil"/>
              <w:right w:val="single" w:sz="8" w:space="0" w:color="000000"/>
            </w:tcBorders>
            <w:shd w:val="clear" w:color="auto" w:fill="auto"/>
            <w:noWrap/>
            <w:vAlign w:val="center"/>
            <w:hideMark/>
          </w:tcPr>
          <w:p w:rsidR="00D51AB3" w:rsidRPr="00C73500" w:rsidRDefault="00D51AB3" w:rsidP="00F673BF">
            <w:pPr>
              <w:jc w:val="right"/>
              <w:rPr>
                <w:rFonts w:ascii="SWISS" w:hAnsi="SWISS" w:cs="Arial"/>
                <w:b/>
                <w:bCs/>
                <w:color w:val="000000"/>
                <w:sz w:val="20"/>
                <w:szCs w:val="20"/>
              </w:rPr>
            </w:pPr>
            <w:r w:rsidRPr="00C73500">
              <w:rPr>
                <w:rFonts w:ascii="SWISS" w:hAnsi="SWISS" w:cs="Arial"/>
                <w:b/>
                <w:bCs/>
                <w:color w:val="000000"/>
                <w:sz w:val="20"/>
                <w:szCs w:val="20"/>
              </w:rPr>
              <w:t>DOCKET NO. 20170147-WS</w:t>
            </w:r>
          </w:p>
        </w:tc>
      </w:tr>
      <w:tr w:rsidR="00D51AB3" w:rsidRPr="00C73500" w:rsidTr="00F673BF">
        <w:trPr>
          <w:trHeight w:val="312"/>
          <w:jc w:val="center"/>
        </w:trPr>
        <w:tc>
          <w:tcPr>
            <w:tcW w:w="526" w:type="dxa"/>
            <w:tcBorders>
              <w:top w:val="nil"/>
              <w:left w:val="single" w:sz="8" w:space="0" w:color="auto"/>
              <w:bottom w:val="single" w:sz="8" w:space="0" w:color="auto"/>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single" w:sz="8" w:space="0" w:color="auto"/>
              <w:right w:val="nil"/>
            </w:tcBorders>
            <w:shd w:val="clear" w:color="auto" w:fill="auto"/>
            <w:noWrap/>
            <w:vAlign w:val="center"/>
            <w:hideMark/>
          </w:tcPr>
          <w:p w:rsidR="00D51AB3" w:rsidRPr="00C73500" w:rsidRDefault="00D51AB3" w:rsidP="00F673BF">
            <w:pPr>
              <w:rPr>
                <w:rFonts w:ascii="SWISS" w:hAnsi="SWISS" w:cs="Arial"/>
                <w:b/>
                <w:bCs/>
                <w:sz w:val="20"/>
                <w:szCs w:val="20"/>
              </w:rPr>
            </w:pPr>
            <w:r w:rsidRPr="00C73500">
              <w:rPr>
                <w:rFonts w:ascii="SWISS" w:hAnsi="SWISS" w:cs="Arial"/>
                <w:b/>
                <w:bCs/>
                <w:sz w:val="20"/>
                <w:szCs w:val="20"/>
              </w:rPr>
              <w:t>ADJUSTMENTS TO OPERATING INCOME</w:t>
            </w:r>
          </w:p>
        </w:tc>
        <w:tc>
          <w:tcPr>
            <w:tcW w:w="2991" w:type="dxa"/>
            <w:gridSpan w:val="2"/>
            <w:tcBorders>
              <w:top w:val="nil"/>
              <w:left w:val="nil"/>
              <w:bottom w:val="single" w:sz="8" w:space="0" w:color="auto"/>
              <w:right w:val="single" w:sz="8" w:space="0" w:color="000000"/>
            </w:tcBorders>
            <w:shd w:val="clear" w:color="auto" w:fill="auto"/>
            <w:noWrap/>
            <w:vAlign w:val="center"/>
            <w:hideMark/>
          </w:tcPr>
          <w:p w:rsidR="00D51AB3" w:rsidRPr="00C73500" w:rsidRDefault="00D51AB3" w:rsidP="00F673BF">
            <w:pPr>
              <w:jc w:val="right"/>
              <w:rPr>
                <w:rFonts w:ascii="SWISS" w:hAnsi="SWISS" w:cs="Arial"/>
                <w:b/>
                <w:bCs/>
                <w:color w:val="000000"/>
                <w:sz w:val="20"/>
                <w:szCs w:val="20"/>
              </w:rPr>
            </w:pPr>
            <w:r w:rsidRPr="00C73500">
              <w:rPr>
                <w:rFonts w:ascii="SWISS" w:hAnsi="SWISS" w:cs="Arial"/>
                <w:b/>
                <w:bCs/>
                <w:color w:val="000000"/>
                <w:sz w:val="20"/>
                <w:szCs w:val="20"/>
              </w:rPr>
              <w:t>Page 2 of 2</w:t>
            </w: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sz w:val="20"/>
                <w:szCs w:val="20"/>
              </w:rPr>
            </w:pP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center"/>
              <w:rPr>
                <w:rFonts w:ascii="SWISS" w:hAnsi="SWISS" w:cs="Arial"/>
                <w:b/>
                <w:bCs/>
                <w:sz w:val="20"/>
                <w:szCs w:val="20"/>
                <w:u w:val="single"/>
              </w:rPr>
            </w:pPr>
            <w:r w:rsidRPr="00C73500">
              <w:rPr>
                <w:rFonts w:ascii="SWISS" w:hAnsi="SWISS" w:cs="Arial"/>
                <w:b/>
                <w:bCs/>
                <w:sz w:val="20"/>
                <w:szCs w:val="20"/>
                <w:u w:val="single"/>
              </w:rPr>
              <w:t>WATER</w:t>
            </w: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center"/>
              <w:rPr>
                <w:rFonts w:ascii="SWISS" w:hAnsi="SWISS" w:cs="Arial"/>
                <w:b/>
                <w:bCs/>
                <w:sz w:val="20"/>
                <w:szCs w:val="20"/>
                <w:u w:val="single"/>
              </w:rPr>
            </w:pPr>
            <w:r w:rsidRPr="00C73500">
              <w:rPr>
                <w:rFonts w:ascii="SWISS" w:hAnsi="SWISS" w:cs="Arial"/>
                <w:b/>
                <w:bCs/>
                <w:sz w:val="20"/>
                <w:szCs w:val="20"/>
                <w:u w:val="single"/>
              </w:rPr>
              <w:t>WASTEWATER</w:t>
            </w: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9.</w:t>
            </w: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Cs/>
                <w:sz w:val="20"/>
                <w:szCs w:val="20"/>
              </w:rPr>
            </w:pPr>
            <w:r w:rsidRPr="00C73500">
              <w:rPr>
                <w:rFonts w:ascii="SWISS" w:hAnsi="SWISS" w:cs="Arial"/>
                <w:bCs/>
                <w:sz w:val="20"/>
                <w:szCs w:val="20"/>
              </w:rPr>
              <w:t>Rents (640/740)</w:t>
            </w:r>
          </w:p>
        </w:tc>
        <w:tc>
          <w:tcPr>
            <w:tcW w:w="1217"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rPr>
                <w:rFonts w:ascii="SWISS" w:hAnsi="SWISS" w:cs="Arial"/>
                <w:sz w:val="20"/>
                <w:szCs w:val="20"/>
              </w:rPr>
            </w:pP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Cs/>
                <w:sz w:val="20"/>
                <w:szCs w:val="20"/>
              </w:rPr>
            </w:pPr>
            <w:r w:rsidRPr="00C73500">
              <w:rPr>
                <w:rFonts w:ascii="SWISS" w:hAnsi="SWISS" w:cs="Arial"/>
                <w:bCs/>
                <w:sz w:val="20"/>
                <w:szCs w:val="20"/>
              </w:rPr>
              <w:t xml:space="preserve">To reflect appropriate rent expense. </w:t>
            </w: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u w:val="double"/>
              </w:rPr>
            </w:pPr>
            <w:r w:rsidRPr="00C73500">
              <w:rPr>
                <w:rFonts w:ascii="SWISS" w:hAnsi="SWISS" w:cs="Arial"/>
                <w:sz w:val="20"/>
                <w:szCs w:val="20"/>
                <w:u w:val="double"/>
              </w:rPr>
              <w:t>($10,012)</w:t>
            </w: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u w:val="double"/>
              </w:rPr>
            </w:pPr>
            <w:r w:rsidRPr="00C73500">
              <w:rPr>
                <w:rFonts w:ascii="SWISS" w:hAnsi="SWISS" w:cs="Arial"/>
                <w:sz w:val="20"/>
                <w:szCs w:val="20"/>
                <w:u w:val="double"/>
              </w:rPr>
              <w:t xml:space="preserve">$1,057 </w:t>
            </w: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
                <w:bCs/>
                <w:sz w:val="20"/>
                <w:szCs w:val="20"/>
              </w:rPr>
            </w:pP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u w:val="double"/>
              </w:rPr>
            </w:pP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10.</w:t>
            </w: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Cs/>
                <w:sz w:val="20"/>
                <w:szCs w:val="20"/>
              </w:rPr>
            </w:pPr>
            <w:r w:rsidRPr="00C73500">
              <w:rPr>
                <w:rFonts w:ascii="SWISS" w:hAnsi="SWISS" w:cs="Arial"/>
                <w:bCs/>
                <w:sz w:val="20"/>
                <w:szCs w:val="20"/>
              </w:rPr>
              <w:t>Transportation Expense (650/750)</w:t>
            </w: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u w:val="double"/>
              </w:rPr>
            </w:pP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Cs/>
                <w:sz w:val="20"/>
                <w:szCs w:val="20"/>
              </w:rPr>
            </w:pPr>
            <w:r w:rsidRPr="00C73500">
              <w:rPr>
                <w:rFonts w:ascii="SWISS" w:hAnsi="SWISS" w:cs="Arial"/>
                <w:bCs/>
                <w:sz w:val="20"/>
                <w:szCs w:val="20"/>
              </w:rPr>
              <w:t xml:space="preserve">To reflect appropriate transportation expense. </w:t>
            </w: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u w:val="double"/>
              </w:rPr>
            </w:pPr>
            <w:r w:rsidRPr="00C73500">
              <w:rPr>
                <w:rFonts w:ascii="SWISS" w:hAnsi="SWISS" w:cs="Arial"/>
                <w:sz w:val="20"/>
                <w:szCs w:val="20"/>
                <w:u w:val="double"/>
              </w:rPr>
              <w:t>$716</w:t>
            </w: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u w:val="double"/>
              </w:rPr>
            </w:pPr>
            <w:r w:rsidRPr="00C73500">
              <w:rPr>
                <w:rFonts w:ascii="SWISS" w:hAnsi="SWISS" w:cs="Arial"/>
                <w:sz w:val="20"/>
                <w:szCs w:val="20"/>
                <w:u w:val="double"/>
              </w:rPr>
              <w:t xml:space="preserve">$766 </w:t>
            </w: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Cs/>
                <w:sz w:val="20"/>
                <w:szCs w:val="20"/>
              </w:rPr>
            </w:pP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u w:val="double"/>
              </w:rPr>
            </w:pP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11.</w:t>
            </w: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Cs/>
                <w:sz w:val="20"/>
                <w:szCs w:val="20"/>
              </w:rPr>
            </w:pPr>
            <w:r w:rsidRPr="00C73500">
              <w:rPr>
                <w:rFonts w:ascii="SWISS" w:hAnsi="SWISS" w:cs="Arial"/>
                <w:bCs/>
                <w:sz w:val="20"/>
                <w:szCs w:val="20"/>
              </w:rPr>
              <w:t>Regulatory Commission Expense (665/765)</w:t>
            </w: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u w:val="double"/>
              </w:rPr>
            </w:pP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Cs/>
                <w:sz w:val="20"/>
                <w:szCs w:val="20"/>
              </w:rPr>
            </w:pPr>
            <w:r w:rsidRPr="00C73500">
              <w:rPr>
                <w:rFonts w:ascii="SWISS" w:hAnsi="SWISS" w:cs="Arial"/>
                <w:bCs/>
                <w:sz w:val="20"/>
                <w:szCs w:val="20"/>
              </w:rPr>
              <w:t>To reflect 4-year amortization of rate case expense.</w:t>
            </w: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u w:val="double"/>
              </w:rPr>
            </w:pPr>
            <w:r w:rsidRPr="00C73500">
              <w:rPr>
                <w:rFonts w:ascii="SWISS" w:hAnsi="SWISS" w:cs="Arial"/>
                <w:sz w:val="20"/>
                <w:szCs w:val="20"/>
                <w:u w:val="double"/>
              </w:rPr>
              <w:t xml:space="preserve">$313 </w:t>
            </w: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u w:val="double"/>
              </w:rPr>
            </w:pPr>
            <w:r w:rsidRPr="00C73500">
              <w:rPr>
                <w:rFonts w:ascii="SWISS" w:hAnsi="SWISS" w:cs="Arial"/>
                <w:sz w:val="20"/>
                <w:szCs w:val="20"/>
                <w:u w:val="double"/>
              </w:rPr>
              <w:t xml:space="preserve">$192 </w:t>
            </w: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Cs/>
                <w:sz w:val="20"/>
                <w:szCs w:val="20"/>
              </w:rPr>
            </w:pP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u w:val="double"/>
              </w:rPr>
            </w:pP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12.</w:t>
            </w: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Cs/>
                <w:sz w:val="20"/>
                <w:szCs w:val="20"/>
              </w:rPr>
            </w:pPr>
            <w:r w:rsidRPr="00C73500">
              <w:rPr>
                <w:rFonts w:ascii="SWISS" w:hAnsi="SWISS" w:cs="Arial"/>
                <w:bCs/>
                <w:sz w:val="20"/>
                <w:szCs w:val="20"/>
              </w:rPr>
              <w:t>Bad Debt Expense (670/770)</w:t>
            </w: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u w:val="double"/>
              </w:rPr>
            </w:pP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u w:val="double"/>
              </w:rPr>
            </w:pP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Cs/>
                <w:sz w:val="20"/>
                <w:szCs w:val="20"/>
              </w:rPr>
            </w:pPr>
            <w:r w:rsidRPr="00C73500">
              <w:rPr>
                <w:rFonts w:ascii="SWISS" w:hAnsi="SWISS" w:cs="Arial"/>
                <w:bCs/>
                <w:sz w:val="20"/>
                <w:szCs w:val="20"/>
              </w:rPr>
              <w:t>To reflect appropriate bad debt expense.</w:t>
            </w: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u w:val="double"/>
              </w:rPr>
            </w:pPr>
            <w:r w:rsidRPr="00C73500">
              <w:rPr>
                <w:rFonts w:ascii="SWISS" w:hAnsi="SWISS" w:cs="Arial"/>
                <w:sz w:val="20"/>
                <w:szCs w:val="20"/>
                <w:u w:val="double"/>
              </w:rPr>
              <w:t>$</w:t>
            </w:r>
            <w:r>
              <w:rPr>
                <w:rFonts w:ascii="SWISS" w:hAnsi="SWISS" w:cs="Arial"/>
                <w:sz w:val="20"/>
                <w:szCs w:val="20"/>
                <w:u w:val="double"/>
              </w:rPr>
              <w:t>1,575</w:t>
            </w:r>
            <w:r w:rsidRPr="00C73500">
              <w:rPr>
                <w:rFonts w:ascii="SWISS" w:hAnsi="SWISS" w:cs="Arial"/>
                <w:sz w:val="20"/>
                <w:szCs w:val="20"/>
                <w:u w:val="double"/>
              </w:rPr>
              <w:t xml:space="preserve"> </w:t>
            </w: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u w:val="double"/>
              </w:rPr>
            </w:pPr>
            <w:r w:rsidRPr="00C73500">
              <w:rPr>
                <w:rFonts w:ascii="SWISS" w:hAnsi="SWISS" w:cs="Arial"/>
                <w:sz w:val="20"/>
                <w:szCs w:val="20"/>
                <w:u w:val="double"/>
              </w:rPr>
              <w:t>$</w:t>
            </w:r>
            <w:r>
              <w:rPr>
                <w:rFonts w:ascii="SWISS" w:hAnsi="SWISS" w:cs="Arial"/>
                <w:sz w:val="20"/>
                <w:szCs w:val="20"/>
                <w:u w:val="double"/>
              </w:rPr>
              <w:t>1,745</w:t>
            </w:r>
            <w:r w:rsidRPr="00C73500">
              <w:rPr>
                <w:rFonts w:ascii="SWISS" w:hAnsi="SWISS" w:cs="Arial"/>
                <w:sz w:val="20"/>
                <w:szCs w:val="20"/>
                <w:u w:val="double"/>
              </w:rPr>
              <w:t xml:space="preserve"> </w:t>
            </w: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Cs/>
                <w:sz w:val="20"/>
                <w:szCs w:val="20"/>
              </w:rPr>
            </w:pP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rPr>
            </w:pP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13.</w:t>
            </w: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Cs/>
                <w:sz w:val="20"/>
                <w:szCs w:val="20"/>
              </w:rPr>
            </w:pPr>
            <w:r w:rsidRPr="00C73500">
              <w:rPr>
                <w:rFonts w:ascii="SWISS" w:hAnsi="SWISS" w:cs="Arial"/>
                <w:bCs/>
                <w:sz w:val="20"/>
                <w:szCs w:val="20"/>
              </w:rPr>
              <w:t>Miscellaneous Expense (675/775)</w:t>
            </w: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w:t>
            </w: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Cs/>
                <w:sz w:val="20"/>
                <w:szCs w:val="20"/>
              </w:rPr>
            </w:pPr>
            <w:r w:rsidRPr="00C73500">
              <w:rPr>
                <w:rFonts w:ascii="SWISS" w:hAnsi="SWISS" w:cs="Arial"/>
                <w:bCs/>
                <w:sz w:val="20"/>
                <w:szCs w:val="20"/>
              </w:rPr>
              <w:t xml:space="preserve">a. To reflect audit adjustment. </w:t>
            </w: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($7,102)</w:t>
            </w: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($19,058)</w:t>
            </w: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Cs/>
                <w:sz w:val="20"/>
                <w:szCs w:val="20"/>
              </w:rPr>
            </w:pPr>
            <w:r w:rsidRPr="00C73500">
              <w:rPr>
                <w:rFonts w:ascii="SWISS" w:hAnsi="SWISS" w:cs="Arial"/>
                <w:bCs/>
                <w:sz w:val="20"/>
                <w:szCs w:val="20"/>
              </w:rPr>
              <w:t>b. To reflect appropriate miscellaneous expense.</w:t>
            </w: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u w:val="single"/>
              </w:rPr>
            </w:pPr>
            <w:r w:rsidRPr="00C73500">
              <w:rPr>
                <w:rFonts w:ascii="SWISS" w:hAnsi="SWISS" w:cs="Arial"/>
                <w:sz w:val="20"/>
                <w:szCs w:val="20"/>
                <w:u w:val="single"/>
              </w:rPr>
              <w:t>40</w:t>
            </w: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u w:val="single"/>
              </w:rPr>
            </w:pPr>
            <w:r w:rsidRPr="00C73500">
              <w:rPr>
                <w:rFonts w:ascii="SWISS" w:hAnsi="SWISS" w:cs="Arial"/>
                <w:sz w:val="20"/>
                <w:szCs w:val="20"/>
                <w:u w:val="single"/>
              </w:rPr>
              <w:t>43</w:t>
            </w: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Cs/>
                <w:sz w:val="20"/>
                <w:szCs w:val="20"/>
              </w:rPr>
            </w:pPr>
            <w:r w:rsidRPr="00C73500">
              <w:rPr>
                <w:rFonts w:ascii="SWISS" w:hAnsi="SWISS" w:cs="Arial"/>
                <w:bCs/>
                <w:sz w:val="20"/>
                <w:szCs w:val="20"/>
              </w:rPr>
              <w:t xml:space="preserve">       Subtotal</w:t>
            </w: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u w:val="double"/>
              </w:rPr>
            </w:pPr>
            <w:r w:rsidRPr="00C73500">
              <w:rPr>
                <w:rFonts w:ascii="SWISS" w:hAnsi="SWISS" w:cs="Arial"/>
                <w:sz w:val="20"/>
                <w:szCs w:val="20"/>
                <w:u w:val="double"/>
              </w:rPr>
              <w:t>($7,062)</w:t>
            </w: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u w:val="double"/>
              </w:rPr>
            </w:pPr>
            <w:r w:rsidRPr="00C73500">
              <w:rPr>
                <w:rFonts w:ascii="SWISS" w:hAnsi="SWISS" w:cs="Arial"/>
                <w:sz w:val="20"/>
                <w:szCs w:val="20"/>
                <w:u w:val="double"/>
              </w:rPr>
              <w:t>($19,015)</w:t>
            </w: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Cs/>
                <w:sz w:val="20"/>
                <w:szCs w:val="20"/>
              </w:rPr>
            </w:pP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rPr>
            </w:pP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
                <w:bCs/>
                <w:sz w:val="20"/>
                <w:szCs w:val="20"/>
              </w:rPr>
            </w:pPr>
            <w:r w:rsidRPr="00C73500">
              <w:rPr>
                <w:rFonts w:ascii="SWISS" w:hAnsi="SWISS" w:cs="Arial"/>
                <w:b/>
                <w:bCs/>
                <w:sz w:val="20"/>
                <w:szCs w:val="20"/>
              </w:rPr>
              <w:t>TOTAL OPERATION &amp; MAINTENANCE ADJUSTMENTS</w:t>
            </w: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u w:val="double"/>
              </w:rPr>
            </w:pPr>
            <w:r w:rsidRPr="00C73500">
              <w:rPr>
                <w:rFonts w:ascii="SWISS" w:hAnsi="SWISS" w:cs="Arial"/>
                <w:sz w:val="20"/>
                <w:szCs w:val="20"/>
                <w:u w:val="double"/>
              </w:rPr>
              <w:t>$</w:t>
            </w:r>
            <w:r>
              <w:rPr>
                <w:rFonts w:ascii="SWISS" w:hAnsi="SWISS" w:cs="Arial"/>
                <w:sz w:val="20"/>
                <w:szCs w:val="20"/>
                <w:u w:val="double"/>
              </w:rPr>
              <w:t>5,860</w:t>
            </w:r>
            <w:r w:rsidRPr="00C73500">
              <w:rPr>
                <w:rFonts w:ascii="SWISS" w:hAnsi="SWISS" w:cs="Arial"/>
                <w:sz w:val="20"/>
                <w:szCs w:val="20"/>
                <w:u w:val="double"/>
              </w:rPr>
              <w:t xml:space="preserve"> </w:t>
            </w: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u w:val="double"/>
              </w:rPr>
            </w:pPr>
            <w:r w:rsidRPr="00C73500">
              <w:rPr>
                <w:rFonts w:ascii="SWISS" w:hAnsi="SWISS" w:cs="Arial"/>
                <w:sz w:val="20"/>
                <w:szCs w:val="20"/>
                <w:u w:val="double"/>
              </w:rPr>
              <w:t>$1</w:t>
            </w:r>
            <w:r>
              <w:rPr>
                <w:rFonts w:ascii="SWISS" w:hAnsi="SWISS" w:cs="Arial"/>
                <w:sz w:val="20"/>
                <w:szCs w:val="20"/>
                <w:u w:val="double"/>
              </w:rPr>
              <w:t>8,135</w:t>
            </w: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
                <w:bCs/>
                <w:sz w:val="20"/>
                <w:szCs w:val="20"/>
              </w:rPr>
            </w:pP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rPr>
            </w:pP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
                <w:bCs/>
                <w:sz w:val="20"/>
                <w:szCs w:val="20"/>
              </w:rPr>
            </w:pPr>
            <w:r w:rsidRPr="00C73500">
              <w:rPr>
                <w:rFonts w:ascii="SWISS" w:hAnsi="SWISS" w:cs="Arial"/>
                <w:b/>
                <w:bCs/>
                <w:sz w:val="20"/>
                <w:szCs w:val="20"/>
              </w:rPr>
              <w:t>DEPRECIATION EXPENSE</w:t>
            </w: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w:t>
            </w: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1.</w:t>
            </w: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Cs/>
                <w:sz w:val="20"/>
                <w:szCs w:val="20"/>
              </w:rPr>
            </w:pPr>
            <w:r w:rsidRPr="00C73500">
              <w:rPr>
                <w:rFonts w:ascii="SWISS" w:hAnsi="SWISS" w:cs="Arial"/>
                <w:bCs/>
                <w:sz w:val="20"/>
                <w:szCs w:val="20"/>
              </w:rPr>
              <w:t>To reflect appropriate test year depreciation expense per Audit.</w:t>
            </w: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$3,385</w:t>
            </w: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xml:space="preserve">$5,100 </w:t>
            </w: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2.</w:t>
            </w: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Cs/>
                <w:sz w:val="20"/>
                <w:szCs w:val="20"/>
              </w:rPr>
            </w:pPr>
            <w:r w:rsidRPr="00C73500">
              <w:rPr>
                <w:rFonts w:ascii="SWISS" w:hAnsi="SWISS" w:cs="Arial"/>
                <w:bCs/>
                <w:sz w:val="20"/>
                <w:szCs w:val="20"/>
              </w:rPr>
              <w:t xml:space="preserve">To reflect staff adjustment for plant retirement and plant that was fully depreciated. </w:t>
            </w: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(554)</w:t>
            </w: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(1,666)</w:t>
            </w: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3.</w:t>
            </w: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Cs/>
                <w:sz w:val="20"/>
                <w:szCs w:val="20"/>
              </w:rPr>
            </w:pPr>
            <w:r w:rsidRPr="00C73500">
              <w:rPr>
                <w:rFonts w:ascii="SWISS" w:hAnsi="SWISS" w:cs="Arial"/>
                <w:bCs/>
                <w:sz w:val="20"/>
                <w:szCs w:val="20"/>
              </w:rPr>
              <w:t>To reflect net depreciation expense associated with pro forma adjustment.</w:t>
            </w: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u w:val="single"/>
              </w:rPr>
            </w:pPr>
            <w:r w:rsidRPr="00C73500">
              <w:rPr>
                <w:rFonts w:ascii="SWISS" w:hAnsi="SWISS" w:cs="Arial"/>
                <w:sz w:val="20"/>
                <w:szCs w:val="20"/>
                <w:u w:val="single"/>
              </w:rPr>
              <w:t>0</w:t>
            </w: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u w:val="single"/>
              </w:rPr>
            </w:pPr>
            <w:r w:rsidRPr="00C73500">
              <w:rPr>
                <w:rFonts w:ascii="SWISS" w:hAnsi="SWISS" w:cs="Arial"/>
                <w:sz w:val="20"/>
                <w:szCs w:val="20"/>
                <w:u w:val="single"/>
              </w:rPr>
              <w:t>13</w:t>
            </w: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Cs/>
                <w:sz w:val="20"/>
                <w:szCs w:val="20"/>
              </w:rPr>
            </w:pPr>
            <w:r w:rsidRPr="00C73500">
              <w:rPr>
                <w:rFonts w:ascii="SWISS" w:hAnsi="SWISS" w:cs="Arial"/>
                <w:bCs/>
                <w:sz w:val="20"/>
                <w:szCs w:val="20"/>
              </w:rPr>
              <w:t xml:space="preserve">  Total</w:t>
            </w: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u w:val="double"/>
              </w:rPr>
            </w:pPr>
            <w:r w:rsidRPr="00C73500">
              <w:rPr>
                <w:rFonts w:ascii="SWISS" w:hAnsi="SWISS" w:cs="Arial"/>
                <w:sz w:val="20"/>
                <w:szCs w:val="20"/>
                <w:u w:val="double"/>
              </w:rPr>
              <w:t xml:space="preserve">$2,831 </w:t>
            </w: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u w:val="double"/>
              </w:rPr>
            </w:pPr>
            <w:r w:rsidRPr="00C73500">
              <w:rPr>
                <w:rFonts w:ascii="SWISS" w:hAnsi="SWISS" w:cs="Arial"/>
                <w:sz w:val="20"/>
                <w:szCs w:val="20"/>
                <w:u w:val="double"/>
              </w:rPr>
              <w:t xml:space="preserve">$3,447 </w:t>
            </w: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
                <w:bCs/>
                <w:sz w:val="20"/>
                <w:szCs w:val="20"/>
              </w:rPr>
            </w:pP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rPr>
            </w:pP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
                <w:bCs/>
                <w:sz w:val="20"/>
                <w:szCs w:val="20"/>
              </w:rPr>
            </w:pPr>
            <w:r w:rsidRPr="00C73500">
              <w:rPr>
                <w:rFonts w:ascii="SWISS" w:hAnsi="SWISS" w:cs="Arial"/>
                <w:b/>
                <w:bCs/>
                <w:sz w:val="20"/>
                <w:szCs w:val="20"/>
              </w:rPr>
              <w:t>AMORTIZATION</w:t>
            </w:r>
            <w:r>
              <w:rPr>
                <w:rFonts w:ascii="SWISS" w:hAnsi="SWISS" w:cs="Arial"/>
                <w:b/>
                <w:bCs/>
                <w:sz w:val="20"/>
                <w:szCs w:val="20"/>
              </w:rPr>
              <w:t xml:space="preserve"> OF CIAC</w:t>
            </w: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w:t>
            </w: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Cs/>
                <w:sz w:val="20"/>
                <w:szCs w:val="20"/>
              </w:rPr>
            </w:pPr>
            <w:r w:rsidRPr="00C73500">
              <w:rPr>
                <w:rFonts w:ascii="SWISS" w:hAnsi="SWISS" w:cs="Arial"/>
                <w:bCs/>
                <w:sz w:val="20"/>
                <w:szCs w:val="20"/>
              </w:rPr>
              <w:t>To reflect appropriate amortization expense.</w:t>
            </w: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u w:val="double"/>
              </w:rPr>
            </w:pPr>
            <w:r w:rsidRPr="00C73500">
              <w:rPr>
                <w:rFonts w:ascii="SWISS" w:hAnsi="SWISS" w:cs="Arial"/>
                <w:sz w:val="20"/>
                <w:szCs w:val="20"/>
                <w:u w:val="double"/>
              </w:rPr>
              <w:t>($833)</w:t>
            </w: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u w:val="double"/>
              </w:rPr>
            </w:pPr>
            <w:r w:rsidRPr="00C73500">
              <w:rPr>
                <w:rFonts w:ascii="SWISS" w:hAnsi="SWISS" w:cs="Arial"/>
                <w:sz w:val="20"/>
                <w:szCs w:val="20"/>
                <w:u w:val="double"/>
              </w:rPr>
              <w:t>($1,202)</w:t>
            </w: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
                <w:bCs/>
                <w:sz w:val="20"/>
                <w:szCs w:val="20"/>
              </w:rPr>
            </w:pP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rPr>
            </w:pP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
                <w:bCs/>
                <w:sz w:val="20"/>
                <w:szCs w:val="20"/>
              </w:rPr>
            </w:pPr>
            <w:r w:rsidRPr="00C73500">
              <w:rPr>
                <w:rFonts w:ascii="SWISS" w:hAnsi="SWISS" w:cs="Arial"/>
                <w:b/>
                <w:bCs/>
                <w:sz w:val="20"/>
                <w:szCs w:val="20"/>
              </w:rPr>
              <w:t>TAXES OTHER THAN INCOME</w:t>
            </w: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w:t>
            </w: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1.</w:t>
            </w: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Cs/>
                <w:sz w:val="20"/>
                <w:szCs w:val="20"/>
              </w:rPr>
            </w:pPr>
            <w:r w:rsidRPr="00C73500">
              <w:rPr>
                <w:rFonts w:ascii="SWISS" w:hAnsi="SWISS" w:cs="Arial"/>
                <w:bCs/>
                <w:sz w:val="20"/>
                <w:szCs w:val="20"/>
              </w:rPr>
              <w:t>To reflect the appropriate test year RAFs.</w:t>
            </w: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xml:space="preserve">$42 </w:t>
            </w: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xml:space="preserve">$328 </w:t>
            </w: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2.</w:t>
            </w: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Cs/>
                <w:sz w:val="20"/>
                <w:szCs w:val="20"/>
              </w:rPr>
            </w:pPr>
            <w:r w:rsidRPr="00C73500">
              <w:rPr>
                <w:rFonts w:ascii="SWISS" w:hAnsi="SWISS" w:cs="Arial"/>
                <w:bCs/>
                <w:sz w:val="20"/>
                <w:szCs w:val="20"/>
              </w:rPr>
              <w:t>To reflect appropriate test year utility payroll taxes.</w:t>
            </w:r>
          </w:p>
        </w:tc>
        <w:tc>
          <w:tcPr>
            <w:tcW w:w="1217" w:type="dxa"/>
            <w:tcBorders>
              <w:top w:val="nil"/>
              <w:left w:val="nil"/>
              <w:bottom w:val="nil"/>
              <w:right w:val="nil"/>
            </w:tcBorders>
            <w:shd w:val="clear" w:color="auto" w:fill="auto"/>
            <w:noWrap/>
            <w:vAlign w:val="bottom"/>
            <w:hideMark/>
          </w:tcPr>
          <w:p w:rsidR="00D51AB3" w:rsidRPr="00C73500" w:rsidRDefault="00B457F4" w:rsidP="00F673BF">
            <w:pPr>
              <w:jc w:val="right"/>
              <w:rPr>
                <w:rFonts w:ascii="SWISS" w:hAnsi="SWISS" w:cs="Arial"/>
                <w:sz w:val="20"/>
                <w:szCs w:val="20"/>
              </w:rPr>
            </w:pPr>
            <w:r w:rsidRPr="00B457F4">
              <w:rPr>
                <w:rFonts w:ascii="SWISS" w:hAnsi="SWISS" w:cs="Arial"/>
                <w:sz w:val="20"/>
                <w:szCs w:val="20"/>
              </w:rPr>
              <w:t>997</w:t>
            </w:r>
          </w:p>
        </w:tc>
        <w:tc>
          <w:tcPr>
            <w:tcW w:w="1774" w:type="dxa"/>
            <w:tcBorders>
              <w:top w:val="nil"/>
              <w:left w:val="nil"/>
              <w:bottom w:val="nil"/>
              <w:right w:val="single" w:sz="8" w:space="0" w:color="auto"/>
            </w:tcBorders>
            <w:shd w:val="clear" w:color="auto" w:fill="auto"/>
            <w:noWrap/>
            <w:vAlign w:val="bottom"/>
            <w:hideMark/>
          </w:tcPr>
          <w:p w:rsidR="00D51AB3" w:rsidRPr="00C73500" w:rsidRDefault="00B457F4" w:rsidP="00F673BF">
            <w:pPr>
              <w:jc w:val="right"/>
              <w:rPr>
                <w:rFonts w:ascii="SWISS" w:hAnsi="SWISS" w:cs="Arial"/>
                <w:sz w:val="20"/>
                <w:szCs w:val="20"/>
              </w:rPr>
            </w:pPr>
            <w:r w:rsidRPr="00B457F4">
              <w:rPr>
                <w:rFonts w:ascii="SWISS" w:hAnsi="SWISS" w:cs="Arial"/>
                <w:sz w:val="20"/>
                <w:szCs w:val="20"/>
              </w:rPr>
              <w:t>1,068</w:t>
            </w: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3.</w:t>
            </w: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Cs/>
                <w:sz w:val="20"/>
                <w:szCs w:val="20"/>
              </w:rPr>
            </w:pPr>
            <w:r w:rsidRPr="00C73500">
              <w:rPr>
                <w:rFonts w:ascii="SWISS" w:hAnsi="SWISS" w:cs="Arial"/>
                <w:bCs/>
                <w:sz w:val="20"/>
                <w:szCs w:val="20"/>
              </w:rPr>
              <w:t>To reflect appropriate test year utility property taxes.</w:t>
            </w: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(1,150)</w:t>
            </w: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(297)</w:t>
            </w:r>
          </w:p>
        </w:tc>
      </w:tr>
      <w:tr w:rsidR="00D51AB3" w:rsidRPr="00C73500" w:rsidTr="00F673BF">
        <w:trPr>
          <w:trHeight w:val="300"/>
          <w:jc w:val="center"/>
        </w:trPr>
        <w:tc>
          <w:tcPr>
            <w:tcW w:w="526" w:type="dxa"/>
            <w:tcBorders>
              <w:top w:val="nil"/>
              <w:left w:val="single" w:sz="8" w:space="0" w:color="auto"/>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4.</w:t>
            </w:r>
          </w:p>
        </w:tc>
        <w:tc>
          <w:tcPr>
            <w:tcW w:w="7469" w:type="dxa"/>
            <w:tcBorders>
              <w:top w:val="nil"/>
              <w:left w:val="nil"/>
              <w:bottom w:val="nil"/>
              <w:right w:val="nil"/>
            </w:tcBorders>
            <w:shd w:val="clear" w:color="auto" w:fill="auto"/>
            <w:noWrap/>
            <w:vAlign w:val="bottom"/>
            <w:hideMark/>
          </w:tcPr>
          <w:p w:rsidR="00D51AB3" w:rsidRPr="00C73500" w:rsidRDefault="00D51AB3" w:rsidP="00F673BF">
            <w:pPr>
              <w:rPr>
                <w:rFonts w:ascii="SWISS" w:hAnsi="SWISS" w:cs="Arial"/>
                <w:bCs/>
                <w:sz w:val="20"/>
                <w:szCs w:val="20"/>
              </w:rPr>
            </w:pPr>
            <w:r w:rsidRPr="00C73500">
              <w:rPr>
                <w:rFonts w:ascii="SWISS" w:hAnsi="SWISS" w:cs="Arial"/>
                <w:bCs/>
                <w:sz w:val="20"/>
                <w:szCs w:val="20"/>
              </w:rPr>
              <w:t>To reflect prop tax associated with plant addition</w:t>
            </w:r>
          </w:p>
        </w:tc>
        <w:tc>
          <w:tcPr>
            <w:tcW w:w="1217" w:type="dxa"/>
            <w:tcBorders>
              <w:top w:val="nil"/>
              <w:left w:val="nil"/>
              <w:bottom w:val="nil"/>
              <w:right w:val="nil"/>
            </w:tcBorders>
            <w:shd w:val="clear" w:color="auto" w:fill="auto"/>
            <w:noWrap/>
            <w:vAlign w:val="bottom"/>
            <w:hideMark/>
          </w:tcPr>
          <w:p w:rsidR="00D51AB3" w:rsidRPr="00C73500" w:rsidRDefault="00D51AB3" w:rsidP="00F673BF">
            <w:pPr>
              <w:jc w:val="right"/>
              <w:rPr>
                <w:rFonts w:ascii="SWISS" w:hAnsi="SWISS" w:cs="Arial"/>
                <w:sz w:val="20"/>
                <w:szCs w:val="20"/>
                <w:u w:val="single"/>
              </w:rPr>
            </w:pPr>
            <w:r w:rsidRPr="00C73500">
              <w:rPr>
                <w:rFonts w:ascii="SWISS" w:hAnsi="SWISS" w:cs="Arial"/>
                <w:sz w:val="20"/>
                <w:szCs w:val="20"/>
                <w:u w:val="single"/>
              </w:rPr>
              <w:t xml:space="preserve">0 </w:t>
            </w:r>
          </w:p>
        </w:tc>
        <w:tc>
          <w:tcPr>
            <w:tcW w:w="1774" w:type="dxa"/>
            <w:tcBorders>
              <w:top w:val="nil"/>
              <w:left w:val="nil"/>
              <w:bottom w:val="nil"/>
              <w:right w:val="single" w:sz="8" w:space="0" w:color="auto"/>
            </w:tcBorders>
            <w:shd w:val="clear" w:color="auto" w:fill="auto"/>
            <w:noWrap/>
            <w:vAlign w:val="bottom"/>
            <w:hideMark/>
          </w:tcPr>
          <w:p w:rsidR="00D51AB3" w:rsidRPr="00C73500" w:rsidRDefault="00D51AB3" w:rsidP="00F673BF">
            <w:pPr>
              <w:jc w:val="right"/>
              <w:rPr>
                <w:rFonts w:ascii="SWISS" w:hAnsi="SWISS" w:cs="Arial"/>
                <w:sz w:val="20"/>
                <w:szCs w:val="20"/>
                <w:u w:val="single"/>
              </w:rPr>
            </w:pPr>
            <w:r w:rsidRPr="00C73500">
              <w:rPr>
                <w:rFonts w:ascii="SWISS" w:hAnsi="SWISS" w:cs="Arial"/>
                <w:sz w:val="20"/>
                <w:szCs w:val="20"/>
                <w:u w:val="single"/>
              </w:rPr>
              <w:t xml:space="preserve">7 </w:t>
            </w:r>
          </w:p>
        </w:tc>
      </w:tr>
      <w:tr w:rsidR="00D51AB3" w:rsidRPr="00C73500" w:rsidTr="00F673BF">
        <w:trPr>
          <w:trHeight w:val="300"/>
          <w:jc w:val="center"/>
        </w:trPr>
        <w:tc>
          <w:tcPr>
            <w:tcW w:w="526" w:type="dxa"/>
            <w:tcBorders>
              <w:top w:val="nil"/>
              <w:left w:val="single" w:sz="8" w:space="0" w:color="auto"/>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right w:val="nil"/>
            </w:tcBorders>
            <w:shd w:val="clear" w:color="auto" w:fill="auto"/>
            <w:noWrap/>
            <w:vAlign w:val="bottom"/>
            <w:hideMark/>
          </w:tcPr>
          <w:p w:rsidR="00D51AB3" w:rsidRPr="00C73500" w:rsidRDefault="00D51AB3" w:rsidP="00F673BF">
            <w:pPr>
              <w:rPr>
                <w:rFonts w:ascii="SWISS" w:hAnsi="SWISS" w:cs="Arial"/>
                <w:bCs/>
                <w:sz w:val="20"/>
                <w:szCs w:val="20"/>
              </w:rPr>
            </w:pPr>
            <w:r w:rsidRPr="00C73500">
              <w:rPr>
                <w:rFonts w:ascii="SWISS" w:hAnsi="SWISS" w:cs="Arial"/>
                <w:bCs/>
                <w:sz w:val="20"/>
                <w:szCs w:val="20"/>
              </w:rPr>
              <w:t xml:space="preserve">  Total</w:t>
            </w:r>
          </w:p>
        </w:tc>
        <w:tc>
          <w:tcPr>
            <w:tcW w:w="1217" w:type="dxa"/>
            <w:tcBorders>
              <w:top w:val="nil"/>
              <w:left w:val="nil"/>
              <w:right w:val="nil"/>
            </w:tcBorders>
            <w:shd w:val="clear" w:color="auto" w:fill="auto"/>
            <w:noWrap/>
            <w:vAlign w:val="bottom"/>
            <w:hideMark/>
          </w:tcPr>
          <w:p w:rsidR="00D51AB3" w:rsidRPr="00C73500" w:rsidRDefault="00B457F4" w:rsidP="00F673BF">
            <w:pPr>
              <w:jc w:val="right"/>
              <w:rPr>
                <w:rFonts w:ascii="SWISS" w:hAnsi="SWISS" w:cs="Arial"/>
                <w:sz w:val="20"/>
                <w:szCs w:val="20"/>
                <w:u w:val="double"/>
              </w:rPr>
            </w:pPr>
            <w:r w:rsidRPr="00B457F4">
              <w:rPr>
                <w:rFonts w:ascii="SWISS" w:hAnsi="SWISS" w:cs="Arial"/>
                <w:sz w:val="20"/>
                <w:szCs w:val="20"/>
                <w:u w:val="double"/>
              </w:rPr>
              <w:t>($110)</w:t>
            </w:r>
            <w:r w:rsidR="00D51AB3" w:rsidRPr="00C73500">
              <w:rPr>
                <w:rFonts w:ascii="SWISS" w:hAnsi="SWISS" w:cs="Arial"/>
                <w:sz w:val="20"/>
                <w:szCs w:val="20"/>
                <w:u w:val="double"/>
              </w:rPr>
              <w:t xml:space="preserve"> </w:t>
            </w:r>
          </w:p>
        </w:tc>
        <w:tc>
          <w:tcPr>
            <w:tcW w:w="1774" w:type="dxa"/>
            <w:tcBorders>
              <w:top w:val="nil"/>
              <w:left w:val="nil"/>
              <w:right w:val="single" w:sz="8" w:space="0" w:color="auto"/>
            </w:tcBorders>
            <w:shd w:val="clear" w:color="auto" w:fill="auto"/>
            <w:noWrap/>
            <w:vAlign w:val="bottom"/>
            <w:hideMark/>
          </w:tcPr>
          <w:p w:rsidR="00D51AB3" w:rsidRPr="00C73500" w:rsidRDefault="00B457F4" w:rsidP="00F673BF">
            <w:pPr>
              <w:jc w:val="right"/>
              <w:rPr>
                <w:rFonts w:ascii="SWISS" w:hAnsi="SWISS" w:cs="Arial"/>
                <w:sz w:val="20"/>
                <w:szCs w:val="20"/>
                <w:u w:val="double"/>
              </w:rPr>
            </w:pPr>
            <w:r w:rsidRPr="00B457F4">
              <w:rPr>
                <w:rFonts w:ascii="SWISS" w:hAnsi="SWISS" w:cs="Arial"/>
                <w:sz w:val="20"/>
                <w:szCs w:val="20"/>
                <w:u w:val="double"/>
              </w:rPr>
              <w:t xml:space="preserve">$1,106 </w:t>
            </w:r>
            <w:r w:rsidR="00D51AB3" w:rsidRPr="00C73500">
              <w:rPr>
                <w:rFonts w:ascii="SWISS" w:hAnsi="SWISS" w:cs="Arial"/>
                <w:sz w:val="20"/>
                <w:szCs w:val="20"/>
                <w:u w:val="double"/>
              </w:rPr>
              <w:t xml:space="preserve"> </w:t>
            </w:r>
          </w:p>
        </w:tc>
      </w:tr>
      <w:tr w:rsidR="00D51AB3" w:rsidRPr="00C73500" w:rsidTr="00F673BF">
        <w:trPr>
          <w:trHeight w:val="300"/>
          <w:jc w:val="center"/>
        </w:trPr>
        <w:tc>
          <w:tcPr>
            <w:tcW w:w="526" w:type="dxa"/>
            <w:tcBorders>
              <w:top w:val="nil"/>
              <w:left w:val="single" w:sz="8" w:space="0" w:color="auto"/>
              <w:bottom w:val="single" w:sz="4" w:space="0" w:color="auto"/>
              <w:right w:val="nil"/>
            </w:tcBorders>
            <w:shd w:val="clear" w:color="auto" w:fill="auto"/>
            <w:noWrap/>
            <w:vAlign w:val="bottom"/>
            <w:hideMark/>
          </w:tcPr>
          <w:p w:rsidR="00D51AB3" w:rsidRPr="00C73500" w:rsidRDefault="00D51AB3" w:rsidP="00F673BF">
            <w:pPr>
              <w:jc w:val="right"/>
              <w:rPr>
                <w:rFonts w:ascii="SWISS" w:hAnsi="SWISS" w:cs="Arial"/>
                <w:sz w:val="20"/>
                <w:szCs w:val="20"/>
              </w:rPr>
            </w:pPr>
            <w:r w:rsidRPr="00C73500">
              <w:rPr>
                <w:rFonts w:ascii="SWISS" w:hAnsi="SWISS" w:cs="Arial"/>
                <w:sz w:val="20"/>
                <w:szCs w:val="20"/>
              </w:rPr>
              <w:t> </w:t>
            </w:r>
          </w:p>
        </w:tc>
        <w:tc>
          <w:tcPr>
            <w:tcW w:w="7469" w:type="dxa"/>
            <w:tcBorders>
              <w:top w:val="nil"/>
              <w:left w:val="nil"/>
              <w:bottom w:val="single" w:sz="4" w:space="0" w:color="auto"/>
              <w:right w:val="nil"/>
            </w:tcBorders>
            <w:shd w:val="clear" w:color="auto" w:fill="auto"/>
            <w:noWrap/>
            <w:vAlign w:val="bottom"/>
            <w:hideMark/>
          </w:tcPr>
          <w:p w:rsidR="00D51AB3" w:rsidRPr="00C73500" w:rsidRDefault="00D51AB3" w:rsidP="00F673BF">
            <w:pPr>
              <w:rPr>
                <w:rFonts w:ascii="SWISS" w:hAnsi="SWISS" w:cs="Arial"/>
                <w:b/>
                <w:bCs/>
                <w:sz w:val="20"/>
                <w:szCs w:val="20"/>
              </w:rPr>
            </w:pPr>
            <w:r w:rsidRPr="00C73500">
              <w:rPr>
                <w:rFonts w:ascii="SWISS" w:hAnsi="SWISS" w:cs="Arial"/>
                <w:b/>
                <w:bCs/>
                <w:sz w:val="20"/>
                <w:szCs w:val="20"/>
              </w:rPr>
              <w:t> </w:t>
            </w:r>
          </w:p>
        </w:tc>
        <w:tc>
          <w:tcPr>
            <w:tcW w:w="1217" w:type="dxa"/>
            <w:tcBorders>
              <w:top w:val="nil"/>
              <w:left w:val="nil"/>
              <w:bottom w:val="single" w:sz="4" w:space="0" w:color="auto"/>
              <w:right w:val="nil"/>
            </w:tcBorders>
            <w:shd w:val="clear" w:color="auto" w:fill="auto"/>
            <w:noWrap/>
            <w:vAlign w:val="bottom"/>
            <w:hideMark/>
          </w:tcPr>
          <w:p w:rsidR="00D51AB3" w:rsidRPr="00C73500" w:rsidRDefault="00D51AB3" w:rsidP="00F673BF">
            <w:pPr>
              <w:rPr>
                <w:rFonts w:ascii="SWISS" w:hAnsi="SWISS" w:cs="Arial"/>
                <w:sz w:val="20"/>
                <w:szCs w:val="20"/>
              </w:rPr>
            </w:pPr>
          </w:p>
        </w:tc>
        <w:tc>
          <w:tcPr>
            <w:tcW w:w="1774" w:type="dxa"/>
            <w:tcBorders>
              <w:top w:val="nil"/>
              <w:left w:val="nil"/>
              <w:bottom w:val="single" w:sz="4" w:space="0" w:color="auto"/>
              <w:right w:val="single" w:sz="8" w:space="0" w:color="auto"/>
            </w:tcBorders>
            <w:shd w:val="clear" w:color="auto" w:fill="auto"/>
            <w:noWrap/>
            <w:vAlign w:val="bottom"/>
            <w:hideMark/>
          </w:tcPr>
          <w:p w:rsidR="00D51AB3" w:rsidRPr="00C73500" w:rsidRDefault="00D51AB3" w:rsidP="00F673BF">
            <w:pPr>
              <w:rPr>
                <w:rFonts w:ascii="SWISS" w:hAnsi="SWISS" w:cs="Arial"/>
                <w:sz w:val="20"/>
                <w:szCs w:val="20"/>
              </w:rPr>
            </w:pPr>
          </w:p>
        </w:tc>
      </w:tr>
    </w:tbl>
    <w:p w:rsidR="00D51AB3" w:rsidRDefault="00D51AB3" w:rsidP="00B22AD8">
      <w:pPr>
        <w:spacing w:after="240"/>
        <w:jc w:val="both"/>
        <w:sectPr w:rsidR="00D51AB3" w:rsidSect="00445218">
          <w:headerReference w:type="default" r:id="rId18"/>
          <w:headerReference w:type="first" r:id="rId19"/>
          <w:pgSz w:w="12240" w:h="15840" w:code="1"/>
          <w:pgMar w:top="1440" w:right="1440" w:bottom="1440" w:left="1440" w:header="720" w:footer="720" w:gutter="0"/>
          <w:cols w:space="720"/>
          <w:titlePg/>
          <w:docGrid w:linePitch="360"/>
        </w:sectPr>
      </w:pPr>
    </w:p>
    <w:tbl>
      <w:tblPr>
        <w:tblW w:w="9734" w:type="dxa"/>
        <w:jc w:val="center"/>
        <w:tblInd w:w="1462" w:type="dxa"/>
        <w:tblLook w:val="04A0" w:firstRow="1" w:lastRow="0" w:firstColumn="1" w:lastColumn="0" w:noHBand="0" w:noVBand="1"/>
      </w:tblPr>
      <w:tblGrid>
        <w:gridCol w:w="5137"/>
        <w:gridCol w:w="1544"/>
        <w:gridCol w:w="1572"/>
        <w:gridCol w:w="1572"/>
      </w:tblGrid>
      <w:tr w:rsidR="00D51AB3" w:rsidRPr="00C73500" w:rsidTr="00F673BF">
        <w:trPr>
          <w:trHeight w:val="300"/>
          <w:jc w:val="center"/>
        </w:trPr>
        <w:tc>
          <w:tcPr>
            <w:tcW w:w="5137" w:type="dxa"/>
            <w:tcBorders>
              <w:top w:val="single" w:sz="8" w:space="0" w:color="auto"/>
              <w:left w:val="single" w:sz="8" w:space="0" w:color="auto"/>
              <w:bottom w:val="nil"/>
              <w:right w:val="nil"/>
            </w:tcBorders>
            <w:shd w:val="clear" w:color="auto" w:fill="auto"/>
            <w:noWrap/>
            <w:vAlign w:val="bottom"/>
            <w:hideMark/>
          </w:tcPr>
          <w:p w:rsidR="00D51AB3" w:rsidRPr="00D51AB3" w:rsidRDefault="00D51AB3" w:rsidP="00F673BF">
            <w:pPr>
              <w:rPr>
                <w:rFonts w:cs="Calibri"/>
                <w:b/>
                <w:bCs/>
                <w:color w:val="000000"/>
                <w:sz w:val="20"/>
                <w:szCs w:val="20"/>
              </w:rPr>
            </w:pPr>
            <w:r w:rsidRPr="00D51AB3">
              <w:rPr>
                <w:rFonts w:cs="Calibri"/>
              </w:rPr>
              <w:lastRenderedPageBreak/>
              <w:br w:type="page"/>
            </w:r>
            <w:bookmarkStart w:id="18" w:name="RANGE!I18:L43"/>
            <w:r w:rsidRPr="00D51AB3">
              <w:rPr>
                <w:rFonts w:cs="Calibri"/>
                <w:b/>
                <w:bCs/>
                <w:color w:val="000000"/>
                <w:sz w:val="20"/>
                <w:szCs w:val="20"/>
              </w:rPr>
              <w:t xml:space="preserve">FIMC </w:t>
            </w:r>
            <w:bookmarkEnd w:id="18"/>
            <w:r w:rsidRPr="00D51AB3">
              <w:rPr>
                <w:rFonts w:cs="Calibri"/>
                <w:b/>
                <w:bCs/>
                <w:color w:val="000000"/>
                <w:sz w:val="20"/>
                <w:szCs w:val="20"/>
              </w:rPr>
              <w:t>HIDEAWAY, INC.</w:t>
            </w:r>
          </w:p>
        </w:tc>
        <w:tc>
          <w:tcPr>
            <w:tcW w:w="1544" w:type="dxa"/>
            <w:tcBorders>
              <w:top w:val="single" w:sz="8" w:space="0" w:color="auto"/>
              <w:left w:val="nil"/>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 </w:t>
            </w:r>
          </w:p>
        </w:tc>
        <w:tc>
          <w:tcPr>
            <w:tcW w:w="3053" w:type="dxa"/>
            <w:gridSpan w:val="2"/>
            <w:tcBorders>
              <w:top w:val="single" w:sz="8" w:space="0" w:color="auto"/>
              <w:left w:val="nil"/>
              <w:right w:val="single" w:sz="8" w:space="0" w:color="000000"/>
            </w:tcBorders>
            <w:shd w:val="clear" w:color="auto" w:fill="auto"/>
            <w:noWrap/>
            <w:vAlign w:val="bottom"/>
            <w:hideMark/>
          </w:tcPr>
          <w:p w:rsidR="00D51AB3" w:rsidRPr="00D51AB3" w:rsidRDefault="00D51AB3" w:rsidP="00F673BF">
            <w:pPr>
              <w:jc w:val="right"/>
              <w:rPr>
                <w:rFonts w:cs="Calibri"/>
                <w:b/>
                <w:bCs/>
                <w:color w:val="000000"/>
                <w:sz w:val="20"/>
                <w:szCs w:val="20"/>
              </w:rPr>
            </w:pPr>
            <w:r w:rsidRPr="00D51AB3">
              <w:rPr>
                <w:rFonts w:cs="Calibri"/>
                <w:b/>
                <w:bCs/>
                <w:color w:val="000000"/>
                <w:sz w:val="20"/>
                <w:szCs w:val="20"/>
              </w:rPr>
              <w:t>SCHEDULE NO. 3-D</w:t>
            </w:r>
          </w:p>
        </w:tc>
      </w:tr>
      <w:tr w:rsidR="00D51AB3" w:rsidRPr="00C73500" w:rsidTr="00F673BF">
        <w:trPr>
          <w:trHeight w:val="312"/>
          <w:jc w:val="center"/>
        </w:trPr>
        <w:tc>
          <w:tcPr>
            <w:tcW w:w="6681" w:type="dxa"/>
            <w:gridSpan w:val="2"/>
            <w:tcBorders>
              <w:top w:val="nil"/>
              <w:left w:val="single" w:sz="8" w:space="0" w:color="auto"/>
              <w:bottom w:val="nil"/>
              <w:right w:val="nil"/>
            </w:tcBorders>
            <w:shd w:val="clear" w:color="auto" w:fill="auto"/>
            <w:noWrap/>
            <w:vAlign w:val="bottom"/>
          </w:tcPr>
          <w:p w:rsidR="00D51AB3" w:rsidRPr="00D51AB3" w:rsidRDefault="00D51AB3" w:rsidP="00F673BF">
            <w:pPr>
              <w:rPr>
                <w:rFonts w:cs="Calibri"/>
                <w:b/>
                <w:bCs/>
                <w:color w:val="000000"/>
                <w:sz w:val="20"/>
                <w:szCs w:val="20"/>
              </w:rPr>
            </w:pPr>
            <w:r w:rsidRPr="00D51AB3">
              <w:rPr>
                <w:rFonts w:cs="Calibri"/>
                <w:b/>
                <w:bCs/>
                <w:color w:val="000000"/>
                <w:sz w:val="20"/>
                <w:szCs w:val="20"/>
              </w:rPr>
              <w:t>TEST YEAR ENDED  June 30, 2017</w:t>
            </w:r>
          </w:p>
        </w:tc>
        <w:tc>
          <w:tcPr>
            <w:tcW w:w="3053" w:type="dxa"/>
            <w:gridSpan w:val="2"/>
            <w:tcBorders>
              <w:top w:val="nil"/>
              <w:left w:val="nil"/>
              <w:right w:val="single" w:sz="4" w:space="0" w:color="auto"/>
            </w:tcBorders>
            <w:shd w:val="clear" w:color="auto" w:fill="auto"/>
            <w:noWrap/>
            <w:vAlign w:val="bottom"/>
          </w:tcPr>
          <w:p w:rsidR="00D51AB3" w:rsidRPr="00D51AB3" w:rsidRDefault="00D51AB3" w:rsidP="00F673BF">
            <w:pPr>
              <w:jc w:val="right"/>
              <w:rPr>
                <w:rFonts w:cs="Calibri"/>
                <w:color w:val="000000"/>
                <w:sz w:val="20"/>
                <w:szCs w:val="20"/>
              </w:rPr>
            </w:pPr>
            <w:r w:rsidRPr="00D51AB3">
              <w:rPr>
                <w:rFonts w:cs="Calibri"/>
                <w:b/>
                <w:color w:val="000000"/>
                <w:sz w:val="20"/>
                <w:szCs w:val="20"/>
              </w:rPr>
              <w:t>DOCKET NO. 20170147-WS</w:t>
            </w:r>
          </w:p>
        </w:tc>
      </w:tr>
      <w:tr w:rsidR="00D51AB3" w:rsidRPr="00C73500" w:rsidTr="00F673BF">
        <w:trPr>
          <w:trHeight w:val="312"/>
          <w:jc w:val="center"/>
        </w:trPr>
        <w:tc>
          <w:tcPr>
            <w:tcW w:w="6681" w:type="dxa"/>
            <w:gridSpan w:val="2"/>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b/>
                <w:bCs/>
                <w:color w:val="000000"/>
                <w:sz w:val="20"/>
                <w:szCs w:val="20"/>
              </w:rPr>
            </w:pPr>
            <w:r w:rsidRPr="00D51AB3">
              <w:rPr>
                <w:rFonts w:cs="Calibri"/>
                <w:b/>
                <w:bCs/>
                <w:color w:val="000000"/>
                <w:sz w:val="20"/>
                <w:szCs w:val="20"/>
              </w:rPr>
              <w:t>ANALYSIS OF COMBINED WATER O&amp;M EXPENSE</w:t>
            </w:r>
          </w:p>
        </w:tc>
        <w:tc>
          <w:tcPr>
            <w:tcW w:w="3053" w:type="dxa"/>
            <w:gridSpan w:val="2"/>
            <w:tcBorders>
              <w:top w:val="nil"/>
              <w:left w:val="nil"/>
              <w:bottom w:val="single" w:sz="8" w:space="0" w:color="000000"/>
              <w:right w:val="single" w:sz="8" w:space="0" w:color="000000"/>
            </w:tcBorders>
            <w:shd w:val="clear" w:color="auto" w:fill="auto"/>
            <w:noWrap/>
            <w:vAlign w:val="bottom"/>
            <w:hideMark/>
          </w:tcPr>
          <w:p w:rsidR="00D51AB3" w:rsidRPr="00D51AB3" w:rsidRDefault="00D51AB3" w:rsidP="00F673BF">
            <w:pPr>
              <w:jc w:val="right"/>
              <w:rPr>
                <w:rFonts w:cs="Calibri"/>
                <w:color w:val="000000"/>
                <w:sz w:val="20"/>
                <w:szCs w:val="20"/>
              </w:rPr>
            </w:pPr>
            <w:r w:rsidRPr="00D51AB3">
              <w:rPr>
                <w:rFonts w:cs="Calibri"/>
                <w:color w:val="000000"/>
                <w:sz w:val="20"/>
                <w:szCs w:val="20"/>
              </w:rPr>
              <w:t> </w:t>
            </w:r>
          </w:p>
        </w:tc>
      </w:tr>
      <w:tr w:rsidR="00D51AB3" w:rsidRPr="00C73500" w:rsidTr="00F673BF">
        <w:trPr>
          <w:trHeight w:val="300"/>
          <w:jc w:val="center"/>
        </w:trPr>
        <w:tc>
          <w:tcPr>
            <w:tcW w:w="5137" w:type="dxa"/>
            <w:tcBorders>
              <w:top w:val="single" w:sz="8" w:space="0" w:color="000000"/>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 </w:t>
            </w:r>
          </w:p>
        </w:tc>
        <w:tc>
          <w:tcPr>
            <w:tcW w:w="1544" w:type="dxa"/>
            <w:tcBorders>
              <w:top w:val="single" w:sz="8" w:space="0" w:color="000000"/>
              <w:left w:val="nil"/>
              <w:bottom w:val="nil"/>
              <w:right w:val="nil"/>
            </w:tcBorders>
            <w:shd w:val="clear" w:color="auto" w:fill="auto"/>
            <w:noWrap/>
            <w:vAlign w:val="bottom"/>
            <w:hideMark/>
          </w:tcPr>
          <w:p w:rsidR="00D51AB3" w:rsidRPr="00D51AB3" w:rsidRDefault="00D51AB3" w:rsidP="00F673BF">
            <w:pPr>
              <w:jc w:val="center"/>
              <w:rPr>
                <w:rFonts w:cs="Calibri"/>
                <w:b/>
                <w:bCs/>
                <w:color w:val="000000"/>
                <w:sz w:val="20"/>
                <w:szCs w:val="20"/>
              </w:rPr>
            </w:pPr>
            <w:r w:rsidRPr="00D51AB3">
              <w:rPr>
                <w:rFonts w:cs="Calibri"/>
                <w:b/>
                <w:bCs/>
                <w:color w:val="000000"/>
                <w:sz w:val="20"/>
                <w:szCs w:val="20"/>
              </w:rPr>
              <w:t>TOTAL</w:t>
            </w:r>
          </w:p>
        </w:tc>
        <w:tc>
          <w:tcPr>
            <w:tcW w:w="1537" w:type="dxa"/>
            <w:tcBorders>
              <w:top w:val="nil"/>
              <w:left w:val="nil"/>
              <w:bottom w:val="nil"/>
              <w:right w:val="nil"/>
            </w:tcBorders>
            <w:shd w:val="clear" w:color="auto" w:fill="auto"/>
            <w:noWrap/>
            <w:vAlign w:val="bottom"/>
            <w:hideMark/>
          </w:tcPr>
          <w:p w:rsidR="00D51AB3" w:rsidRPr="00D51AB3" w:rsidRDefault="00636751" w:rsidP="00F673BF">
            <w:pPr>
              <w:jc w:val="center"/>
              <w:rPr>
                <w:rFonts w:cs="Calibri"/>
                <w:b/>
                <w:bCs/>
                <w:color w:val="000000"/>
                <w:sz w:val="20"/>
                <w:szCs w:val="20"/>
              </w:rPr>
            </w:pPr>
            <w:r>
              <w:rPr>
                <w:rFonts w:cs="Calibri"/>
                <w:b/>
                <w:bCs/>
                <w:color w:val="000000"/>
                <w:sz w:val="20"/>
                <w:szCs w:val="20"/>
              </w:rPr>
              <w:t>COMMISSION</w:t>
            </w:r>
          </w:p>
        </w:tc>
        <w:tc>
          <w:tcPr>
            <w:tcW w:w="1516"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center"/>
              <w:rPr>
                <w:rFonts w:cs="Calibri"/>
                <w:b/>
                <w:bCs/>
                <w:color w:val="000000"/>
                <w:sz w:val="20"/>
                <w:szCs w:val="20"/>
              </w:rPr>
            </w:pPr>
            <w:r w:rsidRPr="00D51AB3">
              <w:rPr>
                <w:rFonts w:cs="Calibri"/>
                <w:b/>
                <w:bCs/>
                <w:color w:val="000000"/>
                <w:sz w:val="20"/>
                <w:szCs w:val="20"/>
              </w:rPr>
              <w:t>TOTAL</w:t>
            </w:r>
          </w:p>
        </w:tc>
      </w:tr>
      <w:tr w:rsidR="00D51AB3" w:rsidRPr="00C73500" w:rsidTr="00F673BF">
        <w:trPr>
          <w:trHeight w:val="300"/>
          <w:jc w:val="center"/>
        </w:trPr>
        <w:tc>
          <w:tcPr>
            <w:tcW w:w="5137"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rPr>
            </w:pPr>
            <w:r w:rsidRPr="00D51AB3">
              <w:rPr>
                <w:rFonts w:cs="Calibri"/>
                <w:color w:val="000000"/>
              </w:rPr>
              <w:t> </w:t>
            </w:r>
          </w:p>
        </w:tc>
        <w:tc>
          <w:tcPr>
            <w:tcW w:w="1544" w:type="dxa"/>
            <w:tcBorders>
              <w:top w:val="nil"/>
              <w:left w:val="nil"/>
              <w:bottom w:val="nil"/>
              <w:right w:val="nil"/>
            </w:tcBorders>
            <w:shd w:val="clear" w:color="auto" w:fill="auto"/>
            <w:noWrap/>
            <w:vAlign w:val="bottom"/>
            <w:hideMark/>
          </w:tcPr>
          <w:p w:rsidR="00D51AB3" w:rsidRPr="00D51AB3" w:rsidRDefault="00D51AB3" w:rsidP="00F673BF">
            <w:pPr>
              <w:jc w:val="center"/>
              <w:rPr>
                <w:rFonts w:cs="Calibri"/>
                <w:b/>
                <w:bCs/>
                <w:color w:val="000000"/>
                <w:sz w:val="20"/>
                <w:szCs w:val="20"/>
              </w:rPr>
            </w:pPr>
            <w:r w:rsidRPr="00D51AB3">
              <w:rPr>
                <w:rFonts w:cs="Calibri"/>
                <w:b/>
                <w:bCs/>
                <w:color w:val="000000"/>
                <w:sz w:val="20"/>
                <w:szCs w:val="20"/>
              </w:rPr>
              <w:t>PER</w:t>
            </w:r>
          </w:p>
        </w:tc>
        <w:tc>
          <w:tcPr>
            <w:tcW w:w="1537" w:type="dxa"/>
            <w:tcBorders>
              <w:top w:val="nil"/>
              <w:left w:val="nil"/>
              <w:bottom w:val="nil"/>
              <w:right w:val="nil"/>
            </w:tcBorders>
            <w:shd w:val="clear" w:color="auto" w:fill="auto"/>
            <w:noWrap/>
            <w:vAlign w:val="bottom"/>
            <w:hideMark/>
          </w:tcPr>
          <w:p w:rsidR="00D51AB3" w:rsidRPr="00D51AB3" w:rsidRDefault="00D51AB3" w:rsidP="00F673BF">
            <w:pPr>
              <w:jc w:val="center"/>
              <w:rPr>
                <w:rFonts w:cs="Calibri"/>
                <w:b/>
                <w:bCs/>
                <w:color w:val="000000"/>
                <w:sz w:val="20"/>
                <w:szCs w:val="20"/>
              </w:rPr>
            </w:pPr>
            <w:r w:rsidRPr="00D51AB3">
              <w:rPr>
                <w:rFonts w:cs="Calibri"/>
                <w:b/>
                <w:bCs/>
                <w:color w:val="000000"/>
                <w:sz w:val="20"/>
                <w:szCs w:val="20"/>
              </w:rPr>
              <w:t>ADJUST-</w:t>
            </w:r>
          </w:p>
        </w:tc>
        <w:tc>
          <w:tcPr>
            <w:tcW w:w="1516"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center"/>
              <w:rPr>
                <w:rFonts w:cs="Calibri"/>
                <w:b/>
                <w:bCs/>
                <w:color w:val="000000"/>
                <w:sz w:val="20"/>
                <w:szCs w:val="20"/>
              </w:rPr>
            </w:pPr>
            <w:r w:rsidRPr="00D51AB3">
              <w:rPr>
                <w:rFonts w:cs="Calibri"/>
                <w:b/>
                <w:bCs/>
                <w:color w:val="000000"/>
                <w:sz w:val="20"/>
                <w:szCs w:val="20"/>
              </w:rPr>
              <w:t>PER</w:t>
            </w:r>
          </w:p>
        </w:tc>
      </w:tr>
      <w:tr w:rsidR="00D51AB3" w:rsidRPr="00C73500" w:rsidTr="00F673BF">
        <w:trPr>
          <w:trHeight w:val="312"/>
          <w:jc w:val="center"/>
        </w:trPr>
        <w:tc>
          <w:tcPr>
            <w:tcW w:w="5137" w:type="dxa"/>
            <w:tcBorders>
              <w:top w:val="nil"/>
              <w:left w:val="single" w:sz="8" w:space="0" w:color="auto"/>
              <w:bottom w:val="single" w:sz="8" w:space="0" w:color="000000"/>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 </w:t>
            </w:r>
          </w:p>
        </w:tc>
        <w:tc>
          <w:tcPr>
            <w:tcW w:w="1544" w:type="dxa"/>
            <w:tcBorders>
              <w:top w:val="nil"/>
              <w:left w:val="nil"/>
              <w:bottom w:val="single" w:sz="8" w:space="0" w:color="000000"/>
              <w:right w:val="nil"/>
            </w:tcBorders>
            <w:shd w:val="clear" w:color="auto" w:fill="auto"/>
            <w:noWrap/>
            <w:vAlign w:val="bottom"/>
            <w:hideMark/>
          </w:tcPr>
          <w:p w:rsidR="00D51AB3" w:rsidRPr="00D51AB3" w:rsidRDefault="00D51AB3" w:rsidP="00F673BF">
            <w:pPr>
              <w:jc w:val="center"/>
              <w:rPr>
                <w:rFonts w:cs="Calibri"/>
                <w:b/>
                <w:bCs/>
                <w:color w:val="000000"/>
                <w:sz w:val="20"/>
                <w:szCs w:val="20"/>
              </w:rPr>
            </w:pPr>
            <w:r w:rsidRPr="00D51AB3">
              <w:rPr>
                <w:rFonts w:cs="Calibri"/>
                <w:b/>
                <w:bCs/>
                <w:color w:val="000000"/>
                <w:sz w:val="20"/>
                <w:szCs w:val="20"/>
              </w:rPr>
              <w:t>UTILITY</w:t>
            </w:r>
          </w:p>
        </w:tc>
        <w:tc>
          <w:tcPr>
            <w:tcW w:w="1537" w:type="dxa"/>
            <w:tcBorders>
              <w:top w:val="nil"/>
              <w:left w:val="nil"/>
              <w:bottom w:val="single" w:sz="8" w:space="0" w:color="000000"/>
              <w:right w:val="nil"/>
            </w:tcBorders>
            <w:shd w:val="clear" w:color="auto" w:fill="auto"/>
            <w:noWrap/>
            <w:vAlign w:val="bottom"/>
            <w:hideMark/>
          </w:tcPr>
          <w:p w:rsidR="00D51AB3" w:rsidRPr="00D51AB3" w:rsidRDefault="00D51AB3" w:rsidP="00F673BF">
            <w:pPr>
              <w:jc w:val="center"/>
              <w:rPr>
                <w:rFonts w:cs="Calibri"/>
                <w:b/>
                <w:bCs/>
                <w:color w:val="000000"/>
                <w:sz w:val="20"/>
                <w:szCs w:val="20"/>
              </w:rPr>
            </w:pPr>
            <w:r w:rsidRPr="00D51AB3">
              <w:rPr>
                <w:rFonts w:cs="Calibri"/>
                <w:b/>
                <w:bCs/>
                <w:color w:val="000000"/>
                <w:sz w:val="20"/>
                <w:szCs w:val="20"/>
              </w:rPr>
              <w:t>MENT</w:t>
            </w:r>
          </w:p>
        </w:tc>
        <w:tc>
          <w:tcPr>
            <w:tcW w:w="1516" w:type="dxa"/>
            <w:tcBorders>
              <w:top w:val="nil"/>
              <w:left w:val="nil"/>
              <w:bottom w:val="single" w:sz="8" w:space="0" w:color="000000"/>
              <w:right w:val="single" w:sz="8" w:space="0" w:color="auto"/>
            </w:tcBorders>
            <w:shd w:val="clear" w:color="auto" w:fill="auto"/>
            <w:noWrap/>
            <w:vAlign w:val="bottom"/>
            <w:hideMark/>
          </w:tcPr>
          <w:p w:rsidR="00D51AB3" w:rsidRPr="00D51AB3" w:rsidRDefault="00636751" w:rsidP="00F673BF">
            <w:pPr>
              <w:jc w:val="center"/>
              <w:rPr>
                <w:rFonts w:cs="Calibri"/>
                <w:b/>
                <w:bCs/>
                <w:color w:val="000000"/>
                <w:sz w:val="20"/>
                <w:szCs w:val="20"/>
              </w:rPr>
            </w:pPr>
            <w:r>
              <w:rPr>
                <w:rFonts w:cs="Calibri"/>
                <w:b/>
                <w:bCs/>
                <w:color w:val="000000"/>
                <w:sz w:val="20"/>
                <w:szCs w:val="20"/>
              </w:rPr>
              <w:t>COMMISSION</w:t>
            </w:r>
          </w:p>
        </w:tc>
      </w:tr>
      <w:tr w:rsidR="00D51AB3" w:rsidRPr="00C73500" w:rsidTr="00F673BF">
        <w:trPr>
          <w:trHeight w:val="300"/>
          <w:jc w:val="center"/>
        </w:trPr>
        <w:tc>
          <w:tcPr>
            <w:tcW w:w="5137"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(601) SALARIES AND WAGES - EMPLOYEES</w:t>
            </w:r>
          </w:p>
        </w:tc>
        <w:tc>
          <w:tcPr>
            <w:tcW w:w="1544"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color w:val="000000"/>
                <w:sz w:val="20"/>
                <w:szCs w:val="20"/>
              </w:rPr>
            </w:pPr>
            <w:r w:rsidRPr="00D51AB3">
              <w:rPr>
                <w:rFonts w:cs="Calibri"/>
                <w:color w:val="000000"/>
                <w:sz w:val="20"/>
                <w:szCs w:val="20"/>
              </w:rPr>
              <w:t xml:space="preserve">$0 </w:t>
            </w:r>
          </w:p>
        </w:tc>
        <w:tc>
          <w:tcPr>
            <w:tcW w:w="1537"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c>
          <w:tcPr>
            <w:tcW w:w="1516"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r>
      <w:tr w:rsidR="00D51AB3" w:rsidRPr="00C73500" w:rsidTr="00F673BF">
        <w:trPr>
          <w:trHeight w:val="300"/>
          <w:jc w:val="center"/>
        </w:trPr>
        <w:tc>
          <w:tcPr>
            <w:tcW w:w="5137"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(603) SALARIES AND WAGES - OFFICERS</w:t>
            </w:r>
          </w:p>
        </w:tc>
        <w:tc>
          <w:tcPr>
            <w:tcW w:w="1544"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color w:val="000000"/>
                <w:sz w:val="20"/>
                <w:szCs w:val="20"/>
              </w:rPr>
            </w:pPr>
            <w:r w:rsidRPr="00D51AB3">
              <w:rPr>
                <w:rFonts w:cs="Calibri"/>
                <w:color w:val="000000"/>
                <w:sz w:val="20"/>
                <w:szCs w:val="20"/>
              </w:rPr>
              <w:t xml:space="preserve">0 </w:t>
            </w:r>
          </w:p>
        </w:tc>
        <w:tc>
          <w:tcPr>
            <w:tcW w:w="1537"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13,039 </w:t>
            </w:r>
          </w:p>
        </w:tc>
        <w:tc>
          <w:tcPr>
            <w:tcW w:w="1516"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13,039 </w:t>
            </w:r>
          </w:p>
        </w:tc>
      </w:tr>
      <w:tr w:rsidR="00D51AB3" w:rsidRPr="00C73500" w:rsidTr="00F673BF">
        <w:trPr>
          <w:trHeight w:val="300"/>
          <w:jc w:val="center"/>
        </w:trPr>
        <w:tc>
          <w:tcPr>
            <w:tcW w:w="5137"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(604) EMPLOYEE PENSIONS AND BENEFITS</w:t>
            </w:r>
          </w:p>
        </w:tc>
        <w:tc>
          <w:tcPr>
            <w:tcW w:w="1544"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color w:val="000000"/>
                <w:sz w:val="20"/>
                <w:szCs w:val="20"/>
              </w:rPr>
            </w:pPr>
            <w:r w:rsidRPr="00D51AB3">
              <w:rPr>
                <w:rFonts w:cs="Calibri"/>
                <w:color w:val="000000"/>
                <w:sz w:val="20"/>
                <w:szCs w:val="20"/>
              </w:rPr>
              <w:t xml:space="preserve">0 </w:t>
            </w:r>
          </w:p>
        </w:tc>
        <w:tc>
          <w:tcPr>
            <w:tcW w:w="1537"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c>
          <w:tcPr>
            <w:tcW w:w="1516"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r>
      <w:tr w:rsidR="00D51AB3" w:rsidRPr="00C73500" w:rsidTr="00F673BF">
        <w:trPr>
          <w:trHeight w:val="336"/>
          <w:jc w:val="center"/>
        </w:trPr>
        <w:tc>
          <w:tcPr>
            <w:tcW w:w="5137"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(610) PURCHASED WATER</w:t>
            </w:r>
          </w:p>
        </w:tc>
        <w:tc>
          <w:tcPr>
            <w:tcW w:w="1544"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color w:val="000000"/>
                <w:sz w:val="20"/>
                <w:szCs w:val="20"/>
              </w:rPr>
            </w:pPr>
            <w:r w:rsidRPr="00D51AB3">
              <w:rPr>
                <w:rFonts w:cs="Calibri"/>
                <w:color w:val="000000"/>
                <w:sz w:val="20"/>
                <w:szCs w:val="20"/>
              </w:rPr>
              <w:t xml:space="preserve">0 </w:t>
            </w:r>
          </w:p>
        </w:tc>
        <w:tc>
          <w:tcPr>
            <w:tcW w:w="1537"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c>
          <w:tcPr>
            <w:tcW w:w="1516"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r>
      <w:tr w:rsidR="00D51AB3" w:rsidRPr="00C73500" w:rsidTr="00F673BF">
        <w:trPr>
          <w:trHeight w:val="312"/>
          <w:jc w:val="center"/>
        </w:trPr>
        <w:tc>
          <w:tcPr>
            <w:tcW w:w="5137"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(615) PURCHASED POWER</w:t>
            </w:r>
          </w:p>
        </w:tc>
        <w:tc>
          <w:tcPr>
            <w:tcW w:w="1544"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color w:val="000000"/>
                <w:sz w:val="20"/>
                <w:szCs w:val="20"/>
              </w:rPr>
            </w:pPr>
            <w:r w:rsidRPr="00D51AB3">
              <w:rPr>
                <w:rFonts w:cs="Calibri"/>
                <w:color w:val="000000"/>
                <w:sz w:val="20"/>
                <w:szCs w:val="20"/>
              </w:rPr>
              <w:t xml:space="preserve">2,121 </w:t>
            </w:r>
          </w:p>
        </w:tc>
        <w:tc>
          <w:tcPr>
            <w:tcW w:w="1537"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(10)</w:t>
            </w:r>
          </w:p>
        </w:tc>
        <w:tc>
          <w:tcPr>
            <w:tcW w:w="1516"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2,111 </w:t>
            </w:r>
          </w:p>
        </w:tc>
      </w:tr>
      <w:tr w:rsidR="00D51AB3" w:rsidRPr="00C73500" w:rsidTr="00F673BF">
        <w:trPr>
          <w:trHeight w:val="300"/>
          <w:jc w:val="center"/>
        </w:trPr>
        <w:tc>
          <w:tcPr>
            <w:tcW w:w="5137"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(616) FUEL FOR POWER PRODUCTION</w:t>
            </w:r>
          </w:p>
        </w:tc>
        <w:tc>
          <w:tcPr>
            <w:tcW w:w="1544"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color w:val="000000"/>
                <w:sz w:val="20"/>
                <w:szCs w:val="20"/>
              </w:rPr>
            </w:pPr>
            <w:r w:rsidRPr="00D51AB3">
              <w:rPr>
                <w:rFonts w:cs="Calibri"/>
                <w:color w:val="000000"/>
                <w:sz w:val="20"/>
                <w:szCs w:val="20"/>
              </w:rPr>
              <w:t xml:space="preserve">0 </w:t>
            </w:r>
          </w:p>
        </w:tc>
        <w:tc>
          <w:tcPr>
            <w:tcW w:w="1537"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c>
          <w:tcPr>
            <w:tcW w:w="1516"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r>
      <w:tr w:rsidR="00D51AB3" w:rsidRPr="00C73500" w:rsidTr="00F673BF">
        <w:trPr>
          <w:trHeight w:val="300"/>
          <w:jc w:val="center"/>
        </w:trPr>
        <w:tc>
          <w:tcPr>
            <w:tcW w:w="5137"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(618) CHEMICALS</w:t>
            </w:r>
          </w:p>
        </w:tc>
        <w:tc>
          <w:tcPr>
            <w:tcW w:w="1544"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color w:val="000000"/>
                <w:sz w:val="20"/>
                <w:szCs w:val="20"/>
              </w:rPr>
            </w:pPr>
            <w:r w:rsidRPr="00D51AB3">
              <w:rPr>
                <w:rFonts w:cs="Calibri"/>
                <w:color w:val="000000"/>
                <w:sz w:val="20"/>
                <w:szCs w:val="20"/>
              </w:rPr>
              <w:t xml:space="preserve">0 </w:t>
            </w:r>
          </w:p>
        </w:tc>
        <w:tc>
          <w:tcPr>
            <w:tcW w:w="1537"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c>
          <w:tcPr>
            <w:tcW w:w="1516"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r>
      <w:tr w:rsidR="00D51AB3" w:rsidRPr="00C73500" w:rsidTr="00F673BF">
        <w:trPr>
          <w:trHeight w:val="300"/>
          <w:jc w:val="center"/>
        </w:trPr>
        <w:tc>
          <w:tcPr>
            <w:tcW w:w="5137"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(620) MATERIALS AND SUPPLIES</w:t>
            </w:r>
          </w:p>
        </w:tc>
        <w:tc>
          <w:tcPr>
            <w:tcW w:w="1544"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color w:val="000000"/>
                <w:sz w:val="20"/>
                <w:szCs w:val="20"/>
              </w:rPr>
            </w:pPr>
            <w:r w:rsidRPr="00D51AB3">
              <w:rPr>
                <w:rFonts w:cs="Calibri"/>
                <w:color w:val="000000"/>
                <w:sz w:val="20"/>
                <w:szCs w:val="20"/>
              </w:rPr>
              <w:t xml:space="preserve">2,453 </w:t>
            </w:r>
          </w:p>
        </w:tc>
        <w:tc>
          <w:tcPr>
            <w:tcW w:w="1537"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(626)</w:t>
            </w:r>
          </w:p>
        </w:tc>
        <w:tc>
          <w:tcPr>
            <w:tcW w:w="1516"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1,827 </w:t>
            </w:r>
          </w:p>
        </w:tc>
      </w:tr>
      <w:tr w:rsidR="00D51AB3" w:rsidRPr="00C73500" w:rsidTr="00F673BF">
        <w:trPr>
          <w:trHeight w:val="300"/>
          <w:jc w:val="center"/>
        </w:trPr>
        <w:tc>
          <w:tcPr>
            <w:tcW w:w="5137"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(630) CONTRACTUAL SERVICES - BILLING</w:t>
            </w:r>
          </w:p>
        </w:tc>
        <w:tc>
          <w:tcPr>
            <w:tcW w:w="1544"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color w:val="000000"/>
                <w:sz w:val="20"/>
                <w:szCs w:val="20"/>
              </w:rPr>
            </w:pPr>
            <w:r w:rsidRPr="00D51AB3">
              <w:rPr>
                <w:rFonts w:cs="Calibri"/>
                <w:color w:val="000000"/>
                <w:sz w:val="20"/>
                <w:szCs w:val="20"/>
              </w:rPr>
              <w:t xml:space="preserve">0 </w:t>
            </w:r>
          </w:p>
        </w:tc>
        <w:tc>
          <w:tcPr>
            <w:tcW w:w="1537"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223</w:t>
            </w:r>
          </w:p>
        </w:tc>
        <w:tc>
          <w:tcPr>
            <w:tcW w:w="1516"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223 </w:t>
            </w:r>
          </w:p>
        </w:tc>
      </w:tr>
      <w:tr w:rsidR="00D51AB3" w:rsidRPr="00C73500" w:rsidTr="00F673BF">
        <w:trPr>
          <w:trHeight w:val="300"/>
          <w:jc w:val="center"/>
        </w:trPr>
        <w:tc>
          <w:tcPr>
            <w:tcW w:w="5137"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(631) CONTRACTUAL SERVICES - PROFESSIONAL</w:t>
            </w:r>
          </w:p>
        </w:tc>
        <w:tc>
          <w:tcPr>
            <w:tcW w:w="1544"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color w:val="000000"/>
                <w:sz w:val="20"/>
                <w:szCs w:val="20"/>
              </w:rPr>
            </w:pPr>
            <w:r w:rsidRPr="00D51AB3">
              <w:rPr>
                <w:rFonts w:cs="Calibri"/>
                <w:color w:val="000000"/>
                <w:sz w:val="20"/>
                <w:szCs w:val="20"/>
              </w:rPr>
              <w:t xml:space="preserve">0 </w:t>
            </w:r>
          </w:p>
        </w:tc>
        <w:tc>
          <w:tcPr>
            <w:tcW w:w="1537"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1,234 </w:t>
            </w:r>
          </w:p>
        </w:tc>
        <w:tc>
          <w:tcPr>
            <w:tcW w:w="1516"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1,234 </w:t>
            </w:r>
          </w:p>
        </w:tc>
      </w:tr>
      <w:tr w:rsidR="00D51AB3" w:rsidRPr="00C73500" w:rsidTr="00F673BF">
        <w:trPr>
          <w:trHeight w:val="300"/>
          <w:jc w:val="center"/>
        </w:trPr>
        <w:tc>
          <w:tcPr>
            <w:tcW w:w="5137"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(635) CONTRACTUAL SERVICES - TESTING</w:t>
            </w:r>
          </w:p>
        </w:tc>
        <w:tc>
          <w:tcPr>
            <w:tcW w:w="1544"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color w:val="000000"/>
                <w:sz w:val="20"/>
                <w:szCs w:val="20"/>
              </w:rPr>
            </w:pPr>
            <w:r w:rsidRPr="00D51AB3">
              <w:rPr>
                <w:rFonts w:cs="Calibri"/>
                <w:color w:val="000000"/>
                <w:sz w:val="20"/>
                <w:szCs w:val="20"/>
              </w:rPr>
              <w:t xml:space="preserve">1,165 </w:t>
            </w:r>
          </w:p>
        </w:tc>
        <w:tc>
          <w:tcPr>
            <w:tcW w:w="1537"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518 </w:t>
            </w:r>
          </w:p>
        </w:tc>
        <w:tc>
          <w:tcPr>
            <w:tcW w:w="1516"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1,683 </w:t>
            </w:r>
          </w:p>
        </w:tc>
      </w:tr>
      <w:tr w:rsidR="00D51AB3" w:rsidRPr="00C73500" w:rsidTr="00F673BF">
        <w:trPr>
          <w:trHeight w:val="312"/>
          <w:jc w:val="center"/>
        </w:trPr>
        <w:tc>
          <w:tcPr>
            <w:tcW w:w="5137"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(636) CONTRACTUAL SERVICES - OTHER</w:t>
            </w:r>
          </w:p>
        </w:tc>
        <w:tc>
          <w:tcPr>
            <w:tcW w:w="1544"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color w:val="000000"/>
                <w:sz w:val="20"/>
                <w:szCs w:val="20"/>
              </w:rPr>
            </w:pPr>
            <w:r w:rsidRPr="00D51AB3">
              <w:rPr>
                <w:rFonts w:cs="Calibri"/>
                <w:color w:val="000000"/>
                <w:sz w:val="20"/>
                <w:szCs w:val="20"/>
              </w:rPr>
              <w:t xml:space="preserve">3,283 </w:t>
            </w:r>
          </w:p>
        </w:tc>
        <w:tc>
          <w:tcPr>
            <w:tcW w:w="1537"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5,952 </w:t>
            </w:r>
          </w:p>
        </w:tc>
        <w:tc>
          <w:tcPr>
            <w:tcW w:w="1516"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9,235 </w:t>
            </w:r>
          </w:p>
        </w:tc>
      </w:tr>
      <w:tr w:rsidR="00D51AB3" w:rsidRPr="00C73500" w:rsidTr="00F673BF">
        <w:trPr>
          <w:trHeight w:val="300"/>
          <w:jc w:val="center"/>
        </w:trPr>
        <w:tc>
          <w:tcPr>
            <w:tcW w:w="5137"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(640) RENTS</w:t>
            </w:r>
          </w:p>
        </w:tc>
        <w:tc>
          <w:tcPr>
            <w:tcW w:w="1544"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color w:val="000000"/>
                <w:sz w:val="20"/>
                <w:szCs w:val="20"/>
              </w:rPr>
            </w:pPr>
            <w:r w:rsidRPr="00D51AB3">
              <w:rPr>
                <w:rFonts w:cs="Calibri"/>
                <w:color w:val="000000"/>
                <w:sz w:val="20"/>
                <w:szCs w:val="20"/>
              </w:rPr>
              <w:t xml:space="preserve">11,000 </w:t>
            </w:r>
          </w:p>
        </w:tc>
        <w:tc>
          <w:tcPr>
            <w:tcW w:w="1537"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(10,012)</w:t>
            </w:r>
          </w:p>
        </w:tc>
        <w:tc>
          <w:tcPr>
            <w:tcW w:w="1516"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988</w:t>
            </w:r>
          </w:p>
        </w:tc>
      </w:tr>
      <w:tr w:rsidR="00D51AB3" w:rsidRPr="00C73500" w:rsidTr="00F673BF">
        <w:trPr>
          <w:trHeight w:val="300"/>
          <w:jc w:val="center"/>
        </w:trPr>
        <w:tc>
          <w:tcPr>
            <w:tcW w:w="5137"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(650) TRANSPORTATION EXPENSE</w:t>
            </w:r>
          </w:p>
        </w:tc>
        <w:tc>
          <w:tcPr>
            <w:tcW w:w="1544"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color w:val="000000"/>
                <w:sz w:val="20"/>
                <w:szCs w:val="20"/>
              </w:rPr>
            </w:pPr>
            <w:r w:rsidRPr="00D51AB3">
              <w:rPr>
                <w:rFonts w:cs="Calibri"/>
                <w:color w:val="000000"/>
                <w:sz w:val="20"/>
                <w:szCs w:val="20"/>
              </w:rPr>
              <w:t xml:space="preserve">0 </w:t>
            </w:r>
          </w:p>
        </w:tc>
        <w:tc>
          <w:tcPr>
            <w:tcW w:w="1537"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716 </w:t>
            </w:r>
          </w:p>
        </w:tc>
        <w:tc>
          <w:tcPr>
            <w:tcW w:w="1516"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716 </w:t>
            </w:r>
          </w:p>
        </w:tc>
      </w:tr>
      <w:tr w:rsidR="00D51AB3" w:rsidRPr="00C73500" w:rsidTr="00F673BF">
        <w:trPr>
          <w:trHeight w:val="312"/>
          <w:jc w:val="center"/>
        </w:trPr>
        <w:tc>
          <w:tcPr>
            <w:tcW w:w="5137"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(655) INSURANCE EXPENSE</w:t>
            </w:r>
          </w:p>
        </w:tc>
        <w:tc>
          <w:tcPr>
            <w:tcW w:w="1544"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color w:val="000000"/>
                <w:sz w:val="20"/>
                <w:szCs w:val="20"/>
              </w:rPr>
            </w:pPr>
            <w:r w:rsidRPr="00D51AB3">
              <w:rPr>
                <w:rFonts w:cs="Calibri"/>
                <w:color w:val="000000"/>
                <w:sz w:val="20"/>
                <w:szCs w:val="20"/>
              </w:rPr>
              <w:t xml:space="preserve">0 </w:t>
            </w:r>
          </w:p>
        </w:tc>
        <w:tc>
          <w:tcPr>
            <w:tcW w:w="1537"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c>
          <w:tcPr>
            <w:tcW w:w="1516"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r>
      <w:tr w:rsidR="00D51AB3" w:rsidRPr="00C73500" w:rsidTr="00F673BF">
        <w:trPr>
          <w:trHeight w:val="300"/>
          <w:jc w:val="center"/>
        </w:trPr>
        <w:tc>
          <w:tcPr>
            <w:tcW w:w="5137"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(665) REGULATORY COMMISSION EXPENSE</w:t>
            </w:r>
          </w:p>
        </w:tc>
        <w:tc>
          <w:tcPr>
            <w:tcW w:w="1544"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color w:val="000000"/>
                <w:sz w:val="20"/>
                <w:szCs w:val="20"/>
              </w:rPr>
            </w:pPr>
            <w:r w:rsidRPr="00D51AB3">
              <w:rPr>
                <w:rFonts w:cs="Calibri"/>
                <w:color w:val="000000"/>
                <w:sz w:val="20"/>
                <w:szCs w:val="20"/>
              </w:rPr>
              <w:t xml:space="preserve">0 </w:t>
            </w:r>
          </w:p>
        </w:tc>
        <w:tc>
          <w:tcPr>
            <w:tcW w:w="1537"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313 </w:t>
            </w:r>
          </w:p>
        </w:tc>
        <w:tc>
          <w:tcPr>
            <w:tcW w:w="1516"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313 </w:t>
            </w:r>
          </w:p>
        </w:tc>
      </w:tr>
      <w:tr w:rsidR="00D51AB3" w:rsidRPr="00C73500" w:rsidTr="00F673BF">
        <w:trPr>
          <w:trHeight w:val="300"/>
          <w:jc w:val="center"/>
        </w:trPr>
        <w:tc>
          <w:tcPr>
            <w:tcW w:w="5137"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(670) BAD DEBT EXPENSE</w:t>
            </w:r>
          </w:p>
        </w:tc>
        <w:tc>
          <w:tcPr>
            <w:tcW w:w="1544"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color w:val="000000"/>
                <w:sz w:val="20"/>
                <w:szCs w:val="20"/>
              </w:rPr>
            </w:pPr>
            <w:r w:rsidRPr="00D51AB3">
              <w:rPr>
                <w:rFonts w:cs="Calibri"/>
                <w:color w:val="000000"/>
                <w:sz w:val="20"/>
                <w:szCs w:val="20"/>
              </w:rPr>
              <w:t xml:space="preserve">0 </w:t>
            </w:r>
          </w:p>
        </w:tc>
        <w:tc>
          <w:tcPr>
            <w:tcW w:w="1537"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1,575 </w:t>
            </w:r>
          </w:p>
        </w:tc>
        <w:tc>
          <w:tcPr>
            <w:tcW w:w="1516"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1,575 </w:t>
            </w:r>
          </w:p>
        </w:tc>
      </w:tr>
      <w:tr w:rsidR="00D51AB3" w:rsidRPr="00C73500" w:rsidTr="00F673BF">
        <w:trPr>
          <w:trHeight w:val="312"/>
          <w:jc w:val="center"/>
        </w:trPr>
        <w:tc>
          <w:tcPr>
            <w:tcW w:w="5137"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(675) MISCELLANEOUS EXPENSE</w:t>
            </w:r>
          </w:p>
        </w:tc>
        <w:tc>
          <w:tcPr>
            <w:tcW w:w="1544"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color w:val="000000"/>
                <w:sz w:val="20"/>
                <w:szCs w:val="20"/>
                <w:u w:val="single"/>
              </w:rPr>
            </w:pPr>
            <w:r w:rsidRPr="00D51AB3">
              <w:rPr>
                <w:rFonts w:cs="Calibri"/>
                <w:color w:val="000000"/>
                <w:sz w:val="20"/>
                <w:szCs w:val="20"/>
                <w:u w:val="single"/>
              </w:rPr>
              <w:t xml:space="preserve">12,065 </w:t>
            </w:r>
          </w:p>
        </w:tc>
        <w:tc>
          <w:tcPr>
            <w:tcW w:w="1537"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u w:val="single"/>
              </w:rPr>
            </w:pPr>
            <w:r w:rsidRPr="00D51AB3">
              <w:rPr>
                <w:rFonts w:cs="Calibri"/>
                <w:sz w:val="20"/>
                <w:szCs w:val="20"/>
                <w:u w:val="single"/>
              </w:rPr>
              <w:t>(7,062)</w:t>
            </w:r>
          </w:p>
        </w:tc>
        <w:tc>
          <w:tcPr>
            <w:tcW w:w="1516"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u w:val="single"/>
              </w:rPr>
            </w:pPr>
            <w:r w:rsidRPr="00D51AB3">
              <w:rPr>
                <w:rFonts w:cs="Calibri"/>
                <w:sz w:val="20"/>
                <w:szCs w:val="20"/>
                <w:u w:val="single"/>
              </w:rPr>
              <w:t xml:space="preserve">5,003 </w:t>
            </w:r>
          </w:p>
        </w:tc>
      </w:tr>
      <w:tr w:rsidR="00D51AB3" w:rsidRPr="00C73500" w:rsidTr="00F673BF">
        <w:trPr>
          <w:trHeight w:val="300"/>
          <w:jc w:val="center"/>
        </w:trPr>
        <w:tc>
          <w:tcPr>
            <w:tcW w:w="5137"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 </w:t>
            </w:r>
          </w:p>
        </w:tc>
        <w:tc>
          <w:tcPr>
            <w:tcW w:w="1544"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color w:val="000000"/>
                <w:sz w:val="20"/>
                <w:szCs w:val="20"/>
                <w:u w:val="single"/>
              </w:rPr>
            </w:pPr>
          </w:p>
        </w:tc>
        <w:tc>
          <w:tcPr>
            <w:tcW w:w="1537"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u w:val="single"/>
              </w:rPr>
            </w:pPr>
          </w:p>
        </w:tc>
        <w:tc>
          <w:tcPr>
            <w:tcW w:w="1516"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u w:val="single"/>
              </w:rPr>
            </w:pPr>
          </w:p>
        </w:tc>
      </w:tr>
      <w:tr w:rsidR="00D51AB3" w:rsidRPr="00C73500" w:rsidTr="00F673BF">
        <w:trPr>
          <w:trHeight w:val="336"/>
          <w:jc w:val="center"/>
        </w:trPr>
        <w:tc>
          <w:tcPr>
            <w:tcW w:w="5137"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 </w:t>
            </w:r>
          </w:p>
        </w:tc>
        <w:tc>
          <w:tcPr>
            <w:tcW w:w="1544"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u w:val="double"/>
              </w:rPr>
            </w:pPr>
            <w:r w:rsidRPr="00D51AB3">
              <w:rPr>
                <w:rFonts w:cs="Calibri"/>
                <w:sz w:val="20"/>
                <w:szCs w:val="20"/>
                <w:u w:val="double"/>
              </w:rPr>
              <w:t xml:space="preserve">$32,087 </w:t>
            </w:r>
          </w:p>
        </w:tc>
        <w:tc>
          <w:tcPr>
            <w:tcW w:w="1537"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u w:val="double"/>
              </w:rPr>
            </w:pPr>
            <w:r w:rsidRPr="00D51AB3">
              <w:rPr>
                <w:rFonts w:cs="Calibri"/>
                <w:sz w:val="20"/>
                <w:szCs w:val="20"/>
                <w:u w:val="double"/>
              </w:rPr>
              <w:t xml:space="preserve">$5,860 </w:t>
            </w:r>
          </w:p>
        </w:tc>
        <w:tc>
          <w:tcPr>
            <w:tcW w:w="1516"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u w:val="double"/>
              </w:rPr>
            </w:pPr>
            <w:r w:rsidRPr="00D51AB3">
              <w:rPr>
                <w:rFonts w:cs="Calibri"/>
                <w:sz w:val="20"/>
                <w:szCs w:val="20"/>
                <w:u w:val="double"/>
              </w:rPr>
              <w:t xml:space="preserve">$37,947 </w:t>
            </w:r>
          </w:p>
        </w:tc>
      </w:tr>
      <w:tr w:rsidR="00D51AB3" w:rsidRPr="00C73500" w:rsidTr="00F673BF">
        <w:trPr>
          <w:trHeight w:val="312"/>
          <w:jc w:val="center"/>
        </w:trPr>
        <w:tc>
          <w:tcPr>
            <w:tcW w:w="5137" w:type="dxa"/>
            <w:tcBorders>
              <w:top w:val="nil"/>
              <w:left w:val="single" w:sz="8" w:space="0" w:color="auto"/>
              <w:bottom w:val="single" w:sz="8" w:space="0" w:color="auto"/>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 </w:t>
            </w:r>
          </w:p>
        </w:tc>
        <w:tc>
          <w:tcPr>
            <w:tcW w:w="1544" w:type="dxa"/>
            <w:tcBorders>
              <w:top w:val="nil"/>
              <w:left w:val="nil"/>
              <w:bottom w:val="single" w:sz="8" w:space="0" w:color="auto"/>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 </w:t>
            </w:r>
          </w:p>
        </w:tc>
        <w:tc>
          <w:tcPr>
            <w:tcW w:w="1537" w:type="dxa"/>
            <w:tcBorders>
              <w:top w:val="nil"/>
              <w:left w:val="nil"/>
              <w:bottom w:val="single" w:sz="8" w:space="0" w:color="auto"/>
              <w:right w:val="nil"/>
            </w:tcBorders>
            <w:shd w:val="clear" w:color="auto" w:fill="auto"/>
            <w:noWrap/>
            <w:vAlign w:val="bottom"/>
            <w:hideMark/>
          </w:tcPr>
          <w:p w:rsidR="00D51AB3" w:rsidRPr="00D51AB3" w:rsidRDefault="00D51AB3" w:rsidP="00F673BF">
            <w:pPr>
              <w:rPr>
                <w:rFonts w:cs="Calibri"/>
                <w:sz w:val="20"/>
                <w:szCs w:val="20"/>
              </w:rPr>
            </w:pPr>
            <w:r w:rsidRPr="00D51AB3">
              <w:rPr>
                <w:rFonts w:cs="Calibri"/>
                <w:sz w:val="20"/>
                <w:szCs w:val="20"/>
              </w:rPr>
              <w:t> </w:t>
            </w:r>
          </w:p>
        </w:tc>
        <w:tc>
          <w:tcPr>
            <w:tcW w:w="1516" w:type="dxa"/>
            <w:tcBorders>
              <w:top w:val="nil"/>
              <w:left w:val="nil"/>
              <w:bottom w:val="single" w:sz="8" w:space="0" w:color="auto"/>
              <w:right w:val="single" w:sz="8" w:space="0" w:color="auto"/>
            </w:tcBorders>
            <w:shd w:val="clear" w:color="auto" w:fill="auto"/>
            <w:noWrap/>
            <w:vAlign w:val="bottom"/>
            <w:hideMark/>
          </w:tcPr>
          <w:p w:rsidR="00D51AB3" w:rsidRPr="00D51AB3" w:rsidRDefault="00D51AB3" w:rsidP="00F673BF">
            <w:pPr>
              <w:rPr>
                <w:rFonts w:cs="Calibri"/>
                <w:sz w:val="20"/>
                <w:szCs w:val="20"/>
              </w:rPr>
            </w:pPr>
            <w:r w:rsidRPr="00D51AB3">
              <w:rPr>
                <w:rFonts w:cs="Calibri"/>
                <w:sz w:val="20"/>
                <w:szCs w:val="20"/>
              </w:rPr>
              <w:t> </w:t>
            </w:r>
          </w:p>
        </w:tc>
      </w:tr>
    </w:tbl>
    <w:p w:rsidR="00D51AB3" w:rsidRDefault="00D51AB3" w:rsidP="00B22AD8">
      <w:pPr>
        <w:spacing w:after="240"/>
        <w:jc w:val="both"/>
        <w:sectPr w:rsidR="00D51AB3" w:rsidSect="00445218">
          <w:headerReference w:type="first" r:id="rId20"/>
          <w:pgSz w:w="12240" w:h="15840" w:code="1"/>
          <w:pgMar w:top="1440" w:right="1440" w:bottom="1440" w:left="1440" w:header="720" w:footer="720" w:gutter="0"/>
          <w:cols w:space="720"/>
          <w:titlePg/>
          <w:docGrid w:linePitch="360"/>
        </w:sectPr>
      </w:pPr>
    </w:p>
    <w:tbl>
      <w:tblPr>
        <w:tblW w:w="10608" w:type="dxa"/>
        <w:tblLook w:val="04A0" w:firstRow="1" w:lastRow="0" w:firstColumn="1" w:lastColumn="0" w:noHBand="0" w:noVBand="1"/>
      </w:tblPr>
      <w:tblGrid>
        <w:gridCol w:w="6088"/>
        <w:gridCol w:w="1376"/>
        <w:gridCol w:w="1572"/>
        <w:gridCol w:w="1572"/>
      </w:tblGrid>
      <w:tr w:rsidR="00D51AB3" w:rsidRPr="00C73500" w:rsidTr="00636751">
        <w:trPr>
          <w:trHeight w:val="300"/>
        </w:trPr>
        <w:tc>
          <w:tcPr>
            <w:tcW w:w="6088" w:type="dxa"/>
            <w:tcBorders>
              <w:top w:val="single" w:sz="8" w:space="0" w:color="auto"/>
              <w:left w:val="single" w:sz="8" w:space="0" w:color="auto"/>
              <w:bottom w:val="nil"/>
              <w:right w:val="nil"/>
            </w:tcBorders>
            <w:shd w:val="clear" w:color="auto" w:fill="auto"/>
            <w:noWrap/>
            <w:vAlign w:val="bottom"/>
            <w:hideMark/>
          </w:tcPr>
          <w:p w:rsidR="00D51AB3" w:rsidRPr="00D51AB3" w:rsidRDefault="00D51AB3" w:rsidP="00F673BF">
            <w:pPr>
              <w:rPr>
                <w:rFonts w:cs="Calibri"/>
                <w:b/>
                <w:bCs/>
                <w:color w:val="000000"/>
                <w:sz w:val="20"/>
                <w:szCs w:val="20"/>
              </w:rPr>
            </w:pPr>
            <w:bookmarkStart w:id="19" w:name="RANGE!H1:K28"/>
            <w:r w:rsidRPr="00D51AB3">
              <w:rPr>
                <w:rFonts w:cs="Calibri"/>
                <w:b/>
                <w:bCs/>
                <w:color w:val="000000"/>
                <w:sz w:val="20"/>
                <w:szCs w:val="20"/>
              </w:rPr>
              <w:lastRenderedPageBreak/>
              <w:t>FIMC H</w:t>
            </w:r>
            <w:bookmarkEnd w:id="19"/>
            <w:r w:rsidRPr="00D51AB3">
              <w:rPr>
                <w:rFonts w:cs="Calibri"/>
                <w:b/>
                <w:bCs/>
                <w:color w:val="000000"/>
                <w:sz w:val="20"/>
                <w:szCs w:val="20"/>
              </w:rPr>
              <w:t>IDEAWAY, INC.</w:t>
            </w:r>
          </w:p>
        </w:tc>
        <w:tc>
          <w:tcPr>
            <w:tcW w:w="4520" w:type="dxa"/>
            <w:gridSpan w:val="3"/>
            <w:tcBorders>
              <w:top w:val="single" w:sz="8" w:space="0" w:color="auto"/>
              <w:left w:val="nil"/>
              <w:bottom w:val="nil"/>
              <w:right w:val="single" w:sz="8" w:space="0" w:color="000000"/>
            </w:tcBorders>
            <w:shd w:val="clear" w:color="auto" w:fill="auto"/>
            <w:noWrap/>
            <w:vAlign w:val="bottom"/>
            <w:hideMark/>
          </w:tcPr>
          <w:p w:rsidR="00D51AB3" w:rsidRPr="00D51AB3" w:rsidRDefault="00D51AB3" w:rsidP="00F673BF">
            <w:pPr>
              <w:jc w:val="right"/>
              <w:rPr>
                <w:rFonts w:cs="Calibri"/>
                <w:b/>
                <w:bCs/>
                <w:color w:val="000000"/>
                <w:sz w:val="20"/>
                <w:szCs w:val="20"/>
              </w:rPr>
            </w:pPr>
            <w:r w:rsidRPr="00D51AB3">
              <w:rPr>
                <w:rFonts w:cs="Calibri"/>
                <w:b/>
                <w:bCs/>
                <w:color w:val="000000"/>
                <w:sz w:val="20"/>
                <w:szCs w:val="20"/>
              </w:rPr>
              <w:t>SCHEDULE NO. 3-E</w:t>
            </w:r>
          </w:p>
        </w:tc>
      </w:tr>
      <w:tr w:rsidR="00D51AB3" w:rsidRPr="00C73500" w:rsidTr="00636751">
        <w:trPr>
          <w:trHeight w:val="300"/>
        </w:trPr>
        <w:tc>
          <w:tcPr>
            <w:tcW w:w="6088"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b/>
                <w:bCs/>
                <w:color w:val="000000"/>
                <w:sz w:val="20"/>
                <w:szCs w:val="20"/>
              </w:rPr>
            </w:pPr>
            <w:r w:rsidRPr="00D51AB3">
              <w:rPr>
                <w:rFonts w:cs="Calibri"/>
                <w:b/>
                <w:bCs/>
                <w:color w:val="000000"/>
                <w:sz w:val="20"/>
                <w:szCs w:val="20"/>
              </w:rPr>
              <w:t>TEST YEAR ENDED  June 30, 2017</w:t>
            </w:r>
          </w:p>
        </w:tc>
        <w:tc>
          <w:tcPr>
            <w:tcW w:w="4520" w:type="dxa"/>
            <w:gridSpan w:val="3"/>
            <w:tcBorders>
              <w:top w:val="nil"/>
              <w:left w:val="nil"/>
              <w:bottom w:val="nil"/>
              <w:right w:val="single" w:sz="8" w:space="0" w:color="000000"/>
            </w:tcBorders>
            <w:shd w:val="clear" w:color="auto" w:fill="auto"/>
            <w:noWrap/>
            <w:vAlign w:val="bottom"/>
            <w:hideMark/>
          </w:tcPr>
          <w:p w:rsidR="00D51AB3" w:rsidRPr="00D51AB3" w:rsidRDefault="00D51AB3" w:rsidP="00F673BF">
            <w:pPr>
              <w:jc w:val="right"/>
              <w:rPr>
                <w:rFonts w:cs="Calibri"/>
                <w:b/>
                <w:bCs/>
                <w:color w:val="000000"/>
                <w:sz w:val="20"/>
                <w:szCs w:val="20"/>
              </w:rPr>
            </w:pPr>
            <w:r w:rsidRPr="00D51AB3">
              <w:rPr>
                <w:rFonts w:cs="Calibri"/>
                <w:b/>
                <w:color w:val="000000"/>
                <w:sz w:val="20"/>
                <w:szCs w:val="20"/>
              </w:rPr>
              <w:t>DOCKET NO. 20170147-WS</w:t>
            </w:r>
          </w:p>
        </w:tc>
      </w:tr>
      <w:tr w:rsidR="00D51AB3" w:rsidRPr="00C73500" w:rsidTr="00636751">
        <w:trPr>
          <w:trHeight w:val="312"/>
        </w:trPr>
        <w:tc>
          <w:tcPr>
            <w:tcW w:w="9036" w:type="dxa"/>
            <w:gridSpan w:val="3"/>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b/>
                <w:bCs/>
                <w:color w:val="000000"/>
                <w:sz w:val="20"/>
                <w:szCs w:val="20"/>
              </w:rPr>
            </w:pPr>
            <w:r w:rsidRPr="00D51AB3">
              <w:rPr>
                <w:rFonts w:cs="Calibri"/>
                <w:b/>
                <w:bCs/>
                <w:color w:val="000000"/>
                <w:sz w:val="20"/>
                <w:szCs w:val="20"/>
              </w:rPr>
              <w:t>ANALYSIS OF COMBINED WASTEWATER O&amp;M EXPENSE</w:t>
            </w:r>
          </w:p>
        </w:tc>
        <w:tc>
          <w:tcPr>
            <w:tcW w:w="1572" w:type="dxa"/>
            <w:tcBorders>
              <w:top w:val="nil"/>
              <w:left w:val="nil"/>
              <w:bottom w:val="nil"/>
              <w:right w:val="single" w:sz="8" w:space="0" w:color="auto"/>
            </w:tcBorders>
            <w:shd w:val="clear" w:color="auto" w:fill="auto"/>
            <w:noWrap/>
            <w:vAlign w:val="bottom"/>
            <w:hideMark/>
          </w:tcPr>
          <w:p w:rsidR="00D51AB3" w:rsidRPr="00D51AB3" w:rsidRDefault="00D51AB3" w:rsidP="00F673BF">
            <w:pPr>
              <w:rPr>
                <w:rFonts w:cs="Calibri"/>
                <w:b/>
                <w:bCs/>
                <w:color w:val="000000"/>
                <w:sz w:val="20"/>
                <w:szCs w:val="20"/>
              </w:rPr>
            </w:pPr>
            <w:r w:rsidRPr="00D51AB3">
              <w:rPr>
                <w:rFonts w:cs="Calibri"/>
                <w:b/>
                <w:bCs/>
                <w:color w:val="000000"/>
                <w:sz w:val="20"/>
                <w:szCs w:val="20"/>
              </w:rPr>
              <w:t> </w:t>
            </w:r>
          </w:p>
        </w:tc>
      </w:tr>
      <w:tr w:rsidR="00D51AB3" w:rsidRPr="00C73500" w:rsidTr="00636751">
        <w:trPr>
          <w:trHeight w:val="300"/>
        </w:trPr>
        <w:tc>
          <w:tcPr>
            <w:tcW w:w="6088" w:type="dxa"/>
            <w:tcBorders>
              <w:top w:val="single" w:sz="8" w:space="0" w:color="auto"/>
              <w:left w:val="single" w:sz="8" w:space="0" w:color="auto"/>
              <w:bottom w:val="nil"/>
              <w:right w:val="nil"/>
            </w:tcBorders>
            <w:shd w:val="clear" w:color="auto" w:fill="auto"/>
            <w:noWrap/>
            <w:vAlign w:val="bottom"/>
            <w:hideMark/>
          </w:tcPr>
          <w:p w:rsidR="00D51AB3" w:rsidRPr="00D51AB3" w:rsidRDefault="00D51AB3" w:rsidP="00F673BF">
            <w:pPr>
              <w:rPr>
                <w:rFonts w:cs="Calibri"/>
                <w:b/>
                <w:bCs/>
                <w:color w:val="000000"/>
                <w:sz w:val="20"/>
                <w:szCs w:val="20"/>
              </w:rPr>
            </w:pPr>
            <w:r w:rsidRPr="00D51AB3">
              <w:rPr>
                <w:rFonts w:cs="Calibri"/>
                <w:b/>
                <w:bCs/>
                <w:color w:val="000000"/>
                <w:sz w:val="20"/>
                <w:szCs w:val="20"/>
              </w:rPr>
              <w:t> </w:t>
            </w:r>
          </w:p>
        </w:tc>
        <w:tc>
          <w:tcPr>
            <w:tcW w:w="1376" w:type="dxa"/>
            <w:tcBorders>
              <w:top w:val="single" w:sz="8" w:space="0" w:color="auto"/>
              <w:left w:val="nil"/>
              <w:bottom w:val="nil"/>
              <w:right w:val="nil"/>
            </w:tcBorders>
            <w:shd w:val="clear" w:color="auto" w:fill="auto"/>
            <w:noWrap/>
            <w:vAlign w:val="bottom"/>
            <w:hideMark/>
          </w:tcPr>
          <w:p w:rsidR="00D51AB3" w:rsidRPr="00D51AB3" w:rsidRDefault="00D51AB3" w:rsidP="00F673BF">
            <w:pPr>
              <w:jc w:val="center"/>
              <w:rPr>
                <w:rFonts w:cs="Calibri"/>
                <w:b/>
                <w:bCs/>
                <w:color w:val="000000"/>
                <w:sz w:val="20"/>
                <w:szCs w:val="20"/>
              </w:rPr>
            </w:pPr>
            <w:r w:rsidRPr="00D51AB3">
              <w:rPr>
                <w:rFonts w:cs="Calibri"/>
                <w:b/>
                <w:bCs/>
                <w:color w:val="000000"/>
                <w:sz w:val="20"/>
                <w:szCs w:val="20"/>
              </w:rPr>
              <w:t>TOTAL</w:t>
            </w:r>
          </w:p>
        </w:tc>
        <w:tc>
          <w:tcPr>
            <w:tcW w:w="1572" w:type="dxa"/>
            <w:tcBorders>
              <w:top w:val="single" w:sz="8" w:space="0" w:color="auto"/>
              <w:left w:val="nil"/>
              <w:bottom w:val="nil"/>
              <w:right w:val="nil"/>
            </w:tcBorders>
            <w:shd w:val="clear" w:color="auto" w:fill="auto"/>
            <w:noWrap/>
            <w:vAlign w:val="bottom"/>
            <w:hideMark/>
          </w:tcPr>
          <w:p w:rsidR="00D51AB3" w:rsidRPr="00D51AB3" w:rsidRDefault="00636751" w:rsidP="00F673BF">
            <w:pPr>
              <w:jc w:val="center"/>
              <w:rPr>
                <w:rFonts w:cs="Calibri"/>
                <w:b/>
                <w:bCs/>
                <w:color w:val="000000"/>
                <w:sz w:val="20"/>
                <w:szCs w:val="20"/>
              </w:rPr>
            </w:pPr>
            <w:r>
              <w:rPr>
                <w:rFonts w:cs="Calibri"/>
                <w:b/>
                <w:bCs/>
                <w:color w:val="000000"/>
                <w:sz w:val="20"/>
                <w:szCs w:val="20"/>
              </w:rPr>
              <w:t>COMMISSION</w:t>
            </w:r>
          </w:p>
        </w:tc>
        <w:tc>
          <w:tcPr>
            <w:tcW w:w="1572" w:type="dxa"/>
            <w:tcBorders>
              <w:top w:val="single" w:sz="8" w:space="0" w:color="auto"/>
              <w:left w:val="nil"/>
              <w:bottom w:val="nil"/>
              <w:right w:val="single" w:sz="8" w:space="0" w:color="auto"/>
            </w:tcBorders>
            <w:shd w:val="clear" w:color="auto" w:fill="auto"/>
            <w:noWrap/>
            <w:vAlign w:val="bottom"/>
            <w:hideMark/>
          </w:tcPr>
          <w:p w:rsidR="00D51AB3" w:rsidRPr="00D51AB3" w:rsidRDefault="00D51AB3" w:rsidP="00F673BF">
            <w:pPr>
              <w:jc w:val="center"/>
              <w:rPr>
                <w:rFonts w:cs="Calibri"/>
                <w:b/>
                <w:bCs/>
                <w:color w:val="000000"/>
                <w:sz w:val="20"/>
                <w:szCs w:val="20"/>
              </w:rPr>
            </w:pPr>
            <w:r w:rsidRPr="00D51AB3">
              <w:rPr>
                <w:rFonts w:cs="Calibri"/>
                <w:b/>
                <w:bCs/>
                <w:color w:val="000000"/>
                <w:sz w:val="20"/>
                <w:szCs w:val="20"/>
              </w:rPr>
              <w:t>TOTAL</w:t>
            </w:r>
          </w:p>
        </w:tc>
      </w:tr>
      <w:tr w:rsidR="00D51AB3" w:rsidRPr="00C73500" w:rsidTr="00636751">
        <w:trPr>
          <w:trHeight w:val="300"/>
        </w:trPr>
        <w:tc>
          <w:tcPr>
            <w:tcW w:w="6088"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b/>
                <w:bCs/>
                <w:color w:val="000000"/>
                <w:sz w:val="20"/>
                <w:szCs w:val="20"/>
              </w:rPr>
            </w:pPr>
            <w:r w:rsidRPr="00D51AB3">
              <w:rPr>
                <w:rFonts w:cs="Calibri"/>
                <w:b/>
                <w:bCs/>
                <w:color w:val="000000"/>
                <w:sz w:val="20"/>
                <w:szCs w:val="20"/>
              </w:rPr>
              <w:t> </w:t>
            </w:r>
          </w:p>
        </w:tc>
        <w:tc>
          <w:tcPr>
            <w:tcW w:w="1376" w:type="dxa"/>
            <w:tcBorders>
              <w:top w:val="nil"/>
              <w:left w:val="nil"/>
              <w:bottom w:val="nil"/>
              <w:right w:val="nil"/>
            </w:tcBorders>
            <w:shd w:val="clear" w:color="auto" w:fill="auto"/>
            <w:noWrap/>
            <w:vAlign w:val="bottom"/>
            <w:hideMark/>
          </w:tcPr>
          <w:p w:rsidR="00D51AB3" w:rsidRPr="00D51AB3" w:rsidRDefault="00D51AB3" w:rsidP="00F673BF">
            <w:pPr>
              <w:jc w:val="center"/>
              <w:rPr>
                <w:rFonts w:cs="Calibri"/>
                <w:b/>
                <w:bCs/>
                <w:color w:val="000000"/>
                <w:sz w:val="20"/>
                <w:szCs w:val="20"/>
              </w:rPr>
            </w:pPr>
            <w:r w:rsidRPr="00D51AB3">
              <w:rPr>
                <w:rFonts w:cs="Calibri"/>
                <w:b/>
                <w:bCs/>
                <w:color w:val="000000"/>
                <w:sz w:val="20"/>
                <w:szCs w:val="20"/>
              </w:rPr>
              <w:t>PER</w:t>
            </w:r>
          </w:p>
        </w:tc>
        <w:tc>
          <w:tcPr>
            <w:tcW w:w="1572" w:type="dxa"/>
            <w:tcBorders>
              <w:top w:val="nil"/>
              <w:left w:val="nil"/>
              <w:bottom w:val="nil"/>
              <w:right w:val="nil"/>
            </w:tcBorders>
            <w:shd w:val="clear" w:color="auto" w:fill="auto"/>
            <w:noWrap/>
            <w:vAlign w:val="bottom"/>
            <w:hideMark/>
          </w:tcPr>
          <w:p w:rsidR="00D51AB3" w:rsidRPr="00D51AB3" w:rsidRDefault="00D51AB3" w:rsidP="00F673BF">
            <w:pPr>
              <w:jc w:val="center"/>
              <w:rPr>
                <w:rFonts w:cs="Calibri"/>
                <w:b/>
                <w:bCs/>
                <w:color w:val="000000"/>
                <w:sz w:val="20"/>
                <w:szCs w:val="20"/>
              </w:rPr>
            </w:pPr>
            <w:r w:rsidRPr="00D51AB3">
              <w:rPr>
                <w:rFonts w:cs="Calibri"/>
                <w:b/>
                <w:bCs/>
                <w:color w:val="000000"/>
                <w:sz w:val="20"/>
                <w:szCs w:val="20"/>
              </w:rPr>
              <w:t>ADJUST-</w:t>
            </w:r>
          </w:p>
        </w:tc>
        <w:tc>
          <w:tcPr>
            <w:tcW w:w="1572"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center"/>
              <w:rPr>
                <w:rFonts w:cs="Calibri"/>
                <w:b/>
                <w:bCs/>
                <w:color w:val="000000"/>
                <w:sz w:val="20"/>
                <w:szCs w:val="20"/>
              </w:rPr>
            </w:pPr>
            <w:r w:rsidRPr="00D51AB3">
              <w:rPr>
                <w:rFonts w:cs="Calibri"/>
                <w:b/>
                <w:bCs/>
                <w:color w:val="000000"/>
                <w:sz w:val="20"/>
                <w:szCs w:val="20"/>
              </w:rPr>
              <w:t>PER</w:t>
            </w:r>
          </w:p>
        </w:tc>
      </w:tr>
      <w:tr w:rsidR="00D51AB3" w:rsidRPr="00C73500" w:rsidTr="00636751">
        <w:trPr>
          <w:trHeight w:val="312"/>
        </w:trPr>
        <w:tc>
          <w:tcPr>
            <w:tcW w:w="6088" w:type="dxa"/>
            <w:tcBorders>
              <w:top w:val="nil"/>
              <w:left w:val="single" w:sz="8" w:space="0" w:color="auto"/>
              <w:bottom w:val="single" w:sz="8" w:space="0" w:color="auto"/>
              <w:right w:val="nil"/>
            </w:tcBorders>
            <w:shd w:val="clear" w:color="auto" w:fill="auto"/>
            <w:noWrap/>
            <w:vAlign w:val="bottom"/>
            <w:hideMark/>
          </w:tcPr>
          <w:p w:rsidR="00D51AB3" w:rsidRPr="00D51AB3" w:rsidRDefault="00D51AB3" w:rsidP="00F673BF">
            <w:pPr>
              <w:rPr>
                <w:rFonts w:cs="Calibri"/>
                <w:b/>
                <w:bCs/>
                <w:color w:val="000000"/>
                <w:sz w:val="20"/>
                <w:szCs w:val="20"/>
              </w:rPr>
            </w:pPr>
            <w:r w:rsidRPr="00D51AB3">
              <w:rPr>
                <w:rFonts w:cs="Calibri"/>
                <w:b/>
                <w:bCs/>
                <w:color w:val="000000"/>
                <w:sz w:val="20"/>
                <w:szCs w:val="20"/>
              </w:rPr>
              <w:t> </w:t>
            </w:r>
          </w:p>
        </w:tc>
        <w:tc>
          <w:tcPr>
            <w:tcW w:w="1376" w:type="dxa"/>
            <w:tcBorders>
              <w:top w:val="nil"/>
              <w:left w:val="nil"/>
              <w:bottom w:val="single" w:sz="8" w:space="0" w:color="auto"/>
              <w:right w:val="nil"/>
            </w:tcBorders>
            <w:shd w:val="clear" w:color="auto" w:fill="auto"/>
            <w:noWrap/>
            <w:vAlign w:val="bottom"/>
            <w:hideMark/>
          </w:tcPr>
          <w:p w:rsidR="00D51AB3" w:rsidRPr="00D51AB3" w:rsidRDefault="00D51AB3" w:rsidP="00F673BF">
            <w:pPr>
              <w:jc w:val="center"/>
              <w:rPr>
                <w:rFonts w:cs="Calibri"/>
                <w:b/>
                <w:bCs/>
                <w:color w:val="000000"/>
                <w:sz w:val="20"/>
                <w:szCs w:val="20"/>
              </w:rPr>
            </w:pPr>
            <w:r w:rsidRPr="00D51AB3">
              <w:rPr>
                <w:rFonts w:cs="Calibri"/>
                <w:b/>
                <w:bCs/>
                <w:color w:val="000000"/>
                <w:sz w:val="20"/>
                <w:szCs w:val="20"/>
              </w:rPr>
              <w:t>UTILITY</w:t>
            </w:r>
          </w:p>
        </w:tc>
        <w:tc>
          <w:tcPr>
            <w:tcW w:w="1572" w:type="dxa"/>
            <w:tcBorders>
              <w:top w:val="nil"/>
              <w:left w:val="nil"/>
              <w:bottom w:val="single" w:sz="8" w:space="0" w:color="auto"/>
              <w:right w:val="nil"/>
            </w:tcBorders>
            <w:shd w:val="clear" w:color="auto" w:fill="auto"/>
            <w:noWrap/>
            <w:vAlign w:val="bottom"/>
            <w:hideMark/>
          </w:tcPr>
          <w:p w:rsidR="00D51AB3" w:rsidRPr="00D51AB3" w:rsidRDefault="00D51AB3" w:rsidP="00F673BF">
            <w:pPr>
              <w:jc w:val="center"/>
              <w:rPr>
                <w:rFonts w:cs="Calibri"/>
                <w:b/>
                <w:bCs/>
                <w:color w:val="000000"/>
                <w:sz w:val="20"/>
                <w:szCs w:val="20"/>
              </w:rPr>
            </w:pPr>
            <w:r w:rsidRPr="00D51AB3">
              <w:rPr>
                <w:rFonts w:cs="Calibri"/>
                <w:b/>
                <w:bCs/>
                <w:color w:val="000000"/>
                <w:sz w:val="20"/>
                <w:szCs w:val="20"/>
              </w:rPr>
              <w:t>MENT</w:t>
            </w:r>
          </w:p>
        </w:tc>
        <w:tc>
          <w:tcPr>
            <w:tcW w:w="1572" w:type="dxa"/>
            <w:tcBorders>
              <w:top w:val="nil"/>
              <w:left w:val="nil"/>
              <w:bottom w:val="single" w:sz="8" w:space="0" w:color="auto"/>
              <w:right w:val="single" w:sz="8" w:space="0" w:color="auto"/>
            </w:tcBorders>
            <w:shd w:val="clear" w:color="auto" w:fill="auto"/>
            <w:noWrap/>
            <w:vAlign w:val="bottom"/>
            <w:hideMark/>
          </w:tcPr>
          <w:p w:rsidR="00D51AB3" w:rsidRPr="00D51AB3" w:rsidRDefault="00636751" w:rsidP="00F673BF">
            <w:pPr>
              <w:jc w:val="center"/>
              <w:rPr>
                <w:rFonts w:cs="Calibri"/>
                <w:b/>
                <w:bCs/>
                <w:color w:val="000000"/>
                <w:sz w:val="20"/>
                <w:szCs w:val="20"/>
              </w:rPr>
            </w:pPr>
            <w:r>
              <w:rPr>
                <w:rFonts w:cs="Calibri"/>
                <w:b/>
                <w:bCs/>
                <w:color w:val="000000"/>
                <w:sz w:val="20"/>
                <w:szCs w:val="20"/>
              </w:rPr>
              <w:t>COMMISSION</w:t>
            </w:r>
          </w:p>
        </w:tc>
      </w:tr>
      <w:tr w:rsidR="00D51AB3" w:rsidRPr="00C73500" w:rsidTr="00636751">
        <w:trPr>
          <w:trHeight w:val="300"/>
        </w:trPr>
        <w:tc>
          <w:tcPr>
            <w:tcW w:w="6088"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(701) SALARIES AND WAGES - EMPLOYEES</w:t>
            </w:r>
          </w:p>
        </w:tc>
        <w:tc>
          <w:tcPr>
            <w:tcW w:w="1376"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color w:val="000000"/>
                <w:sz w:val="20"/>
                <w:szCs w:val="20"/>
              </w:rPr>
            </w:pPr>
            <w:r w:rsidRPr="00D51AB3">
              <w:rPr>
                <w:rFonts w:cs="Calibri"/>
                <w:color w:val="000000"/>
                <w:sz w:val="20"/>
                <w:szCs w:val="20"/>
              </w:rPr>
              <w:t xml:space="preserve">$0 </w:t>
            </w:r>
          </w:p>
        </w:tc>
        <w:tc>
          <w:tcPr>
            <w:tcW w:w="1572"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c>
          <w:tcPr>
            <w:tcW w:w="1572"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$0</w:t>
            </w:r>
          </w:p>
        </w:tc>
      </w:tr>
      <w:tr w:rsidR="00D51AB3" w:rsidRPr="00C73500" w:rsidTr="00636751">
        <w:trPr>
          <w:trHeight w:val="300"/>
        </w:trPr>
        <w:tc>
          <w:tcPr>
            <w:tcW w:w="6088"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(703) SALARIES AND WAGES - OFFICERS</w:t>
            </w:r>
          </w:p>
        </w:tc>
        <w:tc>
          <w:tcPr>
            <w:tcW w:w="1376"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c>
          <w:tcPr>
            <w:tcW w:w="1572"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13,961 </w:t>
            </w:r>
          </w:p>
        </w:tc>
        <w:tc>
          <w:tcPr>
            <w:tcW w:w="1572"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13,961</w:t>
            </w:r>
          </w:p>
        </w:tc>
      </w:tr>
      <w:tr w:rsidR="00D51AB3" w:rsidRPr="00C73500" w:rsidTr="00636751">
        <w:trPr>
          <w:trHeight w:val="300"/>
        </w:trPr>
        <w:tc>
          <w:tcPr>
            <w:tcW w:w="6088"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(704) EMPLOYEE PENSIONS AND BENEFITS</w:t>
            </w:r>
          </w:p>
        </w:tc>
        <w:tc>
          <w:tcPr>
            <w:tcW w:w="1376"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c>
          <w:tcPr>
            <w:tcW w:w="1572"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c>
          <w:tcPr>
            <w:tcW w:w="1572"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0</w:t>
            </w:r>
          </w:p>
        </w:tc>
      </w:tr>
      <w:tr w:rsidR="00D51AB3" w:rsidRPr="00C73500" w:rsidTr="00636751">
        <w:trPr>
          <w:trHeight w:val="300"/>
        </w:trPr>
        <w:tc>
          <w:tcPr>
            <w:tcW w:w="6088"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(710) PURCHASED SEWAGE TREATMENT</w:t>
            </w:r>
          </w:p>
        </w:tc>
        <w:tc>
          <w:tcPr>
            <w:tcW w:w="1376"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c>
          <w:tcPr>
            <w:tcW w:w="1572"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c>
          <w:tcPr>
            <w:tcW w:w="1572"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0</w:t>
            </w:r>
          </w:p>
        </w:tc>
      </w:tr>
      <w:tr w:rsidR="00D51AB3" w:rsidRPr="00C73500" w:rsidTr="00636751">
        <w:trPr>
          <w:trHeight w:val="300"/>
        </w:trPr>
        <w:tc>
          <w:tcPr>
            <w:tcW w:w="6088"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(711) SLUDGE REMOVAL EXPENSE</w:t>
            </w:r>
          </w:p>
        </w:tc>
        <w:tc>
          <w:tcPr>
            <w:tcW w:w="1376"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1,260 </w:t>
            </w:r>
          </w:p>
        </w:tc>
        <w:tc>
          <w:tcPr>
            <w:tcW w:w="1572"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387 </w:t>
            </w:r>
          </w:p>
        </w:tc>
        <w:tc>
          <w:tcPr>
            <w:tcW w:w="1572"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1,647</w:t>
            </w:r>
          </w:p>
        </w:tc>
      </w:tr>
      <w:tr w:rsidR="00D51AB3" w:rsidRPr="00C73500" w:rsidTr="00636751">
        <w:trPr>
          <w:trHeight w:val="300"/>
        </w:trPr>
        <w:tc>
          <w:tcPr>
            <w:tcW w:w="6088"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(715) PURCHASED POWER</w:t>
            </w:r>
          </w:p>
        </w:tc>
        <w:tc>
          <w:tcPr>
            <w:tcW w:w="1376"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4,477 </w:t>
            </w:r>
          </w:p>
        </w:tc>
        <w:tc>
          <w:tcPr>
            <w:tcW w:w="1572"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(37)</w:t>
            </w:r>
          </w:p>
        </w:tc>
        <w:tc>
          <w:tcPr>
            <w:tcW w:w="1572"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4,440</w:t>
            </w:r>
          </w:p>
        </w:tc>
      </w:tr>
      <w:tr w:rsidR="00D51AB3" w:rsidRPr="00C73500" w:rsidTr="00636751">
        <w:trPr>
          <w:trHeight w:val="300"/>
        </w:trPr>
        <w:tc>
          <w:tcPr>
            <w:tcW w:w="6088"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(716) FUEL FOR POWER PRODUCTION</w:t>
            </w:r>
          </w:p>
        </w:tc>
        <w:tc>
          <w:tcPr>
            <w:tcW w:w="1376"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c>
          <w:tcPr>
            <w:tcW w:w="1572"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c>
          <w:tcPr>
            <w:tcW w:w="1572"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0</w:t>
            </w:r>
          </w:p>
        </w:tc>
      </w:tr>
      <w:tr w:rsidR="00D51AB3" w:rsidRPr="00C73500" w:rsidTr="00636751">
        <w:trPr>
          <w:trHeight w:val="300"/>
        </w:trPr>
        <w:tc>
          <w:tcPr>
            <w:tcW w:w="6088"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(718) CHEMICALS</w:t>
            </w:r>
          </w:p>
        </w:tc>
        <w:tc>
          <w:tcPr>
            <w:tcW w:w="1376"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c>
          <w:tcPr>
            <w:tcW w:w="1572"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c>
          <w:tcPr>
            <w:tcW w:w="1572"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0</w:t>
            </w:r>
          </w:p>
        </w:tc>
      </w:tr>
      <w:tr w:rsidR="00D51AB3" w:rsidRPr="00C73500" w:rsidTr="00636751">
        <w:trPr>
          <w:trHeight w:val="300"/>
        </w:trPr>
        <w:tc>
          <w:tcPr>
            <w:tcW w:w="6088"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(720) MATERIALS AND SUPPLIES</w:t>
            </w:r>
          </w:p>
        </w:tc>
        <w:tc>
          <w:tcPr>
            <w:tcW w:w="1376"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32 </w:t>
            </w:r>
          </w:p>
        </w:tc>
        <w:tc>
          <w:tcPr>
            <w:tcW w:w="1572"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c>
          <w:tcPr>
            <w:tcW w:w="1572"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32</w:t>
            </w:r>
          </w:p>
        </w:tc>
      </w:tr>
      <w:tr w:rsidR="00D51AB3" w:rsidRPr="00C73500" w:rsidTr="00636751">
        <w:trPr>
          <w:trHeight w:val="300"/>
        </w:trPr>
        <w:tc>
          <w:tcPr>
            <w:tcW w:w="6088"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(730) CONTRACTUAL SERVICES - BILLING</w:t>
            </w:r>
          </w:p>
        </w:tc>
        <w:tc>
          <w:tcPr>
            <w:tcW w:w="1376"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c>
          <w:tcPr>
            <w:tcW w:w="1572"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239 </w:t>
            </w:r>
          </w:p>
        </w:tc>
        <w:tc>
          <w:tcPr>
            <w:tcW w:w="1572"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239</w:t>
            </w:r>
          </w:p>
        </w:tc>
      </w:tr>
      <w:tr w:rsidR="00D51AB3" w:rsidRPr="00C73500" w:rsidTr="00636751">
        <w:trPr>
          <w:trHeight w:val="300"/>
        </w:trPr>
        <w:tc>
          <w:tcPr>
            <w:tcW w:w="6088"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(731) CONTRACTUAL SERVICES - PROFESSIONAL</w:t>
            </w:r>
          </w:p>
        </w:tc>
        <w:tc>
          <w:tcPr>
            <w:tcW w:w="1376"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1,300 </w:t>
            </w:r>
          </w:p>
        </w:tc>
        <w:tc>
          <w:tcPr>
            <w:tcW w:w="1572"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246</w:t>
            </w:r>
          </w:p>
        </w:tc>
        <w:tc>
          <w:tcPr>
            <w:tcW w:w="1572"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1,546 </w:t>
            </w:r>
          </w:p>
        </w:tc>
      </w:tr>
      <w:tr w:rsidR="00D51AB3" w:rsidRPr="00C73500" w:rsidTr="00636751">
        <w:trPr>
          <w:trHeight w:val="300"/>
        </w:trPr>
        <w:tc>
          <w:tcPr>
            <w:tcW w:w="6088"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(735) CONTRACTUAL SERVICES - TESTING</w:t>
            </w:r>
          </w:p>
        </w:tc>
        <w:tc>
          <w:tcPr>
            <w:tcW w:w="1376"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45 </w:t>
            </w:r>
          </w:p>
        </w:tc>
        <w:tc>
          <w:tcPr>
            <w:tcW w:w="1572"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915 </w:t>
            </w:r>
          </w:p>
        </w:tc>
        <w:tc>
          <w:tcPr>
            <w:tcW w:w="1572"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960</w:t>
            </w:r>
          </w:p>
        </w:tc>
      </w:tr>
      <w:tr w:rsidR="00D51AB3" w:rsidRPr="00C73500" w:rsidTr="00636751">
        <w:trPr>
          <w:trHeight w:val="300"/>
        </w:trPr>
        <w:tc>
          <w:tcPr>
            <w:tcW w:w="6088"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(736) CONTRACTUAL SERVICES - OTHER</w:t>
            </w:r>
          </w:p>
        </w:tc>
        <w:tc>
          <w:tcPr>
            <w:tcW w:w="1376"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50 </w:t>
            </w:r>
          </w:p>
        </w:tc>
        <w:tc>
          <w:tcPr>
            <w:tcW w:w="1572"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17,678 </w:t>
            </w:r>
          </w:p>
        </w:tc>
        <w:tc>
          <w:tcPr>
            <w:tcW w:w="1572"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17,728</w:t>
            </w:r>
          </w:p>
        </w:tc>
      </w:tr>
      <w:tr w:rsidR="00D51AB3" w:rsidRPr="00C73500" w:rsidTr="00636751">
        <w:trPr>
          <w:trHeight w:val="300"/>
        </w:trPr>
        <w:tc>
          <w:tcPr>
            <w:tcW w:w="6088"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(740) RENTS</w:t>
            </w:r>
          </w:p>
        </w:tc>
        <w:tc>
          <w:tcPr>
            <w:tcW w:w="1376"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c>
          <w:tcPr>
            <w:tcW w:w="1572"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1,057</w:t>
            </w:r>
          </w:p>
        </w:tc>
        <w:tc>
          <w:tcPr>
            <w:tcW w:w="1572"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1,057</w:t>
            </w:r>
          </w:p>
        </w:tc>
      </w:tr>
      <w:tr w:rsidR="00D51AB3" w:rsidRPr="00C73500" w:rsidTr="00636751">
        <w:trPr>
          <w:trHeight w:val="300"/>
        </w:trPr>
        <w:tc>
          <w:tcPr>
            <w:tcW w:w="6088"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(750) TRANSPORTATION EXPENSE</w:t>
            </w:r>
          </w:p>
        </w:tc>
        <w:tc>
          <w:tcPr>
            <w:tcW w:w="1376"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c>
          <w:tcPr>
            <w:tcW w:w="1572"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766 </w:t>
            </w:r>
          </w:p>
        </w:tc>
        <w:tc>
          <w:tcPr>
            <w:tcW w:w="1572"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766</w:t>
            </w:r>
          </w:p>
        </w:tc>
      </w:tr>
      <w:tr w:rsidR="00D51AB3" w:rsidRPr="00C73500" w:rsidTr="00636751">
        <w:trPr>
          <w:trHeight w:val="300"/>
        </w:trPr>
        <w:tc>
          <w:tcPr>
            <w:tcW w:w="6088"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(755) INSURANCE EXPENSE</w:t>
            </w:r>
          </w:p>
        </w:tc>
        <w:tc>
          <w:tcPr>
            <w:tcW w:w="1376"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c>
          <w:tcPr>
            <w:tcW w:w="1572"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c>
          <w:tcPr>
            <w:tcW w:w="1572"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0</w:t>
            </w:r>
          </w:p>
        </w:tc>
      </w:tr>
      <w:tr w:rsidR="00D51AB3" w:rsidRPr="00C73500" w:rsidTr="00636751">
        <w:trPr>
          <w:trHeight w:val="300"/>
        </w:trPr>
        <w:tc>
          <w:tcPr>
            <w:tcW w:w="6088"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(765) REGULATORY COMMISSION EXPENSES</w:t>
            </w:r>
          </w:p>
        </w:tc>
        <w:tc>
          <w:tcPr>
            <w:tcW w:w="1376"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c>
          <w:tcPr>
            <w:tcW w:w="1572"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192 </w:t>
            </w:r>
          </w:p>
        </w:tc>
        <w:tc>
          <w:tcPr>
            <w:tcW w:w="1572"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192</w:t>
            </w:r>
          </w:p>
        </w:tc>
      </w:tr>
      <w:tr w:rsidR="00D51AB3" w:rsidRPr="00C73500" w:rsidTr="00636751">
        <w:trPr>
          <w:trHeight w:val="300"/>
        </w:trPr>
        <w:tc>
          <w:tcPr>
            <w:tcW w:w="6088"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(770) BAD DEBT EXPENSE</w:t>
            </w:r>
          </w:p>
        </w:tc>
        <w:tc>
          <w:tcPr>
            <w:tcW w:w="1376"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0 </w:t>
            </w:r>
          </w:p>
        </w:tc>
        <w:tc>
          <w:tcPr>
            <w:tcW w:w="1572"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 xml:space="preserve">1,745 </w:t>
            </w:r>
          </w:p>
        </w:tc>
        <w:tc>
          <w:tcPr>
            <w:tcW w:w="1572"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rPr>
            </w:pPr>
            <w:r w:rsidRPr="00D51AB3">
              <w:rPr>
                <w:rFonts w:cs="Calibri"/>
                <w:sz w:val="20"/>
                <w:szCs w:val="20"/>
              </w:rPr>
              <w:t>1,745</w:t>
            </w:r>
          </w:p>
        </w:tc>
      </w:tr>
      <w:tr w:rsidR="00D51AB3" w:rsidRPr="00C73500" w:rsidTr="00636751">
        <w:trPr>
          <w:trHeight w:val="336"/>
        </w:trPr>
        <w:tc>
          <w:tcPr>
            <w:tcW w:w="6088"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(775) MISCELLANEOUS EXPENSE</w:t>
            </w:r>
          </w:p>
        </w:tc>
        <w:tc>
          <w:tcPr>
            <w:tcW w:w="1376"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u w:val="single"/>
              </w:rPr>
            </w:pPr>
            <w:r w:rsidRPr="00D51AB3">
              <w:rPr>
                <w:rFonts w:cs="Calibri"/>
                <w:sz w:val="20"/>
                <w:szCs w:val="20"/>
                <w:u w:val="single"/>
              </w:rPr>
              <w:t xml:space="preserve">20,394 </w:t>
            </w:r>
          </w:p>
        </w:tc>
        <w:tc>
          <w:tcPr>
            <w:tcW w:w="1572"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u w:val="single"/>
              </w:rPr>
            </w:pPr>
            <w:r w:rsidRPr="00D51AB3">
              <w:rPr>
                <w:rFonts w:cs="Calibri"/>
                <w:sz w:val="20"/>
                <w:szCs w:val="20"/>
                <w:u w:val="single"/>
              </w:rPr>
              <w:t>(19,015)</w:t>
            </w:r>
          </w:p>
        </w:tc>
        <w:tc>
          <w:tcPr>
            <w:tcW w:w="1572"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u w:val="single"/>
              </w:rPr>
            </w:pPr>
            <w:r w:rsidRPr="00D51AB3">
              <w:rPr>
                <w:rFonts w:cs="Calibri"/>
                <w:sz w:val="20"/>
                <w:szCs w:val="20"/>
                <w:u w:val="single"/>
              </w:rPr>
              <w:t>1,379</w:t>
            </w:r>
          </w:p>
        </w:tc>
      </w:tr>
      <w:tr w:rsidR="00D51AB3" w:rsidRPr="00C73500" w:rsidTr="00636751">
        <w:trPr>
          <w:trHeight w:val="336"/>
        </w:trPr>
        <w:tc>
          <w:tcPr>
            <w:tcW w:w="6088"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 </w:t>
            </w:r>
          </w:p>
        </w:tc>
        <w:tc>
          <w:tcPr>
            <w:tcW w:w="1376" w:type="dxa"/>
            <w:tcBorders>
              <w:top w:val="nil"/>
              <w:left w:val="nil"/>
              <w:bottom w:val="nil"/>
              <w:right w:val="nil"/>
            </w:tcBorders>
            <w:shd w:val="clear" w:color="auto" w:fill="auto"/>
            <w:noWrap/>
            <w:vAlign w:val="bottom"/>
            <w:hideMark/>
          </w:tcPr>
          <w:p w:rsidR="00D51AB3" w:rsidRPr="00D51AB3" w:rsidRDefault="00D51AB3" w:rsidP="00F673BF">
            <w:pPr>
              <w:rPr>
                <w:rFonts w:cs="Calibri"/>
                <w:color w:val="000000"/>
                <w:sz w:val="20"/>
                <w:szCs w:val="20"/>
              </w:rPr>
            </w:pPr>
          </w:p>
        </w:tc>
        <w:tc>
          <w:tcPr>
            <w:tcW w:w="1572" w:type="dxa"/>
            <w:tcBorders>
              <w:top w:val="nil"/>
              <w:left w:val="nil"/>
              <w:bottom w:val="nil"/>
              <w:right w:val="nil"/>
            </w:tcBorders>
            <w:shd w:val="clear" w:color="auto" w:fill="auto"/>
            <w:noWrap/>
            <w:vAlign w:val="bottom"/>
            <w:hideMark/>
          </w:tcPr>
          <w:p w:rsidR="00D51AB3" w:rsidRPr="00D51AB3" w:rsidRDefault="00D51AB3" w:rsidP="00F673BF">
            <w:pPr>
              <w:rPr>
                <w:rFonts w:cs="Calibri"/>
                <w:sz w:val="20"/>
                <w:szCs w:val="20"/>
              </w:rPr>
            </w:pPr>
          </w:p>
        </w:tc>
        <w:tc>
          <w:tcPr>
            <w:tcW w:w="1572" w:type="dxa"/>
            <w:tcBorders>
              <w:top w:val="nil"/>
              <w:left w:val="nil"/>
              <w:bottom w:val="nil"/>
              <w:right w:val="single" w:sz="8" w:space="0" w:color="auto"/>
            </w:tcBorders>
            <w:shd w:val="clear" w:color="auto" w:fill="auto"/>
            <w:noWrap/>
            <w:vAlign w:val="bottom"/>
            <w:hideMark/>
          </w:tcPr>
          <w:p w:rsidR="00D51AB3" w:rsidRPr="00D51AB3" w:rsidRDefault="00D51AB3" w:rsidP="00F673BF">
            <w:pPr>
              <w:rPr>
                <w:rFonts w:cs="Calibri"/>
                <w:sz w:val="20"/>
                <w:szCs w:val="20"/>
              </w:rPr>
            </w:pPr>
            <w:r w:rsidRPr="00D51AB3">
              <w:rPr>
                <w:rFonts w:cs="Calibri"/>
                <w:sz w:val="20"/>
                <w:szCs w:val="20"/>
              </w:rPr>
              <w:t> </w:t>
            </w:r>
          </w:p>
        </w:tc>
      </w:tr>
      <w:tr w:rsidR="00D51AB3" w:rsidRPr="005B18A4" w:rsidTr="00636751">
        <w:trPr>
          <w:trHeight w:val="300"/>
        </w:trPr>
        <w:tc>
          <w:tcPr>
            <w:tcW w:w="6088" w:type="dxa"/>
            <w:tcBorders>
              <w:top w:val="nil"/>
              <w:left w:val="single" w:sz="8" w:space="0" w:color="auto"/>
              <w:bottom w:val="nil"/>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 </w:t>
            </w:r>
          </w:p>
        </w:tc>
        <w:tc>
          <w:tcPr>
            <w:tcW w:w="1376"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u w:val="double"/>
              </w:rPr>
            </w:pPr>
            <w:r w:rsidRPr="00D51AB3">
              <w:rPr>
                <w:rFonts w:cs="Calibri"/>
                <w:sz w:val="20"/>
                <w:szCs w:val="20"/>
                <w:u w:val="double"/>
              </w:rPr>
              <w:t xml:space="preserve">$27,558 </w:t>
            </w:r>
          </w:p>
        </w:tc>
        <w:tc>
          <w:tcPr>
            <w:tcW w:w="1572" w:type="dxa"/>
            <w:tcBorders>
              <w:top w:val="nil"/>
              <w:left w:val="nil"/>
              <w:bottom w:val="nil"/>
              <w:right w:val="nil"/>
            </w:tcBorders>
            <w:shd w:val="clear" w:color="auto" w:fill="auto"/>
            <w:noWrap/>
            <w:vAlign w:val="bottom"/>
            <w:hideMark/>
          </w:tcPr>
          <w:p w:rsidR="00D51AB3" w:rsidRPr="00D51AB3" w:rsidRDefault="00D51AB3" w:rsidP="00F673BF">
            <w:pPr>
              <w:jc w:val="right"/>
              <w:rPr>
                <w:rFonts w:cs="Calibri"/>
                <w:sz w:val="20"/>
                <w:szCs w:val="20"/>
                <w:u w:val="double"/>
              </w:rPr>
            </w:pPr>
            <w:r w:rsidRPr="00D51AB3">
              <w:rPr>
                <w:rFonts w:cs="Calibri"/>
                <w:sz w:val="20"/>
                <w:szCs w:val="20"/>
                <w:u w:val="double"/>
              </w:rPr>
              <w:t xml:space="preserve">$18,135 </w:t>
            </w:r>
          </w:p>
        </w:tc>
        <w:tc>
          <w:tcPr>
            <w:tcW w:w="1572" w:type="dxa"/>
            <w:tcBorders>
              <w:top w:val="nil"/>
              <w:left w:val="nil"/>
              <w:bottom w:val="nil"/>
              <w:right w:val="single" w:sz="8" w:space="0" w:color="auto"/>
            </w:tcBorders>
            <w:shd w:val="clear" w:color="auto" w:fill="auto"/>
            <w:noWrap/>
            <w:vAlign w:val="bottom"/>
            <w:hideMark/>
          </w:tcPr>
          <w:p w:rsidR="00D51AB3" w:rsidRPr="00D51AB3" w:rsidRDefault="00D51AB3" w:rsidP="00F673BF">
            <w:pPr>
              <w:jc w:val="right"/>
              <w:rPr>
                <w:rFonts w:cs="Calibri"/>
                <w:sz w:val="20"/>
                <w:szCs w:val="20"/>
                <w:u w:val="double"/>
              </w:rPr>
            </w:pPr>
            <w:r w:rsidRPr="00D51AB3">
              <w:rPr>
                <w:rFonts w:cs="Calibri"/>
                <w:sz w:val="20"/>
                <w:szCs w:val="20"/>
                <w:u w:val="double"/>
              </w:rPr>
              <w:t xml:space="preserve">$45,693 </w:t>
            </w:r>
          </w:p>
        </w:tc>
      </w:tr>
      <w:tr w:rsidR="00D51AB3" w:rsidRPr="005B18A4" w:rsidTr="00636751">
        <w:trPr>
          <w:trHeight w:val="312"/>
        </w:trPr>
        <w:tc>
          <w:tcPr>
            <w:tcW w:w="6088" w:type="dxa"/>
            <w:tcBorders>
              <w:top w:val="nil"/>
              <w:left w:val="single" w:sz="8" w:space="0" w:color="auto"/>
              <w:bottom w:val="single" w:sz="8" w:space="0" w:color="auto"/>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 </w:t>
            </w:r>
          </w:p>
        </w:tc>
        <w:tc>
          <w:tcPr>
            <w:tcW w:w="1376" w:type="dxa"/>
            <w:tcBorders>
              <w:top w:val="nil"/>
              <w:left w:val="nil"/>
              <w:bottom w:val="single" w:sz="8" w:space="0" w:color="auto"/>
              <w:right w:val="nil"/>
            </w:tcBorders>
            <w:shd w:val="clear" w:color="auto" w:fill="auto"/>
            <w:noWrap/>
            <w:vAlign w:val="bottom"/>
            <w:hideMark/>
          </w:tcPr>
          <w:p w:rsidR="00D51AB3" w:rsidRPr="00D51AB3" w:rsidRDefault="00D51AB3" w:rsidP="00F673BF">
            <w:pPr>
              <w:rPr>
                <w:rFonts w:cs="Calibri"/>
                <w:color w:val="000000"/>
                <w:sz w:val="20"/>
                <w:szCs w:val="20"/>
              </w:rPr>
            </w:pPr>
            <w:r w:rsidRPr="00D51AB3">
              <w:rPr>
                <w:rFonts w:cs="Calibri"/>
                <w:color w:val="000000"/>
                <w:sz w:val="20"/>
                <w:szCs w:val="20"/>
              </w:rPr>
              <w:t> </w:t>
            </w:r>
          </w:p>
        </w:tc>
        <w:tc>
          <w:tcPr>
            <w:tcW w:w="1572" w:type="dxa"/>
            <w:tcBorders>
              <w:top w:val="nil"/>
              <w:left w:val="nil"/>
              <w:bottom w:val="single" w:sz="8" w:space="0" w:color="auto"/>
              <w:right w:val="nil"/>
            </w:tcBorders>
            <w:shd w:val="clear" w:color="auto" w:fill="auto"/>
            <w:noWrap/>
            <w:vAlign w:val="bottom"/>
            <w:hideMark/>
          </w:tcPr>
          <w:p w:rsidR="00D51AB3" w:rsidRPr="00D51AB3" w:rsidRDefault="00D51AB3" w:rsidP="00F673BF">
            <w:pPr>
              <w:rPr>
                <w:rFonts w:cs="Calibri"/>
                <w:sz w:val="20"/>
                <w:szCs w:val="20"/>
              </w:rPr>
            </w:pPr>
            <w:r w:rsidRPr="00D51AB3">
              <w:rPr>
                <w:rFonts w:cs="Calibri"/>
                <w:sz w:val="20"/>
                <w:szCs w:val="20"/>
              </w:rPr>
              <w:t> </w:t>
            </w:r>
          </w:p>
        </w:tc>
        <w:tc>
          <w:tcPr>
            <w:tcW w:w="1572" w:type="dxa"/>
            <w:tcBorders>
              <w:top w:val="nil"/>
              <w:left w:val="nil"/>
              <w:bottom w:val="single" w:sz="8" w:space="0" w:color="auto"/>
              <w:right w:val="single" w:sz="8" w:space="0" w:color="auto"/>
            </w:tcBorders>
            <w:shd w:val="clear" w:color="auto" w:fill="auto"/>
            <w:noWrap/>
            <w:vAlign w:val="bottom"/>
            <w:hideMark/>
          </w:tcPr>
          <w:p w:rsidR="00D51AB3" w:rsidRPr="00D51AB3" w:rsidRDefault="00D51AB3" w:rsidP="00F673BF">
            <w:pPr>
              <w:rPr>
                <w:rFonts w:cs="Calibri"/>
                <w:sz w:val="20"/>
                <w:szCs w:val="20"/>
              </w:rPr>
            </w:pPr>
            <w:r w:rsidRPr="00D51AB3">
              <w:rPr>
                <w:rFonts w:cs="Calibri"/>
                <w:sz w:val="20"/>
                <w:szCs w:val="20"/>
              </w:rPr>
              <w:t> </w:t>
            </w:r>
          </w:p>
        </w:tc>
      </w:tr>
    </w:tbl>
    <w:p w:rsidR="00D51AB3" w:rsidRDefault="00D51AB3" w:rsidP="00B22AD8">
      <w:pPr>
        <w:spacing w:after="240"/>
        <w:jc w:val="both"/>
        <w:sectPr w:rsidR="00D51AB3" w:rsidSect="00445218">
          <w:headerReference w:type="first" r:id="rId21"/>
          <w:pgSz w:w="12240" w:h="15840" w:code="1"/>
          <w:pgMar w:top="1440" w:right="1440" w:bottom="1440" w:left="1440" w:header="720" w:footer="720" w:gutter="0"/>
          <w:cols w:space="720"/>
          <w:titlePg/>
          <w:docGrid w:linePitch="360"/>
        </w:sectPr>
      </w:pPr>
    </w:p>
    <w:p w:rsidR="00D51AB3" w:rsidRDefault="00D51AB3" w:rsidP="00B22AD8">
      <w:pPr>
        <w:spacing w:after="240"/>
        <w:jc w:val="both"/>
      </w:pPr>
    </w:p>
    <w:p w:rsidR="00D51AB3" w:rsidRDefault="00D51AB3" w:rsidP="00B22AD8">
      <w:pPr>
        <w:spacing w:after="240"/>
        <w:jc w:val="both"/>
        <w:rPr>
          <w:noProof/>
        </w:rPr>
      </w:pPr>
    </w:p>
    <w:p w:rsidR="00286B5B" w:rsidRDefault="00286B5B" w:rsidP="00B22AD8">
      <w:pPr>
        <w:spacing w:after="240"/>
        <w:jc w:val="both"/>
        <w:rPr>
          <w:noProof/>
        </w:rPr>
        <w:sectPr w:rsidR="00286B5B" w:rsidSect="00445218">
          <w:headerReference w:type="first" r:id="rId22"/>
          <w:pgSz w:w="12240" w:h="15840" w:code="1"/>
          <w:pgMar w:top="1440" w:right="1440" w:bottom="1440" w:left="1440" w:header="720" w:footer="720" w:gutter="0"/>
          <w:cols w:space="720"/>
          <w:titlePg/>
          <w:docGrid w:linePitch="360"/>
        </w:sectPr>
      </w:pPr>
      <w:r w:rsidRPr="00286B5B">
        <w:rPr>
          <w:noProof/>
        </w:rPr>
        <w:drawing>
          <wp:inline distT="0" distB="0" distL="0" distR="0" wp14:anchorId="2F08BCFA" wp14:editId="7D4685D7">
            <wp:extent cx="5943600" cy="460665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4606653"/>
                    </a:xfrm>
                    <a:prstGeom prst="rect">
                      <a:avLst/>
                    </a:prstGeom>
                    <a:noFill/>
                    <a:ln>
                      <a:noFill/>
                    </a:ln>
                  </pic:spPr>
                </pic:pic>
              </a:graphicData>
            </a:graphic>
          </wp:inline>
        </w:drawing>
      </w:r>
    </w:p>
    <w:p w:rsidR="00D51AB3" w:rsidRDefault="00D51AB3" w:rsidP="00B22AD8">
      <w:pPr>
        <w:spacing w:after="240"/>
        <w:jc w:val="both"/>
      </w:pPr>
    </w:p>
    <w:p w:rsidR="00D51AB3" w:rsidRDefault="00D51AB3" w:rsidP="00B22AD8">
      <w:pPr>
        <w:spacing w:after="240"/>
        <w:jc w:val="both"/>
        <w:rPr>
          <w:noProof/>
        </w:rPr>
      </w:pPr>
    </w:p>
    <w:p w:rsidR="00286B5B" w:rsidRDefault="00286B5B" w:rsidP="00B22AD8">
      <w:pPr>
        <w:spacing w:after="240"/>
        <w:jc w:val="both"/>
        <w:rPr>
          <w:noProof/>
        </w:rPr>
        <w:sectPr w:rsidR="00286B5B" w:rsidSect="00445218">
          <w:headerReference w:type="first" r:id="rId24"/>
          <w:pgSz w:w="12240" w:h="15840" w:code="1"/>
          <w:pgMar w:top="1440" w:right="1440" w:bottom="1440" w:left="1440" w:header="720" w:footer="720" w:gutter="0"/>
          <w:cols w:space="720"/>
          <w:titlePg/>
          <w:docGrid w:linePitch="360"/>
        </w:sectPr>
      </w:pPr>
      <w:r w:rsidRPr="00286B5B">
        <w:rPr>
          <w:noProof/>
        </w:rPr>
        <w:drawing>
          <wp:inline distT="0" distB="0" distL="0" distR="0" wp14:anchorId="08931C38" wp14:editId="0EAE4399">
            <wp:extent cx="5943600" cy="523153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5231531"/>
                    </a:xfrm>
                    <a:prstGeom prst="rect">
                      <a:avLst/>
                    </a:prstGeom>
                    <a:noFill/>
                    <a:ln>
                      <a:noFill/>
                    </a:ln>
                  </pic:spPr>
                </pic:pic>
              </a:graphicData>
            </a:graphic>
          </wp:inline>
        </w:drawing>
      </w:r>
    </w:p>
    <w:p w:rsidR="00D51AB3" w:rsidRDefault="00D51AB3" w:rsidP="00B22AD8">
      <w:pPr>
        <w:spacing w:after="240"/>
        <w:jc w:val="both"/>
      </w:pPr>
    </w:p>
    <w:tbl>
      <w:tblPr>
        <w:tblW w:w="9465" w:type="dxa"/>
        <w:tblInd w:w="93" w:type="dxa"/>
        <w:tblLook w:val="04A0" w:firstRow="1" w:lastRow="0" w:firstColumn="1" w:lastColumn="0" w:noHBand="0" w:noVBand="1"/>
      </w:tblPr>
      <w:tblGrid>
        <w:gridCol w:w="833"/>
        <w:gridCol w:w="1162"/>
        <w:gridCol w:w="4585"/>
        <w:gridCol w:w="95"/>
        <w:gridCol w:w="1080"/>
        <w:gridCol w:w="1710"/>
      </w:tblGrid>
      <w:tr w:rsidR="00D51AB3" w:rsidRPr="005D2577" w:rsidTr="00F673BF">
        <w:trPr>
          <w:trHeight w:val="300"/>
        </w:trPr>
        <w:tc>
          <w:tcPr>
            <w:tcW w:w="6580" w:type="dxa"/>
            <w:gridSpan w:val="3"/>
            <w:tcBorders>
              <w:top w:val="single" w:sz="4" w:space="0" w:color="auto"/>
              <w:left w:val="single" w:sz="4" w:space="0" w:color="auto"/>
              <w:bottom w:val="nil"/>
              <w:right w:val="nil"/>
            </w:tcBorders>
            <w:shd w:val="clear" w:color="auto" w:fill="auto"/>
            <w:noWrap/>
            <w:vAlign w:val="bottom"/>
            <w:hideMark/>
          </w:tcPr>
          <w:p w:rsidR="00D51AB3" w:rsidRPr="005D2577" w:rsidRDefault="00D51AB3" w:rsidP="00F673BF">
            <w:pPr>
              <w:rPr>
                <w:b/>
                <w:bCs/>
                <w:color w:val="000000"/>
                <w:sz w:val="20"/>
                <w:szCs w:val="20"/>
              </w:rPr>
            </w:pPr>
            <w:r>
              <w:rPr>
                <w:b/>
                <w:bCs/>
                <w:color w:val="000000"/>
                <w:sz w:val="20"/>
                <w:szCs w:val="20"/>
              </w:rPr>
              <w:t>FIMC HIDEAWAY, INC.</w:t>
            </w:r>
          </w:p>
        </w:tc>
        <w:tc>
          <w:tcPr>
            <w:tcW w:w="2885" w:type="dxa"/>
            <w:gridSpan w:val="3"/>
            <w:tcBorders>
              <w:top w:val="single" w:sz="4" w:space="0" w:color="auto"/>
              <w:left w:val="nil"/>
              <w:bottom w:val="nil"/>
              <w:right w:val="single" w:sz="4" w:space="0" w:color="000000"/>
            </w:tcBorders>
            <w:shd w:val="clear" w:color="auto" w:fill="auto"/>
            <w:noWrap/>
            <w:vAlign w:val="bottom"/>
            <w:hideMark/>
          </w:tcPr>
          <w:p w:rsidR="00D51AB3" w:rsidRPr="005D2577" w:rsidRDefault="00D51AB3" w:rsidP="00F673BF">
            <w:pPr>
              <w:jc w:val="right"/>
              <w:rPr>
                <w:b/>
                <w:bCs/>
                <w:color w:val="000000"/>
                <w:sz w:val="20"/>
                <w:szCs w:val="20"/>
              </w:rPr>
            </w:pPr>
            <w:r>
              <w:rPr>
                <w:b/>
                <w:bCs/>
                <w:color w:val="000000"/>
                <w:sz w:val="20"/>
                <w:szCs w:val="20"/>
              </w:rPr>
              <w:t>SCHEDULE NO. 5-A</w:t>
            </w:r>
          </w:p>
        </w:tc>
      </w:tr>
      <w:tr w:rsidR="00D51AB3" w:rsidRPr="005D2577" w:rsidTr="00F673BF">
        <w:trPr>
          <w:trHeight w:val="300"/>
        </w:trPr>
        <w:tc>
          <w:tcPr>
            <w:tcW w:w="6580" w:type="dxa"/>
            <w:gridSpan w:val="3"/>
            <w:tcBorders>
              <w:top w:val="nil"/>
              <w:left w:val="single" w:sz="4" w:space="0" w:color="auto"/>
              <w:bottom w:val="nil"/>
              <w:right w:val="nil"/>
            </w:tcBorders>
            <w:shd w:val="clear" w:color="auto" w:fill="auto"/>
            <w:noWrap/>
            <w:vAlign w:val="bottom"/>
            <w:hideMark/>
          </w:tcPr>
          <w:p w:rsidR="00D51AB3" w:rsidRPr="005D2577" w:rsidRDefault="00D51AB3" w:rsidP="00F673BF">
            <w:pPr>
              <w:rPr>
                <w:b/>
                <w:bCs/>
                <w:color w:val="000000"/>
                <w:sz w:val="20"/>
                <w:szCs w:val="20"/>
              </w:rPr>
            </w:pPr>
            <w:r w:rsidRPr="005D2577">
              <w:rPr>
                <w:b/>
                <w:bCs/>
                <w:color w:val="000000"/>
                <w:sz w:val="20"/>
                <w:szCs w:val="20"/>
              </w:rPr>
              <w:t xml:space="preserve">TEST YEAR ENDED </w:t>
            </w:r>
            <w:r>
              <w:rPr>
                <w:b/>
                <w:bCs/>
                <w:color w:val="000000"/>
                <w:sz w:val="20"/>
                <w:szCs w:val="20"/>
              </w:rPr>
              <w:t xml:space="preserve">June </w:t>
            </w:r>
            <w:r w:rsidRPr="005D2577">
              <w:rPr>
                <w:b/>
                <w:bCs/>
                <w:color w:val="000000"/>
                <w:sz w:val="20"/>
                <w:szCs w:val="20"/>
              </w:rPr>
              <w:t>30</w:t>
            </w:r>
            <w:r>
              <w:rPr>
                <w:b/>
                <w:bCs/>
                <w:color w:val="000000"/>
                <w:sz w:val="20"/>
                <w:szCs w:val="20"/>
              </w:rPr>
              <w:t xml:space="preserve">, </w:t>
            </w:r>
            <w:r w:rsidRPr="005D2577">
              <w:rPr>
                <w:b/>
                <w:bCs/>
                <w:color w:val="000000"/>
                <w:sz w:val="20"/>
                <w:szCs w:val="20"/>
              </w:rPr>
              <w:t>201</w:t>
            </w:r>
            <w:r>
              <w:rPr>
                <w:b/>
                <w:bCs/>
                <w:color w:val="000000"/>
                <w:sz w:val="20"/>
                <w:szCs w:val="20"/>
              </w:rPr>
              <w:t>7</w:t>
            </w:r>
          </w:p>
        </w:tc>
        <w:tc>
          <w:tcPr>
            <w:tcW w:w="2885" w:type="dxa"/>
            <w:gridSpan w:val="3"/>
            <w:tcBorders>
              <w:top w:val="nil"/>
              <w:left w:val="nil"/>
              <w:bottom w:val="nil"/>
              <w:right w:val="single" w:sz="4" w:space="0" w:color="000000"/>
            </w:tcBorders>
            <w:shd w:val="clear" w:color="auto" w:fill="auto"/>
            <w:noWrap/>
            <w:vAlign w:val="bottom"/>
            <w:hideMark/>
          </w:tcPr>
          <w:p w:rsidR="00D51AB3" w:rsidRPr="005D2577" w:rsidRDefault="00D51AB3" w:rsidP="00F673BF">
            <w:pPr>
              <w:jc w:val="right"/>
              <w:rPr>
                <w:b/>
                <w:bCs/>
                <w:color w:val="000000"/>
                <w:sz w:val="20"/>
                <w:szCs w:val="20"/>
              </w:rPr>
            </w:pPr>
            <w:r w:rsidRPr="005D2577">
              <w:rPr>
                <w:b/>
                <w:bCs/>
                <w:color w:val="000000"/>
                <w:sz w:val="20"/>
                <w:szCs w:val="20"/>
              </w:rPr>
              <w:t xml:space="preserve">DOCKET NO. </w:t>
            </w:r>
            <w:r>
              <w:rPr>
                <w:b/>
                <w:bCs/>
                <w:color w:val="000000"/>
                <w:sz w:val="20"/>
                <w:szCs w:val="20"/>
              </w:rPr>
              <w:t>20170147</w:t>
            </w:r>
            <w:r w:rsidRPr="005D2577">
              <w:rPr>
                <w:b/>
                <w:bCs/>
                <w:color w:val="000000"/>
                <w:sz w:val="20"/>
                <w:szCs w:val="20"/>
              </w:rPr>
              <w:t>-</w:t>
            </w:r>
            <w:r>
              <w:rPr>
                <w:b/>
                <w:bCs/>
                <w:color w:val="000000"/>
                <w:sz w:val="20"/>
                <w:szCs w:val="20"/>
              </w:rPr>
              <w:t>WS</w:t>
            </w:r>
          </w:p>
        </w:tc>
      </w:tr>
      <w:tr w:rsidR="00D51AB3" w:rsidRPr="005D2577" w:rsidTr="00F673BF">
        <w:trPr>
          <w:trHeight w:val="300"/>
        </w:trPr>
        <w:tc>
          <w:tcPr>
            <w:tcW w:w="9465" w:type="dxa"/>
            <w:gridSpan w:val="6"/>
            <w:tcBorders>
              <w:top w:val="nil"/>
              <w:left w:val="single" w:sz="4" w:space="0" w:color="auto"/>
              <w:bottom w:val="single" w:sz="4" w:space="0" w:color="auto"/>
              <w:right w:val="single" w:sz="4" w:space="0" w:color="000000"/>
            </w:tcBorders>
            <w:shd w:val="clear" w:color="auto" w:fill="auto"/>
            <w:noWrap/>
            <w:vAlign w:val="bottom"/>
            <w:hideMark/>
          </w:tcPr>
          <w:p w:rsidR="00D51AB3" w:rsidRPr="005D2577" w:rsidRDefault="00D51AB3" w:rsidP="00F673BF">
            <w:pPr>
              <w:rPr>
                <w:b/>
                <w:bCs/>
                <w:color w:val="000000"/>
                <w:sz w:val="20"/>
                <w:szCs w:val="20"/>
              </w:rPr>
            </w:pPr>
            <w:r w:rsidRPr="005D2577">
              <w:rPr>
                <w:b/>
                <w:bCs/>
                <w:color w:val="000000"/>
                <w:sz w:val="20"/>
                <w:szCs w:val="20"/>
              </w:rPr>
              <w:t>SCHEDULE OF WATER PLANT, DEPRECIATION, CIAC, &amp; CIAC AMORT</w:t>
            </w:r>
            <w:r>
              <w:rPr>
                <w:b/>
                <w:bCs/>
                <w:color w:val="000000"/>
                <w:sz w:val="20"/>
                <w:szCs w:val="20"/>
              </w:rPr>
              <w:t>.</w:t>
            </w:r>
            <w:r w:rsidRPr="005D2577">
              <w:rPr>
                <w:b/>
                <w:bCs/>
                <w:color w:val="000000"/>
                <w:sz w:val="20"/>
                <w:szCs w:val="20"/>
              </w:rPr>
              <w:t xml:space="preserve"> BALANCES</w:t>
            </w:r>
          </w:p>
        </w:tc>
      </w:tr>
      <w:tr w:rsidR="00D51AB3" w:rsidRPr="005D2577" w:rsidTr="00F673BF">
        <w:trPr>
          <w:trHeight w:val="1020"/>
        </w:trPr>
        <w:tc>
          <w:tcPr>
            <w:tcW w:w="833" w:type="dxa"/>
            <w:tcBorders>
              <w:top w:val="nil"/>
              <w:left w:val="single" w:sz="4" w:space="0" w:color="auto"/>
              <w:bottom w:val="single" w:sz="4" w:space="0" w:color="auto"/>
              <w:right w:val="nil"/>
            </w:tcBorders>
            <w:shd w:val="clear" w:color="auto" w:fill="auto"/>
            <w:vAlign w:val="bottom"/>
            <w:hideMark/>
          </w:tcPr>
          <w:p w:rsidR="00D51AB3" w:rsidRPr="005D2577" w:rsidRDefault="00D51AB3" w:rsidP="00F673BF">
            <w:pPr>
              <w:jc w:val="center"/>
              <w:rPr>
                <w:b/>
                <w:bCs/>
                <w:sz w:val="20"/>
                <w:szCs w:val="20"/>
              </w:rPr>
            </w:pPr>
            <w:r w:rsidRPr="005D2577">
              <w:rPr>
                <w:b/>
                <w:bCs/>
                <w:sz w:val="20"/>
                <w:szCs w:val="20"/>
              </w:rPr>
              <w:t>ACCT. NO.</w:t>
            </w:r>
          </w:p>
        </w:tc>
        <w:tc>
          <w:tcPr>
            <w:tcW w:w="1162" w:type="dxa"/>
            <w:tcBorders>
              <w:top w:val="nil"/>
              <w:left w:val="nil"/>
              <w:bottom w:val="single" w:sz="4" w:space="0" w:color="auto"/>
              <w:right w:val="nil"/>
            </w:tcBorders>
            <w:shd w:val="clear" w:color="auto" w:fill="auto"/>
            <w:vAlign w:val="bottom"/>
            <w:hideMark/>
          </w:tcPr>
          <w:p w:rsidR="00D51AB3" w:rsidRPr="005D2577" w:rsidRDefault="00D51AB3" w:rsidP="00F673BF">
            <w:pPr>
              <w:jc w:val="center"/>
              <w:rPr>
                <w:b/>
                <w:bCs/>
                <w:sz w:val="20"/>
                <w:szCs w:val="20"/>
              </w:rPr>
            </w:pPr>
            <w:r w:rsidRPr="005D2577">
              <w:rPr>
                <w:b/>
                <w:bCs/>
                <w:sz w:val="20"/>
                <w:szCs w:val="20"/>
              </w:rPr>
              <w:t>DEPR. RATE PER RULE         25-30.140</w:t>
            </w:r>
          </w:p>
        </w:tc>
        <w:tc>
          <w:tcPr>
            <w:tcW w:w="4680" w:type="dxa"/>
            <w:gridSpan w:val="2"/>
            <w:tcBorders>
              <w:top w:val="nil"/>
              <w:left w:val="nil"/>
              <w:bottom w:val="single" w:sz="4" w:space="0" w:color="auto"/>
              <w:right w:val="nil"/>
            </w:tcBorders>
            <w:shd w:val="clear" w:color="auto" w:fill="auto"/>
            <w:vAlign w:val="bottom"/>
            <w:hideMark/>
          </w:tcPr>
          <w:p w:rsidR="00D51AB3" w:rsidRPr="005D2577" w:rsidRDefault="00D51AB3" w:rsidP="00F673BF">
            <w:pPr>
              <w:jc w:val="center"/>
              <w:rPr>
                <w:b/>
                <w:bCs/>
                <w:sz w:val="20"/>
                <w:szCs w:val="20"/>
              </w:rPr>
            </w:pPr>
            <w:r w:rsidRPr="005D2577">
              <w:rPr>
                <w:b/>
                <w:bCs/>
                <w:sz w:val="20"/>
                <w:szCs w:val="20"/>
              </w:rPr>
              <w:t>DESCRIPTION</w:t>
            </w:r>
          </w:p>
        </w:tc>
        <w:tc>
          <w:tcPr>
            <w:tcW w:w="1080" w:type="dxa"/>
            <w:tcBorders>
              <w:top w:val="nil"/>
              <w:left w:val="nil"/>
              <w:bottom w:val="single" w:sz="4" w:space="0" w:color="auto"/>
              <w:right w:val="nil"/>
            </w:tcBorders>
            <w:shd w:val="clear" w:color="auto" w:fill="auto"/>
            <w:vAlign w:val="bottom"/>
            <w:hideMark/>
          </w:tcPr>
          <w:p w:rsidR="00D51AB3" w:rsidRPr="00B453A8" w:rsidRDefault="00D51AB3" w:rsidP="00F673BF">
            <w:pPr>
              <w:jc w:val="center"/>
              <w:rPr>
                <w:b/>
                <w:bCs/>
                <w:sz w:val="20"/>
                <w:szCs w:val="20"/>
              </w:rPr>
            </w:pPr>
            <w:r w:rsidRPr="00B453A8">
              <w:rPr>
                <w:b/>
                <w:bCs/>
                <w:sz w:val="20"/>
                <w:szCs w:val="20"/>
              </w:rPr>
              <w:t>UPIS 6/30/2017 (DEBIT)</w:t>
            </w:r>
          </w:p>
        </w:tc>
        <w:tc>
          <w:tcPr>
            <w:tcW w:w="1710" w:type="dxa"/>
            <w:tcBorders>
              <w:top w:val="nil"/>
              <w:left w:val="nil"/>
              <w:bottom w:val="single" w:sz="4" w:space="0" w:color="auto"/>
              <w:right w:val="single" w:sz="4" w:space="0" w:color="auto"/>
            </w:tcBorders>
            <w:shd w:val="clear" w:color="auto" w:fill="auto"/>
            <w:vAlign w:val="bottom"/>
            <w:hideMark/>
          </w:tcPr>
          <w:p w:rsidR="00D51AB3" w:rsidRPr="00B453A8" w:rsidRDefault="00D51AB3" w:rsidP="00F673BF">
            <w:pPr>
              <w:jc w:val="center"/>
              <w:rPr>
                <w:b/>
                <w:bCs/>
                <w:sz w:val="20"/>
                <w:szCs w:val="20"/>
              </w:rPr>
            </w:pPr>
            <w:r w:rsidRPr="00B453A8">
              <w:rPr>
                <w:b/>
                <w:bCs/>
                <w:sz w:val="20"/>
                <w:szCs w:val="20"/>
              </w:rPr>
              <w:t>ACCUM. DEPR. 6/30/2017 (CREDIT)</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3C1287" w:rsidRDefault="00D51AB3" w:rsidP="00F673BF">
            <w:pPr>
              <w:jc w:val="center"/>
              <w:rPr>
                <w:sz w:val="20"/>
                <w:szCs w:val="20"/>
              </w:rPr>
            </w:pPr>
            <w:r w:rsidRPr="003C1287">
              <w:rPr>
                <w:sz w:val="20"/>
                <w:szCs w:val="20"/>
              </w:rPr>
              <w:t>301</w:t>
            </w:r>
          </w:p>
        </w:tc>
        <w:tc>
          <w:tcPr>
            <w:tcW w:w="1162" w:type="dxa"/>
            <w:tcBorders>
              <w:top w:val="nil"/>
              <w:left w:val="nil"/>
              <w:bottom w:val="nil"/>
              <w:right w:val="nil"/>
            </w:tcBorders>
            <w:shd w:val="clear" w:color="auto" w:fill="auto"/>
            <w:noWrap/>
            <w:vAlign w:val="bottom"/>
            <w:hideMark/>
          </w:tcPr>
          <w:p w:rsidR="00D51AB3" w:rsidRPr="003C1287" w:rsidRDefault="00D51AB3" w:rsidP="00F673BF">
            <w:pPr>
              <w:jc w:val="center"/>
              <w:rPr>
                <w:sz w:val="20"/>
                <w:szCs w:val="20"/>
              </w:rPr>
            </w:pPr>
            <w:r w:rsidRPr="003C1287">
              <w:rPr>
                <w:sz w:val="20"/>
                <w:szCs w:val="20"/>
              </w:rPr>
              <w:t>2.50%</w:t>
            </w:r>
          </w:p>
        </w:tc>
        <w:tc>
          <w:tcPr>
            <w:tcW w:w="4680" w:type="dxa"/>
            <w:gridSpan w:val="2"/>
            <w:tcBorders>
              <w:top w:val="nil"/>
              <w:left w:val="nil"/>
              <w:bottom w:val="nil"/>
              <w:right w:val="nil"/>
            </w:tcBorders>
            <w:shd w:val="clear" w:color="auto" w:fill="auto"/>
            <w:noWrap/>
            <w:vAlign w:val="bottom"/>
            <w:hideMark/>
          </w:tcPr>
          <w:p w:rsidR="00D51AB3" w:rsidRPr="003C1287" w:rsidRDefault="00D51AB3" w:rsidP="00F673BF">
            <w:pPr>
              <w:rPr>
                <w:color w:val="000000"/>
                <w:sz w:val="20"/>
                <w:szCs w:val="20"/>
              </w:rPr>
            </w:pPr>
            <w:r w:rsidRPr="003C1287">
              <w:rPr>
                <w:color w:val="000000"/>
                <w:sz w:val="20"/>
                <w:szCs w:val="20"/>
              </w:rPr>
              <w:t>ORGANIZATION</w:t>
            </w:r>
          </w:p>
        </w:tc>
        <w:tc>
          <w:tcPr>
            <w:tcW w:w="1080" w:type="dxa"/>
            <w:tcBorders>
              <w:top w:val="nil"/>
              <w:left w:val="nil"/>
              <w:bottom w:val="nil"/>
              <w:right w:val="nil"/>
            </w:tcBorders>
            <w:shd w:val="clear" w:color="auto" w:fill="auto"/>
            <w:noWrap/>
            <w:vAlign w:val="bottom"/>
            <w:hideMark/>
          </w:tcPr>
          <w:p w:rsidR="00D51AB3" w:rsidRPr="003C1287" w:rsidRDefault="00D51AB3" w:rsidP="00F673BF">
            <w:pPr>
              <w:jc w:val="right"/>
              <w:rPr>
                <w:color w:val="000000"/>
                <w:sz w:val="20"/>
                <w:szCs w:val="20"/>
              </w:rPr>
            </w:pPr>
            <w:r w:rsidRPr="003C1287">
              <w:rPr>
                <w:color w:val="000000"/>
                <w:sz w:val="20"/>
                <w:szCs w:val="20"/>
              </w:rPr>
              <w:t>$3,345</w:t>
            </w:r>
          </w:p>
        </w:tc>
        <w:tc>
          <w:tcPr>
            <w:tcW w:w="1710" w:type="dxa"/>
            <w:tcBorders>
              <w:top w:val="nil"/>
              <w:left w:val="nil"/>
              <w:bottom w:val="nil"/>
              <w:right w:val="single" w:sz="4" w:space="0" w:color="auto"/>
            </w:tcBorders>
            <w:shd w:val="clear" w:color="auto" w:fill="auto"/>
            <w:vAlign w:val="bottom"/>
            <w:hideMark/>
          </w:tcPr>
          <w:p w:rsidR="00D51AB3" w:rsidRPr="003C1287" w:rsidRDefault="00D51AB3" w:rsidP="00F673BF">
            <w:pPr>
              <w:jc w:val="right"/>
              <w:rPr>
                <w:sz w:val="20"/>
                <w:szCs w:val="20"/>
              </w:rPr>
            </w:pPr>
            <w:r w:rsidRPr="003C1287">
              <w:rPr>
                <w:sz w:val="20"/>
                <w:szCs w:val="20"/>
              </w:rPr>
              <w:t>$3,105</w:t>
            </w:r>
          </w:p>
        </w:tc>
      </w:tr>
      <w:tr w:rsidR="00D51AB3" w:rsidRPr="00447365" w:rsidTr="00F673BF">
        <w:trPr>
          <w:trHeight w:val="300"/>
        </w:trPr>
        <w:tc>
          <w:tcPr>
            <w:tcW w:w="833" w:type="dxa"/>
            <w:tcBorders>
              <w:top w:val="nil"/>
              <w:left w:val="single" w:sz="4" w:space="0" w:color="auto"/>
              <w:bottom w:val="nil"/>
              <w:right w:val="nil"/>
            </w:tcBorders>
            <w:shd w:val="clear" w:color="auto" w:fill="auto"/>
            <w:noWrap/>
            <w:vAlign w:val="bottom"/>
          </w:tcPr>
          <w:p w:rsidR="00D51AB3" w:rsidRPr="003C1287" w:rsidRDefault="00D51AB3" w:rsidP="00F673BF">
            <w:pPr>
              <w:jc w:val="center"/>
              <w:rPr>
                <w:sz w:val="20"/>
                <w:szCs w:val="20"/>
              </w:rPr>
            </w:pPr>
            <w:r w:rsidRPr="003C1287">
              <w:rPr>
                <w:sz w:val="20"/>
                <w:szCs w:val="20"/>
              </w:rPr>
              <w:t>303</w:t>
            </w:r>
          </w:p>
        </w:tc>
        <w:tc>
          <w:tcPr>
            <w:tcW w:w="1162" w:type="dxa"/>
            <w:tcBorders>
              <w:top w:val="nil"/>
              <w:left w:val="nil"/>
              <w:bottom w:val="nil"/>
              <w:right w:val="nil"/>
            </w:tcBorders>
            <w:shd w:val="clear" w:color="auto" w:fill="auto"/>
            <w:noWrap/>
            <w:vAlign w:val="bottom"/>
          </w:tcPr>
          <w:p w:rsidR="00D51AB3" w:rsidRPr="003C1287" w:rsidRDefault="00D51AB3" w:rsidP="00F673BF">
            <w:pPr>
              <w:jc w:val="center"/>
              <w:rPr>
                <w:sz w:val="20"/>
                <w:szCs w:val="20"/>
              </w:rPr>
            </w:pPr>
            <w:r w:rsidRPr="003C1287">
              <w:rPr>
                <w:sz w:val="20"/>
                <w:szCs w:val="20"/>
              </w:rPr>
              <w:t>N/A</w:t>
            </w:r>
          </w:p>
        </w:tc>
        <w:tc>
          <w:tcPr>
            <w:tcW w:w="4680" w:type="dxa"/>
            <w:gridSpan w:val="2"/>
            <w:tcBorders>
              <w:top w:val="nil"/>
              <w:left w:val="nil"/>
              <w:bottom w:val="nil"/>
              <w:right w:val="nil"/>
            </w:tcBorders>
            <w:shd w:val="clear" w:color="auto" w:fill="auto"/>
            <w:noWrap/>
            <w:vAlign w:val="bottom"/>
          </w:tcPr>
          <w:p w:rsidR="00D51AB3" w:rsidRPr="003C1287" w:rsidRDefault="00D51AB3" w:rsidP="00F673BF">
            <w:pPr>
              <w:rPr>
                <w:color w:val="000000"/>
                <w:sz w:val="20"/>
                <w:szCs w:val="20"/>
              </w:rPr>
            </w:pPr>
            <w:r w:rsidRPr="003C1287">
              <w:rPr>
                <w:color w:val="000000"/>
                <w:sz w:val="20"/>
                <w:szCs w:val="20"/>
              </w:rPr>
              <w:t>LAND AND LAND RIGHTS</w:t>
            </w:r>
          </w:p>
        </w:tc>
        <w:tc>
          <w:tcPr>
            <w:tcW w:w="1080" w:type="dxa"/>
            <w:tcBorders>
              <w:top w:val="nil"/>
              <w:left w:val="nil"/>
              <w:bottom w:val="nil"/>
              <w:right w:val="nil"/>
            </w:tcBorders>
            <w:shd w:val="clear" w:color="auto" w:fill="auto"/>
            <w:noWrap/>
            <w:vAlign w:val="bottom"/>
          </w:tcPr>
          <w:p w:rsidR="00D51AB3" w:rsidRPr="003C1287" w:rsidRDefault="00D51AB3" w:rsidP="00F673BF">
            <w:pPr>
              <w:jc w:val="right"/>
              <w:rPr>
                <w:color w:val="000000"/>
                <w:sz w:val="20"/>
                <w:szCs w:val="20"/>
              </w:rPr>
            </w:pPr>
            <w:r w:rsidRPr="003C1287">
              <w:rPr>
                <w:color w:val="000000"/>
                <w:sz w:val="20"/>
                <w:szCs w:val="20"/>
              </w:rPr>
              <w:t>12,000</w:t>
            </w:r>
          </w:p>
        </w:tc>
        <w:tc>
          <w:tcPr>
            <w:tcW w:w="1710" w:type="dxa"/>
            <w:tcBorders>
              <w:top w:val="nil"/>
              <w:left w:val="nil"/>
              <w:bottom w:val="nil"/>
              <w:right w:val="single" w:sz="4" w:space="0" w:color="auto"/>
            </w:tcBorders>
            <w:shd w:val="clear" w:color="auto" w:fill="auto"/>
            <w:vAlign w:val="bottom"/>
          </w:tcPr>
          <w:p w:rsidR="00D51AB3" w:rsidRPr="003C1287" w:rsidRDefault="00D51AB3" w:rsidP="00F673BF">
            <w:pPr>
              <w:jc w:val="right"/>
              <w:rPr>
                <w:sz w:val="20"/>
                <w:szCs w:val="20"/>
              </w:rPr>
            </w:pPr>
            <w:r w:rsidRPr="003C1287">
              <w:rPr>
                <w:sz w:val="20"/>
                <w:szCs w:val="20"/>
              </w:rPr>
              <w:t>N/A</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3C1287" w:rsidRDefault="00D51AB3" w:rsidP="00F673BF">
            <w:pPr>
              <w:jc w:val="center"/>
              <w:rPr>
                <w:sz w:val="20"/>
                <w:szCs w:val="20"/>
              </w:rPr>
            </w:pPr>
            <w:r w:rsidRPr="003C1287">
              <w:rPr>
                <w:sz w:val="20"/>
                <w:szCs w:val="20"/>
              </w:rPr>
              <w:t>304</w:t>
            </w:r>
          </w:p>
        </w:tc>
        <w:tc>
          <w:tcPr>
            <w:tcW w:w="1162" w:type="dxa"/>
            <w:tcBorders>
              <w:top w:val="nil"/>
              <w:left w:val="nil"/>
              <w:bottom w:val="nil"/>
              <w:right w:val="nil"/>
            </w:tcBorders>
            <w:shd w:val="clear" w:color="auto" w:fill="auto"/>
            <w:noWrap/>
            <w:vAlign w:val="bottom"/>
            <w:hideMark/>
          </w:tcPr>
          <w:p w:rsidR="00D51AB3" w:rsidRPr="003C1287" w:rsidRDefault="00D51AB3" w:rsidP="00F673BF">
            <w:pPr>
              <w:jc w:val="center"/>
              <w:rPr>
                <w:sz w:val="20"/>
                <w:szCs w:val="20"/>
              </w:rPr>
            </w:pPr>
            <w:r w:rsidRPr="003C1287">
              <w:rPr>
                <w:sz w:val="20"/>
                <w:szCs w:val="20"/>
              </w:rPr>
              <w:t>3.70%</w:t>
            </w:r>
          </w:p>
        </w:tc>
        <w:tc>
          <w:tcPr>
            <w:tcW w:w="4680" w:type="dxa"/>
            <w:gridSpan w:val="2"/>
            <w:tcBorders>
              <w:top w:val="nil"/>
              <w:left w:val="nil"/>
              <w:bottom w:val="nil"/>
              <w:right w:val="nil"/>
            </w:tcBorders>
            <w:shd w:val="clear" w:color="auto" w:fill="auto"/>
            <w:noWrap/>
            <w:vAlign w:val="bottom"/>
            <w:hideMark/>
          </w:tcPr>
          <w:p w:rsidR="00D51AB3" w:rsidRPr="003C1287" w:rsidRDefault="00D51AB3" w:rsidP="00F673BF">
            <w:pPr>
              <w:rPr>
                <w:color w:val="000000"/>
                <w:sz w:val="20"/>
                <w:szCs w:val="20"/>
              </w:rPr>
            </w:pPr>
            <w:r w:rsidRPr="003C1287">
              <w:rPr>
                <w:color w:val="000000"/>
                <w:sz w:val="20"/>
                <w:szCs w:val="20"/>
              </w:rPr>
              <w:t>STRUCTURES AND IMPROVEMENTS</w:t>
            </w:r>
          </w:p>
        </w:tc>
        <w:tc>
          <w:tcPr>
            <w:tcW w:w="1080" w:type="dxa"/>
            <w:tcBorders>
              <w:top w:val="nil"/>
              <w:left w:val="nil"/>
              <w:bottom w:val="nil"/>
              <w:right w:val="nil"/>
            </w:tcBorders>
            <w:shd w:val="clear" w:color="auto" w:fill="auto"/>
            <w:noWrap/>
            <w:vAlign w:val="bottom"/>
            <w:hideMark/>
          </w:tcPr>
          <w:p w:rsidR="00D51AB3" w:rsidRPr="003C1287" w:rsidRDefault="00D51AB3" w:rsidP="00F673BF">
            <w:pPr>
              <w:jc w:val="right"/>
              <w:rPr>
                <w:color w:val="000000"/>
                <w:sz w:val="20"/>
                <w:szCs w:val="20"/>
              </w:rPr>
            </w:pPr>
            <w:r w:rsidRPr="003C1287">
              <w:rPr>
                <w:color w:val="000000"/>
                <w:sz w:val="20"/>
                <w:szCs w:val="20"/>
              </w:rPr>
              <w:t>34,071</w:t>
            </w:r>
          </w:p>
        </w:tc>
        <w:tc>
          <w:tcPr>
            <w:tcW w:w="1710" w:type="dxa"/>
            <w:tcBorders>
              <w:top w:val="nil"/>
              <w:left w:val="nil"/>
              <w:bottom w:val="nil"/>
              <w:right w:val="single" w:sz="4" w:space="0" w:color="auto"/>
            </w:tcBorders>
            <w:shd w:val="clear" w:color="auto" w:fill="auto"/>
            <w:vAlign w:val="bottom"/>
            <w:hideMark/>
          </w:tcPr>
          <w:p w:rsidR="00D51AB3" w:rsidRPr="003C1287" w:rsidRDefault="00D51AB3" w:rsidP="00F673BF">
            <w:pPr>
              <w:jc w:val="right"/>
              <w:rPr>
                <w:sz w:val="20"/>
                <w:szCs w:val="20"/>
              </w:rPr>
            </w:pPr>
            <w:r w:rsidRPr="003C1287">
              <w:rPr>
                <w:sz w:val="20"/>
                <w:szCs w:val="20"/>
              </w:rPr>
              <w:t xml:space="preserve">34,071 </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3C1287" w:rsidRDefault="00D51AB3" w:rsidP="00F673BF">
            <w:pPr>
              <w:jc w:val="center"/>
              <w:rPr>
                <w:sz w:val="20"/>
                <w:szCs w:val="20"/>
              </w:rPr>
            </w:pPr>
            <w:r w:rsidRPr="003C1287">
              <w:rPr>
                <w:sz w:val="20"/>
                <w:szCs w:val="20"/>
              </w:rPr>
              <w:t>307</w:t>
            </w:r>
          </w:p>
        </w:tc>
        <w:tc>
          <w:tcPr>
            <w:tcW w:w="1162" w:type="dxa"/>
            <w:tcBorders>
              <w:top w:val="nil"/>
              <w:left w:val="nil"/>
              <w:bottom w:val="nil"/>
              <w:right w:val="nil"/>
            </w:tcBorders>
            <w:shd w:val="clear" w:color="auto" w:fill="auto"/>
            <w:noWrap/>
            <w:vAlign w:val="bottom"/>
            <w:hideMark/>
          </w:tcPr>
          <w:p w:rsidR="00D51AB3" w:rsidRPr="003C1287" w:rsidRDefault="00D51AB3" w:rsidP="00F673BF">
            <w:pPr>
              <w:jc w:val="center"/>
              <w:rPr>
                <w:sz w:val="20"/>
                <w:szCs w:val="20"/>
              </w:rPr>
            </w:pPr>
            <w:r w:rsidRPr="003C1287">
              <w:rPr>
                <w:sz w:val="20"/>
                <w:szCs w:val="20"/>
              </w:rPr>
              <w:t>3.70%</w:t>
            </w:r>
          </w:p>
        </w:tc>
        <w:tc>
          <w:tcPr>
            <w:tcW w:w="4680" w:type="dxa"/>
            <w:gridSpan w:val="2"/>
            <w:tcBorders>
              <w:top w:val="nil"/>
              <w:left w:val="nil"/>
              <w:bottom w:val="nil"/>
              <w:right w:val="nil"/>
            </w:tcBorders>
            <w:shd w:val="clear" w:color="auto" w:fill="auto"/>
            <w:noWrap/>
            <w:vAlign w:val="bottom"/>
            <w:hideMark/>
          </w:tcPr>
          <w:p w:rsidR="00D51AB3" w:rsidRPr="003C1287" w:rsidRDefault="00D51AB3" w:rsidP="00F673BF">
            <w:pPr>
              <w:rPr>
                <w:color w:val="000000"/>
                <w:sz w:val="20"/>
                <w:szCs w:val="20"/>
              </w:rPr>
            </w:pPr>
            <w:r w:rsidRPr="003C1287">
              <w:rPr>
                <w:color w:val="000000"/>
                <w:sz w:val="20"/>
                <w:szCs w:val="20"/>
              </w:rPr>
              <w:t>WELLS AND SPRINGS</w:t>
            </w:r>
          </w:p>
        </w:tc>
        <w:tc>
          <w:tcPr>
            <w:tcW w:w="1080" w:type="dxa"/>
            <w:tcBorders>
              <w:top w:val="nil"/>
              <w:left w:val="nil"/>
              <w:bottom w:val="nil"/>
              <w:right w:val="nil"/>
            </w:tcBorders>
            <w:shd w:val="clear" w:color="auto" w:fill="auto"/>
            <w:noWrap/>
            <w:vAlign w:val="bottom"/>
            <w:hideMark/>
          </w:tcPr>
          <w:p w:rsidR="00D51AB3" w:rsidRPr="003C1287" w:rsidRDefault="00D51AB3" w:rsidP="00F673BF">
            <w:pPr>
              <w:jc w:val="right"/>
              <w:rPr>
                <w:color w:val="000000"/>
                <w:sz w:val="20"/>
                <w:szCs w:val="20"/>
              </w:rPr>
            </w:pPr>
            <w:r w:rsidRPr="003C1287">
              <w:rPr>
                <w:color w:val="000000"/>
                <w:sz w:val="20"/>
                <w:szCs w:val="20"/>
              </w:rPr>
              <w:t>2,125</w:t>
            </w:r>
          </w:p>
        </w:tc>
        <w:tc>
          <w:tcPr>
            <w:tcW w:w="1710" w:type="dxa"/>
            <w:tcBorders>
              <w:top w:val="nil"/>
              <w:left w:val="nil"/>
              <w:bottom w:val="nil"/>
              <w:right w:val="single" w:sz="4" w:space="0" w:color="auto"/>
            </w:tcBorders>
            <w:shd w:val="clear" w:color="auto" w:fill="auto"/>
            <w:vAlign w:val="bottom"/>
            <w:hideMark/>
          </w:tcPr>
          <w:p w:rsidR="00D51AB3" w:rsidRPr="003C1287" w:rsidRDefault="00D51AB3" w:rsidP="00F673BF">
            <w:pPr>
              <w:jc w:val="right"/>
              <w:rPr>
                <w:sz w:val="20"/>
                <w:szCs w:val="20"/>
              </w:rPr>
            </w:pPr>
            <w:r w:rsidRPr="003C1287">
              <w:rPr>
                <w:sz w:val="20"/>
                <w:szCs w:val="20"/>
              </w:rPr>
              <w:t>838</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3C1287" w:rsidRDefault="00D51AB3" w:rsidP="00F673BF">
            <w:pPr>
              <w:jc w:val="center"/>
              <w:rPr>
                <w:sz w:val="20"/>
                <w:szCs w:val="20"/>
              </w:rPr>
            </w:pPr>
            <w:r w:rsidRPr="003C1287">
              <w:rPr>
                <w:sz w:val="20"/>
                <w:szCs w:val="20"/>
              </w:rPr>
              <w:t>311</w:t>
            </w:r>
          </w:p>
        </w:tc>
        <w:tc>
          <w:tcPr>
            <w:tcW w:w="1162" w:type="dxa"/>
            <w:tcBorders>
              <w:top w:val="nil"/>
              <w:left w:val="nil"/>
              <w:bottom w:val="nil"/>
              <w:right w:val="nil"/>
            </w:tcBorders>
            <w:shd w:val="clear" w:color="auto" w:fill="auto"/>
            <w:noWrap/>
            <w:vAlign w:val="bottom"/>
            <w:hideMark/>
          </w:tcPr>
          <w:p w:rsidR="00D51AB3" w:rsidRPr="003C1287" w:rsidRDefault="00D51AB3" w:rsidP="00F673BF">
            <w:pPr>
              <w:jc w:val="center"/>
              <w:rPr>
                <w:sz w:val="20"/>
                <w:szCs w:val="20"/>
              </w:rPr>
            </w:pPr>
            <w:r w:rsidRPr="003C1287">
              <w:rPr>
                <w:sz w:val="20"/>
                <w:szCs w:val="20"/>
              </w:rPr>
              <w:t>5.88%</w:t>
            </w:r>
          </w:p>
        </w:tc>
        <w:tc>
          <w:tcPr>
            <w:tcW w:w="4680" w:type="dxa"/>
            <w:gridSpan w:val="2"/>
            <w:tcBorders>
              <w:top w:val="nil"/>
              <w:left w:val="nil"/>
              <w:bottom w:val="nil"/>
              <w:right w:val="nil"/>
            </w:tcBorders>
            <w:shd w:val="clear" w:color="auto" w:fill="auto"/>
            <w:noWrap/>
            <w:vAlign w:val="bottom"/>
            <w:hideMark/>
          </w:tcPr>
          <w:p w:rsidR="00D51AB3" w:rsidRPr="003C1287" w:rsidRDefault="00D51AB3" w:rsidP="00F673BF">
            <w:pPr>
              <w:rPr>
                <w:color w:val="000000"/>
                <w:sz w:val="20"/>
                <w:szCs w:val="20"/>
              </w:rPr>
            </w:pPr>
            <w:r w:rsidRPr="003C1287">
              <w:rPr>
                <w:color w:val="000000"/>
                <w:sz w:val="20"/>
                <w:szCs w:val="20"/>
              </w:rPr>
              <w:t>PUMPING EQUIPMENT</w:t>
            </w:r>
          </w:p>
        </w:tc>
        <w:tc>
          <w:tcPr>
            <w:tcW w:w="1080" w:type="dxa"/>
            <w:tcBorders>
              <w:top w:val="nil"/>
              <w:left w:val="nil"/>
              <w:bottom w:val="nil"/>
              <w:right w:val="nil"/>
            </w:tcBorders>
            <w:shd w:val="clear" w:color="auto" w:fill="auto"/>
            <w:noWrap/>
            <w:vAlign w:val="bottom"/>
            <w:hideMark/>
          </w:tcPr>
          <w:p w:rsidR="00D51AB3" w:rsidRPr="003C1287" w:rsidRDefault="00D51AB3" w:rsidP="00F673BF">
            <w:pPr>
              <w:jc w:val="right"/>
              <w:rPr>
                <w:color w:val="000000"/>
                <w:sz w:val="20"/>
                <w:szCs w:val="20"/>
              </w:rPr>
            </w:pPr>
            <w:r w:rsidRPr="003C1287">
              <w:rPr>
                <w:color w:val="000000"/>
                <w:sz w:val="20"/>
                <w:szCs w:val="20"/>
              </w:rPr>
              <w:t>15,525</w:t>
            </w:r>
          </w:p>
        </w:tc>
        <w:tc>
          <w:tcPr>
            <w:tcW w:w="1710" w:type="dxa"/>
            <w:tcBorders>
              <w:top w:val="nil"/>
              <w:left w:val="nil"/>
              <w:bottom w:val="nil"/>
              <w:right w:val="single" w:sz="4" w:space="0" w:color="auto"/>
            </w:tcBorders>
            <w:shd w:val="clear" w:color="auto" w:fill="auto"/>
            <w:vAlign w:val="bottom"/>
            <w:hideMark/>
          </w:tcPr>
          <w:p w:rsidR="00D51AB3" w:rsidRPr="003C1287" w:rsidRDefault="00D51AB3" w:rsidP="00F673BF">
            <w:pPr>
              <w:jc w:val="right"/>
              <w:rPr>
                <w:sz w:val="20"/>
                <w:szCs w:val="20"/>
              </w:rPr>
            </w:pPr>
            <w:r w:rsidRPr="003C1287">
              <w:rPr>
                <w:sz w:val="20"/>
                <w:szCs w:val="20"/>
              </w:rPr>
              <w:t xml:space="preserve">15,525 </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3C1287" w:rsidRDefault="00D51AB3" w:rsidP="00F673BF">
            <w:pPr>
              <w:jc w:val="center"/>
              <w:rPr>
                <w:sz w:val="20"/>
                <w:szCs w:val="20"/>
              </w:rPr>
            </w:pPr>
            <w:r w:rsidRPr="003C1287">
              <w:rPr>
                <w:sz w:val="20"/>
                <w:szCs w:val="20"/>
              </w:rPr>
              <w:t>320</w:t>
            </w:r>
          </w:p>
        </w:tc>
        <w:tc>
          <w:tcPr>
            <w:tcW w:w="1162" w:type="dxa"/>
            <w:tcBorders>
              <w:top w:val="nil"/>
              <w:left w:val="nil"/>
              <w:bottom w:val="nil"/>
              <w:right w:val="nil"/>
            </w:tcBorders>
            <w:shd w:val="clear" w:color="auto" w:fill="auto"/>
            <w:noWrap/>
            <w:vAlign w:val="bottom"/>
            <w:hideMark/>
          </w:tcPr>
          <w:p w:rsidR="00D51AB3" w:rsidRPr="003C1287" w:rsidRDefault="00D51AB3" w:rsidP="00F673BF">
            <w:pPr>
              <w:jc w:val="center"/>
              <w:rPr>
                <w:sz w:val="20"/>
                <w:szCs w:val="20"/>
              </w:rPr>
            </w:pPr>
            <w:r w:rsidRPr="003C1287">
              <w:rPr>
                <w:sz w:val="20"/>
                <w:szCs w:val="20"/>
              </w:rPr>
              <w:t>5.88%</w:t>
            </w:r>
          </w:p>
        </w:tc>
        <w:tc>
          <w:tcPr>
            <w:tcW w:w="4680" w:type="dxa"/>
            <w:gridSpan w:val="2"/>
            <w:tcBorders>
              <w:top w:val="nil"/>
              <w:left w:val="nil"/>
              <w:bottom w:val="nil"/>
              <w:right w:val="nil"/>
            </w:tcBorders>
            <w:shd w:val="clear" w:color="auto" w:fill="auto"/>
            <w:noWrap/>
            <w:vAlign w:val="bottom"/>
            <w:hideMark/>
          </w:tcPr>
          <w:p w:rsidR="00D51AB3" w:rsidRPr="003C1287" w:rsidRDefault="00D51AB3" w:rsidP="00F673BF">
            <w:pPr>
              <w:rPr>
                <w:color w:val="000000"/>
                <w:sz w:val="20"/>
                <w:szCs w:val="20"/>
              </w:rPr>
            </w:pPr>
            <w:r w:rsidRPr="003C1287">
              <w:rPr>
                <w:color w:val="000000"/>
                <w:sz w:val="20"/>
                <w:szCs w:val="20"/>
              </w:rPr>
              <w:t>WATER TREATMENT EQUIPMENT</w:t>
            </w:r>
          </w:p>
        </w:tc>
        <w:tc>
          <w:tcPr>
            <w:tcW w:w="1080" w:type="dxa"/>
            <w:tcBorders>
              <w:top w:val="nil"/>
              <w:left w:val="nil"/>
              <w:bottom w:val="nil"/>
              <w:right w:val="nil"/>
            </w:tcBorders>
            <w:shd w:val="clear" w:color="auto" w:fill="auto"/>
            <w:noWrap/>
            <w:vAlign w:val="bottom"/>
            <w:hideMark/>
          </w:tcPr>
          <w:p w:rsidR="00D51AB3" w:rsidRPr="003C1287" w:rsidRDefault="00D51AB3" w:rsidP="00F673BF">
            <w:pPr>
              <w:jc w:val="right"/>
              <w:rPr>
                <w:color w:val="000000"/>
                <w:sz w:val="20"/>
                <w:szCs w:val="20"/>
              </w:rPr>
            </w:pPr>
            <w:r w:rsidRPr="003C1287">
              <w:rPr>
                <w:color w:val="000000"/>
                <w:sz w:val="20"/>
                <w:szCs w:val="20"/>
              </w:rPr>
              <w:t>2,575</w:t>
            </w:r>
          </w:p>
        </w:tc>
        <w:tc>
          <w:tcPr>
            <w:tcW w:w="1710" w:type="dxa"/>
            <w:tcBorders>
              <w:top w:val="nil"/>
              <w:left w:val="nil"/>
              <w:bottom w:val="nil"/>
              <w:right w:val="single" w:sz="4" w:space="0" w:color="auto"/>
            </w:tcBorders>
            <w:shd w:val="clear" w:color="auto" w:fill="auto"/>
            <w:vAlign w:val="bottom"/>
            <w:hideMark/>
          </w:tcPr>
          <w:p w:rsidR="00D51AB3" w:rsidRPr="003C1287" w:rsidRDefault="00D51AB3" w:rsidP="00F673BF">
            <w:pPr>
              <w:jc w:val="right"/>
              <w:rPr>
                <w:sz w:val="20"/>
                <w:szCs w:val="20"/>
              </w:rPr>
            </w:pPr>
            <w:r w:rsidRPr="003C1287">
              <w:rPr>
                <w:sz w:val="20"/>
                <w:szCs w:val="20"/>
              </w:rPr>
              <w:t>2,397</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3C1287" w:rsidRDefault="00D51AB3" w:rsidP="00F673BF">
            <w:pPr>
              <w:jc w:val="center"/>
              <w:rPr>
                <w:sz w:val="20"/>
                <w:szCs w:val="20"/>
              </w:rPr>
            </w:pPr>
            <w:r w:rsidRPr="003C1287">
              <w:rPr>
                <w:sz w:val="20"/>
                <w:szCs w:val="20"/>
              </w:rPr>
              <w:t>330</w:t>
            </w:r>
          </w:p>
        </w:tc>
        <w:tc>
          <w:tcPr>
            <w:tcW w:w="1162" w:type="dxa"/>
            <w:tcBorders>
              <w:top w:val="nil"/>
              <w:left w:val="nil"/>
              <w:bottom w:val="nil"/>
              <w:right w:val="nil"/>
            </w:tcBorders>
            <w:shd w:val="clear" w:color="auto" w:fill="auto"/>
            <w:noWrap/>
            <w:vAlign w:val="bottom"/>
            <w:hideMark/>
          </w:tcPr>
          <w:p w:rsidR="00D51AB3" w:rsidRPr="003C1287" w:rsidRDefault="00D51AB3" w:rsidP="00F673BF">
            <w:pPr>
              <w:jc w:val="center"/>
              <w:rPr>
                <w:sz w:val="20"/>
                <w:szCs w:val="20"/>
              </w:rPr>
            </w:pPr>
            <w:r w:rsidRPr="003C1287">
              <w:rPr>
                <w:sz w:val="20"/>
                <w:szCs w:val="20"/>
              </w:rPr>
              <w:t>3.03%</w:t>
            </w:r>
          </w:p>
        </w:tc>
        <w:tc>
          <w:tcPr>
            <w:tcW w:w="4680" w:type="dxa"/>
            <w:gridSpan w:val="2"/>
            <w:tcBorders>
              <w:top w:val="nil"/>
              <w:left w:val="nil"/>
              <w:bottom w:val="nil"/>
              <w:right w:val="nil"/>
            </w:tcBorders>
            <w:shd w:val="clear" w:color="auto" w:fill="auto"/>
            <w:noWrap/>
            <w:vAlign w:val="bottom"/>
            <w:hideMark/>
          </w:tcPr>
          <w:p w:rsidR="00D51AB3" w:rsidRPr="003C1287" w:rsidRDefault="00D51AB3" w:rsidP="00F673BF">
            <w:pPr>
              <w:rPr>
                <w:color w:val="000000"/>
                <w:sz w:val="20"/>
                <w:szCs w:val="20"/>
              </w:rPr>
            </w:pPr>
            <w:r w:rsidRPr="003C1287">
              <w:rPr>
                <w:color w:val="000000"/>
                <w:sz w:val="20"/>
                <w:szCs w:val="20"/>
              </w:rPr>
              <w:t>DISTRIBUTION RESERVOIRS</w:t>
            </w:r>
          </w:p>
        </w:tc>
        <w:tc>
          <w:tcPr>
            <w:tcW w:w="1080" w:type="dxa"/>
            <w:tcBorders>
              <w:top w:val="nil"/>
              <w:left w:val="nil"/>
              <w:bottom w:val="nil"/>
              <w:right w:val="nil"/>
            </w:tcBorders>
            <w:shd w:val="clear" w:color="auto" w:fill="auto"/>
            <w:noWrap/>
            <w:vAlign w:val="bottom"/>
            <w:hideMark/>
          </w:tcPr>
          <w:p w:rsidR="00D51AB3" w:rsidRPr="003C1287" w:rsidRDefault="00D51AB3" w:rsidP="00F673BF">
            <w:pPr>
              <w:jc w:val="right"/>
              <w:rPr>
                <w:color w:val="000000"/>
                <w:sz w:val="20"/>
                <w:szCs w:val="20"/>
              </w:rPr>
            </w:pPr>
            <w:r w:rsidRPr="003C1287">
              <w:rPr>
                <w:color w:val="000000"/>
                <w:sz w:val="20"/>
                <w:szCs w:val="20"/>
              </w:rPr>
              <w:t>28,076</w:t>
            </w:r>
          </w:p>
        </w:tc>
        <w:tc>
          <w:tcPr>
            <w:tcW w:w="1710" w:type="dxa"/>
            <w:tcBorders>
              <w:top w:val="nil"/>
              <w:left w:val="nil"/>
              <w:bottom w:val="nil"/>
              <w:right w:val="single" w:sz="4" w:space="0" w:color="auto"/>
            </w:tcBorders>
            <w:shd w:val="clear" w:color="auto" w:fill="auto"/>
            <w:vAlign w:val="bottom"/>
            <w:hideMark/>
          </w:tcPr>
          <w:p w:rsidR="00D51AB3" w:rsidRPr="003C1287" w:rsidRDefault="00D51AB3" w:rsidP="00F673BF">
            <w:pPr>
              <w:jc w:val="right"/>
              <w:rPr>
                <w:sz w:val="20"/>
                <w:szCs w:val="20"/>
              </w:rPr>
            </w:pPr>
            <w:r w:rsidRPr="003C1287">
              <w:rPr>
                <w:sz w:val="20"/>
                <w:szCs w:val="20"/>
              </w:rPr>
              <w:t>2,552</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3C1287" w:rsidRDefault="00D51AB3" w:rsidP="00F673BF">
            <w:pPr>
              <w:jc w:val="center"/>
              <w:rPr>
                <w:sz w:val="20"/>
                <w:szCs w:val="20"/>
              </w:rPr>
            </w:pPr>
            <w:r w:rsidRPr="003C1287">
              <w:rPr>
                <w:sz w:val="20"/>
                <w:szCs w:val="20"/>
              </w:rPr>
              <w:t>331</w:t>
            </w:r>
          </w:p>
        </w:tc>
        <w:tc>
          <w:tcPr>
            <w:tcW w:w="1162" w:type="dxa"/>
            <w:tcBorders>
              <w:top w:val="nil"/>
              <w:left w:val="nil"/>
              <w:bottom w:val="nil"/>
              <w:right w:val="nil"/>
            </w:tcBorders>
            <w:shd w:val="clear" w:color="auto" w:fill="auto"/>
            <w:noWrap/>
            <w:vAlign w:val="bottom"/>
            <w:hideMark/>
          </w:tcPr>
          <w:p w:rsidR="00D51AB3" w:rsidRPr="003C1287" w:rsidRDefault="00D51AB3" w:rsidP="00F673BF">
            <w:pPr>
              <w:jc w:val="center"/>
              <w:rPr>
                <w:sz w:val="20"/>
                <w:szCs w:val="20"/>
              </w:rPr>
            </w:pPr>
            <w:r w:rsidRPr="003C1287">
              <w:rPr>
                <w:sz w:val="20"/>
                <w:szCs w:val="20"/>
              </w:rPr>
              <w:t>2.63%</w:t>
            </w:r>
          </w:p>
        </w:tc>
        <w:tc>
          <w:tcPr>
            <w:tcW w:w="4680" w:type="dxa"/>
            <w:gridSpan w:val="2"/>
            <w:tcBorders>
              <w:top w:val="nil"/>
              <w:left w:val="nil"/>
              <w:bottom w:val="nil"/>
              <w:right w:val="nil"/>
            </w:tcBorders>
            <w:shd w:val="clear" w:color="auto" w:fill="auto"/>
            <w:noWrap/>
            <w:vAlign w:val="bottom"/>
            <w:hideMark/>
          </w:tcPr>
          <w:p w:rsidR="00D51AB3" w:rsidRPr="003C1287" w:rsidRDefault="00D51AB3" w:rsidP="00F673BF">
            <w:pPr>
              <w:rPr>
                <w:color w:val="000000"/>
                <w:sz w:val="20"/>
                <w:szCs w:val="20"/>
              </w:rPr>
            </w:pPr>
            <w:r w:rsidRPr="003C1287">
              <w:rPr>
                <w:color w:val="000000"/>
                <w:sz w:val="20"/>
                <w:szCs w:val="20"/>
              </w:rPr>
              <w:t>TRANSMISSION &amp; DISTRIBUTION LINES</w:t>
            </w:r>
          </w:p>
        </w:tc>
        <w:tc>
          <w:tcPr>
            <w:tcW w:w="1080" w:type="dxa"/>
            <w:tcBorders>
              <w:top w:val="nil"/>
              <w:left w:val="nil"/>
              <w:bottom w:val="nil"/>
              <w:right w:val="nil"/>
            </w:tcBorders>
            <w:shd w:val="clear" w:color="auto" w:fill="auto"/>
            <w:noWrap/>
            <w:vAlign w:val="bottom"/>
            <w:hideMark/>
          </w:tcPr>
          <w:p w:rsidR="00D51AB3" w:rsidRPr="003C1287" w:rsidRDefault="00D51AB3" w:rsidP="00F673BF">
            <w:pPr>
              <w:jc w:val="right"/>
              <w:rPr>
                <w:color w:val="000000"/>
                <w:sz w:val="20"/>
                <w:szCs w:val="20"/>
              </w:rPr>
            </w:pPr>
            <w:r w:rsidRPr="003C1287">
              <w:rPr>
                <w:color w:val="000000"/>
                <w:sz w:val="20"/>
                <w:szCs w:val="20"/>
              </w:rPr>
              <w:t>74,816</w:t>
            </w:r>
          </w:p>
        </w:tc>
        <w:tc>
          <w:tcPr>
            <w:tcW w:w="1710" w:type="dxa"/>
            <w:tcBorders>
              <w:top w:val="nil"/>
              <w:left w:val="nil"/>
              <w:bottom w:val="nil"/>
              <w:right w:val="single" w:sz="4" w:space="0" w:color="auto"/>
            </w:tcBorders>
            <w:shd w:val="clear" w:color="auto" w:fill="auto"/>
            <w:vAlign w:val="bottom"/>
            <w:hideMark/>
          </w:tcPr>
          <w:p w:rsidR="00D51AB3" w:rsidRPr="003C1287" w:rsidRDefault="00D51AB3" w:rsidP="00F673BF">
            <w:pPr>
              <w:jc w:val="right"/>
              <w:rPr>
                <w:sz w:val="20"/>
                <w:szCs w:val="20"/>
              </w:rPr>
            </w:pPr>
            <w:r w:rsidRPr="003C1287">
              <w:rPr>
                <w:sz w:val="20"/>
                <w:szCs w:val="20"/>
              </w:rPr>
              <w:t xml:space="preserve">66,334 </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tcPr>
          <w:p w:rsidR="00D51AB3" w:rsidRPr="003C1287" w:rsidRDefault="00D51AB3" w:rsidP="00F673BF">
            <w:pPr>
              <w:jc w:val="center"/>
              <w:rPr>
                <w:sz w:val="20"/>
                <w:szCs w:val="20"/>
              </w:rPr>
            </w:pPr>
            <w:r w:rsidRPr="003C1287">
              <w:rPr>
                <w:sz w:val="20"/>
                <w:szCs w:val="20"/>
              </w:rPr>
              <w:t>333</w:t>
            </w:r>
          </w:p>
        </w:tc>
        <w:tc>
          <w:tcPr>
            <w:tcW w:w="1162" w:type="dxa"/>
            <w:tcBorders>
              <w:top w:val="nil"/>
              <w:left w:val="nil"/>
              <w:bottom w:val="nil"/>
              <w:right w:val="nil"/>
            </w:tcBorders>
            <w:shd w:val="clear" w:color="auto" w:fill="auto"/>
            <w:noWrap/>
            <w:vAlign w:val="bottom"/>
          </w:tcPr>
          <w:p w:rsidR="00D51AB3" w:rsidRPr="003C1287" w:rsidRDefault="00D51AB3" w:rsidP="00F673BF">
            <w:pPr>
              <w:jc w:val="center"/>
              <w:rPr>
                <w:sz w:val="20"/>
                <w:szCs w:val="20"/>
              </w:rPr>
            </w:pPr>
            <w:r w:rsidRPr="003C1287">
              <w:rPr>
                <w:sz w:val="20"/>
                <w:szCs w:val="20"/>
              </w:rPr>
              <w:t>2.86%</w:t>
            </w:r>
          </w:p>
        </w:tc>
        <w:tc>
          <w:tcPr>
            <w:tcW w:w="4680" w:type="dxa"/>
            <w:gridSpan w:val="2"/>
            <w:tcBorders>
              <w:top w:val="nil"/>
              <w:left w:val="nil"/>
              <w:bottom w:val="nil"/>
              <w:right w:val="nil"/>
            </w:tcBorders>
            <w:shd w:val="clear" w:color="auto" w:fill="auto"/>
            <w:noWrap/>
            <w:vAlign w:val="bottom"/>
          </w:tcPr>
          <w:p w:rsidR="00D51AB3" w:rsidRPr="003C1287" w:rsidRDefault="00D51AB3" w:rsidP="00F673BF">
            <w:pPr>
              <w:rPr>
                <w:color w:val="000000"/>
                <w:sz w:val="20"/>
                <w:szCs w:val="20"/>
              </w:rPr>
            </w:pPr>
            <w:r w:rsidRPr="003C1287">
              <w:rPr>
                <w:color w:val="000000"/>
                <w:sz w:val="20"/>
                <w:szCs w:val="20"/>
              </w:rPr>
              <w:t>SERVICES</w:t>
            </w:r>
          </w:p>
        </w:tc>
        <w:tc>
          <w:tcPr>
            <w:tcW w:w="1080" w:type="dxa"/>
            <w:tcBorders>
              <w:top w:val="nil"/>
              <w:left w:val="nil"/>
              <w:bottom w:val="nil"/>
              <w:right w:val="nil"/>
            </w:tcBorders>
            <w:shd w:val="clear" w:color="auto" w:fill="auto"/>
            <w:noWrap/>
            <w:vAlign w:val="bottom"/>
          </w:tcPr>
          <w:p w:rsidR="00D51AB3" w:rsidRPr="003C1287" w:rsidRDefault="00D51AB3" w:rsidP="00F673BF">
            <w:pPr>
              <w:jc w:val="right"/>
              <w:rPr>
                <w:color w:val="000000"/>
                <w:sz w:val="20"/>
                <w:szCs w:val="20"/>
              </w:rPr>
            </w:pPr>
            <w:r w:rsidRPr="003C1287">
              <w:rPr>
                <w:color w:val="000000"/>
                <w:sz w:val="20"/>
                <w:szCs w:val="20"/>
              </w:rPr>
              <w:t>10,777</w:t>
            </w:r>
          </w:p>
        </w:tc>
        <w:tc>
          <w:tcPr>
            <w:tcW w:w="1710" w:type="dxa"/>
            <w:tcBorders>
              <w:top w:val="nil"/>
              <w:left w:val="nil"/>
              <w:bottom w:val="nil"/>
              <w:right w:val="single" w:sz="4" w:space="0" w:color="auto"/>
            </w:tcBorders>
            <w:shd w:val="clear" w:color="auto" w:fill="auto"/>
            <w:vAlign w:val="bottom"/>
          </w:tcPr>
          <w:p w:rsidR="00D51AB3" w:rsidRPr="003C1287" w:rsidRDefault="00D51AB3" w:rsidP="00F673BF">
            <w:pPr>
              <w:jc w:val="right"/>
              <w:rPr>
                <w:sz w:val="20"/>
                <w:szCs w:val="20"/>
              </w:rPr>
            </w:pPr>
            <w:r w:rsidRPr="003C1287">
              <w:rPr>
                <w:sz w:val="20"/>
                <w:szCs w:val="20"/>
              </w:rPr>
              <w:t>10,291</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tcPr>
          <w:p w:rsidR="00D51AB3" w:rsidRPr="003C1287" w:rsidRDefault="00D51AB3" w:rsidP="00F673BF">
            <w:pPr>
              <w:jc w:val="center"/>
              <w:rPr>
                <w:sz w:val="20"/>
                <w:szCs w:val="20"/>
              </w:rPr>
            </w:pPr>
            <w:r w:rsidRPr="003C1287">
              <w:rPr>
                <w:sz w:val="20"/>
                <w:szCs w:val="20"/>
              </w:rPr>
              <w:t>334</w:t>
            </w:r>
          </w:p>
        </w:tc>
        <w:tc>
          <w:tcPr>
            <w:tcW w:w="1162" w:type="dxa"/>
            <w:tcBorders>
              <w:top w:val="nil"/>
              <w:left w:val="nil"/>
              <w:bottom w:val="nil"/>
              <w:right w:val="nil"/>
            </w:tcBorders>
            <w:shd w:val="clear" w:color="auto" w:fill="auto"/>
            <w:noWrap/>
            <w:vAlign w:val="bottom"/>
          </w:tcPr>
          <w:p w:rsidR="00D51AB3" w:rsidRPr="003C1287" w:rsidRDefault="00D51AB3" w:rsidP="00F673BF">
            <w:pPr>
              <w:jc w:val="center"/>
              <w:rPr>
                <w:sz w:val="20"/>
                <w:szCs w:val="20"/>
              </w:rPr>
            </w:pPr>
            <w:r w:rsidRPr="003C1287">
              <w:rPr>
                <w:sz w:val="20"/>
                <w:szCs w:val="20"/>
              </w:rPr>
              <w:t>5.88%</w:t>
            </w:r>
          </w:p>
        </w:tc>
        <w:tc>
          <w:tcPr>
            <w:tcW w:w="4680" w:type="dxa"/>
            <w:gridSpan w:val="2"/>
            <w:tcBorders>
              <w:top w:val="nil"/>
              <w:left w:val="nil"/>
              <w:bottom w:val="nil"/>
              <w:right w:val="nil"/>
            </w:tcBorders>
            <w:shd w:val="clear" w:color="auto" w:fill="auto"/>
            <w:noWrap/>
            <w:vAlign w:val="bottom"/>
          </w:tcPr>
          <w:p w:rsidR="00D51AB3" w:rsidRPr="003C1287" w:rsidRDefault="00D51AB3" w:rsidP="00F673BF">
            <w:pPr>
              <w:rPr>
                <w:color w:val="000000"/>
                <w:sz w:val="20"/>
                <w:szCs w:val="20"/>
              </w:rPr>
            </w:pPr>
            <w:r w:rsidRPr="003C1287">
              <w:rPr>
                <w:color w:val="000000"/>
                <w:sz w:val="20"/>
                <w:szCs w:val="20"/>
              </w:rPr>
              <w:t>METERS &amp; METER INSTALLATIONS</w:t>
            </w:r>
          </w:p>
        </w:tc>
        <w:tc>
          <w:tcPr>
            <w:tcW w:w="1080" w:type="dxa"/>
            <w:tcBorders>
              <w:top w:val="nil"/>
              <w:left w:val="nil"/>
              <w:bottom w:val="nil"/>
              <w:right w:val="nil"/>
            </w:tcBorders>
            <w:shd w:val="clear" w:color="auto" w:fill="auto"/>
            <w:noWrap/>
            <w:vAlign w:val="bottom"/>
          </w:tcPr>
          <w:p w:rsidR="00D51AB3" w:rsidRPr="003C1287" w:rsidRDefault="00D51AB3" w:rsidP="00F673BF">
            <w:pPr>
              <w:jc w:val="right"/>
              <w:rPr>
                <w:color w:val="000000"/>
                <w:sz w:val="20"/>
                <w:szCs w:val="20"/>
              </w:rPr>
            </w:pPr>
            <w:r w:rsidRPr="003C1287">
              <w:rPr>
                <w:color w:val="000000"/>
                <w:sz w:val="20"/>
                <w:szCs w:val="20"/>
              </w:rPr>
              <w:t>16,605</w:t>
            </w:r>
          </w:p>
        </w:tc>
        <w:tc>
          <w:tcPr>
            <w:tcW w:w="1710" w:type="dxa"/>
            <w:tcBorders>
              <w:top w:val="nil"/>
              <w:left w:val="nil"/>
              <w:bottom w:val="nil"/>
              <w:right w:val="single" w:sz="4" w:space="0" w:color="auto"/>
            </w:tcBorders>
            <w:shd w:val="clear" w:color="auto" w:fill="auto"/>
            <w:vAlign w:val="bottom"/>
          </w:tcPr>
          <w:p w:rsidR="00D51AB3" w:rsidRPr="003C1287" w:rsidRDefault="00D51AB3" w:rsidP="00F673BF">
            <w:pPr>
              <w:jc w:val="right"/>
              <w:rPr>
                <w:sz w:val="20"/>
                <w:szCs w:val="20"/>
              </w:rPr>
            </w:pPr>
            <w:r w:rsidRPr="003C1287">
              <w:rPr>
                <w:sz w:val="20"/>
                <w:szCs w:val="20"/>
              </w:rPr>
              <w:t>15,986</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tcPr>
          <w:p w:rsidR="00D51AB3" w:rsidRPr="003C1287" w:rsidRDefault="00D51AB3" w:rsidP="00F673BF">
            <w:pPr>
              <w:jc w:val="center"/>
              <w:rPr>
                <w:sz w:val="20"/>
                <w:szCs w:val="20"/>
              </w:rPr>
            </w:pPr>
            <w:r w:rsidRPr="003C1287">
              <w:rPr>
                <w:sz w:val="20"/>
                <w:szCs w:val="20"/>
              </w:rPr>
              <w:t>336</w:t>
            </w:r>
          </w:p>
        </w:tc>
        <w:tc>
          <w:tcPr>
            <w:tcW w:w="1162" w:type="dxa"/>
            <w:tcBorders>
              <w:top w:val="nil"/>
              <w:left w:val="nil"/>
              <w:bottom w:val="nil"/>
              <w:right w:val="nil"/>
            </w:tcBorders>
            <w:shd w:val="clear" w:color="auto" w:fill="auto"/>
            <w:noWrap/>
            <w:vAlign w:val="bottom"/>
          </w:tcPr>
          <w:p w:rsidR="00D51AB3" w:rsidRPr="003C1287" w:rsidRDefault="00D51AB3" w:rsidP="00F673BF">
            <w:pPr>
              <w:jc w:val="center"/>
              <w:rPr>
                <w:sz w:val="20"/>
                <w:szCs w:val="20"/>
              </w:rPr>
            </w:pPr>
            <w:r w:rsidRPr="003C1287">
              <w:rPr>
                <w:sz w:val="20"/>
                <w:szCs w:val="20"/>
              </w:rPr>
              <w:t>10.00%</w:t>
            </w:r>
          </w:p>
        </w:tc>
        <w:tc>
          <w:tcPr>
            <w:tcW w:w="4680" w:type="dxa"/>
            <w:gridSpan w:val="2"/>
            <w:tcBorders>
              <w:top w:val="nil"/>
              <w:left w:val="nil"/>
              <w:bottom w:val="nil"/>
              <w:right w:val="nil"/>
            </w:tcBorders>
            <w:shd w:val="clear" w:color="auto" w:fill="auto"/>
            <w:noWrap/>
            <w:vAlign w:val="bottom"/>
          </w:tcPr>
          <w:p w:rsidR="00D51AB3" w:rsidRPr="003C1287" w:rsidRDefault="00D51AB3" w:rsidP="00F673BF">
            <w:pPr>
              <w:rPr>
                <w:color w:val="000000"/>
                <w:sz w:val="20"/>
                <w:szCs w:val="20"/>
              </w:rPr>
            </w:pPr>
            <w:r w:rsidRPr="003C1287">
              <w:rPr>
                <w:color w:val="000000"/>
                <w:sz w:val="20"/>
                <w:szCs w:val="20"/>
              </w:rPr>
              <w:t>BACKFLOW PREVENTION DEVICES</w:t>
            </w:r>
          </w:p>
        </w:tc>
        <w:tc>
          <w:tcPr>
            <w:tcW w:w="1080" w:type="dxa"/>
            <w:tcBorders>
              <w:top w:val="nil"/>
              <w:left w:val="nil"/>
              <w:bottom w:val="nil"/>
              <w:right w:val="nil"/>
            </w:tcBorders>
            <w:shd w:val="clear" w:color="auto" w:fill="auto"/>
            <w:noWrap/>
            <w:vAlign w:val="bottom"/>
          </w:tcPr>
          <w:p w:rsidR="00D51AB3" w:rsidRPr="003C1287" w:rsidRDefault="00D51AB3" w:rsidP="00F673BF">
            <w:pPr>
              <w:jc w:val="right"/>
              <w:rPr>
                <w:color w:val="000000"/>
                <w:sz w:val="20"/>
                <w:szCs w:val="20"/>
              </w:rPr>
            </w:pPr>
            <w:r w:rsidRPr="003C1287">
              <w:rPr>
                <w:color w:val="000000"/>
                <w:sz w:val="20"/>
                <w:szCs w:val="20"/>
              </w:rPr>
              <w:t>204</w:t>
            </w:r>
          </w:p>
        </w:tc>
        <w:tc>
          <w:tcPr>
            <w:tcW w:w="1710" w:type="dxa"/>
            <w:tcBorders>
              <w:top w:val="nil"/>
              <w:left w:val="nil"/>
              <w:bottom w:val="nil"/>
              <w:right w:val="single" w:sz="4" w:space="0" w:color="auto"/>
            </w:tcBorders>
            <w:shd w:val="clear" w:color="auto" w:fill="auto"/>
            <w:vAlign w:val="bottom"/>
          </w:tcPr>
          <w:p w:rsidR="00D51AB3" w:rsidRPr="003C1287" w:rsidRDefault="00D51AB3" w:rsidP="00F673BF">
            <w:pPr>
              <w:jc w:val="right"/>
              <w:rPr>
                <w:sz w:val="20"/>
                <w:szCs w:val="20"/>
              </w:rPr>
            </w:pPr>
            <w:r w:rsidRPr="003C1287">
              <w:rPr>
                <w:sz w:val="20"/>
                <w:szCs w:val="20"/>
              </w:rPr>
              <w:t>204</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3C1287" w:rsidRDefault="00D51AB3" w:rsidP="00F673BF">
            <w:pPr>
              <w:jc w:val="center"/>
              <w:rPr>
                <w:sz w:val="20"/>
                <w:szCs w:val="20"/>
              </w:rPr>
            </w:pPr>
            <w:r w:rsidRPr="003C1287">
              <w:rPr>
                <w:sz w:val="20"/>
                <w:szCs w:val="20"/>
              </w:rPr>
              <w:t>340</w:t>
            </w:r>
          </w:p>
        </w:tc>
        <w:tc>
          <w:tcPr>
            <w:tcW w:w="1162" w:type="dxa"/>
            <w:tcBorders>
              <w:top w:val="nil"/>
              <w:left w:val="nil"/>
              <w:bottom w:val="nil"/>
              <w:right w:val="nil"/>
            </w:tcBorders>
            <w:shd w:val="clear" w:color="auto" w:fill="auto"/>
            <w:noWrap/>
            <w:vAlign w:val="bottom"/>
            <w:hideMark/>
          </w:tcPr>
          <w:p w:rsidR="00D51AB3" w:rsidRPr="003C1287" w:rsidRDefault="00D51AB3" w:rsidP="00F673BF">
            <w:pPr>
              <w:jc w:val="center"/>
              <w:rPr>
                <w:sz w:val="20"/>
                <w:szCs w:val="20"/>
              </w:rPr>
            </w:pPr>
            <w:r w:rsidRPr="003C1287">
              <w:rPr>
                <w:sz w:val="20"/>
                <w:szCs w:val="20"/>
              </w:rPr>
              <w:t>6.67%</w:t>
            </w:r>
          </w:p>
        </w:tc>
        <w:tc>
          <w:tcPr>
            <w:tcW w:w="4680" w:type="dxa"/>
            <w:gridSpan w:val="2"/>
            <w:tcBorders>
              <w:top w:val="nil"/>
              <w:left w:val="nil"/>
              <w:bottom w:val="nil"/>
              <w:right w:val="nil"/>
            </w:tcBorders>
            <w:shd w:val="clear" w:color="auto" w:fill="auto"/>
            <w:noWrap/>
            <w:vAlign w:val="bottom"/>
            <w:hideMark/>
          </w:tcPr>
          <w:p w:rsidR="00D51AB3" w:rsidRPr="003C1287" w:rsidRDefault="00D51AB3" w:rsidP="00F673BF">
            <w:pPr>
              <w:rPr>
                <w:color w:val="000000"/>
                <w:sz w:val="20"/>
                <w:szCs w:val="20"/>
              </w:rPr>
            </w:pPr>
            <w:r w:rsidRPr="003C1287">
              <w:rPr>
                <w:color w:val="000000"/>
                <w:sz w:val="20"/>
                <w:szCs w:val="20"/>
              </w:rPr>
              <w:t>OFFICE FURNITURE AND EQUIPMENT</w:t>
            </w:r>
          </w:p>
        </w:tc>
        <w:tc>
          <w:tcPr>
            <w:tcW w:w="1080" w:type="dxa"/>
            <w:tcBorders>
              <w:top w:val="nil"/>
              <w:left w:val="nil"/>
              <w:bottom w:val="nil"/>
              <w:right w:val="nil"/>
            </w:tcBorders>
            <w:shd w:val="clear" w:color="auto" w:fill="auto"/>
            <w:noWrap/>
            <w:vAlign w:val="bottom"/>
            <w:hideMark/>
          </w:tcPr>
          <w:p w:rsidR="00D51AB3" w:rsidRPr="003C1287" w:rsidRDefault="00D51AB3" w:rsidP="00F673BF">
            <w:pPr>
              <w:jc w:val="right"/>
              <w:rPr>
                <w:color w:val="000000"/>
                <w:sz w:val="20"/>
                <w:szCs w:val="20"/>
                <w:u w:val="single"/>
              </w:rPr>
            </w:pPr>
            <w:r w:rsidRPr="003C1287">
              <w:rPr>
                <w:color w:val="000000"/>
                <w:sz w:val="20"/>
                <w:szCs w:val="20"/>
                <w:u w:val="single"/>
              </w:rPr>
              <w:t>1,814</w:t>
            </w:r>
          </w:p>
        </w:tc>
        <w:tc>
          <w:tcPr>
            <w:tcW w:w="1710" w:type="dxa"/>
            <w:tcBorders>
              <w:top w:val="nil"/>
              <w:left w:val="nil"/>
              <w:bottom w:val="nil"/>
              <w:right w:val="single" w:sz="4" w:space="0" w:color="auto"/>
            </w:tcBorders>
            <w:shd w:val="clear" w:color="auto" w:fill="auto"/>
            <w:vAlign w:val="bottom"/>
            <w:hideMark/>
          </w:tcPr>
          <w:p w:rsidR="00D51AB3" w:rsidRPr="003C1287" w:rsidRDefault="00D51AB3" w:rsidP="00F673BF">
            <w:pPr>
              <w:jc w:val="right"/>
              <w:rPr>
                <w:sz w:val="20"/>
                <w:szCs w:val="20"/>
                <w:u w:val="single"/>
              </w:rPr>
            </w:pPr>
            <w:r w:rsidRPr="003C1287">
              <w:rPr>
                <w:sz w:val="20"/>
                <w:szCs w:val="20"/>
                <w:u w:val="single"/>
              </w:rPr>
              <w:t>1,814</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3C1287" w:rsidRDefault="00D51AB3" w:rsidP="00F673BF">
            <w:pPr>
              <w:rPr>
                <w:sz w:val="20"/>
                <w:szCs w:val="20"/>
              </w:rPr>
            </w:pPr>
            <w:r w:rsidRPr="003C1287">
              <w:rPr>
                <w:sz w:val="20"/>
                <w:szCs w:val="20"/>
              </w:rPr>
              <w:t> </w:t>
            </w:r>
          </w:p>
        </w:tc>
        <w:tc>
          <w:tcPr>
            <w:tcW w:w="1162" w:type="dxa"/>
            <w:tcBorders>
              <w:top w:val="nil"/>
              <w:left w:val="nil"/>
              <w:bottom w:val="nil"/>
              <w:right w:val="nil"/>
            </w:tcBorders>
            <w:shd w:val="clear" w:color="auto" w:fill="auto"/>
            <w:noWrap/>
            <w:vAlign w:val="bottom"/>
            <w:hideMark/>
          </w:tcPr>
          <w:p w:rsidR="00D51AB3" w:rsidRPr="003C1287" w:rsidRDefault="00D51AB3" w:rsidP="00F673BF">
            <w:pPr>
              <w:rPr>
                <w:color w:val="FF0000"/>
                <w:sz w:val="20"/>
                <w:szCs w:val="20"/>
              </w:rPr>
            </w:pPr>
          </w:p>
        </w:tc>
        <w:tc>
          <w:tcPr>
            <w:tcW w:w="4680" w:type="dxa"/>
            <w:gridSpan w:val="2"/>
            <w:tcBorders>
              <w:top w:val="nil"/>
              <w:left w:val="nil"/>
              <w:bottom w:val="nil"/>
              <w:right w:val="nil"/>
            </w:tcBorders>
            <w:shd w:val="clear" w:color="auto" w:fill="auto"/>
            <w:noWrap/>
            <w:vAlign w:val="bottom"/>
            <w:hideMark/>
          </w:tcPr>
          <w:p w:rsidR="00D51AB3" w:rsidRPr="003C1287" w:rsidRDefault="00D51AB3" w:rsidP="00F673BF">
            <w:pPr>
              <w:rPr>
                <w:b/>
                <w:bCs/>
                <w:color w:val="000000"/>
                <w:sz w:val="20"/>
                <w:szCs w:val="20"/>
              </w:rPr>
            </w:pPr>
            <w:r w:rsidRPr="003C1287">
              <w:rPr>
                <w:b/>
                <w:bCs/>
                <w:color w:val="000000"/>
                <w:sz w:val="20"/>
                <w:szCs w:val="20"/>
              </w:rPr>
              <w:t>TOTAL INCLUDING LAND</w:t>
            </w:r>
          </w:p>
        </w:tc>
        <w:tc>
          <w:tcPr>
            <w:tcW w:w="1080" w:type="dxa"/>
            <w:tcBorders>
              <w:top w:val="nil"/>
              <w:left w:val="nil"/>
              <w:bottom w:val="nil"/>
              <w:right w:val="nil"/>
            </w:tcBorders>
            <w:shd w:val="clear" w:color="auto" w:fill="auto"/>
            <w:noWrap/>
            <w:vAlign w:val="bottom"/>
            <w:hideMark/>
          </w:tcPr>
          <w:p w:rsidR="00D51AB3" w:rsidRPr="003C1287" w:rsidRDefault="00D51AB3" w:rsidP="00F673BF">
            <w:pPr>
              <w:jc w:val="right"/>
              <w:rPr>
                <w:b/>
                <w:bCs/>
                <w:color w:val="000000"/>
                <w:sz w:val="20"/>
                <w:szCs w:val="20"/>
                <w:u w:val="double"/>
              </w:rPr>
            </w:pPr>
            <w:r w:rsidRPr="003C1287">
              <w:rPr>
                <w:b/>
                <w:bCs/>
                <w:color w:val="000000"/>
                <w:sz w:val="20"/>
                <w:szCs w:val="20"/>
                <w:u w:val="double"/>
              </w:rPr>
              <w:t>$201,933</w:t>
            </w:r>
          </w:p>
        </w:tc>
        <w:tc>
          <w:tcPr>
            <w:tcW w:w="1710" w:type="dxa"/>
            <w:tcBorders>
              <w:top w:val="nil"/>
              <w:left w:val="nil"/>
              <w:bottom w:val="nil"/>
              <w:right w:val="single" w:sz="4" w:space="0" w:color="auto"/>
            </w:tcBorders>
            <w:shd w:val="clear" w:color="auto" w:fill="auto"/>
            <w:vAlign w:val="bottom"/>
            <w:hideMark/>
          </w:tcPr>
          <w:p w:rsidR="00D51AB3" w:rsidRPr="003C1287" w:rsidRDefault="00D51AB3" w:rsidP="00F673BF">
            <w:pPr>
              <w:jc w:val="right"/>
              <w:rPr>
                <w:b/>
                <w:bCs/>
                <w:sz w:val="20"/>
                <w:szCs w:val="20"/>
                <w:u w:val="double"/>
              </w:rPr>
            </w:pPr>
            <w:r w:rsidRPr="003C1287">
              <w:rPr>
                <w:b/>
                <w:bCs/>
                <w:sz w:val="20"/>
                <w:szCs w:val="20"/>
                <w:u w:val="double"/>
              </w:rPr>
              <w:t xml:space="preserve">$153,117 </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3C1287" w:rsidRDefault="00D51AB3" w:rsidP="00F673BF">
            <w:pPr>
              <w:rPr>
                <w:rFonts w:ascii="Calibri" w:hAnsi="Calibri" w:cs="Arial"/>
                <w:color w:val="000000"/>
                <w:sz w:val="20"/>
                <w:szCs w:val="20"/>
              </w:rPr>
            </w:pPr>
            <w:r w:rsidRPr="003C1287">
              <w:rPr>
                <w:rFonts w:ascii="Calibri" w:hAnsi="Calibri" w:cs="Arial"/>
                <w:color w:val="000000"/>
                <w:sz w:val="20"/>
                <w:szCs w:val="20"/>
              </w:rPr>
              <w:t> </w:t>
            </w:r>
          </w:p>
        </w:tc>
        <w:tc>
          <w:tcPr>
            <w:tcW w:w="1162" w:type="dxa"/>
            <w:tcBorders>
              <w:top w:val="nil"/>
              <w:left w:val="nil"/>
              <w:bottom w:val="nil"/>
              <w:right w:val="nil"/>
            </w:tcBorders>
            <w:shd w:val="clear" w:color="auto" w:fill="auto"/>
            <w:noWrap/>
            <w:vAlign w:val="bottom"/>
            <w:hideMark/>
          </w:tcPr>
          <w:p w:rsidR="00D51AB3" w:rsidRPr="003C1287" w:rsidRDefault="00D51AB3" w:rsidP="00F673BF">
            <w:pPr>
              <w:rPr>
                <w:rFonts w:ascii="Calibri" w:hAnsi="Calibri" w:cs="Arial"/>
                <w:color w:val="000000"/>
                <w:sz w:val="20"/>
                <w:szCs w:val="20"/>
              </w:rPr>
            </w:pPr>
          </w:p>
        </w:tc>
        <w:tc>
          <w:tcPr>
            <w:tcW w:w="4680" w:type="dxa"/>
            <w:gridSpan w:val="2"/>
            <w:tcBorders>
              <w:top w:val="nil"/>
              <w:left w:val="nil"/>
              <w:bottom w:val="nil"/>
              <w:right w:val="nil"/>
            </w:tcBorders>
            <w:shd w:val="clear" w:color="auto" w:fill="auto"/>
            <w:noWrap/>
            <w:vAlign w:val="bottom"/>
            <w:hideMark/>
          </w:tcPr>
          <w:p w:rsidR="00D51AB3" w:rsidRPr="003C1287" w:rsidRDefault="00D51AB3" w:rsidP="00F673BF">
            <w:pPr>
              <w:rPr>
                <w:rFonts w:ascii="Calibri" w:hAnsi="Calibri" w:cs="Arial"/>
                <w:color w:val="000000"/>
                <w:sz w:val="20"/>
                <w:szCs w:val="20"/>
              </w:rPr>
            </w:pPr>
          </w:p>
        </w:tc>
        <w:tc>
          <w:tcPr>
            <w:tcW w:w="1080" w:type="dxa"/>
            <w:tcBorders>
              <w:top w:val="nil"/>
              <w:left w:val="nil"/>
              <w:bottom w:val="nil"/>
              <w:right w:val="nil"/>
            </w:tcBorders>
            <w:shd w:val="clear" w:color="auto" w:fill="auto"/>
            <w:noWrap/>
            <w:vAlign w:val="bottom"/>
            <w:hideMark/>
          </w:tcPr>
          <w:p w:rsidR="00D51AB3" w:rsidRPr="003C1287" w:rsidRDefault="00D51AB3" w:rsidP="00F673BF">
            <w:pPr>
              <w:rPr>
                <w:rFonts w:ascii="Calibri" w:hAnsi="Calibri" w:cs="Arial"/>
                <w:color w:val="000000"/>
                <w:sz w:val="20"/>
                <w:szCs w:val="20"/>
              </w:rPr>
            </w:pPr>
          </w:p>
        </w:tc>
        <w:tc>
          <w:tcPr>
            <w:tcW w:w="1710" w:type="dxa"/>
            <w:tcBorders>
              <w:top w:val="nil"/>
              <w:left w:val="nil"/>
              <w:bottom w:val="nil"/>
              <w:right w:val="single" w:sz="4" w:space="0" w:color="auto"/>
            </w:tcBorders>
            <w:shd w:val="clear" w:color="auto" w:fill="auto"/>
            <w:noWrap/>
            <w:vAlign w:val="bottom"/>
            <w:hideMark/>
          </w:tcPr>
          <w:p w:rsidR="00D51AB3" w:rsidRPr="003C1287" w:rsidRDefault="00D51AB3" w:rsidP="00F673BF">
            <w:pPr>
              <w:rPr>
                <w:rFonts w:ascii="Calibri" w:hAnsi="Calibri" w:cs="Arial"/>
                <w:color w:val="000000"/>
                <w:sz w:val="20"/>
                <w:szCs w:val="20"/>
              </w:rPr>
            </w:pPr>
            <w:r w:rsidRPr="003C1287">
              <w:rPr>
                <w:rFonts w:ascii="Calibri" w:hAnsi="Calibri" w:cs="Arial"/>
                <w:color w:val="000000"/>
                <w:sz w:val="20"/>
                <w:szCs w:val="20"/>
              </w:rPr>
              <w:t> </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3C1287" w:rsidRDefault="00D51AB3" w:rsidP="00F673BF">
            <w:pPr>
              <w:rPr>
                <w:rFonts w:ascii="Calibri" w:hAnsi="Calibri" w:cs="Arial"/>
                <w:color w:val="000000"/>
                <w:sz w:val="20"/>
                <w:szCs w:val="20"/>
              </w:rPr>
            </w:pPr>
            <w:r w:rsidRPr="003C1287">
              <w:rPr>
                <w:rFonts w:ascii="Calibri" w:hAnsi="Calibri" w:cs="Arial"/>
                <w:color w:val="000000"/>
                <w:sz w:val="20"/>
                <w:szCs w:val="20"/>
              </w:rPr>
              <w:t> </w:t>
            </w:r>
          </w:p>
        </w:tc>
        <w:tc>
          <w:tcPr>
            <w:tcW w:w="1162" w:type="dxa"/>
            <w:tcBorders>
              <w:top w:val="nil"/>
              <w:left w:val="nil"/>
              <w:bottom w:val="nil"/>
              <w:right w:val="nil"/>
            </w:tcBorders>
            <w:shd w:val="clear" w:color="auto" w:fill="auto"/>
            <w:noWrap/>
            <w:vAlign w:val="bottom"/>
            <w:hideMark/>
          </w:tcPr>
          <w:p w:rsidR="00D51AB3" w:rsidRPr="003C1287" w:rsidRDefault="00D51AB3" w:rsidP="00F673BF">
            <w:pPr>
              <w:rPr>
                <w:rFonts w:ascii="Calibri" w:hAnsi="Calibri" w:cs="Arial"/>
                <w:color w:val="000000"/>
                <w:sz w:val="20"/>
                <w:szCs w:val="20"/>
              </w:rPr>
            </w:pPr>
          </w:p>
        </w:tc>
        <w:tc>
          <w:tcPr>
            <w:tcW w:w="4680" w:type="dxa"/>
            <w:gridSpan w:val="2"/>
            <w:tcBorders>
              <w:top w:val="nil"/>
              <w:left w:val="nil"/>
              <w:bottom w:val="nil"/>
              <w:right w:val="nil"/>
            </w:tcBorders>
            <w:shd w:val="clear" w:color="auto" w:fill="auto"/>
            <w:noWrap/>
            <w:vAlign w:val="bottom"/>
            <w:hideMark/>
          </w:tcPr>
          <w:p w:rsidR="00D51AB3" w:rsidRPr="003C1287" w:rsidRDefault="00D51AB3" w:rsidP="00F673BF">
            <w:pPr>
              <w:rPr>
                <w:rFonts w:ascii="Calibri" w:hAnsi="Calibri" w:cs="Arial"/>
                <w:color w:val="000000"/>
                <w:sz w:val="20"/>
                <w:szCs w:val="20"/>
              </w:rPr>
            </w:pPr>
          </w:p>
        </w:tc>
        <w:tc>
          <w:tcPr>
            <w:tcW w:w="1080" w:type="dxa"/>
            <w:tcBorders>
              <w:top w:val="nil"/>
              <w:left w:val="nil"/>
              <w:bottom w:val="nil"/>
              <w:right w:val="nil"/>
            </w:tcBorders>
            <w:shd w:val="clear" w:color="auto" w:fill="auto"/>
            <w:noWrap/>
            <w:vAlign w:val="bottom"/>
            <w:hideMark/>
          </w:tcPr>
          <w:p w:rsidR="00D51AB3" w:rsidRPr="003C1287" w:rsidRDefault="00D51AB3" w:rsidP="00F673BF">
            <w:pPr>
              <w:jc w:val="center"/>
              <w:rPr>
                <w:b/>
                <w:bCs/>
                <w:color w:val="000000"/>
                <w:sz w:val="20"/>
                <w:szCs w:val="20"/>
              </w:rPr>
            </w:pPr>
            <w:r w:rsidRPr="003C1287">
              <w:rPr>
                <w:b/>
                <w:bCs/>
                <w:color w:val="000000"/>
                <w:sz w:val="20"/>
                <w:szCs w:val="20"/>
              </w:rPr>
              <w:t xml:space="preserve">CIAC </w:t>
            </w:r>
          </w:p>
        </w:tc>
        <w:tc>
          <w:tcPr>
            <w:tcW w:w="1710" w:type="dxa"/>
            <w:tcBorders>
              <w:top w:val="nil"/>
              <w:left w:val="nil"/>
              <w:bottom w:val="nil"/>
              <w:right w:val="single" w:sz="4" w:space="0" w:color="auto"/>
            </w:tcBorders>
            <w:shd w:val="clear" w:color="auto" w:fill="auto"/>
            <w:noWrap/>
            <w:vAlign w:val="bottom"/>
            <w:hideMark/>
          </w:tcPr>
          <w:p w:rsidR="00D51AB3" w:rsidRPr="003C1287" w:rsidRDefault="00D51AB3" w:rsidP="00F673BF">
            <w:pPr>
              <w:jc w:val="center"/>
              <w:rPr>
                <w:b/>
                <w:bCs/>
                <w:color w:val="000000"/>
                <w:sz w:val="20"/>
                <w:szCs w:val="20"/>
              </w:rPr>
            </w:pPr>
            <w:r w:rsidRPr="003C1287">
              <w:rPr>
                <w:b/>
                <w:bCs/>
                <w:color w:val="000000"/>
                <w:sz w:val="20"/>
                <w:szCs w:val="20"/>
              </w:rPr>
              <w:t> </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3C1287" w:rsidRDefault="00D51AB3" w:rsidP="00F673BF">
            <w:pPr>
              <w:rPr>
                <w:rFonts w:ascii="Calibri" w:hAnsi="Calibri" w:cs="Arial"/>
                <w:color w:val="000000"/>
                <w:sz w:val="20"/>
                <w:szCs w:val="20"/>
              </w:rPr>
            </w:pPr>
            <w:r w:rsidRPr="003C1287">
              <w:rPr>
                <w:rFonts w:ascii="Calibri" w:hAnsi="Calibri" w:cs="Arial"/>
                <w:color w:val="000000"/>
                <w:sz w:val="20"/>
                <w:szCs w:val="20"/>
              </w:rPr>
              <w:t> </w:t>
            </w:r>
          </w:p>
        </w:tc>
        <w:tc>
          <w:tcPr>
            <w:tcW w:w="1162" w:type="dxa"/>
            <w:tcBorders>
              <w:top w:val="nil"/>
              <w:left w:val="nil"/>
              <w:bottom w:val="nil"/>
              <w:right w:val="nil"/>
            </w:tcBorders>
            <w:shd w:val="clear" w:color="auto" w:fill="auto"/>
            <w:noWrap/>
            <w:vAlign w:val="bottom"/>
            <w:hideMark/>
          </w:tcPr>
          <w:p w:rsidR="00D51AB3" w:rsidRPr="003C1287" w:rsidRDefault="00D51AB3" w:rsidP="00F673BF">
            <w:pPr>
              <w:rPr>
                <w:rFonts w:ascii="Calibri" w:hAnsi="Calibri" w:cs="Arial"/>
                <w:color w:val="000000"/>
                <w:sz w:val="20"/>
                <w:szCs w:val="20"/>
              </w:rPr>
            </w:pPr>
          </w:p>
        </w:tc>
        <w:tc>
          <w:tcPr>
            <w:tcW w:w="4680" w:type="dxa"/>
            <w:gridSpan w:val="2"/>
            <w:tcBorders>
              <w:top w:val="nil"/>
              <w:left w:val="nil"/>
              <w:bottom w:val="nil"/>
              <w:right w:val="nil"/>
            </w:tcBorders>
            <w:shd w:val="clear" w:color="auto" w:fill="auto"/>
            <w:noWrap/>
            <w:vAlign w:val="bottom"/>
            <w:hideMark/>
          </w:tcPr>
          <w:p w:rsidR="00D51AB3" w:rsidRPr="003C1287" w:rsidRDefault="00D51AB3" w:rsidP="00F673BF">
            <w:pPr>
              <w:rPr>
                <w:rFonts w:ascii="Calibri" w:hAnsi="Calibri" w:cs="Arial"/>
                <w:color w:val="000000"/>
                <w:sz w:val="20"/>
                <w:szCs w:val="20"/>
              </w:rPr>
            </w:pPr>
          </w:p>
        </w:tc>
        <w:tc>
          <w:tcPr>
            <w:tcW w:w="1080" w:type="dxa"/>
            <w:tcBorders>
              <w:top w:val="nil"/>
              <w:left w:val="nil"/>
              <w:bottom w:val="nil"/>
              <w:right w:val="nil"/>
            </w:tcBorders>
            <w:shd w:val="clear" w:color="auto" w:fill="auto"/>
            <w:noWrap/>
            <w:vAlign w:val="bottom"/>
            <w:hideMark/>
          </w:tcPr>
          <w:p w:rsidR="00D51AB3" w:rsidRPr="003C1287" w:rsidRDefault="00D51AB3" w:rsidP="00F673BF">
            <w:pPr>
              <w:jc w:val="center"/>
              <w:rPr>
                <w:b/>
                <w:bCs/>
                <w:color w:val="000000"/>
                <w:sz w:val="20"/>
                <w:szCs w:val="20"/>
              </w:rPr>
            </w:pPr>
            <w:r w:rsidRPr="003C1287">
              <w:rPr>
                <w:b/>
                <w:bCs/>
                <w:color w:val="000000"/>
                <w:sz w:val="20"/>
                <w:szCs w:val="20"/>
              </w:rPr>
              <w:t>AMORT.</w:t>
            </w:r>
          </w:p>
        </w:tc>
        <w:tc>
          <w:tcPr>
            <w:tcW w:w="1710" w:type="dxa"/>
            <w:tcBorders>
              <w:top w:val="nil"/>
              <w:left w:val="nil"/>
              <w:bottom w:val="nil"/>
              <w:right w:val="single" w:sz="4" w:space="0" w:color="auto"/>
            </w:tcBorders>
            <w:shd w:val="clear" w:color="auto" w:fill="auto"/>
            <w:noWrap/>
            <w:vAlign w:val="bottom"/>
            <w:hideMark/>
          </w:tcPr>
          <w:p w:rsidR="00D51AB3" w:rsidRPr="003C1287" w:rsidRDefault="00D51AB3" w:rsidP="00F673BF">
            <w:pPr>
              <w:jc w:val="center"/>
              <w:rPr>
                <w:b/>
                <w:bCs/>
                <w:color w:val="000000"/>
                <w:sz w:val="20"/>
                <w:szCs w:val="20"/>
              </w:rPr>
            </w:pPr>
            <w:r w:rsidRPr="003C1287">
              <w:rPr>
                <w:b/>
                <w:bCs/>
                <w:color w:val="000000"/>
                <w:sz w:val="20"/>
                <w:szCs w:val="20"/>
              </w:rPr>
              <w:t>CIAC</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3C1287" w:rsidRDefault="00D51AB3" w:rsidP="00F673BF">
            <w:pPr>
              <w:rPr>
                <w:rFonts w:ascii="Calibri" w:hAnsi="Calibri" w:cs="Arial"/>
                <w:color w:val="000000"/>
                <w:sz w:val="20"/>
                <w:szCs w:val="20"/>
              </w:rPr>
            </w:pPr>
            <w:r w:rsidRPr="003C1287">
              <w:rPr>
                <w:rFonts w:ascii="Calibri" w:hAnsi="Calibri" w:cs="Arial"/>
                <w:color w:val="000000"/>
                <w:sz w:val="20"/>
                <w:szCs w:val="20"/>
              </w:rPr>
              <w:t> </w:t>
            </w:r>
          </w:p>
        </w:tc>
        <w:tc>
          <w:tcPr>
            <w:tcW w:w="1162" w:type="dxa"/>
            <w:tcBorders>
              <w:top w:val="nil"/>
              <w:left w:val="nil"/>
              <w:bottom w:val="nil"/>
              <w:right w:val="nil"/>
            </w:tcBorders>
            <w:shd w:val="clear" w:color="auto" w:fill="auto"/>
            <w:noWrap/>
            <w:vAlign w:val="bottom"/>
            <w:hideMark/>
          </w:tcPr>
          <w:p w:rsidR="00D51AB3" w:rsidRPr="003C1287" w:rsidRDefault="00D51AB3" w:rsidP="00F673BF">
            <w:pPr>
              <w:rPr>
                <w:rFonts w:ascii="Calibri" w:hAnsi="Calibri" w:cs="Arial"/>
                <w:color w:val="000000"/>
                <w:sz w:val="20"/>
                <w:szCs w:val="20"/>
              </w:rPr>
            </w:pPr>
          </w:p>
        </w:tc>
        <w:tc>
          <w:tcPr>
            <w:tcW w:w="4680" w:type="dxa"/>
            <w:gridSpan w:val="2"/>
            <w:tcBorders>
              <w:top w:val="nil"/>
              <w:left w:val="nil"/>
              <w:bottom w:val="nil"/>
              <w:right w:val="nil"/>
            </w:tcBorders>
            <w:shd w:val="clear" w:color="auto" w:fill="auto"/>
            <w:noWrap/>
            <w:vAlign w:val="bottom"/>
            <w:hideMark/>
          </w:tcPr>
          <w:p w:rsidR="00D51AB3" w:rsidRPr="003C1287" w:rsidRDefault="00D51AB3" w:rsidP="00F673BF">
            <w:pPr>
              <w:rPr>
                <w:rFonts w:ascii="Calibri" w:hAnsi="Calibri" w:cs="Arial"/>
                <w:color w:val="000000"/>
                <w:sz w:val="20"/>
                <w:szCs w:val="20"/>
              </w:rPr>
            </w:pPr>
          </w:p>
        </w:tc>
        <w:tc>
          <w:tcPr>
            <w:tcW w:w="1080" w:type="dxa"/>
            <w:tcBorders>
              <w:top w:val="nil"/>
              <w:left w:val="nil"/>
              <w:bottom w:val="nil"/>
              <w:right w:val="nil"/>
            </w:tcBorders>
            <w:shd w:val="clear" w:color="auto" w:fill="auto"/>
            <w:noWrap/>
            <w:vAlign w:val="bottom"/>
            <w:hideMark/>
          </w:tcPr>
          <w:p w:rsidR="00D51AB3" w:rsidRPr="003C1287" w:rsidRDefault="00D51AB3" w:rsidP="00F673BF">
            <w:pPr>
              <w:jc w:val="center"/>
              <w:rPr>
                <w:b/>
                <w:bCs/>
                <w:color w:val="000000"/>
                <w:sz w:val="20"/>
                <w:szCs w:val="20"/>
              </w:rPr>
            </w:pPr>
            <w:r w:rsidRPr="003C1287">
              <w:rPr>
                <w:b/>
                <w:bCs/>
                <w:color w:val="000000"/>
                <w:sz w:val="20"/>
                <w:szCs w:val="20"/>
              </w:rPr>
              <w:t>6/30/2017</w:t>
            </w:r>
          </w:p>
        </w:tc>
        <w:tc>
          <w:tcPr>
            <w:tcW w:w="1710" w:type="dxa"/>
            <w:tcBorders>
              <w:top w:val="nil"/>
              <w:left w:val="nil"/>
              <w:bottom w:val="nil"/>
              <w:right w:val="single" w:sz="4" w:space="0" w:color="auto"/>
            </w:tcBorders>
            <w:shd w:val="clear" w:color="auto" w:fill="auto"/>
            <w:noWrap/>
            <w:vAlign w:val="bottom"/>
            <w:hideMark/>
          </w:tcPr>
          <w:p w:rsidR="00D51AB3" w:rsidRPr="003C1287" w:rsidRDefault="00D51AB3" w:rsidP="00F673BF">
            <w:pPr>
              <w:jc w:val="center"/>
              <w:rPr>
                <w:b/>
                <w:bCs/>
                <w:color w:val="000000"/>
                <w:sz w:val="20"/>
                <w:szCs w:val="20"/>
              </w:rPr>
            </w:pPr>
            <w:r w:rsidRPr="003C1287">
              <w:rPr>
                <w:b/>
                <w:bCs/>
                <w:color w:val="000000"/>
                <w:sz w:val="20"/>
                <w:szCs w:val="20"/>
              </w:rPr>
              <w:t>6/30/2017</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3C1287" w:rsidRDefault="00D51AB3" w:rsidP="00F673BF">
            <w:pPr>
              <w:rPr>
                <w:rFonts w:ascii="Calibri" w:hAnsi="Calibri" w:cs="Arial"/>
                <w:color w:val="000000"/>
                <w:sz w:val="20"/>
                <w:szCs w:val="20"/>
              </w:rPr>
            </w:pPr>
            <w:r w:rsidRPr="003C1287">
              <w:rPr>
                <w:rFonts w:ascii="Calibri" w:hAnsi="Calibri" w:cs="Arial"/>
                <w:color w:val="000000"/>
                <w:sz w:val="20"/>
                <w:szCs w:val="20"/>
              </w:rPr>
              <w:t> </w:t>
            </w:r>
          </w:p>
        </w:tc>
        <w:tc>
          <w:tcPr>
            <w:tcW w:w="1162" w:type="dxa"/>
            <w:tcBorders>
              <w:top w:val="nil"/>
              <w:left w:val="nil"/>
              <w:bottom w:val="nil"/>
              <w:right w:val="nil"/>
            </w:tcBorders>
            <w:shd w:val="clear" w:color="auto" w:fill="auto"/>
            <w:noWrap/>
            <w:vAlign w:val="bottom"/>
            <w:hideMark/>
          </w:tcPr>
          <w:p w:rsidR="00D51AB3" w:rsidRPr="003C1287" w:rsidRDefault="00D51AB3" w:rsidP="00F673BF">
            <w:pPr>
              <w:rPr>
                <w:rFonts w:ascii="Calibri" w:hAnsi="Calibri" w:cs="Arial"/>
                <w:color w:val="000000"/>
                <w:sz w:val="20"/>
                <w:szCs w:val="20"/>
              </w:rPr>
            </w:pPr>
          </w:p>
        </w:tc>
        <w:tc>
          <w:tcPr>
            <w:tcW w:w="4680" w:type="dxa"/>
            <w:gridSpan w:val="2"/>
            <w:tcBorders>
              <w:top w:val="nil"/>
              <w:left w:val="nil"/>
              <w:bottom w:val="nil"/>
              <w:right w:val="nil"/>
            </w:tcBorders>
            <w:shd w:val="clear" w:color="auto" w:fill="auto"/>
            <w:noWrap/>
            <w:vAlign w:val="bottom"/>
            <w:hideMark/>
          </w:tcPr>
          <w:p w:rsidR="00D51AB3" w:rsidRPr="003C1287" w:rsidRDefault="00D51AB3" w:rsidP="00F673BF">
            <w:pPr>
              <w:rPr>
                <w:rFonts w:ascii="Calibri" w:hAnsi="Calibri" w:cs="Arial"/>
                <w:color w:val="000000"/>
                <w:sz w:val="20"/>
                <w:szCs w:val="20"/>
              </w:rPr>
            </w:pPr>
          </w:p>
        </w:tc>
        <w:tc>
          <w:tcPr>
            <w:tcW w:w="1080" w:type="dxa"/>
            <w:tcBorders>
              <w:top w:val="nil"/>
              <w:left w:val="nil"/>
              <w:bottom w:val="single" w:sz="4" w:space="0" w:color="auto"/>
              <w:right w:val="nil"/>
            </w:tcBorders>
            <w:shd w:val="clear" w:color="auto" w:fill="auto"/>
            <w:noWrap/>
            <w:vAlign w:val="bottom"/>
            <w:hideMark/>
          </w:tcPr>
          <w:p w:rsidR="00D51AB3" w:rsidRPr="003C1287" w:rsidRDefault="00D51AB3" w:rsidP="00F673BF">
            <w:pPr>
              <w:jc w:val="center"/>
              <w:rPr>
                <w:b/>
                <w:bCs/>
                <w:color w:val="000000"/>
                <w:sz w:val="20"/>
                <w:szCs w:val="20"/>
              </w:rPr>
            </w:pPr>
            <w:r w:rsidRPr="003C1287">
              <w:rPr>
                <w:b/>
                <w:bCs/>
                <w:color w:val="000000"/>
                <w:sz w:val="20"/>
                <w:szCs w:val="20"/>
              </w:rPr>
              <w:t>(DEBIT)</w:t>
            </w:r>
          </w:p>
        </w:tc>
        <w:tc>
          <w:tcPr>
            <w:tcW w:w="1710" w:type="dxa"/>
            <w:tcBorders>
              <w:top w:val="nil"/>
              <w:left w:val="nil"/>
              <w:bottom w:val="single" w:sz="4" w:space="0" w:color="auto"/>
              <w:right w:val="single" w:sz="4" w:space="0" w:color="auto"/>
            </w:tcBorders>
            <w:shd w:val="clear" w:color="auto" w:fill="auto"/>
            <w:noWrap/>
            <w:vAlign w:val="bottom"/>
            <w:hideMark/>
          </w:tcPr>
          <w:p w:rsidR="00D51AB3" w:rsidRPr="003C1287" w:rsidRDefault="00D51AB3" w:rsidP="00F673BF">
            <w:pPr>
              <w:jc w:val="center"/>
              <w:rPr>
                <w:b/>
                <w:bCs/>
                <w:color w:val="000000"/>
                <w:sz w:val="20"/>
                <w:szCs w:val="20"/>
              </w:rPr>
            </w:pPr>
            <w:r w:rsidRPr="003C1287">
              <w:rPr>
                <w:b/>
                <w:bCs/>
                <w:color w:val="000000"/>
                <w:sz w:val="20"/>
                <w:szCs w:val="20"/>
              </w:rPr>
              <w:t>(CREDIT)</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3C1287" w:rsidRDefault="00D51AB3" w:rsidP="00F673BF">
            <w:pPr>
              <w:rPr>
                <w:rFonts w:ascii="Calibri" w:hAnsi="Calibri" w:cs="Arial"/>
                <w:color w:val="000000"/>
                <w:sz w:val="20"/>
                <w:szCs w:val="20"/>
              </w:rPr>
            </w:pPr>
            <w:r w:rsidRPr="003C1287">
              <w:rPr>
                <w:rFonts w:ascii="Calibri" w:hAnsi="Calibri" w:cs="Arial"/>
                <w:color w:val="000000"/>
                <w:sz w:val="20"/>
                <w:szCs w:val="20"/>
              </w:rPr>
              <w:t> </w:t>
            </w:r>
          </w:p>
        </w:tc>
        <w:tc>
          <w:tcPr>
            <w:tcW w:w="1162" w:type="dxa"/>
            <w:tcBorders>
              <w:top w:val="nil"/>
              <w:left w:val="nil"/>
              <w:bottom w:val="nil"/>
              <w:right w:val="nil"/>
            </w:tcBorders>
            <w:shd w:val="clear" w:color="auto" w:fill="auto"/>
            <w:noWrap/>
            <w:vAlign w:val="bottom"/>
            <w:hideMark/>
          </w:tcPr>
          <w:p w:rsidR="00D51AB3" w:rsidRPr="003C1287" w:rsidRDefault="00D51AB3" w:rsidP="00F673BF">
            <w:pPr>
              <w:rPr>
                <w:rFonts w:ascii="Calibri" w:hAnsi="Calibri" w:cs="Arial"/>
                <w:color w:val="000000"/>
                <w:sz w:val="20"/>
                <w:szCs w:val="20"/>
              </w:rPr>
            </w:pPr>
          </w:p>
        </w:tc>
        <w:tc>
          <w:tcPr>
            <w:tcW w:w="4680" w:type="dxa"/>
            <w:gridSpan w:val="2"/>
            <w:tcBorders>
              <w:top w:val="nil"/>
              <w:left w:val="nil"/>
              <w:bottom w:val="nil"/>
              <w:right w:val="nil"/>
            </w:tcBorders>
            <w:shd w:val="clear" w:color="auto" w:fill="auto"/>
            <w:noWrap/>
            <w:vAlign w:val="bottom"/>
            <w:hideMark/>
          </w:tcPr>
          <w:p w:rsidR="00D51AB3" w:rsidRPr="003C1287" w:rsidRDefault="00D51AB3" w:rsidP="00F673BF">
            <w:pPr>
              <w:rPr>
                <w:rFonts w:ascii="Calibri" w:hAnsi="Calibri" w:cs="Arial"/>
                <w:color w:val="000000"/>
                <w:sz w:val="20"/>
                <w:szCs w:val="20"/>
              </w:rPr>
            </w:pPr>
          </w:p>
        </w:tc>
        <w:tc>
          <w:tcPr>
            <w:tcW w:w="1080" w:type="dxa"/>
            <w:tcBorders>
              <w:top w:val="nil"/>
              <w:left w:val="nil"/>
              <w:bottom w:val="nil"/>
              <w:right w:val="nil"/>
            </w:tcBorders>
            <w:shd w:val="clear" w:color="auto" w:fill="auto"/>
            <w:noWrap/>
            <w:vAlign w:val="bottom"/>
          </w:tcPr>
          <w:p w:rsidR="00D51AB3" w:rsidRPr="003C1287" w:rsidRDefault="00D51AB3" w:rsidP="00F673BF">
            <w:pPr>
              <w:jc w:val="center"/>
              <w:rPr>
                <w:b/>
                <w:bCs/>
                <w:color w:val="000000"/>
                <w:sz w:val="20"/>
                <w:szCs w:val="20"/>
                <w:u w:val="single"/>
              </w:rPr>
            </w:pPr>
          </w:p>
        </w:tc>
        <w:tc>
          <w:tcPr>
            <w:tcW w:w="1710" w:type="dxa"/>
            <w:tcBorders>
              <w:top w:val="nil"/>
              <w:left w:val="nil"/>
              <w:bottom w:val="nil"/>
              <w:right w:val="single" w:sz="4" w:space="0" w:color="auto"/>
            </w:tcBorders>
            <w:shd w:val="clear" w:color="auto" w:fill="auto"/>
            <w:noWrap/>
            <w:vAlign w:val="bottom"/>
          </w:tcPr>
          <w:p w:rsidR="00D51AB3" w:rsidRPr="003C1287" w:rsidRDefault="00D51AB3" w:rsidP="00F673BF">
            <w:pPr>
              <w:jc w:val="center"/>
              <w:rPr>
                <w:b/>
                <w:bCs/>
                <w:color w:val="000000"/>
                <w:sz w:val="20"/>
                <w:szCs w:val="20"/>
                <w:u w:val="single"/>
              </w:rPr>
            </w:pPr>
          </w:p>
        </w:tc>
      </w:tr>
      <w:tr w:rsidR="00D51AB3" w:rsidRPr="005B24BC"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3C1287" w:rsidRDefault="00D51AB3" w:rsidP="00F673BF">
            <w:pPr>
              <w:rPr>
                <w:rFonts w:ascii="Calibri" w:hAnsi="Calibri" w:cs="Arial"/>
                <w:color w:val="000000"/>
                <w:sz w:val="20"/>
                <w:szCs w:val="20"/>
              </w:rPr>
            </w:pPr>
            <w:r w:rsidRPr="003C1287">
              <w:rPr>
                <w:rFonts w:ascii="Calibri" w:hAnsi="Calibri" w:cs="Arial"/>
                <w:color w:val="000000"/>
                <w:sz w:val="20"/>
                <w:szCs w:val="20"/>
              </w:rPr>
              <w:t> </w:t>
            </w:r>
          </w:p>
        </w:tc>
        <w:tc>
          <w:tcPr>
            <w:tcW w:w="1162" w:type="dxa"/>
            <w:tcBorders>
              <w:top w:val="nil"/>
              <w:left w:val="nil"/>
              <w:bottom w:val="nil"/>
              <w:right w:val="nil"/>
            </w:tcBorders>
            <w:shd w:val="clear" w:color="auto" w:fill="auto"/>
            <w:noWrap/>
            <w:vAlign w:val="bottom"/>
            <w:hideMark/>
          </w:tcPr>
          <w:p w:rsidR="00D51AB3" w:rsidRPr="003C1287" w:rsidRDefault="00D51AB3" w:rsidP="00F673BF">
            <w:pPr>
              <w:rPr>
                <w:rFonts w:ascii="Calibri" w:hAnsi="Calibri" w:cs="Arial"/>
                <w:color w:val="000000"/>
                <w:sz w:val="20"/>
                <w:szCs w:val="20"/>
              </w:rPr>
            </w:pPr>
          </w:p>
        </w:tc>
        <w:tc>
          <w:tcPr>
            <w:tcW w:w="4680" w:type="dxa"/>
            <w:gridSpan w:val="2"/>
            <w:tcBorders>
              <w:top w:val="nil"/>
              <w:left w:val="nil"/>
              <w:bottom w:val="nil"/>
              <w:right w:val="nil"/>
            </w:tcBorders>
            <w:shd w:val="clear" w:color="auto" w:fill="auto"/>
            <w:noWrap/>
            <w:vAlign w:val="bottom"/>
            <w:hideMark/>
          </w:tcPr>
          <w:p w:rsidR="00D51AB3" w:rsidRPr="003C1287" w:rsidRDefault="00D51AB3" w:rsidP="00F673BF">
            <w:pPr>
              <w:rPr>
                <w:rFonts w:ascii="Calibri" w:hAnsi="Calibri" w:cs="Arial"/>
                <w:color w:val="000000"/>
                <w:sz w:val="20"/>
                <w:szCs w:val="20"/>
              </w:rPr>
            </w:pPr>
          </w:p>
        </w:tc>
        <w:tc>
          <w:tcPr>
            <w:tcW w:w="1080" w:type="dxa"/>
            <w:tcBorders>
              <w:top w:val="nil"/>
              <w:left w:val="nil"/>
              <w:bottom w:val="nil"/>
              <w:right w:val="nil"/>
            </w:tcBorders>
            <w:shd w:val="clear" w:color="auto" w:fill="auto"/>
            <w:vAlign w:val="bottom"/>
            <w:hideMark/>
          </w:tcPr>
          <w:p w:rsidR="00D51AB3" w:rsidRPr="00F379F7" w:rsidRDefault="00D51AB3" w:rsidP="00F673BF">
            <w:pPr>
              <w:jc w:val="right"/>
              <w:rPr>
                <w:b/>
                <w:bCs/>
                <w:sz w:val="20"/>
                <w:szCs w:val="20"/>
                <w:u w:val="double"/>
              </w:rPr>
            </w:pPr>
            <w:r w:rsidRPr="00F379F7">
              <w:rPr>
                <w:b/>
                <w:bCs/>
                <w:sz w:val="20"/>
                <w:szCs w:val="20"/>
                <w:u w:val="double"/>
              </w:rPr>
              <w:t>$21,634</w:t>
            </w:r>
          </w:p>
        </w:tc>
        <w:tc>
          <w:tcPr>
            <w:tcW w:w="1710" w:type="dxa"/>
            <w:tcBorders>
              <w:top w:val="nil"/>
              <w:left w:val="nil"/>
              <w:bottom w:val="nil"/>
              <w:right w:val="single" w:sz="4" w:space="0" w:color="auto"/>
            </w:tcBorders>
            <w:shd w:val="clear" w:color="auto" w:fill="auto"/>
            <w:vAlign w:val="bottom"/>
            <w:hideMark/>
          </w:tcPr>
          <w:p w:rsidR="00D51AB3" w:rsidRPr="00F379F7" w:rsidRDefault="00D51AB3" w:rsidP="00F673BF">
            <w:pPr>
              <w:jc w:val="right"/>
              <w:rPr>
                <w:b/>
                <w:bCs/>
                <w:sz w:val="20"/>
                <w:szCs w:val="20"/>
                <w:u w:val="double"/>
              </w:rPr>
            </w:pPr>
            <w:r w:rsidRPr="00F379F7">
              <w:rPr>
                <w:b/>
                <w:bCs/>
                <w:sz w:val="20"/>
                <w:szCs w:val="20"/>
                <w:u w:val="double"/>
              </w:rPr>
              <w:t>$39,100</w:t>
            </w:r>
          </w:p>
        </w:tc>
      </w:tr>
      <w:tr w:rsidR="00D51AB3" w:rsidRPr="005D2577" w:rsidTr="00F673BF">
        <w:trPr>
          <w:trHeight w:val="300"/>
        </w:trPr>
        <w:tc>
          <w:tcPr>
            <w:tcW w:w="833" w:type="dxa"/>
            <w:tcBorders>
              <w:top w:val="nil"/>
              <w:left w:val="single" w:sz="4" w:space="0" w:color="auto"/>
              <w:bottom w:val="single" w:sz="4" w:space="0" w:color="auto"/>
              <w:right w:val="nil"/>
            </w:tcBorders>
            <w:shd w:val="clear" w:color="auto" w:fill="auto"/>
            <w:noWrap/>
            <w:vAlign w:val="bottom"/>
            <w:hideMark/>
          </w:tcPr>
          <w:p w:rsidR="00D51AB3" w:rsidRPr="005D2577" w:rsidRDefault="00D51AB3" w:rsidP="00F673BF">
            <w:pPr>
              <w:rPr>
                <w:rFonts w:ascii="Calibri" w:hAnsi="Calibri" w:cs="Arial"/>
                <w:color w:val="000000"/>
                <w:sz w:val="20"/>
                <w:szCs w:val="20"/>
              </w:rPr>
            </w:pPr>
            <w:r w:rsidRPr="005D2577">
              <w:rPr>
                <w:rFonts w:ascii="Calibri" w:hAnsi="Calibri" w:cs="Arial"/>
                <w:color w:val="000000"/>
                <w:sz w:val="20"/>
                <w:szCs w:val="20"/>
              </w:rPr>
              <w:t> </w:t>
            </w:r>
          </w:p>
        </w:tc>
        <w:tc>
          <w:tcPr>
            <w:tcW w:w="1162" w:type="dxa"/>
            <w:tcBorders>
              <w:top w:val="nil"/>
              <w:left w:val="nil"/>
              <w:bottom w:val="single" w:sz="4" w:space="0" w:color="auto"/>
              <w:right w:val="nil"/>
            </w:tcBorders>
            <w:shd w:val="clear" w:color="auto" w:fill="auto"/>
            <w:noWrap/>
            <w:vAlign w:val="bottom"/>
            <w:hideMark/>
          </w:tcPr>
          <w:p w:rsidR="00D51AB3" w:rsidRPr="005D2577" w:rsidRDefault="00D51AB3" w:rsidP="00F673BF">
            <w:pPr>
              <w:rPr>
                <w:rFonts w:ascii="Calibri" w:hAnsi="Calibri" w:cs="Arial"/>
                <w:color w:val="000000"/>
                <w:sz w:val="20"/>
                <w:szCs w:val="20"/>
              </w:rPr>
            </w:pPr>
            <w:r w:rsidRPr="005D2577">
              <w:rPr>
                <w:rFonts w:ascii="Calibri" w:hAnsi="Calibri" w:cs="Arial"/>
                <w:color w:val="000000"/>
                <w:sz w:val="20"/>
                <w:szCs w:val="20"/>
              </w:rPr>
              <w:t> </w:t>
            </w:r>
          </w:p>
        </w:tc>
        <w:tc>
          <w:tcPr>
            <w:tcW w:w="4680" w:type="dxa"/>
            <w:gridSpan w:val="2"/>
            <w:tcBorders>
              <w:top w:val="nil"/>
              <w:left w:val="nil"/>
              <w:bottom w:val="single" w:sz="4" w:space="0" w:color="auto"/>
              <w:right w:val="nil"/>
            </w:tcBorders>
            <w:shd w:val="clear" w:color="auto" w:fill="auto"/>
            <w:noWrap/>
            <w:vAlign w:val="bottom"/>
            <w:hideMark/>
          </w:tcPr>
          <w:p w:rsidR="00D51AB3" w:rsidRPr="005D2577" w:rsidRDefault="00D51AB3" w:rsidP="00F673BF">
            <w:pPr>
              <w:rPr>
                <w:rFonts w:ascii="Calibri" w:hAnsi="Calibri" w:cs="Arial"/>
                <w:color w:val="000000"/>
                <w:sz w:val="20"/>
                <w:szCs w:val="20"/>
              </w:rPr>
            </w:pPr>
            <w:r w:rsidRPr="005D2577">
              <w:rPr>
                <w:rFonts w:ascii="Calibri" w:hAnsi="Calibri" w:cs="Arial"/>
                <w:color w:val="000000"/>
                <w:sz w:val="20"/>
                <w:szCs w:val="20"/>
              </w:rPr>
              <w:t> </w:t>
            </w:r>
          </w:p>
        </w:tc>
        <w:tc>
          <w:tcPr>
            <w:tcW w:w="1080" w:type="dxa"/>
            <w:tcBorders>
              <w:top w:val="nil"/>
              <w:left w:val="nil"/>
              <w:bottom w:val="single" w:sz="4" w:space="0" w:color="auto"/>
              <w:right w:val="nil"/>
            </w:tcBorders>
            <w:shd w:val="clear" w:color="auto" w:fill="auto"/>
            <w:noWrap/>
            <w:vAlign w:val="bottom"/>
          </w:tcPr>
          <w:p w:rsidR="00D51AB3" w:rsidRPr="005D2577" w:rsidRDefault="00D51AB3" w:rsidP="00F673BF">
            <w:pPr>
              <w:rPr>
                <w:rFonts w:ascii="Calibri" w:hAnsi="Calibri" w:cs="Arial"/>
                <w:color w:val="000000"/>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51AB3" w:rsidRPr="005D2577" w:rsidRDefault="00D51AB3" w:rsidP="00F673BF">
            <w:pPr>
              <w:rPr>
                <w:rFonts w:ascii="Calibri" w:hAnsi="Calibri" w:cs="Arial"/>
                <w:color w:val="000000"/>
                <w:sz w:val="20"/>
                <w:szCs w:val="20"/>
              </w:rPr>
            </w:pPr>
          </w:p>
        </w:tc>
      </w:tr>
    </w:tbl>
    <w:p w:rsidR="00D51AB3" w:rsidRDefault="00D51AB3" w:rsidP="00B22AD8">
      <w:pPr>
        <w:spacing w:after="240"/>
        <w:jc w:val="both"/>
        <w:sectPr w:rsidR="00D51AB3" w:rsidSect="00445218">
          <w:headerReference w:type="first" r:id="rId26"/>
          <w:pgSz w:w="12240" w:h="15840" w:code="1"/>
          <w:pgMar w:top="1440" w:right="1440" w:bottom="1440" w:left="1440" w:header="720" w:footer="720" w:gutter="0"/>
          <w:cols w:space="720"/>
          <w:titlePg/>
          <w:docGrid w:linePitch="360"/>
        </w:sectPr>
      </w:pPr>
    </w:p>
    <w:p w:rsidR="00D51AB3" w:rsidRDefault="00D51AB3" w:rsidP="00B22AD8">
      <w:pPr>
        <w:spacing w:after="240"/>
        <w:jc w:val="both"/>
      </w:pPr>
    </w:p>
    <w:tbl>
      <w:tblPr>
        <w:tblW w:w="9465" w:type="dxa"/>
        <w:tblInd w:w="93" w:type="dxa"/>
        <w:tblLook w:val="04A0" w:firstRow="1" w:lastRow="0" w:firstColumn="1" w:lastColumn="0" w:noHBand="0" w:noVBand="1"/>
      </w:tblPr>
      <w:tblGrid>
        <w:gridCol w:w="833"/>
        <w:gridCol w:w="1162"/>
        <w:gridCol w:w="4585"/>
        <w:gridCol w:w="95"/>
        <w:gridCol w:w="1080"/>
        <w:gridCol w:w="1710"/>
      </w:tblGrid>
      <w:tr w:rsidR="00D51AB3" w:rsidRPr="005D2577" w:rsidTr="00F673BF">
        <w:trPr>
          <w:trHeight w:val="300"/>
        </w:trPr>
        <w:tc>
          <w:tcPr>
            <w:tcW w:w="6580" w:type="dxa"/>
            <w:gridSpan w:val="3"/>
            <w:tcBorders>
              <w:top w:val="single" w:sz="4" w:space="0" w:color="auto"/>
              <w:left w:val="single" w:sz="4" w:space="0" w:color="auto"/>
              <w:bottom w:val="nil"/>
              <w:right w:val="nil"/>
            </w:tcBorders>
            <w:shd w:val="clear" w:color="auto" w:fill="auto"/>
            <w:noWrap/>
            <w:vAlign w:val="bottom"/>
            <w:hideMark/>
          </w:tcPr>
          <w:p w:rsidR="00D51AB3" w:rsidRPr="005D2577" w:rsidRDefault="00D51AB3" w:rsidP="00F673BF">
            <w:pPr>
              <w:rPr>
                <w:b/>
                <w:bCs/>
                <w:color w:val="000000"/>
                <w:sz w:val="20"/>
                <w:szCs w:val="20"/>
              </w:rPr>
            </w:pPr>
            <w:r>
              <w:rPr>
                <w:b/>
                <w:bCs/>
                <w:color w:val="000000"/>
                <w:sz w:val="20"/>
                <w:szCs w:val="20"/>
              </w:rPr>
              <w:t>FIMC HIDEAWAY, INC.</w:t>
            </w:r>
          </w:p>
        </w:tc>
        <w:tc>
          <w:tcPr>
            <w:tcW w:w="2885" w:type="dxa"/>
            <w:gridSpan w:val="3"/>
            <w:tcBorders>
              <w:top w:val="single" w:sz="4" w:space="0" w:color="auto"/>
              <w:left w:val="nil"/>
              <w:bottom w:val="nil"/>
              <w:right w:val="single" w:sz="4" w:space="0" w:color="000000"/>
            </w:tcBorders>
            <w:shd w:val="clear" w:color="auto" w:fill="auto"/>
            <w:noWrap/>
            <w:vAlign w:val="bottom"/>
            <w:hideMark/>
          </w:tcPr>
          <w:p w:rsidR="00D51AB3" w:rsidRPr="005D2577" w:rsidRDefault="00D51AB3" w:rsidP="00F673BF">
            <w:pPr>
              <w:jc w:val="right"/>
              <w:rPr>
                <w:b/>
                <w:bCs/>
                <w:color w:val="000000"/>
                <w:sz w:val="20"/>
                <w:szCs w:val="20"/>
              </w:rPr>
            </w:pPr>
            <w:r>
              <w:rPr>
                <w:b/>
                <w:bCs/>
                <w:color w:val="000000"/>
                <w:sz w:val="20"/>
                <w:szCs w:val="20"/>
              </w:rPr>
              <w:t>SCHEDULE NO. 5-B</w:t>
            </w:r>
          </w:p>
        </w:tc>
      </w:tr>
      <w:tr w:rsidR="00D51AB3" w:rsidRPr="005D2577" w:rsidTr="00F673BF">
        <w:trPr>
          <w:trHeight w:val="300"/>
        </w:trPr>
        <w:tc>
          <w:tcPr>
            <w:tcW w:w="6580" w:type="dxa"/>
            <w:gridSpan w:val="3"/>
            <w:tcBorders>
              <w:top w:val="nil"/>
              <w:left w:val="single" w:sz="4" w:space="0" w:color="auto"/>
              <w:bottom w:val="nil"/>
              <w:right w:val="nil"/>
            </w:tcBorders>
            <w:shd w:val="clear" w:color="auto" w:fill="auto"/>
            <w:noWrap/>
            <w:vAlign w:val="bottom"/>
            <w:hideMark/>
          </w:tcPr>
          <w:p w:rsidR="00D51AB3" w:rsidRPr="005D2577" w:rsidRDefault="00D51AB3" w:rsidP="00F673BF">
            <w:pPr>
              <w:rPr>
                <w:b/>
                <w:bCs/>
                <w:color w:val="000000"/>
                <w:sz w:val="20"/>
                <w:szCs w:val="20"/>
              </w:rPr>
            </w:pPr>
            <w:r w:rsidRPr="005D2577">
              <w:rPr>
                <w:b/>
                <w:bCs/>
                <w:color w:val="000000"/>
                <w:sz w:val="20"/>
                <w:szCs w:val="20"/>
              </w:rPr>
              <w:t xml:space="preserve">TEST YEAR ENDED </w:t>
            </w:r>
            <w:r>
              <w:rPr>
                <w:b/>
                <w:bCs/>
                <w:color w:val="000000"/>
                <w:sz w:val="20"/>
                <w:szCs w:val="20"/>
              </w:rPr>
              <w:t>June 30, 2</w:t>
            </w:r>
            <w:r w:rsidRPr="005D2577">
              <w:rPr>
                <w:b/>
                <w:bCs/>
                <w:color w:val="000000"/>
                <w:sz w:val="20"/>
                <w:szCs w:val="20"/>
              </w:rPr>
              <w:t>01</w:t>
            </w:r>
            <w:r>
              <w:rPr>
                <w:b/>
                <w:bCs/>
                <w:color w:val="000000"/>
                <w:sz w:val="20"/>
                <w:szCs w:val="20"/>
              </w:rPr>
              <w:t>7</w:t>
            </w:r>
          </w:p>
        </w:tc>
        <w:tc>
          <w:tcPr>
            <w:tcW w:w="2885" w:type="dxa"/>
            <w:gridSpan w:val="3"/>
            <w:tcBorders>
              <w:top w:val="nil"/>
              <w:left w:val="nil"/>
              <w:bottom w:val="nil"/>
              <w:right w:val="single" w:sz="4" w:space="0" w:color="000000"/>
            </w:tcBorders>
            <w:shd w:val="clear" w:color="auto" w:fill="auto"/>
            <w:noWrap/>
            <w:vAlign w:val="bottom"/>
            <w:hideMark/>
          </w:tcPr>
          <w:p w:rsidR="00D51AB3" w:rsidRPr="005D2577" w:rsidRDefault="00D51AB3" w:rsidP="00F673BF">
            <w:pPr>
              <w:jc w:val="right"/>
              <w:rPr>
                <w:b/>
                <w:bCs/>
                <w:color w:val="000000"/>
                <w:sz w:val="20"/>
                <w:szCs w:val="20"/>
              </w:rPr>
            </w:pPr>
            <w:r w:rsidRPr="005D2577">
              <w:rPr>
                <w:b/>
                <w:bCs/>
                <w:color w:val="000000"/>
                <w:sz w:val="20"/>
                <w:szCs w:val="20"/>
              </w:rPr>
              <w:t xml:space="preserve">DOCKET NO. </w:t>
            </w:r>
            <w:r>
              <w:rPr>
                <w:b/>
                <w:bCs/>
                <w:color w:val="000000"/>
                <w:sz w:val="20"/>
                <w:szCs w:val="20"/>
              </w:rPr>
              <w:t>20170147</w:t>
            </w:r>
            <w:r w:rsidRPr="005D2577">
              <w:rPr>
                <w:b/>
                <w:bCs/>
                <w:color w:val="000000"/>
                <w:sz w:val="20"/>
                <w:szCs w:val="20"/>
              </w:rPr>
              <w:t>-</w:t>
            </w:r>
            <w:r>
              <w:rPr>
                <w:b/>
                <w:bCs/>
                <w:color w:val="000000"/>
                <w:sz w:val="20"/>
                <w:szCs w:val="20"/>
              </w:rPr>
              <w:t>WS</w:t>
            </w:r>
          </w:p>
        </w:tc>
      </w:tr>
      <w:tr w:rsidR="00D51AB3" w:rsidRPr="005D2577" w:rsidTr="00F673BF">
        <w:trPr>
          <w:trHeight w:val="300"/>
        </w:trPr>
        <w:tc>
          <w:tcPr>
            <w:tcW w:w="9465" w:type="dxa"/>
            <w:gridSpan w:val="6"/>
            <w:tcBorders>
              <w:top w:val="nil"/>
              <w:left w:val="single" w:sz="4" w:space="0" w:color="auto"/>
              <w:bottom w:val="single" w:sz="4" w:space="0" w:color="auto"/>
              <w:right w:val="single" w:sz="4" w:space="0" w:color="000000"/>
            </w:tcBorders>
            <w:shd w:val="clear" w:color="auto" w:fill="auto"/>
            <w:noWrap/>
            <w:vAlign w:val="bottom"/>
            <w:hideMark/>
          </w:tcPr>
          <w:p w:rsidR="00D51AB3" w:rsidRPr="005D2577" w:rsidRDefault="00D51AB3" w:rsidP="00F673BF">
            <w:pPr>
              <w:rPr>
                <w:b/>
                <w:bCs/>
                <w:color w:val="000000"/>
                <w:sz w:val="20"/>
                <w:szCs w:val="20"/>
              </w:rPr>
            </w:pPr>
            <w:r w:rsidRPr="005D2577">
              <w:rPr>
                <w:b/>
                <w:bCs/>
                <w:color w:val="000000"/>
                <w:sz w:val="20"/>
                <w:szCs w:val="20"/>
              </w:rPr>
              <w:t xml:space="preserve">SCHEDULE OF </w:t>
            </w:r>
            <w:r>
              <w:rPr>
                <w:b/>
                <w:bCs/>
                <w:color w:val="000000"/>
                <w:sz w:val="20"/>
                <w:szCs w:val="20"/>
              </w:rPr>
              <w:t>WASTE</w:t>
            </w:r>
            <w:r w:rsidRPr="005D2577">
              <w:rPr>
                <w:b/>
                <w:bCs/>
                <w:color w:val="000000"/>
                <w:sz w:val="20"/>
                <w:szCs w:val="20"/>
              </w:rPr>
              <w:t>WATER PLANT, DEPRECIATION, CIAC, &amp; CIAC AMORT</w:t>
            </w:r>
            <w:r>
              <w:rPr>
                <w:b/>
                <w:bCs/>
                <w:color w:val="000000"/>
                <w:sz w:val="20"/>
                <w:szCs w:val="20"/>
              </w:rPr>
              <w:t>.</w:t>
            </w:r>
            <w:r w:rsidRPr="005D2577">
              <w:rPr>
                <w:b/>
                <w:bCs/>
                <w:color w:val="000000"/>
                <w:sz w:val="20"/>
                <w:szCs w:val="20"/>
              </w:rPr>
              <w:t xml:space="preserve"> BALANCES</w:t>
            </w:r>
          </w:p>
        </w:tc>
      </w:tr>
      <w:tr w:rsidR="00D51AB3" w:rsidRPr="005D2577" w:rsidTr="00F673BF">
        <w:trPr>
          <w:trHeight w:val="1020"/>
        </w:trPr>
        <w:tc>
          <w:tcPr>
            <w:tcW w:w="833" w:type="dxa"/>
            <w:tcBorders>
              <w:top w:val="nil"/>
              <w:left w:val="single" w:sz="4" w:space="0" w:color="auto"/>
              <w:bottom w:val="single" w:sz="4" w:space="0" w:color="auto"/>
              <w:right w:val="nil"/>
            </w:tcBorders>
            <w:shd w:val="clear" w:color="auto" w:fill="auto"/>
            <w:vAlign w:val="bottom"/>
            <w:hideMark/>
          </w:tcPr>
          <w:p w:rsidR="00D51AB3" w:rsidRPr="005D2577" w:rsidRDefault="00D51AB3" w:rsidP="00F673BF">
            <w:pPr>
              <w:jc w:val="center"/>
              <w:rPr>
                <w:b/>
                <w:bCs/>
                <w:sz w:val="20"/>
                <w:szCs w:val="20"/>
              </w:rPr>
            </w:pPr>
            <w:r w:rsidRPr="005D2577">
              <w:rPr>
                <w:b/>
                <w:bCs/>
                <w:sz w:val="20"/>
                <w:szCs w:val="20"/>
              </w:rPr>
              <w:t>ACCT. NO.</w:t>
            </w:r>
          </w:p>
        </w:tc>
        <w:tc>
          <w:tcPr>
            <w:tcW w:w="1162" w:type="dxa"/>
            <w:tcBorders>
              <w:top w:val="nil"/>
              <w:left w:val="nil"/>
              <w:bottom w:val="single" w:sz="4" w:space="0" w:color="auto"/>
              <w:right w:val="nil"/>
            </w:tcBorders>
            <w:shd w:val="clear" w:color="auto" w:fill="auto"/>
            <w:vAlign w:val="bottom"/>
            <w:hideMark/>
          </w:tcPr>
          <w:p w:rsidR="00D51AB3" w:rsidRPr="005D2577" w:rsidRDefault="00D51AB3" w:rsidP="00F673BF">
            <w:pPr>
              <w:jc w:val="center"/>
              <w:rPr>
                <w:b/>
                <w:bCs/>
                <w:sz w:val="20"/>
                <w:szCs w:val="20"/>
              </w:rPr>
            </w:pPr>
            <w:r w:rsidRPr="005D2577">
              <w:rPr>
                <w:b/>
                <w:bCs/>
                <w:sz w:val="20"/>
                <w:szCs w:val="20"/>
              </w:rPr>
              <w:t>DEPR. RATE PER RULE         25-30.140</w:t>
            </w:r>
          </w:p>
        </w:tc>
        <w:tc>
          <w:tcPr>
            <w:tcW w:w="4680" w:type="dxa"/>
            <w:gridSpan w:val="2"/>
            <w:tcBorders>
              <w:top w:val="nil"/>
              <w:left w:val="nil"/>
              <w:bottom w:val="single" w:sz="4" w:space="0" w:color="auto"/>
              <w:right w:val="nil"/>
            </w:tcBorders>
            <w:shd w:val="clear" w:color="auto" w:fill="auto"/>
            <w:vAlign w:val="bottom"/>
            <w:hideMark/>
          </w:tcPr>
          <w:p w:rsidR="00D51AB3" w:rsidRPr="005D2577" w:rsidRDefault="00D51AB3" w:rsidP="00F673BF">
            <w:pPr>
              <w:jc w:val="center"/>
              <w:rPr>
                <w:b/>
                <w:bCs/>
                <w:sz w:val="20"/>
                <w:szCs w:val="20"/>
              </w:rPr>
            </w:pPr>
            <w:r w:rsidRPr="005D2577">
              <w:rPr>
                <w:b/>
                <w:bCs/>
                <w:sz w:val="20"/>
                <w:szCs w:val="20"/>
              </w:rPr>
              <w:t>DESCRIPTION</w:t>
            </w:r>
          </w:p>
        </w:tc>
        <w:tc>
          <w:tcPr>
            <w:tcW w:w="1080" w:type="dxa"/>
            <w:tcBorders>
              <w:top w:val="nil"/>
              <w:left w:val="nil"/>
              <w:bottom w:val="single" w:sz="4" w:space="0" w:color="auto"/>
              <w:right w:val="nil"/>
            </w:tcBorders>
            <w:shd w:val="clear" w:color="auto" w:fill="auto"/>
            <w:vAlign w:val="bottom"/>
            <w:hideMark/>
          </w:tcPr>
          <w:p w:rsidR="00D51AB3" w:rsidRPr="00B453A8" w:rsidRDefault="00D51AB3" w:rsidP="00F673BF">
            <w:pPr>
              <w:jc w:val="center"/>
              <w:rPr>
                <w:b/>
                <w:bCs/>
                <w:sz w:val="20"/>
                <w:szCs w:val="20"/>
              </w:rPr>
            </w:pPr>
            <w:r w:rsidRPr="00B453A8">
              <w:rPr>
                <w:b/>
                <w:bCs/>
                <w:sz w:val="20"/>
                <w:szCs w:val="20"/>
              </w:rPr>
              <w:t>UPIS 6/30/2017 (DEBIT)</w:t>
            </w:r>
          </w:p>
        </w:tc>
        <w:tc>
          <w:tcPr>
            <w:tcW w:w="1710" w:type="dxa"/>
            <w:tcBorders>
              <w:top w:val="nil"/>
              <w:left w:val="nil"/>
              <w:bottom w:val="single" w:sz="4" w:space="0" w:color="auto"/>
              <w:right w:val="single" w:sz="4" w:space="0" w:color="auto"/>
            </w:tcBorders>
            <w:shd w:val="clear" w:color="auto" w:fill="auto"/>
            <w:vAlign w:val="bottom"/>
            <w:hideMark/>
          </w:tcPr>
          <w:p w:rsidR="00D51AB3" w:rsidRPr="00B453A8" w:rsidRDefault="00D51AB3" w:rsidP="00F673BF">
            <w:pPr>
              <w:jc w:val="center"/>
              <w:rPr>
                <w:b/>
                <w:bCs/>
                <w:sz w:val="20"/>
                <w:szCs w:val="20"/>
              </w:rPr>
            </w:pPr>
            <w:r w:rsidRPr="00B453A8">
              <w:rPr>
                <w:b/>
                <w:bCs/>
                <w:sz w:val="20"/>
                <w:szCs w:val="20"/>
              </w:rPr>
              <w:t>ACCUM. DEPR. 6/30/2017 (CREDIT)*</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B453A8" w:rsidRDefault="00D51AB3" w:rsidP="00F673BF">
            <w:pPr>
              <w:jc w:val="center"/>
              <w:rPr>
                <w:sz w:val="20"/>
                <w:szCs w:val="20"/>
              </w:rPr>
            </w:pPr>
            <w:r w:rsidRPr="00B453A8">
              <w:rPr>
                <w:sz w:val="20"/>
                <w:szCs w:val="20"/>
              </w:rPr>
              <w:t>351</w:t>
            </w:r>
          </w:p>
        </w:tc>
        <w:tc>
          <w:tcPr>
            <w:tcW w:w="1162" w:type="dxa"/>
            <w:tcBorders>
              <w:top w:val="nil"/>
              <w:left w:val="nil"/>
              <w:bottom w:val="nil"/>
              <w:right w:val="nil"/>
            </w:tcBorders>
            <w:shd w:val="clear" w:color="auto" w:fill="auto"/>
            <w:noWrap/>
            <w:vAlign w:val="bottom"/>
            <w:hideMark/>
          </w:tcPr>
          <w:p w:rsidR="00D51AB3" w:rsidRPr="00B453A8" w:rsidRDefault="00D51AB3" w:rsidP="00F673BF">
            <w:pPr>
              <w:jc w:val="center"/>
              <w:rPr>
                <w:sz w:val="20"/>
                <w:szCs w:val="20"/>
              </w:rPr>
            </w:pPr>
            <w:r w:rsidRPr="00B453A8">
              <w:rPr>
                <w:sz w:val="20"/>
                <w:szCs w:val="20"/>
              </w:rPr>
              <w:t>2.50%</w:t>
            </w:r>
          </w:p>
        </w:tc>
        <w:tc>
          <w:tcPr>
            <w:tcW w:w="4680" w:type="dxa"/>
            <w:gridSpan w:val="2"/>
            <w:tcBorders>
              <w:top w:val="nil"/>
              <w:left w:val="nil"/>
              <w:bottom w:val="nil"/>
              <w:right w:val="nil"/>
            </w:tcBorders>
            <w:shd w:val="clear" w:color="auto" w:fill="auto"/>
            <w:noWrap/>
            <w:vAlign w:val="bottom"/>
            <w:hideMark/>
          </w:tcPr>
          <w:p w:rsidR="00D51AB3" w:rsidRPr="00B453A8" w:rsidRDefault="00D51AB3" w:rsidP="00F673BF">
            <w:pPr>
              <w:rPr>
                <w:color w:val="000000"/>
                <w:sz w:val="20"/>
                <w:szCs w:val="20"/>
              </w:rPr>
            </w:pPr>
            <w:r w:rsidRPr="00B453A8">
              <w:rPr>
                <w:color w:val="000000"/>
                <w:sz w:val="20"/>
                <w:szCs w:val="20"/>
              </w:rPr>
              <w:t>ORGANIZATION</w:t>
            </w:r>
          </w:p>
        </w:tc>
        <w:tc>
          <w:tcPr>
            <w:tcW w:w="1080" w:type="dxa"/>
            <w:tcBorders>
              <w:top w:val="nil"/>
              <w:left w:val="nil"/>
              <w:bottom w:val="nil"/>
              <w:right w:val="nil"/>
            </w:tcBorders>
            <w:shd w:val="clear" w:color="auto" w:fill="auto"/>
            <w:noWrap/>
            <w:vAlign w:val="bottom"/>
            <w:hideMark/>
          </w:tcPr>
          <w:p w:rsidR="00D51AB3" w:rsidRPr="00B453A8" w:rsidRDefault="00D51AB3" w:rsidP="00F673BF">
            <w:pPr>
              <w:jc w:val="right"/>
              <w:rPr>
                <w:color w:val="000000"/>
                <w:sz w:val="20"/>
                <w:szCs w:val="20"/>
              </w:rPr>
            </w:pPr>
            <w:r w:rsidRPr="00B453A8">
              <w:rPr>
                <w:color w:val="000000"/>
                <w:sz w:val="20"/>
                <w:szCs w:val="20"/>
              </w:rPr>
              <w:t>$2,340</w:t>
            </w:r>
          </w:p>
        </w:tc>
        <w:tc>
          <w:tcPr>
            <w:tcW w:w="1710" w:type="dxa"/>
            <w:tcBorders>
              <w:top w:val="nil"/>
              <w:left w:val="nil"/>
              <w:bottom w:val="nil"/>
              <w:right w:val="single" w:sz="4" w:space="0" w:color="auto"/>
            </w:tcBorders>
            <w:shd w:val="clear" w:color="auto" w:fill="auto"/>
            <w:vAlign w:val="bottom"/>
            <w:hideMark/>
          </w:tcPr>
          <w:p w:rsidR="00D51AB3" w:rsidRPr="00B453A8" w:rsidRDefault="00D51AB3" w:rsidP="00F673BF">
            <w:pPr>
              <w:jc w:val="right"/>
              <w:rPr>
                <w:sz w:val="20"/>
                <w:szCs w:val="20"/>
              </w:rPr>
            </w:pPr>
            <w:r w:rsidRPr="00B453A8">
              <w:rPr>
                <w:sz w:val="20"/>
                <w:szCs w:val="20"/>
              </w:rPr>
              <w:t xml:space="preserve">$2,340 </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tcPr>
          <w:p w:rsidR="00D51AB3" w:rsidRPr="00B453A8" w:rsidRDefault="00D51AB3" w:rsidP="00F673BF">
            <w:pPr>
              <w:jc w:val="center"/>
              <w:rPr>
                <w:sz w:val="20"/>
                <w:szCs w:val="20"/>
              </w:rPr>
            </w:pPr>
            <w:r w:rsidRPr="00B453A8">
              <w:rPr>
                <w:sz w:val="20"/>
                <w:szCs w:val="20"/>
              </w:rPr>
              <w:t>353</w:t>
            </w:r>
          </w:p>
        </w:tc>
        <w:tc>
          <w:tcPr>
            <w:tcW w:w="1162" w:type="dxa"/>
            <w:tcBorders>
              <w:top w:val="nil"/>
              <w:left w:val="nil"/>
              <w:bottom w:val="nil"/>
              <w:right w:val="nil"/>
            </w:tcBorders>
            <w:shd w:val="clear" w:color="auto" w:fill="auto"/>
            <w:noWrap/>
            <w:vAlign w:val="bottom"/>
          </w:tcPr>
          <w:p w:rsidR="00D51AB3" w:rsidRPr="00B453A8" w:rsidRDefault="00D51AB3" w:rsidP="00F673BF">
            <w:pPr>
              <w:jc w:val="center"/>
              <w:rPr>
                <w:sz w:val="20"/>
                <w:szCs w:val="20"/>
              </w:rPr>
            </w:pPr>
            <w:r w:rsidRPr="00B453A8">
              <w:rPr>
                <w:sz w:val="20"/>
                <w:szCs w:val="20"/>
              </w:rPr>
              <w:t>N/A</w:t>
            </w:r>
          </w:p>
        </w:tc>
        <w:tc>
          <w:tcPr>
            <w:tcW w:w="4680" w:type="dxa"/>
            <w:gridSpan w:val="2"/>
            <w:tcBorders>
              <w:top w:val="nil"/>
              <w:left w:val="nil"/>
              <w:bottom w:val="nil"/>
              <w:right w:val="nil"/>
            </w:tcBorders>
            <w:shd w:val="clear" w:color="auto" w:fill="auto"/>
            <w:noWrap/>
            <w:vAlign w:val="bottom"/>
          </w:tcPr>
          <w:p w:rsidR="00D51AB3" w:rsidRPr="00B453A8" w:rsidRDefault="00D51AB3" w:rsidP="00F673BF">
            <w:pPr>
              <w:rPr>
                <w:color w:val="000000"/>
                <w:sz w:val="20"/>
                <w:szCs w:val="20"/>
              </w:rPr>
            </w:pPr>
            <w:r w:rsidRPr="00B453A8">
              <w:rPr>
                <w:color w:val="000000"/>
                <w:sz w:val="20"/>
                <w:szCs w:val="20"/>
              </w:rPr>
              <w:t>LAND AND LAND RIGHTS</w:t>
            </w:r>
          </w:p>
        </w:tc>
        <w:tc>
          <w:tcPr>
            <w:tcW w:w="1080" w:type="dxa"/>
            <w:tcBorders>
              <w:top w:val="nil"/>
              <w:left w:val="nil"/>
              <w:bottom w:val="nil"/>
              <w:right w:val="nil"/>
            </w:tcBorders>
            <w:shd w:val="clear" w:color="auto" w:fill="auto"/>
            <w:noWrap/>
            <w:vAlign w:val="bottom"/>
          </w:tcPr>
          <w:p w:rsidR="00D51AB3" w:rsidRPr="00B453A8" w:rsidRDefault="00D51AB3" w:rsidP="00F673BF">
            <w:pPr>
              <w:jc w:val="right"/>
              <w:rPr>
                <w:color w:val="000000"/>
                <w:sz w:val="20"/>
                <w:szCs w:val="20"/>
              </w:rPr>
            </w:pPr>
            <w:r w:rsidRPr="00B453A8">
              <w:rPr>
                <w:color w:val="000000"/>
                <w:sz w:val="20"/>
                <w:szCs w:val="20"/>
              </w:rPr>
              <w:t>8,488</w:t>
            </w:r>
          </w:p>
        </w:tc>
        <w:tc>
          <w:tcPr>
            <w:tcW w:w="1710" w:type="dxa"/>
            <w:tcBorders>
              <w:top w:val="nil"/>
              <w:left w:val="nil"/>
              <w:bottom w:val="nil"/>
              <w:right w:val="single" w:sz="4" w:space="0" w:color="auto"/>
            </w:tcBorders>
            <w:shd w:val="clear" w:color="auto" w:fill="auto"/>
            <w:vAlign w:val="bottom"/>
          </w:tcPr>
          <w:p w:rsidR="00D51AB3" w:rsidRPr="00B453A8" w:rsidRDefault="00D51AB3" w:rsidP="00F673BF">
            <w:pPr>
              <w:jc w:val="right"/>
              <w:rPr>
                <w:sz w:val="20"/>
                <w:szCs w:val="20"/>
              </w:rPr>
            </w:pPr>
            <w:r w:rsidRPr="00B453A8">
              <w:rPr>
                <w:sz w:val="20"/>
                <w:szCs w:val="20"/>
              </w:rPr>
              <w:t>N/A</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B453A8" w:rsidRDefault="00D51AB3" w:rsidP="00F673BF">
            <w:pPr>
              <w:jc w:val="center"/>
              <w:rPr>
                <w:sz w:val="20"/>
                <w:szCs w:val="20"/>
              </w:rPr>
            </w:pPr>
            <w:r w:rsidRPr="00B453A8">
              <w:rPr>
                <w:sz w:val="20"/>
                <w:szCs w:val="20"/>
              </w:rPr>
              <w:t>354</w:t>
            </w:r>
          </w:p>
        </w:tc>
        <w:tc>
          <w:tcPr>
            <w:tcW w:w="1162" w:type="dxa"/>
            <w:tcBorders>
              <w:top w:val="nil"/>
              <w:left w:val="nil"/>
              <w:bottom w:val="nil"/>
              <w:right w:val="nil"/>
            </w:tcBorders>
            <w:shd w:val="clear" w:color="auto" w:fill="auto"/>
            <w:noWrap/>
            <w:vAlign w:val="bottom"/>
            <w:hideMark/>
          </w:tcPr>
          <w:p w:rsidR="00D51AB3" w:rsidRPr="00B453A8" w:rsidRDefault="00D51AB3" w:rsidP="00F673BF">
            <w:pPr>
              <w:jc w:val="center"/>
              <w:rPr>
                <w:sz w:val="20"/>
                <w:szCs w:val="20"/>
              </w:rPr>
            </w:pPr>
            <w:r w:rsidRPr="00B453A8">
              <w:rPr>
                <w:sz w:val="20"/>
                <w:szCs w:val="20"/>
              </w:rPr>
              <w:t>3.70%</w:t>
            </w:r>
          </w:p>
        </w:tc>
        <w:tc>
          <w:tcPr>
            <w:tcW w:w="4680" w:type="dxa"/>
            <w:gridSpan w:val="2"/>
            <w:tcBorders>
              <w:top w:val="nil"/>
              <w:left w:val="nil"/>
              <w:bottom w:val="nil"/>
              <w:right w:val="nil"/>
            </w:tcBorders>
            <w:shd w:val="clear" w:color="auto" w:fill="auto"/>
            <w:noWrap/>
            <w:vAlign w:val="bottom"/>
            <w:hideMark/>
          </w:tcPr>
          <w:p w:rsidR="00D51AB3" w:rsidRPr="00B453A8" w:rsidRDefault="00D51AB3" w:rsidP="00F673BF">
            <w:pPr>
              <w:rPr>
                <w:color w:val="000000"/>
                <w:sz w:val="20"/>
                <w:szCs w:val="20"/>
              </w:rPr>
            </w:pPr>
            <w:r w:rsidRPr="00B453A8">
              <w:rPr>
                <w:color w:val="000000"/>
                <w:sz w:val="20"/>
                <w:szCs w:val="20"/>
              </w:rPr>
              <w:t>STRUCTURES AND IMPROVEMENTS</w:t>
            </w:r>
          </w:p>
        </w:tc>
        <w:tc>
          <w:tcPr>
            <w:tcW w:w="1080" w:type="dxa"/>
            <w:tcBorders>
              <w:top w:val="nil"/>
              <w:left w:val="nil"/>
              <w:bottom w:val="nil"/>
              <w:right w:val="nil"/>
            </w:tcBorders>
            <w:shd w:val="clear" w:color="auto" w:fill="auto"/>
            <w:noWrap/>
            <w:vAlign w:val="bottom"/>
            <w:hideMark/>
          </w:tcPr>
          <w:p w:rsidR="00D51AB3" w:rsidRPr="00B453A8" w:rsidRDefault="00D51AB3" w:rsidP="00F673BF">
            <w:pPr>
              <w:jc w:val="right"/>
              <w:rPr>
                <w:color w:val="000000"/>
                <w:sz w:val="20"/>
                <w:szCs w:val="20"/>
              </w:rPr>
            </w:pPr>
            <w:r w:rsidRPr="00B453A8">
              <w:rPr>
                <w:color w:val="000000"/>
                <w:sz w:val="20"/>
                <w:szCs w:val="20"/>
              </w:rPr>
              <w:t>3,437</w:t>
            </w:r>
          </w:p>
        </w:tc>
        <w:tc>
          <w:tcPr>
            <w:tcW w:w="1710" w:type="dxa"/>
            <w:tcBorders>
              <w:top w:val="nil"/>
              <w:left w:val="nil"/>
              <w:bottom w:val="nil"/>
              <w:right w:val="single" w:sz="4" w:space="0" w:color="auto"/>
            </w:tcBorders>
            <w:shd w:val="clear" w:color="auto" w:fill="auto"/>
            <w:vAlign w:val="bottom"/>
            <w:hideMark/>
          </w:tcPr>
          <w:p w:rsidR="00D51AB3" w:rsidRPr="00B453A8" w:rsidRDefault="00D51AB3" w:rsidP="00F673BF">
            <w:pPr>
              <w:jc w:val="right"/>
              <w:rPr>
                <w:sz w:val="20"/>
                <w:szCs w:val="20"/>
              </w:rPr>
            </w:pPr>
            <w:r w:rsidRPr="00B453A8">
              <w:rPr>
                <w:sz w:val="20"/>
                <w:szCs w:val="20"/>
              </w:rPr>
              <w:t xml:space="preserve">1,900 </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B453A8" w:rsidRDefault="00D51AB3" w:rsidP="00F673BF">
            <w:pPr>
              <w:jc w:val="center"/>
              <w:rPr>
                <w:sz w:val="20"/>
                <w:szCs w:val="20"/>
              </w:rPr>
            </w:pPr>
            <w:r w:rsidRPr="00B453A8">
              <w:rPr>
                <w:sz w:val="20"/>
                <w:szCs w:val="20"/>
              </w:rPr>
              <w:t>360</w:t>
            </w:r>
          </w:p>
        </w:tc>
        <w:tc>
          <w:tcPr>
            <w:tcW w:w="1162" w:type="dxa"/>
            <w:tcBorders>
              <w:top w:val="nil"/>
              <w:left w:val="nil"/>
              <w:bottom w:val="nil"/>
              <w:right w:val="nil"/>
            </w:tcBorders>
            <w:shd w:val="clear" w:color="auto" w:fill="auto"/>
            <w:noWrap/>
            <w:vAlign w:val="bottom"/>
            <w:hideMark/>
          </w:tcPr>
          <w:p w:rsidR="00D51AB3" w:rsidRPr="00B453A8" w:rsidRDefault="00D51AB3" w:rsidP="00F673BF">
            <w:pPr>
              <w:jc w:val="center"/>
              <w:rPr>
                <w:sz w:val="20"/>
                <w:szCs w:val="20"/>
              </w:rPr>
            </w:pPr>
            <w:r w:rsidRPr="00B453A8">
              <w:rPr>
                <w:sz w:val="20"/>
                <w:szCs w:val="20"/>
              </w:rPr>
              <w:t>3.70%</w:t>
            </w:r>
          </w:p>
        </w:tc>
        <w:tc>
          <w:tcPr>
            <w:tcW w:w="4680" w:type="dxa"/>
            <w:gridSpan w:val="2"/>
            <w:tcBorders>
              <w:top w:val="nil"/>
              <w:left w:val="nil"/>
              <w:bottom w:val="nil"/>
              <w:right w:val="nil"/>
            </w:tcBorders>
            <w:shd w:val="clear" w:color="auto" w:fill="auto"/>
            <w:noWrap/>
            <w:vAlign w:val="bottom"/>
            <w:hideMark/>
          </w:tcPr>
          <w:p w:rsidR="00D51AB3" w:rsidRPr="00B453A8" w:rsidRDefault="00D51AB3" w:rsidP="00F673BF">
            <w:pPr>
              <w:rPr>
                <w:color w:val="000000"/>
                <w:sz w:val="20"/>
                <w:szCs w:val="20"/>
              </w:rPr>
            </w:pPr>
            <w:r w:rsidRPr="00B453A8">
              <w:rPr>
                <w:color w:val="000000"/>
                <w:sz w:val="20"/>
                <w:szCs w:val="20"/>
              </w:rPr>
              <w:t>COLLECTIONS SEWERS - FORCE</w:t>
            </w:r>
          </w:p>
        </w:tc>
        <w:tc>
          <w:tcPr>
            <w:tcW w:w="1080" w:type="dxa"/>
            <w:tcBorders>
              <w:top w:val="nil"/>
              <w:left w:val="nil"/>
              <w:bottom w:val="nil"/>
              <w:right w:val="nil"/>
            </w:tcBorders>
            <w:shd w:val="clear" w:color="auto" w:fill="auto"/>
            <w:noWrap/>
            <w:vAlign w:val="bottom"/>
            <w:hideMark/>
          </w:tcPr>
          <w:p w:rsidR="00D51AB3" w:rsidRPr="00B453A8" w:rsidRDefault="00D51AB3" w:rsidP="00F673BF">
            <w:pPr>
              <w:jc w:val="right"/>
              <w:rPr>
                <w:color w:val="000000"/>
                <w:sz w:val="20"/>
                <w:szCs w:val="20"/>
              </w:rPr>
            </w:pPr>
            <w:r w:rsidRPr="00B453A8">
              <w:rPr>
                <w:color w:val="000000"/>
                <w:sz w:val="20"/>
                <w:szCs w:val="20"/>
              </w:rPr>
              <w:t>4,775</w:t>
            </w:r>
          </w:p>
        </w:tc>
        <w:tc>
          <w:tcPr>
            <w:tcW w:w="1710" w:type="dxa"/>
            <w:tcBorders>
              <w:top w:val="nil"/>
              <w:left w:val="nil"/>
              <w:bottom w:val="nil"/>
              <w:right w:val="single" w:sz="4" w:space="0" w:color="auto"/>
            </w:tcBorders>
            <w:shd w:val="clear" w:color="auto" w:fill="auto"/>
            <w:vAlign w:val="bottom"/>
            <w:hideMark/>
          </w:tcPr>
          <w:p w:rsidR="00D51AB3" w:rsidRPr="00B453A8" w:rsidRDefault="00D51AB3" w:rsidP="00F673BF">
            <w:pPr>
              <w:jc w:val="right"/>
              <w:rPr>
                <w:sz w:val="20"/>
                <w:szCs w:val="20"/>
              </w:rPr>
            </w:pPr>
            <w:r w:rsidRPr="00B453A8">
              <w:rPr>
                <w:sz w:val="20"/>
                <w:szCs w:val="20"/>
              </w:rPr>
              <w:t>4,775</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B453A8" w:rsidRDefault="00D51AB3" w:rsidP="00F673BF">
            <w:pPr>
              <w:jc w:val="center"/>
              <w:rPr>
                <w:sz w:val="20"/>
                <w:szCs w:val="20"/>
              </w:rPr>
            </w:pPr>
            <w:r w:rsidRPr="00B453A8">
              <w:rPr>
                <w:sz w:val="20"/>
                <w:szCs w:val="20"/>
              </w:rPr>
              <w:t>361</w:t>
            </w:r>
          </w:p>
        </w:tc>
        <w:tc>
          <w:tcPr>
            <w:tcW w:w="1162" w:type="dxa"/>
            <w:tcBorders>
              <w:top w:val="nil"/>
              <w:left w:val="nil"/>
              <w:bottom w:val="nil"/>
              <w:right w:val="nil"/>
            </w:tcBorders>
            <w:shd w:val="clear" w:color="auto" w:fill="auto"/>
            <w:noWrap/>
            <w:vAlign w:val="bottom"/>
            <w:hideMark/>
          </w:tcPr>
          <w:p w:rsidR="00D51AB3" w:rsidRPr="00B453A8" w:rsidRDefault="00D51AB3" w:rsidP="00F673BF">
            <w:pPr>
              <w:jc w:val="center"/>
              <w:rPr>
                <w:sz w:val="20"/>
                <w:szCs w:val="20"/>
              </w:rPr>
            </w:pPr>
            <w:r w:rsidRPr="00B453A8">
              <w:rPr>
                <w:sz w:val="20"/>
                <w:szCs w:val="20"/>
              </w:rPr>
              <w:t>2.50%</w:t>
            </w:r>
          </w:p>
        </w:tc>
        <w:tc>
          <w:tcPr>
            <w:tcW w:w="4680" w:type="dxa"/>
            <w:gridSpan w:val="2"/>
            <w:tcBorders>
              <w:top w:val="nil"/>
              <w:left w:val="nil"/>
              <w:bottom w:val="nil"/>
              <w:right w:val="nil"/>
            </w:tcBorders>
            <w:shd w:val="clear" w:color="auto" w:fill="auto"/>
            <w:noWrap/>
            <w:vAlign w:val="bottom"/>
            <w:hideMark/>
          </w:tcPr>
          <w:p w:rsidR="00D51AB3" w:rsidRPr="00B453A8" w:rsidRDefault="00D51AB3" w:rsidP="00F673BF">
            <w:pPr>
              <w:rPr>
                <w:color w:val="000000"/>
                <w:sz w:val="20"/>
                <w:szCs w:val="20"/>
              </w:rPr>
            </w:pPr>
            <w:r w:rsidRPr="00B453A8">
              <w:rPr>
                <w:color w:val="000000"/>
                <w:sz w:val="20"/>
                <w:szCs w:val="20"/>
              </w:rPr>
              <w:t>COLLECTION SEWERS - GRAVITY</w:t>
            </w:r>
          </w:p>
        </w:tc>
        <w:tc>
          <w:tcPr>
            <w:tcW w:w="1080" w:type="dxa"/>
            <w:tcBorders>
              <w:top w:val="nil"/>
              <w:left w:val="nil"/>
              <w:bottom w:val="nil"/>
              <w:right w:val="nil"/>
            </w:tcBorders>
            <w:shd w:val="clear" w:color="auto" w:fill="auto"/>
            <w:noWrap/>
            <w:vAlign w:val="bottom"/>
            <w:hideMark/>
          </w:tcPr>
          <w:p w:rsidR="00D51AB3" w:rsidRPr="00B453A8" w:rsidRDefault="00D51AB3" w:rsidP="00F673BF">
            <w:pPr>
              <w:jc w:val="right"/>
              <w:rPr>
                <w:color w:val="000000"/>
                <w:sz w:val="20"/>
                <w:szCs w:val="20"/>
              </w:rPr>
            </w:pPr>
            <w:r w:rsidRPr="00B453A8">
              <w:rPr>
                <w:color w:val="000000"/>
                <w:sz w:val="20"/>
                <w:szCs w:val="20"/>
              </w:rPr>
              <w:t>186,826</w:t>
            </w:r>
          </w:p>
        </w:tc>
        <w:tc>
          <w:tcPr>
            <w:tcW w:w="1710" w:type="dxa"/>
            <w:tcBorders>
              <w:top w:val="nil"/>
              <w:left w:val="nil"/>
              <w:bottom w:val="nil"/>
              <w:right w:val="single" w:sz="4" w:space="0" w:color="auto"/>
            </w:tcBorders>
            <w:shd w:val="clear" w:color="auto" w:fill="auto"/>
            <w:vAlign w:val="bottom"/>
            <w:hideMark/>
          </w:tcPr>
          <w:p w:rsidR="00D51AB3" w:rsidRPr="00B453A8" w:rsidRDefault="00D51AB3" w:rsidP="00F673BF">
            <w:pPr>
              <w:jc w:val="right"/>
              <w:rPr>
                <w:sz w:val="20"/>
                <w:szCs w:val="20"/>
              </w:rPr>
            </w:pPr>
            <w:r w:rsidRPr="00B453A8">
              <w:rPr>
                <w:sz w:val="20"/>
                <w:szCs w:val="20"/>
              </w:rPr>
              <w:t xml:space="preserve">163,459 </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B453A8" w:rsidRDefault="00D51AB3" w:rsidP="00F673BF">
            <w:pPr>
              <w:jc w:val="center"/>
              <w:rPr>
                <w:sz w:val="20"/>
                <w:szCs w:val="20"/>
              </w:rPr>
            </w:pPr>
            <w:r w:rsidRPr="00B453A8">
              <w:rPr>
                <w:sz w:val="20"/>
                <w:szCs w:val="20"/>
              </w:rPr>
              <w:t>363</w:t>
            </w:r>
          </w:p>
        </w:tc>
        <w:tc>
          <w:tcPr>
            <w:tcW w:w="1162" w:type="dxa"/>
            <w:tcBorders>
              <w:top w:val="nil"/>
              <w:left w:val="nil"/>
              <w:bottom w:val="nil"/>
              <w:right w:val="nil"/>
            </w:tcBorders>
            <w:shd w:val="clear" w:color="auto" w:fill="auto"/>
            <w:noWrap/>
            <w:vAlign w:val="bottom"/>
            <w:hideMark/>
          </w:tcPr>
          <w:p w:rsidR="00D51AB3" w:rsidRPr="00B453A8" w:rsidRDefault="00D51AB3" w:rsidP="00F673BF">
            <w:pPr>
              <w:jc w:val="center"/>
              <w:rPr>
                <w:sz w:val="20"/>
                <w:szCs w:val="20"/>
              </w:rPr>
            </w:pPr>
            <w:r w:rsidRPr="00B453A8">
              <w:rPr>
                <w:sz w:val="20"/>
                <w:szCs w:val="20"/>
              </w:rPr>
              <w:t>2.86%</w:t>
            </w:r>
          </w:p>
        </w:tc>
        <w:tc>
          <w:tcPr>
            <w:tcW w:w="4680" w:type="dxa"/>
            <w:gridSpan w:val="2"/>
            <w:tcBorders>
              <w:top w:val="nil"/>
              <w:left w:val="nil"/>
              <w:bottom w:val="nil"/>
              <w:right w:val="nil"/>
            </w:tcBorders>
            <w:shd w:val="clear" w:color="auto" w:fill="auto"/>
            <w:noWrap/>
            <w:vAlign w:val="bottom"/>
            <w:hideMark/>
          </w:tcPr>
          <w:p w:rsidR="00D51AB3" w:rsidRPr="00B453A8" w:rsidRDefault="00D51AB3" w:rsidP="00F673BF">
            <w:pPr>
              <w:rPr>
                <w:color w:val="000000"/>
                <w:sz w:val="20"/>
                <w:szCs w:val="20"/>
              </w:rPr>
            </w:pPr>
            <w:r w:rsidRPr="00B453A8">
              <w:rPr>
                <w:color w:val="000000"/>
                <w:sz w:val="20"/>
                <w:szCs w:val="20"/>
              </w:rPr>
              <w:t>SERVICES TO CUSTOMERS</w:t>
            </w:r>
          </w:p>
        </w:tc>
        <w:tc>
          <w:tcPr>
            <w:tcW w:w="1080" w:type="dxa"/>
            <w:tcBorders>
              <w:top w:val="nil"/>
              <w:left w:val="nil"/>
              <w:bottom w:val="nil"/>
              <w:right w:val="nil"/>
            </w:tcBorders>
            <w:shd w:val="clear" w:color="auto" w:fill="auto"/>
            <w:noWrap/>
            <w:vAlign w:val="bottom"/>
            <w:hideMark/>
          </w:tcPr>
          <w:p w:rsidR="00D51AB3" w:rsidRPr="00B453A8" w:rsidRDefault="00D51AB3" w:rsidP="00F673BF">
            <w:pPr>
              <w:jc w:val="right"/>
              <w:rPr>
                <w:color w:val="000000"/>
                <w:sz w:val="20"/>
                <w:szCs w:val="20"/>
              </w:rPr>
            </w:pPr>
            <w:r w:rsidRPr="00B453A8">
              <w:rPr>
                <w:color w:val="000000"/>
                <w:sz w:val="20"/>
                <w:szCs w:val="20"/>
              </w:rPr>
              <w:t>17,780</w:t>
            </w:r>
          </w:p>
        </w:tc>
        <w:tc>
          <w:tcPr>
            <w:tcW w:w="1710" w:type="dxa"/>
            <w:tcBorders>
              <w:top w:val="nil"/>
              <w:left w:val="nil"/>
              <w:bottom w:val="nil"/>
              <w:right w:val="single" w:sz="4" w:space="0" w:color="auto"/>
            </w:tcBorders>
            <w:shd w:val="clear" w:color="auto" w:fill="auto"/>
            <w:vAlign w:val="bottom"/>
            <w:hideMark/>
          </w:tcPr>
          <w:p w:rsidR="00D51AB3" w:rsidRPr="00B453A8" w:rsidRDefault="00D51AB3" w:rsidP="00F673BF">
            <w:pPr>
              <w:jc w:val="right"/>
              <w:rPr>
                <w:sz w:val="20"/>
                <w:szCs w:val="20"/>
              </w:rPr>
            </w:pPr>
            <w:r w:rsidRPr="00B453A8">
              <w:rPr>
                <w:sz w:val="20"/>
                <w:szCs w:val="20"/>
              </w:rPr>
              <w:t xml:space="preserve">16,876 </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B453A8" w:rsidRDefault="00D51AB3" w:rsidP="00F673BF">
            <w:pPr>
              <w:jc w:val="center"/>
              <w:rPr>
                <w:sz w:val="20"/>
                <w:szCs w:val="20"/>
              </w:rPr>
            </w:pPr>
            <w:r w:rsidRPr="00B453A8">
              <w:rPr>
                <w:sz w:val="20"/>
                <w:szCs w:val="20"/>
              </w:rPr>
              <w:t>370</w:t>
            </w:r>
          </w:p>
        </w:tc>
        <w:tc>
          <w:tcPr>
            <w:tcW w:w="1162" w:type="dxa"/>
            <w:tcBorders>
              <w:top w:val="nil"/>
              <w:left w:val="nil"/>
              <w:bottom w:val="nil"/>
              <w:right w:val="nil"/>
            </w:tcBorders>
            <w:shd w:val="clear" w:color="auto" w:fill="auto"/>
            <w:noWrap/>
            <w:vAlign w:val="bottom"/>
            <w:hideMark/>
          </w:tcPr>
          <w:p w:rsidR="00D51AB3" w:rsidRPr="00B453A8" w:rsidRDefault="00D51AB3" w:rsidP="00F673BF">
            <w:pPr>
              <w:jc w:val="center"/>
              <w:rPr>
                <w:sz w:val="20"/>
                <w:szCs w:val="20"/>
              </w:rPr>
            </w:pPr>
            <w:r w:rsidRPr="00B453A8">
              <w:rPr>
                <w:sz w:val="20"/>
                <w:szCs w:val="20"/>
              </w:rPr>
              <w:t>4.00%</w:t>
            </w:r>
          </w:p>
        </w:tc>
        <w:tc>
          <w:tcPr>
            <w:tcW w:w="4680" w:type="dxa"/>
            <w:gridSpan w:val="2"/>
            <w:tcBorders>
              <w:top w:val="nil"/>
              <w:left w:val="nil"/>
              <w:bottom w:val="nil"/>
              <w:right w:val="nil"/>
            </w:tcBorders>
            <w:shd w:val="clear" w:color="auto" w:fill="auto"/>
            <w:noWrap/>
            <w:vAlign w:val="bottom"/>
            <w:hideMark/>
          </w:tcPr>
          <w:p w:rsidR="00D51AB3" w:rsidRPr="00B453A8" w:rsidRDefault="00D51AB3" w:rsidP="00F673BF">
            <w:pPr>
              <w:rPr>
                <w:color w:val="000000"/>
                <w:sz w:val="20"/>
                <w:szCs w:val="20"/>
              </w:rPr>
            </w:pPr>
            <w:r w:rsidRPr="00B453A8">
              <w:rPr>
                <w:color w:val="000000"/>
                <w:sz w:val="20"/>
                <w:szCs w:val="20"/>
              </w:rPr>
              <w:t>RECEIVING WELLS</w:t>
            </w:r>
          </w:p>
        </w:tc>
        <w:tc>
          <w:tcPr>
            <w:tcW w:w="1080" w:type="dxa"/>
            <w:tcBorders>
              <w:top w:val="nil"/>
              <w:left w:val="nil"/>
              <w:bottom w:val="nil"/>
              <w:right w:val="nil"/>
            </w:tcBorders>
            <w:shd w:val="clear" w:color="auto" w:fill="auto"/>
            <w:noWrap/>
            <w:vAlign w:val="bottom"/>
            <w:hideMark/>
          </w:tcPr>
          <w:p w:rsidR="00D51AB3" w:rsidRPr="00B453A8" w:rsidRDefault="00D51AB3" w:rsidP="00F673BF">
            <w:pPr>
              <w:jc w:val="right"/>
              <w:rPr>
                <w:color w:val="000000"/>
                <w:sz w:val="20"/>
                <w:szCs w:val="20"/>
              </w:rPr>
            </w:pPr>
            <w:r w:rsidRPr="00B453A8">
              <w:rPr>
                <w:color w:val="000000"/>
                <w:sz w:val="20"/>
                <w:szCs w:val="20"/>
              </w:rPr>
              <w:t>12,538</w:t>
            </w:r>
          </w:p>
        </w:tc>
        <w:tc>
          <w:tcPr>
            <w:tcW w:w="1710" w:type="dxa"/>
            <w:tcBorders>
              <w:top w:val="nil"/>
              <w:left w:val="nil"/>
              <w:bottom w:val="nil"/>
              <w:right w:val="single" w:sz="4" w:space="0" w:color="auto"/>
            </w:tcBorders>
            <w:shd w:val="clear" w:color="auto" w:fill="auto"/>
            <w:vAlign w:val="bottom"/>
            <w:hideMark/>
          </w:tcPr>
          <w:p w:rsidR="00D51AB3" w:rsidRPr="00B453A8" w:rsidRDefault="00D51AB3" w:rsidP="00F673BF">
            <w:pPr>
              <w:jc w:val="right"/>
              <w:rPr>
                <w:sz w:val="20"/>
                <w:szCs w:val="20"/>
              </w:rPr>
            </w:pPr>
            <w:r w:rsidRPr="00B453A8">
              <w:rPr>
                <w:sz w:val="20"/>
                <w:szCs w:val="20"/>
              </w:rPr>
              <w:t>7,317</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B453A8" w:rsidRDefault="00D51AB3" w:rsidP="00F673BF">
            <w:pPr>
              <w:jc w:val="center"/>
              <w:rPr>
                <w:sz w:val="20"/>
                <w:szCs w:val="20"/>
              </w:rPr>
            </w:pPr>
            <w:r w:rsidRPr="00B453A8">
              <w:rPr>
                <w:sz w:val="20"/>
                <w:szCs w:val="20"/>
              </w:rPr>
              <w:t>380</w:t>
            </w:r>
          </w:p>
        </w:tc>
        <w:tc>
          <w:tcPr>
            <w:tcW w:w="1162" w:type="dxa"/>
            <w:tcBorders>
              <w:top w:val="nil"/>
              <w:left w:val="nil"/>
              <w:bottom w:val="nil"/>
              <w:right w:val="nil"/>
            </w:tcBorders>
            <w:shd w:val="clear" w:color="auto" w:fill="auto"/>
            <w:noWrap/>
            <w:vAlign w:val="bottom"/>
            <w:hideMark/>
          </w:tcPr>
          <w:p w:rsidR="00D51AB3" w:rsidRPr="00B453A8" w:rsidRDefault="00D51AB3" w:rsidP="00F673BF">
            <w:pPr>
              <w:jc w:val="center"/>
              <w:rPr>
                <w:sz w:val="20"/>
                <w:szCs w:val="20"/>
              </w:rPr>
            </w:pPr>
            <w:r w:rsidRPr="00B453A8">
              <w:rPr>
                <w:sz w:val="20"/>
                <w:szCs w:val="20"/>
              </w:rPr>
              <w:t>6.67%</w:t>
            </w:r>
          </w:p>
        </w:tc>
        <w:tc>
          <w:tcPr>
            <w:tcW w:w="4680" w:type="dxa"/>
            <w:gridSpan w:val="2"/>
            <w:tcBorders>
              <w:top w:val="nil"/>
              <w:left w:val="nil"/>
              <w:bottom w:val="nil"/>
              <w:right w:val="nil"/>
            </w:tcBorders>
            <w:shd w:val="clear" w:color="auto" w:fill="auto"/>
            <w:noWrap/>
            <w:vAlign w:val="bottom"/>
            <w:hideMark/>
          </w:tcPr>
          <w:p w:rsidR="00D51AB3" w:rsidRPr="00B453A8" w:rsidRDefault="00D51AB3" w:rsidP="00F673BF">
            <w:pPr>
              <w:rPr>
                <w:color w:val="000000"/>
                <w:sz w:val="20"/>
                <w:szCs w:val="20"/>
              </w:rPr>
            </w:pPr>
            <w:r w:rsidRPr="00B453A8">
              <w:rPr>
                <w:color w:val="000000"/>
                <w:sz w:val="20"/>
                <w:szCs w:val="20"/>
              </w:rPr>
              <w:t>TREATMENT AND DISPOSAL EQUIPMENT</w:t>
            </w:r>
          </w:p>
        </w:tc>
        <w:tc>
          <w:tcPr>
            <w:tcW w:w="1080" w:type="dxa"/>
            <w:tcBorders>
              <w:top w:val="nil"/>
              <w:left w:val="nil"/>
              <w:bottom w:val="nil"/>
              <w:right w:val="nil"/>
            </w:tcBorders>
            <w:shd w:val="clear" w:color="auto" w:fill="auto"/>
            <w:noWrap/>
            <w:vAlign w:val="bottom"/>
            <w:hideMark/>
          </w:tcPr>
          <w:p w:rsidR="00D51AB3" w:rsidRPr="00B453A8" w:rsidRDefault="00D51AB3" w:rsidP="00F673BF">
            <w:pPr>
              <w:jc w:val="right"/>
              <w:rPr>
                <w:color w:val="000000"/>
                <w:sz w:val="20"/>
                <w:szCs w:val="20"/>
              </w:rPr>
            </w:pPr>
            <w:r w:rsidRPr="00B453A8">
              <w:rPr>
                <w:color w:val="000000"/>
                <w:sz w:val="20"/>
                <w:szCs w:val="20"/>
              </w:rPr>
              <w:t>70,526</w:t>
            </w:r>
          </w:p>
        </w:tc>
        <w:tc>
          <w:tcPr>
            <w:tcW w:w="1710" w:type="dxa"/>
            <w:tcBorders>
              <w:top w:val="nil"/>
              <w:left w:val="nil"/>
              <w:bottom w:val="nil"/>
              <w:right w:val="single" w:sz="4" w:space="0" w:color="auto"/>
            </w:tcBorders>
            <w:shd w:val="clear" w:color="auto" w:fill="auto"/>
            <w:vAlign w:val="bottom"/>
            <w:hideMark/>
          </w:tcPr>
          <w:p w:rsidR="00D51AB3" w:rsidRPr="00B453A8" w:rsidRDefault="00D51AB3" w:rsidP="00F673BF">
            <w:pPr>
              <w:jc w:val="right"/>
              <w:rPr>
                <w:sz w:val="20"/>
                <w:szCs w:val="20"/>
              </w:rPr>
            </w:pPr>
            <w:r w:rsidRPr="00B453A8">
              <w:rPr>
                <w:sz w:val="20"/>
                <w:szCs w:val="20"/>
              </w:rPr>
              <w:t xml:space="preserve">70,526 </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tcPr>
          <w:p w:rsidR="00D51AB3" w:rsidRPr="00B453A8" w:rsidRDefault="00D51AB3" w:rsidP="00F673BF">
            <w:pPr>
              <w:jc w:val="center"/>
              <w:rPr>
                <w:sz w:val="20"/>
                <w:szCs w:val="20"/>
              </w:rPr>
            </w:pPr>
            <w:r w:rsidRPr="00B453A8">
              <w:rPr>
                <w:sz w:val="20"/>
                <w:szCs w:val="20"/>
              </w:rPr>
              <w:t>389</w:t>
            </w:r>
          </w:p>
        </w:tc>
        <w:tc>
          <w:tcPr>
            <w:tcW w:w="1162" w:type="dxa"/>
            <w:tcBorders>
              <w:top w:val="nil"/>
              <w:left w:val="nil"/>
              <w:bottom w:val="nil"/>
              <w:right w:val="nil"/>
            </w:tcBorders>
            <w:shd w:val="clear" w:color="auto" w:fill="auto"/>
            <w:noWrap/>
            <w:vAlign w:val="bottom"/>
          </w:tcPr>
          <w:p w:rsidR="00D51AB3" w:rsidRPr="00B453A8" w:rsidRDefault="00D51AB3" w:rsidP="00F673BF">
            <w:pPr>
              <w:jc w:val="center"/>
              <w:rPr>
                <w:sz w:val="20"/>
                <w:szCs w:val="20"/>
              </w:rPr>
            </w:pPr>
            <w:r w:rsidRPr="00B453A8">
              <w:rPr>
                <w:sz w:val="20"/>
                <w:szCs w:val="20"/>
              </w:rPr>
              <w:t>6.67%</w:t>
            </w:r>
          </w:p>
        </w:tc>
        <w:tc>
          <w:tcPr>
            <w:tcW w:w="4680" w:type="dxa"/>
            <w:gridSpan w:val="2"/>
            <w:tcBorders>
              <w:top w:val="nil"/>
              <w:left w:val="nil"/>
              <w:bottom w:val="nil"/>
              <w:right w:val="nil"/>
            </w:tcBorders>
            <w:shd w:val="clear" w:color="auto" w:fill="auto"/>
            <w:noWrap/>
            <w:vAlign w:val="bottom"/>
          </w:tcPr>
          <w:p w:rsidR="00D51AB3" w:rsidRPr="00B453A8" w:rsidRDefault="00D51AB3" w:rsidP="00F673BF">
            <w:pPr>
              <w:rPr>
                <w:color w:val="000000"/>
                <w:sz w:val="20"/>
                <w:szCs w:val="20"/>
              </w:rPr>
            </w:pPr>
            <w:r w:rsidRPr="00B453A8">
              <w:rPr>
                <w:color w:val="000000"/>
                <w:sz w:val="20"/>
                <w:szCs w:val="20"/>
              </w:rPr>
              <w:t>OTHER PLANT &amp; MISCELLANEOUS EQUIP.</w:t>
            </w:r>
          </w:p>
        </w:tc>
        <w:tc>
          <w:tcPr>
            <w:tcW w:w="1080" w:type="dxa"/>
            <w:tcBorders>
              <w:top w:val="nil"/>
              <w:left w:val="nil"/>
              <w:bottom w:val="nil"/>
              <w:right w:val="nil"/>
            </w:tcBorders>
            <w:shd w:val="clear" w:color="auto" w:fill="auto"/>
            <w:noWrap/>
            <w:vAlign w:val="bottom"/>
          </w:tcPr>
          <w:p w:rsidR="00D51AB3" w:rsidRPr="00B453A8" w:rsidRDefault="00D51AB3" w:rsidP="00F673BF">
            <w:pPr>
              <w:jc w:val="right"/>
              <w:rPr>
                <w:color w:val="000000"/>
                <w:sz w:val="20"/>
                <w:szCs w:val="20"/>
              </w:rPr>
            </w:pPr>
            <w:r w:rsidRPr="00B453A8">
              <w:rPr>
                <w:color w:val="000000"/>
                <w:sz w:val="20"/>
                <w:szCs w:val="20"/>
              </w:rPr>
              <w:t>256</w:t>
            </w:r>
          </w:p>
        </w:tc>
        <w:tc>
          <w:tcPr>
            <w:tcW w:w="1710" w:type="dxa"/>
            <w:tcBorders>
              <w:top w:val="nil"/>
              <w:left w:val="nil"/>
              <w:bottom w:val="nil"/>
              <w:right w:val="single" w:sz="4" w:space="0" w:color="auto"/>
            </w:tcBorders>
            <w:shd w:val="clear" w:color="auto" w:fill="auto"/>
            <w:vAlign w:val="bottom"/>
          </w:tcPr>
          <w:p w:rsidR="00D51AB3" w:rsidRPr="00B453A8" w:rsidRDefault="00D51AB3" w:rsidP="00F673BF">
            <w:pPr>
              <w:jc w:val="right"/>
              <w:rPr>
                <w:sz w:val="20"/>
                <w:szCs w:val="20"/>
              </w:rPr>
            </w:pPr>
            <w:r w:rsidRPr="00B453A8">
              <w:rPr>
                <w:sz w:val="20"/>
                <w:szCs w:val="20"/>
              </w:rPr>
              <w:t>244</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B453A8" w:rsidRDefault="00D51AB3" w:rsidP="00F673BF">
            <w:pPr>
              <w:jc w:val="center"/>
              <w:rPr>
                <w:sz w:val="20"/>
                <w:szCs w:val="20"/>
              </w:rPr>
            </w:pPr>
            <w:r w:rsidRPr="00B453A8">
              <w:rPr>
                <w:sz w:val="20"/>
                <w:szCs w:val="20"/>
              </w:rPr>
              <w:t>390</w:t>
            </w:r>
          </w:p>
        </w:tc>
        <w:tc>
          <w:tcPr>
            <w:tcW w:w="1162" w:type="dxa"/>
            <w:tcBorders>
              <w:top w:val="nil"/>
              <w:left w:val="nil"/>
              <w:bottom w:val="nil"/>
              <w:right w:val="nil"/>
            </w:tcBorders>
            <w:shd w:val="clear" w:color="auto" w:fill="auto"/>
            <w:noWrap/>
            <w:vAlign w:val="bottom"/>
            <w:hideMark/>
          </w:tcPr>
          <w:p w:rsidR="00D51AB3" w:rsidRPr="00B453A8" w:rsidRDefault="00D51AB3" w:rsidP="00F673BF">
            <w:pPr>
              <w:jc w:val="center"/>
              <w:rPr>
                <w:sz w:val="20"/>
                <w:szCs w:val="20"/>
              </w:rPr>
            </w:pPr>
            <w:r w:rsidRPr="00B453A8">
              <w:rPr>
                <w:sz w:val="20"/>
                <w:szCs w:val="20"/>
              </w:rPr>
              <w:t>6.67%</w:t>
            </w:r>
          </w:p>
        </w:tc>
        <w:tc>
          <w:tcPr>
            <w:tcW w:w="4680" w:type="dxa"/>
            <w:gridSpan w:val="2"/>
            <w:tcBorders>
              <w:top w:val="nil"/>
              <w:left w:val="nil"/>
              <w:bottom w:val="nil"/>
              <w:right w:val="nil"/>
            </w:tcBorders>
            <w:shd w:val="clear" w:color="auto" w:fill="auto"/>
            <w:noWrap/>
            <w:vAlign w:val="bottom"/>
            <w:hideMark/>
          </w:tcPr>
          <w:p w:rsidR="00D51AB3" w:rsidRPr="00B453A8" w:rsidRDefault="00D51AB3" w:rsidP="00F673BF">
            <w:pPr>
              <w:rPr>
                <w:color w:val="000000"/>
                <w:sz w:val="20"/>
                <w:szCs w:val="20"/>
              </w:rPr>
            </w:pPr>
            <w:r w:rsidRPr="00B453A8">
              <w:rPr>
                <w:color w:val="000000"/>
                <w:sz w:val="20"/>
                <w:szCs w:val="20"/>
              </w:rPr>
              <w:t>OFFICE FURNITURE AND EQUIPMENT</w:t>
            </w:r>
          </w:p>
        </w:tc>
        <w:tc>
          <w:tcPr>
            <w:tcW w:w="1080" w:type="dxa"/>
            <w:tcBorders>
              <w:top w:val="nil"/>
              <w:left w:val="nil"/>
              <w:bottom w:val="nil"/>
              <w:right w:val="nil"/>
            </w:tcBorders>
            <w:shd w:val="clear" w:color="auto" w:fill="auto"/>
            <w:noWrap/>
            <w:vAlign w:val="bottom"/>
            <w:hideMark/>
          </w:tcPr>
          <w:p w:rsidR="00D51AB3" w:rsidRPr="00B453A8" w:rsidRDefault="00D51AB3" w:rsidP="00F673BF">
            <w:pPr>
              <w:jc w:val="right"/>
              <w:rPr>
                <w:color w:val="000000"/>
                <w:sz w:val="20"/>
                <w:szCs w:val="20"/>
                <w:u w:val="single"/>
              </w:rPr>
            </w:pPr>
            <w:r w:rsidRPr="00B453A8">
              <w:rPr>
                <w:color w:val="000000"/>
                <w:sz w:val="20"/>
                <w:szCs w:val="20"/>
                <w:u w:val="single"/>
              </w:rPr>
              <w:t>1,814</w:t>
            </w:r>
          </w:p>
        </w:tc>
        <w:tc>
          <w:tcPr>
            <w:tcW w:w="1710" w:type="dxa"/>
            <w:tcBorders>
              <w:top w:val="nil"/>
              <w:left w:val="nil"/>
              <w:bottom w:val="nil"/>
              <w:right w:val="single" w:sz="4" w:space="0" w:color="auto"/>
            </w:tcBorders>
            <w:shd w:val="clear" w:color="auto" w:fill="auto"/>
            <w:vAlign w:val="bottom"/>
            <w:hideMark/>
          </w:tcPr>
          <w:p w:rsidR="00D51AB3" w:rsidRPr="00B453A8" w:rsidRDefault="00D51AB3" w:rsidP="00F673BF">
            <w:pPr>
              <w:jc w:val="right"/>
              <w:rPr>
                <w:sz w:val="20"/>
                <w:szCs w:val="20"/>
                <w:u w:val="single"/>
              </w:rPr>
            </w:pPr>
            <w:r w:rsidRPr="00B453A8">
              <w:rPr>
                <w:sz w:val="20"/>
                <w:szCs w:val="20"/>
                <w:u w:val="single"/>
              </w:rPr>
              <w:t>1,814</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B453A8" w:rsidRDefault="00D51AB3" w:rsidP="00F673BF">
            <w:pPr>
              <w:rPr>
                <w:sz w:val="20"/>
                <w:szCs w:val="20"/>
              </w:rPr>
            </w:pPr>
            <w:r w:rsidRPr="00B453A8">
              <w:rPr>
                <w:sz w:val="20"/>
                <w:szCs w:val="20"/>
              </w:rPr>
              <w:t> </w:t>
            </w:r>
          </w:p>
        </w:tc>
        <w:tc>
          <w:tcPr>
            <w:tcW w:w="1162" w:type="dxa"/>
            <w:tcBorders>
              <w:top w:val="nil"/>
              <w:left w:val="nil"/>
              <w:bottom w:val="nil"/>
              <w:right w:val="nil"/>
            </w:tcBorders>
            <w:shd w:val="clear" w:color="auto" w:fill="auto"/>
            <w:noWrap/>
            <w:vAlign w:val="bottom"/>
            <w:hideMark/>
          </w:tcPr>
          <w:p w:rsidR="00D51AB3" w:rsidRPr="00B453A8" w:rsidRDefault="00D51AB3" w:rsidP="00F673BF">
            <w:pPr>
              <w:rPr>
                <w:color w:val="FF0000"/>
                <w:sz w:val="20"/>
                <w:szCs w:val="20"/>
              </w:rPr>
            </w:pPr>
          </w:p>
        </w:tc>
        <w:tc>
          <w:tcPr>
            <w:tcW w:w="4680" w:type="dxa"/>
            <w:gridSpan w:val="2"/>
            <w:tcBorders>
              <w:top w:val="nil"/>
              <w:left w:val="nil"/>
              <w:bottom w:val="nil"/>
              <w:right w:val="nil"/>
            </w:tcBorders>
            <w:shd w:val="clear" w:color="auto" w:fill="auto"/>
            <w:noWrap/>
            <w:vAlign w:val="bottom"/>
            <w:hideMark/>
          </w:tcPr>
          <w:p w:rsidR="00D51AB3" w:rsidRPr="00B453A8" w:rsidRDefault="00D51AB3" w:rsidP="00F673BF">
            <w:pPr>
              <w:rPr>
                <w:b/>
                <w:bCs/>
                <w:color w:val="000000"/>
                <w:sz w:val="20"/>
                <w:szCs w:val="20"/>
              </w:rPr>
            </w:pPr>
            <w:r w:rsidRPr="00B453A8">
              <w:rPr>
                <w:b/>
                <w:bCs/>
                <w:color w:val="000000"/>
                <w:sz w:val="20"/>
                <w:szCs w:val="20"/>
              </w:rPr>
              <w:t>TOTAL INCLUDING LAND</w:t>
            </w:r>
          </w:p>
        </w:tc>
        <w:tc>
          <w:tcPr>
            <w:tcW w:w="1080" w:type="dxa"/>
            <w:tcBorders>
              <w:top w:val="nil"/>
              <w:left w:val="nil"/>
              <w:bottom w:val="nil"/>
              <w:right w:val="nil"/>
            </w:tcBorders>
            <w:shd w:val="clear" w:color="auto" w:fill="auto"/>
            <w:noWrap/>
            <w:vAlign w:val="bottom"/>
            <w:hideMark/>
          </w:tcPr>
          <w:p w:rsidR="00D51AB3" w:rsidRPr="00B453A8" w:rsidRDefault="00D51AB3" w:rsidP="00F673BF">
            <w:pPr>
              <w:jc w:val="right"/>
              <w:rPr>
                <w:b/>
                <w:bCs/>
                <w:color w:val="000000"/>
                <w:sz w:val="20"/>
                <w:szCs w:val="20"/>
                <w:u w:val="double"/>
              </w:rPr>
            </w:pPr>
            <w:r w:rsidRPr="00B453A8">
              <w:rPr>
                <w:b/>
                <w:bCs/>
                <w:color w:val="000000"/>
                <w:sz w:val="20"/>
                <w:szCs w:val="20"/>
                <w:u w:val="double"/>
              </w:rPr>
              <w:t>$308,780</w:t>
            </w:r>
          </w:p>
        </w:tc>
        <w:tc>
          <w:tcPr>
            <w:tcW w:w="1710" w:type="dxa"/>
            <w:tcBorders>
              <w:top w:val="nil"/>
              <w:left w:val="nil"/>
              <w:bottom w:val="nil"/>
              <w:right w:val="single" w:sz="4" w:space="0" w:color="auto"/>
            </w:tcBorders>
            <w:shd w:val="clear" w:color="auto" w:fill="auto"/>
            <w:vAlign w:val="bottom"/>
            <w:hideMark/>
          </w:tcPr>
          <w:p w:rsidR="00D51AB3" w:rsidRPr="00B453A8" w:rsidRDefault="00D51AB3" w:rsidP="00F673BF">
            <w:pPr>
              <w:jc w:val="right"/>
              <w:rPr>
                <w:b/>
                <w:bCs/>
                <w:sz w:val="20"/>
                <w:szCs w:val="20"/>
                <w:u w:val="double"/>
              </w:rPr>
            </w:pPr>
            <w:r w:rsidRPr="00B453A8">
              <w:rPr>
                <w:b/>
                <w:bCs/>
                <w:sz w:val="20"/>
                <w:szCs w:val="20"/>
                <w:u w:val="double"/>
              </w:rPr>
              <w:t xml:space="preserve">$269,251 </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B453A8" w:rsidRDefault="00D51AB3" w:rsidP="00F673BF">
            <w:pPr>
              <w:rPr>
                <w:rFonts w:ascii="Calibri" w:hAnsi="Calibri" w:cs="Arial"/>
                <w:color w:val="000000"/>
                <w:sz w:val="20"/>
                <w:szCs w:val="20"/>
              </w:rPr>
            </w:pPr>
            <w:r w:rsidRPr="00B453A8">
              <w:rPr>
                <w:rFonts w:ascii="Calibri" w:hAnsi="Calibri" w:cs="Arial"/>
                <w:color w:val="000000"/>
                <w:sz w:val="20"/>
                <w:szCs w:val="20"/>
              </w:rPr>
              <w:t> </w:t>
            </w:r>
          </w:p>
        </w:tc>
        <w:tc>
          <w:tcPr>
            <w:tcW w:w="1162" w:type="dxa"/>
            <w:tcBorders>
              <w:top w:val="nil"/>
              <w:left w:val="nil"/>
              <w:bottom w:val="nil"/>
              <w:right w:val="nil"/>
            </w:tcBorders>
            <w:shd w:val="clear" w:color="auto" w:fill="auto"/>
            <w:noWrap/>
            <w:vAlign w:val="bottom"/>
            <w:hideMark/>
          </w:tcPr>
          <w:p w:rsidR="00D51AB3" w:rsidRPr="00B453A8" w:rsidRDefault="00D51AB3" w:rsidP="00F673BF">
            <w:pPr>
              <w:rPr>
                <w:rFonts w:ascii="Calibri" w:hAnsi="Calibri" w:cs="Arial"/>
                <w:color w:val="000000"/>
                <w:sz w:val="20"/>
                <w:szCs w:val="20"/>
              </w:rPr>
            </w:pPr>
          </w:p>
        </w:tc>
        <w:tc>
          <w:tcPr>
            <w:tcW w:w="4680" w:type="dxa"/>
            <w:gridSpan w:val="2"/>
            <w:tcBorders>
              <w:top w:val="nil"/>
              <w:left w:val="nil"/>
              <w:bottom w:val="nil"/>
              <w:right w:val="nil"/>
            </w:tcBorders>
            <w:shd w:val="clear" w:color="auto" w:fill="auto"/>
            <w:noWrap/>
            <w:vAlign w:val="bottom"/>
            <w:hideMark/>
          </w:tcPr>
          <w:p w:rsidR="00D51AB3" w:rsidRPr="00B453A8" w:rsidRDefault="00D51AB3" w:rsidP="00F673BF">
            <w:pPr>
              <w:rPr>
                <w:rFonts w:ascii="Calibri" w:hAnsi="Calibri" w:cs="Arial"/>
                <w:color w:val="000000"/>
                <w:sz w:val="20"/>
                <w:szCs w:val="20"/>
              </w:rPr>
            </w:pPr>
          </w:p>
        </w:tc>
        <w:tc>
          <w:tcPr>
            <w:tcW w:w="1080" w:type="dxa"/>
            <w:tcBorders>
              <w:top w:val="nil"/>
              <w:left w:val="nil"/>
              <w:bottom w:val="nil"/>
              <w:right w:val="nil"/>
            </w:tcBorders>
            <w:shd w:val="clear" w:color="auto" w:fill="auto"/>
            <w:noWrap/>
            <w:vAlign w:val="bottom"/>
            <w:hideMark/>
          </w:tcPr>
          <w:p w:rsidR="00D51AB3" w:rsidRPr="00B453A8" w:rsidRDefault="00D51AB3" w:rsidP="00F673BF">
            <w:pPr>
              <w:rPr>
                <w:rFonts w:ascii="Calibri" w:hAnsi="Calibri" w:cs="Arial"/>
                <w:color w:val="000000"/>
                <w:sz w:val="20"/>
                <w:szCs w:val="20"/>
              </w:rPr>
            </w:pPr>
          </w:p>
        </w:tc>
        <w:tc>
          <w:tcPr>
            <w:tcW w:w="1710" w:type="dxa"/>
            <w:tcBorders>
              <w:top w:val="nil"/>
              <w:left w:val="nil"/>
              <w:bottom w:val="nil"/>
              <w:right w:val="single" w:sz="4" w:space="0" w:color="auto"/>
            </w:tcBorders>
            <w:shd w:val="clear" w:color="auto" w:fill="auto"/>
            <w:noWrap/>
            <w:vAlign w:val="bottom"/>
            <w:hideMark/>
          </w:tcPr>
          <w:p w:rsidR="00D51AB3" w:rsidRPr="00B453A8" w:rsidRDefault="00D51AB3" w:rsidP="00F673BF">
            <w:pPr>
              <w:rPr>
                <w:rFonts w:ascii="Calibri" w:hAnsi="Calibri" w:cs="Arial"/>
                <w:color w:val="000000"/>
                <w:sz w:val="20"/>
                <w:szCs w:val="20"/>
              </w:rPr>
            </w:pPr>
            <w:r w:rsidRPr="00B453A8">
              <w:rPr>
                <w:rFonts w:ascii="Calibri" w:hAnsi="Calibri" w:cs="Arial"/>
                <w:color w:val="000000"/>
                <w:sz w:val="20"/>
                <w:szCs w:val="20"/>
              </w:rPr>
              <w:t> </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B453A8" w:rsidRDefault="00D51AB3" w:rsidP="00F673BF">
            <w:pPr>
              <w:rPr>
                <w:rFonts w:ascii="Calibri" w:hAnsi="Calibri" w:cs="Arial"/>
                <w:color w:val="000000"/>
                <w:sz w:val="20"/>
                <w:szCs w:val="20"/>
              </w:rPr>
            </w:pPr>
            <w:r w:rsidRPr="00B453A8">
              <w:rPr>
                <w:rFonts w:ascii="Calibri" w:hAnsi="Calibri" w:cs="Arial"/>
                <w:color w:val="000000"/>
                <w:sz w:val="20"/>
                <w:szCs w:val="20"/>
              </w:rPr>
              <w:t> </w:t>
            </w:r>
          </w:p>
        </w:tc>
        <w:tc>
          <w:tcPr>
            <w:tcW w:w="1162" w:type="dxa"/>
            <w:tcBorders>
              <w:top w:val="nil"/>
              <w:left w:val="nil"/>
              <w:bottom w:val="nil"/>
              <w:right w:val="nil"/>
            </w:tcBorders>
            <w:shd w:val="clear" w:color="auto" w:fill="auto"/>
            <w:noWrap/>
            <w:vAlign w:val="bottom"/>
            <w:hideMark/>
          </w:tcPr>
          <w:p w:rsidR="00D51AB3" w:rsidRPr="00B453A8" w:rsidRDefault="00D51AB3" w:rsidP="00F673BF">
            <w:pPr>
              <w:rPr>
                <w:rFonts w:ascii="Calibri" w:hAnsi="Calibri" w:cs="Arial"/>
                <w:color w:val="000000"/>
                <w:sz w:val="20"/>
                <w:szCs w:val="20"/>
              </w:rPr>
            </w:pPr>
          </w:p>
        </w:tc>
        <w:tc>
          <w:tcPr>
            <w:tcW w:w="4680" w:type="dxa"/>
            <w:gridSpan w:val="2"/>
            <w:tcBorders>
              <w:top w:val="nil"/>
              <w:left w:val="nil"/>
              <w:bottom w:val="nil"/>
              <w:right w:val="nil"/>
            </w:tcBorders>
            <w:shd w:val="clear" w:color="auto" w:fill="auto"/>
            <w:noWrap/>
            <w:vAlign w:val="bottom"/>
            <w:hideMark/>
          </w:tcPr>
          <w:p w:rsidR="00D51AB3" w:rsidRPr="00B453A8" w:rsidRDefault="00D51AB3" w:rsidP="00F673BF">
            <w:pPr>
              <w:rPr>
                <w:rFonts w:ascii="Calibri" w:hAnsi="Calibri" w:cs="Arial"/>
                <w:color w:val="000000"/>
                <w:sz w:val="20"/>
                <w:szCs w:val="20"/>
              </w:rPr>
            </w:pPr>
          </w:p>
        </w:tc>
        <w:tc>
          <w:tcPr>
            <w:tcW w:w="1080" w:type="dxa"/>
            <w:tcBorders>
              <w:top w:val="nil"/>
              <w:left w:val="nil"/>
              <w:bottom w:val="nil"/>
              <w:right w:val="nil"/>
            </w:tcBorders>
            <w:shd w:val="clear" w:color="auto" w:fill="auto"/>
            <w:noWrap/>
            <w:vAlign w:val="bottom"/>
            <w:hideMark/>
          </w:tcPr>
          <w:p w:rsidR="00D51AB3" w:rsidRPr="00B453A8" w:rsidRDefault="00D51AB3" w:rsidP="00F673BF">
            <w:pPr>
              <w:jc w:val="center"/>
              <w:rPr>
                <w:b/>
                <w:bCs/>
                <w:color w:val="000000"/>
                <w:sz w:val="20"/>
                <w:szCs w:val="20"/>
              </w:rPr>
            </w:pPr>
            <w:r w:rsidRPr="00B453A8">
              <w:rPr>
                <w:b/>
                <w:bCs/>
                <w:color w:val="000000"/>
                <w:sz w:val="20"/>
                <w:szCs w:val="20"/>
              </w:rPr>
              <w:t xml:space="preserve">CIAC </w:t>
            </w:r>
          </w:p>
        </w:tc>
        <w:tc>
          <w:tcPr>
            <w:tcW w:w="1710" w:type="dxa"/>
            <w:tcBorders>
              <w:top w:val="nil"/>
              <w:left w:val="nil"/>
              <w:bottom w:val="nil"/>
              <w:right w:val="single" w:sz="4" w:space="0" w:color="auto"/>
            </w:tcBorders>
            <w:shd w:val="clear" w:color="auto" w:fill="auto"/>
            <w:noWrap/>
            <w:vAlign w:val="bottom"/>
            <w:hideMark/>
          </w:tcPr>
          <w:p w:rsidR="00D51AB3" w:rsidRPr="00B453A8" w:rsidRDefault="00D51AB3" w:rsidP="00F673BF">
            <w:pPr>
              <w:jc w:val="center"/>
              <w:rPr>
                <w:b/>
                <w:bCs/>
                <w:color w:val="000000"/>
                <w:sz w:val="20"/>
                <w:szCs w:val="20"/>
              </w:rPr>
            </w:pPr>
            <w:r w:rsidRPr="00B453A8">
              <w:rPr>
                <w:b/>
                <w:bCs/>
                <w:color w:val="000000"/>
                <w:sz w:val="20"/>
                <w:szCs w:val="20"/>
              </w:rPr>
              <w:t> </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B453A8" w:rsidRDefault="00D51AB3" w:rsidP="00F673BF">
            <w:pPr>
              <w:rPr>
                <w:rFonts w:ascii="Calibri" w:hAnsi="Calibri" w:cs="Arial"/>
                <w:color w:val="000000"/>
                <w:sz w:val="20"/>
                <w:szCs w:val="20"/>
              </w:rPr>
            </w:pPr>
            <w:r w:rsidRPr="00B453A8">
              <w:rPr>
                <w:rFonts w:ascii="Calibri" w:hAnsi="Calibri" w:cs="Arial"/>
                <w:color w:val="000000"/>
                <w:sz w:val="20"/>
                <w:szCs w:val="20"/>
              </w:rPr>
              <w:t> </w:t>
            </w:r>
          </w:p>
        </w:tc>
        <w:tc>
          <w:tcPr>
            <w:tcW w:w="1162" w:type="dxa"/>
            <w:tcBorders>
              <w:top w:val="nil"/>
              <w:left w:val="nil"/>
              <w:bottom w:val="nil"/>
              <w:right w:val="nil"/>
            </w:tcBorders>
            <w:shd w:val="clear" w:color="auto" w:fill="auto"/>
            <w:noWrap/>
            <w:vAlign w:val="bottom"/>
            <w:hideMark/>
          </w:tcPr>
          <w:p w:rsidR="00D51AB3" w:rsidRPr="00B453A8" w:rsidRDefault="00D51AB3" w:rsidP="00F673BF">
            <w:pPr>
              <w:rPr>
                <w:rFonts w:ascii="Calibri" w:hAnsi="Calibri" w:cs="Arial"/>
                <w:color w:val="000000"/>
                <w:sz w:val="20"/>
                <w:szCs w:val="20"/>
              </w:rPr>
            </w:pPr>
          </w:p>
        </w:tc>
        <w:tc>
          <w:tcPr>
            <w:tcW w:w="4680" w:type="dxa"/>
            <w:gridSpan w:val="2"/>
            <w:tcBorders>
              <w:top w:val="nil"/>
              <w:left w:val="nil"/>
              <w:bottom w:val="nil"/>
              <w:right w:val="nil"/>
            </w:tcBorders>
            <w:shd w:val="clear" w:color="auto" w:fill="auto"/>
            <w:noWrap/>
            <w:vAlign w:val="bottom"/>
            <w:hideMark/>
          </w:tcPr>
          <w:p w:rsidR="00D51AB3" w:rsidRPr="00B453A8" w:rsidRDefault="00D51AB3" w:rsidP="00F673BF">
            <w:pPr>
              <w:rPr>
                <w:rFonts w:ascii="Calibri" w:hAnsi="Calibri" w:cs="Arial"/>
                <w:color w:val="000000"/>
                <w:sz w:val="20"/>
                <w:szCs w:val="20"/>
              </w:rPr>
            </w:pPr>
          </w:p>
        </w:tc>
        <w:tc>
          <w:tcPr>
            <w:tcW w:w="1080" w:type="dxa"/>
            <w:tcBorders>
              <w:top w:val="nil"/>
              <w:left w:val="nil"/>
              <w:bottom w:val="nil"/>
              <w:right w:val="nil"/>
            </w:tcBorders>
            <w:shd w:val="clear" w:color="auto" w:fill="auto"/>
            <w:noWrap/>
            <w:vAlign w:val="bottom"/>
            <w:hideMark/>
          </w:tcPr>
          <w:p w:rsidR="00D51AB3" w:rsidRPr="00B453A8" w:rsidRDefault="00D51AB3" w:rsidP="00F673BF">
            <w:pPr>
              <w:jc w:val="center"/>
              <w:rPr>
                <w:b/>
                <w:bCs/>
                <w:color w:val="000000"/>
                <w:sz w:val="20"/>
                <w:szCs w:val="20"/>
              </w:rPr>
            </w:pPr>
            <w:r w:rsidRPr="00B453A8">
              <w:rPr>
                <w:b/>
                <w:bCs/>
                <w:color w:val="000000"/>
                <w:sz w:val="20"/>
                <w:szCs w:val="20"/>
              </w:rPr>
              <w:t>AMORT.</w:t>
            </w:r>
          </w:p>
        </w:tc>
        <w:tc>
          <w:tcPr>
            <w:tcW w:w="1710" w:type="dxa"/>
            <w:tcBorders>
              <w:top w:val="nil"/>
              <w:left w:val="nil"/>
              <w:bottom w:val="nil"/>
              <w:right w:val="single" w:sz="4" w:space="0" w:color="auto"/>
            </w:tcBorders>
            <w:shd w:val="clear" w:color="auto" w:fill="auto"/>
            <w:noWrap/>
            <w:vAlign w:val="bottom"/>
            <w:hideMark/>
          </w:tcPr>
          <w:p w:rsidR="00D51AB3" w:rsidRPr="00B453A8" w:rsidRDefault="00D51AB3" w:rsidP="00F673BF">
            <w:pPr>
              <w:jc w:val="center"/>
              <w:rPr>
                <w:b/>
                <w:bCs/>
                <w:color w:val="000000"/>
                <w:sz w:val="20"/>
                <w:szCs w:val="20"/>
              </w:rPr>
            </w:pPr>
            <w:r w:rsidRPr="00B453A8">
              <w:rPr>
                <w:b/>
                <w:bCs/>
                <w:color w:val="000000"/>
                <w:sz w:val="20"/>
                <w:szCs w:val="20"/>
              </w:rPr>
              <w:t>CIAC</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B453A8" w:rsidRDefault="00D51AB3" w:rsidP="00F673BF">
            <w:pPr>
              <w:rPr>
                <w:rFonts w:ascii="Calibri" w:hAnsi="Calibri" w:cs="Arial"/>
                <w:color w:val="000000"/>
                <w:sz w:val="20"/>
                <w:szCs w:val="20"/>
              </w:rPr>
            </w:pPr>
            <w:r w:rsidRPr="00B453A8">
              <w:rPr>
                <w:rFonts w:ascii="Calibri" w:hAnsi="Calibri" w:cs="Arial"/>
                <w:color w:val="000000"/>
                <w:sz w:val="20"/>
                <w:szCs w:val="20"/>
              </w:rPr>
              <w:t> </w:t>
            </w:r>
          </w:p>
        </w:tc>
        <w:tc>
          <w:tcPr>
            <w:tcW w:w="1162" w:type="dxa"/>
            <w:tcBorders>
              <w:top w:val="nil"/>
              <w:left w:val="nil"/>
              <w:bottom w:val="nil"/>
              <w:right w:val="nil"/>
            </w:tcBorders>
            <w:shd w:val="clear" w:color="auto" w:fill="auto"/>
            <w:noWrap/>
            <w:vAlign w:val="bottom"/>
            <w:hideMark/>
          </w:tcPr>
          <w:p w:rsidR="00D51AB3" w:rsidRPr="00B453A8" w:rsidRDefault="00D51AB3" w:rsidP="00F673BF">
            <w:pPr>
              <w:rPr>
                <w:rFonts w:ascii="Calibri" w:hAnsi="Calibri" w:cs="Arial"/>
                <w:color w:val="000000"/>
                <w:sz w:val="20"/>
                <w:szCs w:val="20"/>
              </w:rPr>
            </w:pPr>
          </w:p>
        </w:tc>
        <w:tc>
          <w:tcPr>
            <w:tcW w:w="4680" w:type="dxa"/>
            <w:gridSpan w:val="2"/>
            <w:tcBorders>
              <w:top w:val="nil"/>
              <w:left w:val="nil"/>
              <w:bottom w:val="nil"/>
              <w:right w:val="nil"/>
            </w:tcBorders>
            <w:shd w:val="clear" w:color="auto" w:fill="auto"/>
            <w:noWrap/>
            <w:vAlign w:val="bottom"/>
            <w:hideMark/>
          </w:tcPr>
          <w:p w:rsidR="00D51AB3" w:rsidRPr="00B453A8" w:rsidRDefault="00D51AB3" w:rsidP="00F673BF">
            <w:pPr>
              <w:rPr>
                <w:rFonts w:ascii="Calibri" w:hAnsi="Calibri" w:cs="Arial"/>
                <w:color w:val="000000"/>
                <w:sz w:val="20"/>
                <w:szCs w:val="20"/>
              </w:rPr>
            </w:pPr>
          </w:p>
        </w:tc>
        <w:tc>
          <w:tcPr>
            <w:tcW w:w="1080" w:type="dxa"/>
            <w:tcBorders>
              <w:top w:val="nil"/>
              <w:left w:val="nil"/>
              <w:bottom w:val="nil"/>
              <w:right w:val="nil"/>
            </w:tcBorders>
            <w:shd w:val="clear" w:color="auto" w:fill="auto"/>
            <w:noWrap/>
            <w:vAlign w:val="bottom"/>
            <w:hideMark/>
          </w:tcPr>
          <w:p w:rsidR="00D51AB3" w:rsidRPr="00B453A8" w:rsidRDefault="00D51AB3" w:rsidP="00F673BF">
            <w:pPr>
              <w:jc w:val="center"/>
              <w:rPr>
                <w:b/>
                <w:bCs/>
                <w:color w:val="000000"/>
                <w:sz w:val="20"/>
                <w:szCs w:val="20"/>
              </w:rPr>
            </w:pPr>
            <w:r w:rsidRPr="00B453A8">
              <w:rPr>
                <w:b/>
                <w:bCs/>
                <w:color w:val="000000"/>
                <w:sz w:val="20"/>
                <w:szCs w:val="20"/>
              </w:rPr>
              <w:t>6/30/2017</w:t>
            </w:r>
          </w:p>
        </w:tc>
        <w:tc>
          <w:tcPr>
            <w:tcW w:w="1710" w:type="dxa"/>
            <w:tcBorders>
              <w:top w:val="nil"/>
              <w:left w:val="nil"/>
              <w:bottom w:val="nil"/>
              <w:right w:val="single" w:sz="4" w:space="0" w:color="auto"/>
            </w:tcBorders>
            <w:shd w:val="clear" w:color="auto" w:fill="auto"/>
            <w:noWrap/>
            <w:vAlign w:val="bottom"/>
            <w:hideMark/>
          </w:tcPr>
          <w:p w:rsidR="00D51AB3" w:rsidRPr="00B453A8" w:rsidRDefault="00D51AB3" w:rsidP="00F673BF">
            <w:pPr>
              <w:jc w:val="center"/>
              <w:rPr>
                <w:b/>
                <w:bCs/>
                <w:color w:val="000000"/>
                <w:sz w:val="20"/>
                <w:szCs w:val="20"/>
              </w:rPr>
            </w:pPr>
            <w:r w:rsidRPr="00B453A8">
              <w:rPr>
                <w:b/>
                <w:bCs/>
                <w:color w:val="000000"/>
                <w:sz w:val="20"/>
                <w:szCs w:val="20"/>
              </w:rPr>
              <w:t>6/30/2017</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B453A8" w:rsidRDefault="00D51AB3" w:rsidP="00F673BF">
            <w:pPr>
              <w:rPr>
                <w:rFonts w:ascii="Calibri" w:hAnsi="Calibri" w:cs="Arial"/>
                <w:color w:val="000000"/>
                <w:sz w:val="20"/>
                <w:szCs w:val="20"/>
              </w:rPr>
            </w:pPr>
            <w:r w:rsidRPr="00B453A8">
              <w:rPr>
                <w:rFonts w:ascii="Calibri" w:hAnsi="Calibri" w:cs="Arial"/>
                <w:color w:val="000000"/>
                <w:sz w:val="20"/>
                <w:szCs w:val="20"/>
              </w:rPr>
              <w:t> </w:t>
            </w:r>
          </w:p>
        </w:tc>
        <w:tc>
          <w:tcPr>
            <w:tcW w:w="1162" w:type="dxa"/>
            <w:tcBorders>
              <w:top w:val="nil"/>
              <w:left w:val="nil"/>
              <w:bottom w:val="nil"/>
              <w:right w:val="nil"/>
            </w:tcBorders>
            <w:shd w:val="clear" w:color="auto" w:fill="auto"/>
            <w:noWrap/>
            <w:vAlign w:val="bottom"/>
            <w:hideMark/>
          </w:tcPr>
          <w:p w:rsidR="00D51AB3" w:rsidRPr="00B453A8" w:rsidRDefault="00D51AB3" w:rsidP="00F673BF">
            <w:pPr>
              <w:rPr>
                <w:rFonts w:ascii="Calibri" w:hAnsi="Calibri" w:cs="Arial"/>
                <w:color w:val="000000"/>
                <w:sz w:val="20"/>
                <w:szCs w:val="20"/>
              </w:rPr>
            </w:pPr>
          </w:p>
        </w:tc>
        <w:tc>
          <w:tcPr>
            <w:tcW w:w="4680" w:type="dxa"/>
            <w:gridSpan w:val="2"/>
            <w:tcBorders>
              <w:top w:val="nil"/>
              <w:left w:val="nil"/>
              <w:bottom w:val="nil"/>
              <w:right w:val="nil"/>
            </w:tcBorders>
            <w:shd w:val="clear" w:color="auto" w:fill="auto"/>
            <w:noWrap/>
            <w:vAlign w:val="bottom"/>
            <w:hideMark/>
          </w:tcPr>
          <w:p w:rsidR="00D51AB3" w:rsidRPr="00B453A8" w:rsidRDefault="00D51AB3" w:rsidP="00F673BF">
            <w:pPr>
              <w:rPr>
                <w:rFonts w:ascii="Calibri" w:hAnsi="Calibri" w:cs="Arial"/>
                <w:color w:val="000000"/>
                <w:sz w:val="20"/>
                <w:szCs w:val="20"/>
              </w:rPr>
            </w:pPr>
          </w:p>
        </w:tc>
        <w:tc>
          <w:tcPr>
            <w:tcW w:w="1080" w:type="dxa"/>
            <w:tcBorders>
              <w:top w:val="nil"/>
              <w:left w:val="nil"/>
              <w:bottom w:val="single" w:sz="4" w:space="0" w:color="auto"/>
              <w:right w:val="nil"/>
            </w:tcBorders>
            <w:shd w:val="clear" w:color="auto" w:fill="auto"/>
            <w:noWrap/>
            <w:vAlign w:val="bottom"/>
            <w:hideMark/>
          </w:tcPr>
          <w:p w:rsidR="00D51AB3" w:rsidRPr="00B453A8" w:rsidRDefault="00D51AB3" w:rsidP="00F673BF">
            <w:pPr>
              <w:jc w:val="center"/>
              <w:rPr>
                <w:b/>
                <w:bCs/>
                <w:color w:val="000000"/>
                <w:sz w:val="20"/>
                <w:szCs w:val="20"/>
              </w:rPr>
            </w:pPr>
            <w:r w:rsidRPr="00B453A8">
              <w:rPr>
                <w:b/>
                <w:bCs/>
                <w:color w:val="000000"/>
                <w:sz w:val="20"/>
                <w:szCs w:val="20"/>
              </w:rPr>
              <w:t>(DEBIT)</w:t>
            </w:r>
          </w:p>
        </w:tc>
        <w:tc>
          <w:tcPr>
            <w:tcW w:w="1710" w:type="dxa"/>
            <w:tcBorders>
              <w:top w:val="nil"/>
              <w:left w:val="nil"/>
              <w:bottom w:val="single" w:sz="4" w:space="0" w:color="auto"/>
              <w:right w:val="single" w:sz="4" w:space="0" w:color="auto"/>
            </w:tcBorders>
            <w:shd w:val="clear" w:color="auto" w:fill="auto"/>
            <w:noWrap/>
            <w:vAlign w:val="bottom"/>
            <w:hideMark/>
          </w:tcPr>
          <w:p w:rsidR="00D51AB3" w:rsidRPr="00B453A8" w:rsidRDefault="00D51AB3" w:rsidP="00F673BF">
            <w:pPr>
              <w:jc w:val="center"/>
              <w:rPr>
                <w:b/>
                <w:bCs/>
                <w:color w:val="000000"/>
                <w:sz w:val="20"/>
                <w:szCs w:val="20"/>
              </w:rPr>
            </w:pPr>
            <w:r w:rsidRPr="00B453A8">
              <w:rPr>
                <w:b/>
                <w:bCs/>
                <w:color w:val="000000"/>
                <w:sz w:val="20"/>
                <w:szCs w:val="20"/>
              </w:rPr>
              <w:t>(CREDIT)</w:t>
            </w:r>
          </w:p>
        </w:tc>
      </w:tr>
      <w:tr w:rsidR="00D51AB3" w:rsidRPr="005D2577"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B453A8" w:rsidRDefault="00D51AB3" w:rsidP="00F673BF">
            <w:pPr>
              <w:rPr>
                <w:rFonts w:ascii="Calibri" w:hAnsi="Calibri" w:cs="Arial"/>
                <w:color w:val="000000"/>
                <w:sz w:val="20"/>
                <w:szCs w:val="20"/>
              </w:rPr>
            </w:pPr>
            <w:r w:rsidRPr="00B453A8">
              <w:rPr>
                <w:rFonts w:ascii="Calibri" w:hAnsi="Calibri" w:cs="Arial"/>
                <w:color w:val="000000"/>
                <w:sz w:val="20"/>
                <w:szCs w:val="20"/>
              </w:rPr>
              <w:t> </w:t>
            </w:r>
          </w:p>
        </w:tc>
        <w:tc>
          <w:tcPr>
            <w:tcW w:w="1162" w:type="dxa"/>
            <w:tcBorders>
              <w:top w:val="nil"/>
              <w:left w:val="nil"/>
              <w:bottom w:val="nil"/>
              <w:right w:val="nil"/>
            </w:tcBorders>
            <w:shd w:val="clear" w:color="auto" w:fill="auto"/>
            <w:noWrap/>
            <w:vAlign w:val="bottom"/>
            <w:hideMark/>
          </w:tcPr>
          <w:p w:rsidR="00D51AB3" w:rsidRPr="00B453A8" w:rsidRDefault="00D51AB3" w:rsidP="00F673BF">
            <w:pPr>
              <w:rPr>
                <w:rFonts w:ascii="Calibri" w:hAnsi="Calibri" w:cs="Arial"/>
                <w:color w:val="000000"/>
                <w:sz w:val="20"/>
                <w:szCs w:val="20"/>
              </w:rPr>
            </w:pPr>
          </w:p>
        </w:tc>
        <w:tc>
          <w:tcPr>
            <w:tcW w:w="4680" w:type="dxa"/>
            <w:gridSpan w:val="2"/>
            <w:tcBorders>
              <w:top w:val="nil"/>
              <w:left w:val="nil"/>
              <w:bottom w:val="nil"/>
              <w:right w:val="nil"/>
            </w:tcBorders>
            <w:shd w:val="clear" w:color="auto" w:fill="auto"/>
            <w:noWrap/>
            <w:vAlign w:val="bottom"/>
            <w:hideMark/>
          </w:tcPr>
          <w:p w:rsidR="00D51AB3" w:rsidRPr="00B453A8" w:rsidRDefault="00D51AB3" w:rsidP="00F673BF">
            <w:pPr>
              <w:rPr>
                <w:rFonts w:ascii="Calibri" w:hAnsi="Calibri" w:cs="Arial"/>
                <w:color w:val="000000"/>
                <w:sz w:val="20"/>
                <w:szCs w:val="20"/>
              </w:rPr>
            </w:pPr>
          </w:p>
        </w:tc>
        <w:tc>
          <w:tcPr>
            <w:tcW w:w="1080" w:type="dxa"/>
            <w:tcBorders>
              <w:top w:val="nil"/>
              <w:left w:val="nil"/>
              <w:bottom w:val="nil"/>
              <w:right w:val="nil"/>
            </w:tcBorders>
            <w:shd w:val="clear" w:color="auto" w:fill="auto"/>
            <w:noWrap/>
            <w:vAlign w:val="bottom"/>
          </w:tcPr>
          <w:p w:rsidR="00D51AB3" w:rsidRPr="00B453A8" w:rsidRDefault="00D51AB3" w:rsidP="00F673BF">
            <w:pPr>
              <w:jc w:val="center"/>
              <w:rPr>
                <w:b/>
                <w:bCs/>
                <w:color w:val="000000"/>
                <w:sz w:val="20"/>
                <w:szCs w:val="20"/>
                <w:u w:val="single"/>
              </w:rPr>
            </w:pPr>
          </w:p>
        </w:tc>
        <w:tc>
          <w:tcPr>
            <w:tcW w:w="1710" w:type="dxa"/>
            <w:tcBorders>
              <w:top w:val="nil"/>
              <w:left w:val="nil"/>
              <w:bottom w:val="nil"/>
              <w:right w:val="single" w:sz="4" w:space="0" w:color="auto"/>
            </w:tcBorders>
            <w:shd w:val="clear" w:color="auto" w:fill="auto"/>
            <w:noWrap/>
            <w:vAlign w:val="bottom"/>
          </w:tcPr>
          <w:p w:rsidR="00D51AB3" w:rsidRPr="00B453A8" w:rsidRDefault="00D51AB3" w:rsidP="00F673BF">
            <w:pPr>
              <w:jc w:val="center"/>
              <w:rPr>
                <w:b/>
                <w:bCs/>
                <w:color w:val="000000"/>
                <w:sz w:val="20"/>
                <w:szCs w:val="20"/>
                <w:u w:val="single"/>
              </w:rPr>
            </w:pPr>
          </w:p>
        </w:tc>
      </w:tr>
      <w:tr w:rsidR="00D51AB3" w:rsidRPr="00EF457A" w:rsidTr="00F673BF">
        <w:trPr>
          <w:trHeight w:val="300"/>
        </w:trPr>
        <w:tc>
          <w:tcPr>
            <w:tcW w:w="833" w:type="dxa"/>
            <w:tcBorders>
              <w:top w:val="nil"/>
              <w:left w:val="single" w:sz="4" w:space="0" w:color="auto"/>
              <w:bottom w:val="nil"/>
              <w:right w:val="nil"/>
            </w:tcBorders>
            <w:shd w:val="clear" w:color="auto" w:fill="auto"/>
            <w:noWrap/>
            <w:vAlign w:val="bottom"/>
            <w:hideMark/>
          </w:tcPr>
          <w:p w:rsidR="00D51AB3" w:rsidRPr="00B453A8" w:rsidRDefault="00D51AB3" w:rsidP="00F673BF">
            <w:pPr>
              <w:rPr>
                <w:rFonts w:ascii="Calibri" w:hAnsi="Calibri" w:cs="Arial"/>
                <w:color w:val="000000"/>
                <w:sz w:val="20"/>
                <w:szCs w:val="20"/>
              </w:rPr>
            </w:pPr>
            <w:r w:rsidRPr="00B453A8">
              <w:rPr>
                <w:rFonts w:ascii="Calibri" w:hAnsi="Calibri" w:cs="Arial"/>
                <w:color w:val="000000"/>
                <w:sz w:val="20"/>
                <w:szCs w:val="20"/>
              </w:rPr>
              <w:t> </w:t>
            </w:r>
          </w:p>
        </w:tc>
        <w:tc>
          <w:tcPr>
            <w:tcW w:w="1162" w:type="dxa"/>
            <w:tcBorders>
              <w:top w:val="nil"/>
              <w:left w:val="nil"/>
              <w:bottom w:val="nil"/>
              <w:right w:val="nil"/>
            </w:tcBorders>
            <w:shd w:val="clear" w:color="auto" w:fill="auto"/>
            <w:noWrap/>
            <w:vAlign w:val="bottom"/>
            <w:hideMark/>
          </w:tcPr>
          <w:p w:rsidR="00D51AB3" w:rsidRPr="00B453A8" w:rsidRDefault="00D51AB3" w:rsidP="00F673BF">
            <w:pPr>
              <w:rPr>
                <w:rFonts w:ascii="Calibri" w:hAnsi="Calibri" w:cs="Arial"/>
                <w:color w:val="000000"/>
                <w:sz w:val="20"/>
                <w:szCs w:val="20"/>
              </w:rPr>
            </w:pPr>
          </w:p>
        </w:tc>
        <w:tc>
          <w:tcPr>
            <w:tcW w:w="4680" w:type="dxa"/>
            <w:gridSpan w:val="2"/>
            <w:tcBorders>
              <w:top w:val="nil"/>
              <w:left w:val="nil"/>
              <w:bottom w:val="nil"/>
              <w:right w:val="nil"/>
            </w:tcBorders>
            <w:shd w:val="clear" w:color="auto" w:fill="auto"/>
            <w:noWrap/>
            <w:vAlign w:val="bottom"/>
            <w:hideMark/>
          </w:tcPr>
          <w:p w:rsidR="00D51AB3" w:rsidRPr="00B453A8" w:rsidRDefault="00D51AB3" w:rsidP="00F673BF">
            <w:pPr>
              <w:rPr>
                <w:rFonts w:ascii="Calibri" w:hAnsi="Calibri" w:cs="Arial"/>
                <w:color w:val="000000"/>
                <w:sz w:val="20"/>
                <w:szCs w:val="20"/>
              </w:rPr>
            </w:pPr>
          </w:p>
        </w:tc>
        <w:tc>
          <w:tcPr>
            <w:tcW w:w="1080" w:type="dxa"/>
            <w:tcBorders>
              <w:top w:val="nil"/>
              <w:left w:val="nil"/>
              <w:bottom w:val="nil"/>
              <w:right w:val="nil"/>
            </w:tcBorders>
            <w:shd w:val="clear" w:color="auto" w:fill="auto"/>
            <w:vAlign w:val="bottom"/>
            <w:hideMark/>
          </w:tcPr>
          <w:p w:rsidR="00D51AB3" w:rsidRPr="00286B72" w:rsidRDefault="00D51AB3" w:rsidP="00F673BF">
            <w:pPr>
              <w:jc w:val="right"/>
              <w:rPr>
                <w:b/>
                <w:bCs/>
                <w:sz w:val="20"/>
                <w:szCs w:val="20"/>
                <w:u w:val="double"/>
              </w:rPr>
            </w:pPr>
            <w:r w:rsidRPr="00286B72">
              <w:rPr>
                <w:b/>
                <w:bCs/>
                <w:sz w:val="20"/>
                <w:szCs w:val="20"/>
                <w:u w:val="double"/>
              </w:rPr>
              <w:t>$39,216</w:t>
            </w:r>
          </w:p>
        </w:tc>
        <w:tc>
          <w:tcPr>
            <w:tcW w:w="1710" w:type="dxa"/>
            <w:tcBorders>
              <w:top w:val="nil"/>
              <w:left w:val="nil"/>
              <w:bottom w:val="nil"/>
              <w:right w:val="single" w:sz="4" w:space="0" w:color="auto"/>
            </w:tcBorders>
            <w:shd w:val="clear" w:color="auto" w:fill="auto"/>
            <w:vAlign w:val="bottom"/>
            <w:hideMark/>
          </w:tcPr>
          <w:p w:rsidR="00D51AB3" w:rsidRPr="00286B72" w:rsidRDefault="00D51AB3" w:rsidP="00F673BF">
            <w:pPr>
              <w:jc w:val="right"/>
              <w:rPr>
                <w:b/>
                <w:bCs/>
                <w:sz w:val="20"/>
                <w:szCs w:val="20"/>
                <w:u w:val="double"/>
              </w:rPr>
            </w:pPr>
            <w:r w:rsidRPr="00286B72">
              <w:rPr>
                <w:b/>
                <w:bCs/>
                <w:sz w:val="20"/>
                <w:szCs w:val="20"/>
                <w:u w:val="double"/>
              </w:rPr>
              <w:t xml:space="preserve">$75,772 </w:t>
            </w:r>
          </w:p>
        </w:tc>
      </w:tr>
      <w:tr w:rsidR="00D51AB3" w:rsidRPr="005D2577" w:rsidTr="00F673BF">
        <w:trPr>
          <w:trHeight w:val="300"/>
        </w:trPr>
        <w:tc>
          <w:tcPr>
            <w:tcW w:w="833" w:type="dxa"/>
            <w:tcBorders>
              <w:top w:val="nil"/>
              <w:left w:val="single" w:sz="4" w:space="0" w:color="auto"/>
              <w:bottom w:val="single" w:sz="4" w:space="0" w:color="auto"/>
              <w:right w:val="nil"/>
            </w:tcBorders>
            <w:shd w:val="clear" w:color="auto" w:fill="auto"/>
            <w:noWrap/>
            <w:vAlign w:val="bottom"/>
            <w:hideMark/>
          </w:tcPr>
          <w:p w:rsidR="00D51AB3" w:rsidRPr="005D2577" w:rsidRDefault="00D51AB3" w:rsidP="00F673BF">
            <w:pPr>
              <w:rPr>
                <w:rFonts w:ascii="Calibri" w:hAnsi="Calibri" w:cs="Arial"/>
                <w:color w:val="000000"/>
                <w:sz w:val="20"/>
                <w:szCs w:val="20"/>
              </w:rPr>
            </w:pPr>
            <w:r w:rsidRPr="005D2577">
              <w:rPr>
                <w:rFonts w:ascii="Calibri" w:hAnsi="Calibri" w:cs="Arial"/>
                <w:color w:val="000000"/>
                <w:sz w:val="20"/>
                <w:szCs w:val="20"/>
              </w:rPr>
              <w:t> </w:t>
            </w:r>
          </w:p>
        </w:tc>
        <w:tc>
          <w:tcPr>
            <w:tcW w:w="1162" w:type="dxa"/>
            <w:tcBorders>
              <w:top w:val="nil"/>
              <w:left w:val="nil"/>
              <w:bottom w:val="single" w:sz="4" w:space="0" w:color="auto"/>
              <w:right w:val="nil"/>
            </w:tcBorders>
            <w:shd w:val="clear" w:color="auto" w:fill="auto"/>
            <w:noWrap/>
            <w:vAlign w:val="bottom"/>
            <w:hideMark/>
          </w:tcPr>
          <w:p w:rsidR="00D51AB3" w:rsidRPr="005D2577" w:rsidRDefault="00D51AB3" w:rsidP="00F673BF">
            <w:pPr>
              <w:rPr>
                <w:rFonts w:ascii="Calibri" w:hAnsi="Calibri" w:cs="Arial"/>
                <w:color w:val="000000"/>
                <w:sz w:val="20"/>
                <w:szCs w:val="20"/>
              </w:rPr>
            </w:pPr>
            <w:r w:rsidRPr="005D2577">
              <w:rPr>
                <w:rFonts w:ascii="Calibri" w:hAnsi="Calibri" w:cs="Arial"/>
                <w:color w:val="000000"/>
                <w:sz w:val="20"/>
                <w:szCs w:val="20"/>
              </w:rPr>
              <w:t> </w:t>
            </w:r>
          </w:p>
        </w:tc>
        <w:tc>
          <w:tcPr>
            <w:tcW w:w="4680" w:type="dxa"/>
            <w:gridSpan w:val="2"/>
            <w:tcBorders>
              <w:top w:val="nil"/>
              <w:left w:val="nil"/>
              <w:bottom w:val="single" w:sz="4" w:space="0" w:color="auto"/>
              <w:right w:val="nil"/>
            </w:tcBorders>
            <w:shd w:val="clear" w:color="auto" w:fill="auto"/>
            <w:noWrap/>
            <w:vAlign w:val="bottom"/>
            <w:hideMark/>
          </w:tcPr>
          <w:p w:rsidR="00D51AB3" w:rsidRPr="005D2577" w:rsidRDefault="00D51AB3" w:rsidP="00F673BF">
            <w:pPr>
              <w:rPr>
                <w:rFonts w:ascii="Calibri" w:hAnsi="Calibri" w:cs="Arial"/>
                <w:color w:val="000000"/>
                <w:sz w:val="20"/>
                <w:szCs w:val="20"/>
              </w:rPr>
            </w:pPr>
            <w:r w:rsidRPr="005D2577">
              <w:rPr>
                <w:rFonts w:ascii="Calibri" w:hAnsi="Calibri" w:cs="Arial"/>
                <w:color w:val="000000"/>
                <w:sz w:val="20"/>
                <w:szCs w:val="20"/>
              </w:rPr>
              <w:t> </w:t>
            </w:r>
          </w:p>
        </w:tc>
        <w:tc>
          <w:tcPr>
            <w:tcW w:w="1080" w:type="dxa"/>
            <w:tcBorders>
              <w:top w:val="nil"/>
              <w:left w:val="nil"/>
              <w:bottom w:val="single" w:sz="4" w:space="0" w:color="auto"/>
              <w:right w:val="nil"/>
            </w:tcBorders>
            <w:shd w:val="clear" w:color="auto" w:fill="auto"/>
            <w:noWrap/>
            <w:vAlign w:val="bottom"/>
          </w:tcPr>
          <w:p w:rsidR="00D51AB3" w:rsidRPr="005D2577" w:rsidRDefault="00D51AB3" w:rsidP="00F673BF">
            <w:pPr>
              <w:rPr>
                <w:rFonts w:ascii="Calibri" w:hAnsi="Calibri" w:cs="Arial"/>
                <w:color w:val="000000"/>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51AB3" w:rsidRPr="005D2577" w:rsidRDefault="00D51AB3" w:rsidP="00F673BF">
            <w:pPr>
              <w:rPr>
                <w:rFonts w:ascii="Calibri" w:hAnsi="Calibri" w:cs="Arial"/>
                <w:color w:val="000000"/>
                <w:sz w:val="20"/>
                <w:szCs w:val="20"/>
              </w:rPr>
            </w:pPr>
          </w:p>
        </w:tc>
      </w:tr>
    </w:tbl>
    <w:p w:rsidR="00D51AB3" w:rsidRDefault="00D51AB3" w:rsidP="00B22AD8">
      <w:pPr>
        <w:spacing w:after="240"/>
        <w:jc w:val="both"/>
      </w:pPr>
    </w:p>
    <w:sectPr w:rsidR="00D51AB3" w:rsidSect="00445218">
      <w:headerReference w:type="first" r:id="rId2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C0C" w:rsidRDefault="00022C0C">
      <w:r>
        <w:separator/>
      </w:r>
    </w:p>
  </w:endnote>
  <w:endnote w:type="continuationSeparator" w:id="0">
    <w:p w:rsidR="00022C0C" w:rsidRDefault="0002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SWISS">
    <w:altName w:val="Times New Roman"/>
    <w:panose1 w:val="00000000000000000000"/>
    <w:charset w:val="00"/>
    <w:family w:val="roman"/>
    <w:notTrueType/>
    <w:pitch w:val="default"/>
  </w:font>
  <w:font w:name="SWl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C0C" w:rsidRDefault="00022C0C">
    <w:pPr>
      <w:pStyle w:val="Footer"/>
    </w:pPr>
  </w:p>
  <w:p w:rsidR="00022C0C" w:rsidRDefault="00022C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C0C" w:rsidRDefault="00022C0C">
      <w:r>
        <w:separator/>
      </w:r>
    </w:p>
  </w:footnote>
  <w:footnote w:type="continuationSeparator" w:id="0">
    <w:p w:rsidR="00022C0C" w:rsidRDefault="00022C0C">
      <w:r>
        <w:continuationSeparator/>
      </w:r>
    </w:p>
  </w:footnote>
  <w:footnote w:id="1">
    <w:p w:rsidR="00022C0C" w:rsidRDefault="00022C0C" w:rsidP="00632484">
      <w:pPr>
        <w:pStyle w:val="FootnoteText"/>
      </w:pPr>
      <w:r>
        <w:rPr>
          <w:rStyle w:val="FootnoteReference"/>
        </w:rPr>
        <w:footnoteRef/>
      </w:r>
      <w:r>
        <w:t xml:space="preserve">Order No. 13497, issued July 10, 1984, in Docket No. 19830552-WS, </w:t>
      </w:r>
      <w:r>
        <w:rPr>
          <w:i/>
        </w:rPr>
        <w:t>In re: Application of Hideaway Service, Inc. for a certificate to operate a water and sewer utility in Levy County.</w:t>
      </w:r>
    </w:p>
  </w:footnote>
  <w:footnote w:id="2">
    <w:p w:rsidR="00022C0C" w:rsidRDefault="00022C0C" w:rsidP="00632484">
      <w:pPr>
        <w:pStyle w:val="FootnoteText"/>
      </w:pPr>
      <w:r>
        <w:rPr>
          <w:rStyle w:val="FootnoteReference"/>
        </w:rPr>
        <w:footnoteRef/>
      </w:r>
      <w:r>
        <w:t xml:space="preserve">Order No. 25584, issued January 8, 1992, in Docket No. 19910672-WS, </w:t>
      </w:r>
      <w:r>
        <w:rPr>
          <w:i/>
        </w:rPr>
        <w:t>In re: Application for transfer of Certificates Nos. 426-W and 362-S from Hideaway Service, Inc. to FIMC Hideaway, Inc. in Levy County.</w:t>
      </w:r>
    </w:p>
  </w:footnote>
  <w:footnote w:id="3">
    <w:p w:rsidR="00022C0C" w:rsidRDefault="00022C0C" w:rsidP="00632484">
      <w:pPr>
        <w:pStyle w:val="FootnoteText"/>
        <w:rPr>
          <w:i/>
        </w:rPr>
      </w:pPr>
      <w:r>
        <w:rPr>
          <w:rStyle w:val="FootnoteReference"/>
        </w:rPr>
        <w:footnoteRef/>
      </w:r>
      <w:r>
        <w:t xml:space="preserve">Order No. PSC-05-0298-PAA-WS, issued March 18, 2005, in Docket No. 20040152-WS, </w:t>
      </w:r>
      <w:r>
        <w:rPr>
          <w:i/>
        </w:rPr>
        <w:t>In re: Application for transfer of majority organizational control of FIMC Hideaway, Inc. in Levy County from Florida Investors Mortgage Corporation, a Florida corporation, to Robert and Janet McBride.</w:t>
      </w:r>
    </w:p>
  </w:footnote>
  <w:footnote w:id="4">
    <w:p w:rsidR="00022C0C" w:rsidRDefault="00022C0C" w:rsidP="00632484">
      <w:pPr>
        <w:pStyle w:val="FootnoteText"/>
      </w:pPr>
      <w:r>
        <w:rPr>
          <w:rStyle w:val="FootnoteReference"/>
        </w:rPr>
        <w:footnoteRef/>
      </w:r>
      <w:r>
        <w:t xml:space="preserve">Order No. PSC-09-0279-PAA-WS, issued April 29, 2009, in Docket No. 20080268-WS, </w:t>
      </w:r>
      <w:r>
        <w:rPr>
          <w:i/>
        </w:rPr>
        <w:t>In re: Joint Application for transfer of the Springside water and wastewater systems from Par Utilities, Inc. in Levy County to FIMC Hideaway, Inc.:, amendment of Certificates 426-W and 362-S held by FIMC Hideaway, Inc.; and amendment of Certificate 428-W and cancellation of Certificate 366-S held by Par Utilities, Inc.</w:t>
      </w:r>
    </w:p>
  </w:footnote>
  <w:footnote w:id="5">
    <w:p w:rsidR="00022C0C" w:rsidRDefault="00022C0C" w:rsidP="00632484">
      <w:pPr>
        <w:pStyle w:val="FootnoteText"/>
      </w:pPr>
      <w:r>
        <w:rPr>
          <w:rStyle w:val="FootnoteReference"/>
        </w:rPr>
        <w:footnoteRef/>
      </w:r>
      <w:r w:rsidRPr="00903B06">
        <w:t>Rule 25-30.433(1</w:t>
      </w:r>
      <w:r>
        <w:t xml:space="preserve">), F.A.C., as amended by this Commission, became effective on July 11, 2018. </w:t>
      </w:r>
    </w:p>
  </w:footnote>
  <w:footnote w:id="6">
    <w:p w:rsidR="00022C0C" w:rsidRDefault="00022C0C" w:rsidP="00632484">
      <w:pPr>
        <w:autoSpaceDE w:val="0"/>
        <w:autoSpaceDN w:val="0"/>
        <w:adjustRightInd w:val="0"/>
        <w:jc w:val="both"/>
        <w:rPr>
          <w:sz w:val="20"/>
          <w:szCs w:val="20"/>
        </w:rPr>
      </w:pPr>
      <w:r>
        <w:rPr>
          <w:rStyle w:val="FootnoteReference"/>
        </w:rPr>
        <w:footnoteRef/>
      </w:r>
      <w:r>
        <w:rPr>
          <w:sz w:val="20"/>
          <w:szCs w:val="20"/>
        </w:rPr>
        <w:t>Order No. PSC-05-0298-PAA-WS, issued March 18, 2005, in Docket No. 20040152-WS,</w:t>
      </w:r>
      <w:r>
        <w:rPr>
          <w:i/>
          <w:sz w:val="20"/>
          <w:szCs w:val="20"/>
        </w:rPr>
        <w:t xml:space="preserve"> In re: Application for transfer of majority organizational control of FIMC Hideaway, </w:t>
      </w:r>
      <w:r>
        <w:rPr>
          <w:bCs/>
          <w:i/>
          <w:sz w:val="20"/>
          <w:szCs w:val="20"/>
        </w:rPr>
        <w:t>Inc.</w:t>
      </w:r>
      <w:r>
        <w:rPr>
          <w:i/>
          <w:sz w:val="20"/>
          <w:szCs w:val="20"/>
        </w:rPr>
        <w:t xml:space="preserve">in Levy County from Florida Investors </w:t>
      </w:r>
      <w:r>
        <w:rPr>
          <w:bCs/>
          <w:i/>
          <w:sz w:val="20"/>
          <w:szCs w:val="20"/>
        </w:rPr>
        <w:t xml:space="preserve">Mortgage </w:t>
      </w:r>
      <w:r>
        <w:rPr>
          <w:i/>
          <w:sz w:val="20"/>
          <w:szCs w:val="20"/>
        </w:rPr>
        <w:t xml:space="preserve">Corporation, </w:t>
      </w:r>
      <w:r>
        <w:rPr>
          <w:bCs/>
          <w:i/>
          <w:sz w:val="20"/>
          <w:szCs w:val="20"/>
        </w:rPr>
        <w:t xml:space="preserve">a </w:t>
      </w:r>
      <w:r>
        <w:rPr>
          <w:i/>
          <w:sz w:val="20"/>
          <w:szCs w:val="20"/>
        </w:rPr>
        <w:t>Florida corporation, to Robert and Janet McBride.</w:t>
      </w:r>
    </w:p>
  </w:footnote>
  <w:footnote w:id="7">
    <w:p w:rsidR="00022C0C" w:rsidRDefault="00022C0C" w:rsidP="00632484">
      <w:pPr>
        <w:pStyle w:val="OrderBody"/>
        <w:rPr>
          <w:sz w:val="20"/>
          <w:szCs w:val="20"/>
        </w:rPr>
      </w:pPr>
      <w:r>
        <w:rPr>
          <w:rStyle w:val="FootnoteReference"/>
          <w:sz w:val="20"/>
          <w:szCs w:val="20"/>
        </w:rPr>
        <w:footnoteRef/>
      </w:r>
      <w:r>
        <w:rPr>
          <w:sz w:val="20"/>
          <w:szCs w:val="20"/>
        </w:rPr>
        <w:t xml:space="preserve">Order No. PSC-09-0279-PAA-WS, issued April 29, 2009, in Docket No. 20080268-WS, </w:t>
      </w:r>
      <w:r>
        <w:rPr>
          <w:i/>
          <w:sz w:val="20"/>
          <w:szCs w:val="20"/>
        </w:rPr>
        <w:t>In re: Joint Application for transfer of the Springside water and wastewater systems from Par Utilities, Inc. in Levy County to FIMC Hideaway, Inc.; amendment of Certificates 426-W and 362-S held by FIMC Hideaway, Inc.; and amendment of Certificate 428-W and cancellation of Certificate 366-S held by Par Utilities, Inc.</w:t>
      </w:r>
    </w:p>
    <w:p w:rsidR="00022C0C" w:rsidRDefault="00022C0C" w:rsidP="00632484">
      <w:pPr>
        <w:pStyle w:val="FootnoteText"/>
      </w:pPr>
    </w:p>
  </w:footnote>
  <w:footnote w:id="8">
    <w:p w:rsidR="00022C0C" w:rsidRPr="003A2A75" w:rsidRDefault="00022C0C" w:rsidP="00632484">
      <w:pPr>
        <w:pStyle w:val="FootnoteText"/>
        <w:rPr>
          <w:i/>
        </w:rPr>
      </w:pPr>
      <w:r>
        <w:rPr>
          <w:rStyle w:val="FootnoteReference"/>
        </w:rPr>
        <w:footnoteRef/>
      </w:r>
      <w:r>
        <w:t xml:space="preserve">Order No. PSC-05-0298-PAA-WS, issued March 18, 2005, in Docket No. 20040152-WS, </w:t>
      </w:r>
      <w:r w:rsidRPr="003A2A75">
        <w:rPr>
          <w:i/>
        </w:rPr>
        <w:t>In re: Application for transfer of majority organizational control of FIMC Hideaway, Inc. in Levy County from Florida Investors Mortgage Corporation, a Florida corporation, to Robert and Janet McBride.</w:t>
      </w:r>
    </w:p>
  </w:footnote>
  <w:footnote w:id="9">
    <w:p w:rsidR="00022C0C" w:rsidRDefault="00022C0C" w:rsidP="00632484">
      <w:pPr>
        <w:pStyle w:val="FootnoteText"/>
      </w:pPr>
      <w:r>
        <w:rPr>
          <w:rStyle w:val="FootnoteReference"/>
        </w:rPr>
        <w:footnoteRef/>
      </w:r>
      <w:r>
        <w:t xml:space="preserve">Order No. PSC-04-0610-PAA-WS, issued June 21, 2004, in Docket No. 20030407-WS, </w:t>
      </w:r>
      <w:r>
        <w:rPr>
          <w:i/>
        </w:rPr>
        <w:t>In re: Application for transfer of water and wastewater facilities and Certificate No. 366-S in Levy County from Springside at Manatee, Ltd. to Par Utilities, Inc., for cancellation of Certificate No. 435-W held by Springside, and for amendment of Certificate No. 428-W held by Par</w:t>
      </w:r>
      <w:r>
        <w:t>.</w:t>
      </w:r>
    </w:p>
  </w:footnote>
  <w:footnote w:id="10">
    <w:p w:rsidR="00022C0C" w:rsidRDefault="00022C0C" w:rsidP="00632484">
      <w:pPr>
        <w:pStyle w:val="FootnoteText"/>
      </w:pPr>
      <w:r>
        <w:rPr>
          <w:rStyle w:val="FootnoteReference"/>
        </w:rPr>
        <w:footnoteRef/>
      </w:r>
      <w:r>
        <w:t>Document No. 03314-2018, filed April 30, 2018.</w:t>
      </w:r>
    </w:p>
  </w:footnote>
  <w:footnote w:id="11">
    <w:p w:rsidR="00022C0C" w:rsidRDefault="00022C0C" w:rsidP="00632484">
      <w:pPr>
        <w:autoSpaceDE w:val="0"/>
        <w:autoSpaceDN w:val="0"/>
        <w:adjustRightInd w:val="0"/>
        <w:jc w:val="both"/>
        <w:rPr>
          <w:i/>
          <w:sz w:val="20"/>
          <w:szCs w:val="20"/>
        </w:rPr>
      </w:pPr>
      <w:r>
        <w:rPr>
          <w:rStyle w:val="FootnoteReference"/>
          <w:sz w:val="20"/>
          <w:szCs w:val="20"/>
        </w:rPr>
        <w:footnoteRef/>
      </w:r>
      <w:r>
        <w:rPr>
          <w:sz w:val="20"/>
          <w:szCs w:val="20"/>
        </w:rPr>
        <w:t xml:space="preserve">Order No. PSC-17-0249-PAA-WS, issued June 26, 2017, in Docket No. 20170006-WS, </w:t>
      </w:r>
      <w:r>
        <w:rPr>
          <w:i/>
          <w:iCs/>
          <w:sz w:val="20"/>
          <w:szCs w:val="20"/>
        </w:rPr>
        <w:t>In re: Water and wastewater industry annual reestablishment of authorized range of return on common equity for water and wastewater utilities pursuant to Section 367.081(4)(f), F.S.</w:t>
      </w:r>
    </w:p>
  </w:footnote>
  <w:footnote w:id="12">
    <w:p w:rsidR="00022C0C" w:rsidRPr="00EE1B48" w:rsidRDefault="00022C0C" w:rsidP="00C36A5B">
      <w:pPr>
        <w:pStyle w:val="FootnoteText"/>
      </w:pPr>
      <w:r w:rsidRPr="00A72FC7">
        <w:rPr>
          <w:rStyle w:val="FootnoteReference"/>
        </w:rPr>
        <w:footnoteRef/>
      </w:r>
      <w:r>
        <w:t>The u</w:t>
      </w:r>
      <w:r w:rsidRPr="00A72FC7">
        <w:t xml:space="preserve">tility requested pro forma salaries which totaled $18,000. </w:t>
      </w:r>
      <w:r>
        <w:t>Our</w:t>
      </w:r>
      <w:r w:rsidRPr="00A72FC7">
        <w:t xml:space="preserve"> calculation of $12.00 per hour is based on the pro forma salary of $18,000 divided by 1,500 hours (30 hrs. x 50 weeks).</w:t>
      </w:r>
    </w:p>
  </w:footnote>
  <w:footnote w:id="13">
    <w:p w:rsidR="00022C0C" w:rsidRPr="00EE1B48" w:rsidRDefault="00022C0C" w:rsidP="00C36A5B">
      <w:pPr>
        <w:pStyle w:val="FootnoteText"/>
      </w:pPr>
      <w:r w:rsidRPr="00EE1B48">
        <w:rPr>
          <w:rStyle w:val="FootnoteReference"/>
        </w:rPr>
        <w:footnoteRef/>
      </w:r>
      <w:r>
        <w:t>Salary at the 50</w:t>
      </w:r>
      <w:r w:rsidRPr="00EE1B48">
        <w:rPr>
          <w:vertAlign w:val="superscript"/>
        </w:rPr>
        <w:t>th</w:t>
      </w:r>
      <w:r>
        <w:t xml:space="preserve"> percentile.</w:t>
      </w:r>
    </w:p>
  </w:footnote>
  <w:footnote w:id="14">
    <w:p w:rsidR="00022C0C" w:rsidRPr="00A72FC7" w:rsidRDefault="00022C0C" w:rsidP="00C36A5B">
      <w:pPr>
        <w:autoSpaceDE w:val="0"/>
        <w:autoSpaceDN w:val="0"/>
        <w:adjustRightInd w:val="0"/>
        <w:jc w:val="both"/>
        <w:rPr>
          <w:sz w:val="20"/>
          <w:szCs w:val="20"/>
        </w:rPr>
      </w:pPr>
      <w:r w:rsidRPr="00A72FC7">
        <w:rPr>
          <w:rStyle w:val="FootnoteReference"/>
          <w:sz w:val="20"/>
          <w:szCs w:val="20"/>
        </w:rPr>
        <w:footnoteRef/>
      </w:r>
      <w:r w:rsidRPr="00A72FC7">
        <w:rPr>
          <w:sz w:val="20"/>
          <w:szCs w:val="20"/>
        </w:rPr>
        <w:t>In Docket No. 20160</w:t>
      </w:r>
      <w:r>
        <w:rPr>
          <w:sz w:val="20"/>
          <w:szCs w:val="20"/>
        </w:rPr>
        <w:t>165-SU, this</w:t>
      </w:r>
      <w:r w:rsidRPr="00A72FC7">
        <w:rPr>
          <w:sz w:val="20"/>
          <w:szCs w:val="20"/>
        </w:rPr>
        <w:t xml:space="preserve"> Commission approved salaries for a wastewater only utility that averaged $26.75 per hour. For purposes of the Staff Report, </w:t>
      </w:r>
      <w:r>
        <w:rPr>
          <w:sz w:val="20"/>
          <w:szCs w:val="20"/>
        </w:rPr>
        <w:t xml:space="preserve">our </w:t>
      </w:r>
      <w:r w:rsidRPr="00A72FC7">
        <w:rPr>
          <w:sz w:val="20"/>
          <w:szCs w:val="20"/>
        </w:rPr>
        <w:t>staff applied the $26.75 per hour rate to the hours provided by FIMC's owners.</w:t>
      </w:r>
    </w:p>
  </w:footnote>
  <w:footnote w:id="15">
    <w:p w:rsidR="00022C0C" w:rsidRDefault="00022C0C" w:rsidP="00C36A5B">
      <w:pPr>
        <w:pStyle w:val="FootnoteText"/>
      </w:pPr>
      <w:r w:rsidRPr="00A72FC7">
        <w:rPr>
          <w:rStyle w:val="FootnoteReference"/>
        </w:rPr>
        <w:footnoteRef/>
      </w:r>
      <w:r w:rsidRPr="005E30E5">
        <w:t>Document No. 00603-2018, filed January 24, 2018.</w:t>
      </w:r>
    </w:p>
  </w:footnote>
  <w:footnote w:id="16">
    <w:p w:rsidR="00022C0C" w:rsidRDefault="00022C0C" w:rsidP="00C36A5B">
      <w:pPr>
        <w:pStyle w:val="FootnoteText"/>
      </w:pPr>
      <w:r w:rsidRPr="00A72FC7">
        <w:rPr>
          <w:rStyle w:val="FootnoteReference"/>
        </w:rPr>
        <w:footnoteRef/>
      </w:r>
      <w:r w:rsidRPr="005E30E5">
        <w:t>Document No. 00603-2018</w:t>
      </w:r>
      <w:r>
        <w:t>.</w:t>
      </w:r>
    </w:p>
  </w:footnote>
  <w:footnote w:id="17">
    <w:p w:rsidR="00022C0C" w:rsidRDefault="00022C0C" w:rsidP="00C36A5B">
      <w:pPr>
        <w:pStyle w:val="FootnoteText"/>
      </w:pPr>
      <w:r>
        <w:rPr>
          <w:rStyle w:val="FootnoteReference"/>
        </w:rPr>
        <w:footnoteRef/>
      </w:r>
      <w:r>
        <w:t>Document No. 09327-2017, filed October 31, 2017.</w:t>
      </w:r>
    </w:p>
  </w:footnote>
  <w:footnote w:id="18">
    <w:p w:rsidR="00022C0C" w:rsidRDefault="00022C0C" w:rsidP="00C36A5B">
      <w:pPr>
        <w:pStyle w:val="FootnoteText"/>
      </w:pPr>
      <w:r>
        <w:rPr>
          <w:rStyle w:val="FootnoteReference"/>
        </w:rPr>
        <w:footnoteRef/>
      </w:r>
      <w:r>
        <w:t>Document No. 01930-2018, filed February 28, 2018.</w:t>
      </w:r>
    </w:p>
  </w:footnote>
  <w:footnote w:id="19">
    <w:p w:rsidR="00022C0C" w:rsidRDefault="00022C0C" w:rsidP="00C36A5B">
      <w:pPr>
        <w:pStyle w:val="FootnoteText"/>
      </w:pPr>
      <w:r>
        <w:rPr>
          <w:rStyle w:val="FootnoteReference"/>
        </w:rPr>
        <w:footnoteRef/>
      </w:r>
      <w:r>
        <w:t>Document No. 03875-2018, filed May 23, 2018.</w:t>
      </w:r>
    </w:p>
  </w:footnote>
  <w:footnote w:id="20">
    <w:p w:rsidR="00022C0C" w:rsidRDefault="00022C0C" w:rsidP="00C36A5B">
      <w:pPr>
        <w:pStyle w:val="FootnoteText"/>
      </w:pPr>
      <w:r>
        <w:rPr>
          <w:rStyle w:val="FootnoteReference"/>
        </w:rPr>
        <w:footnoteRef/>
      </w:r>
      <w:r>
        <w:t>Document No. 03875-2018.</w:t>
      </w:r>
    </w:p>
  </w:footnote>
  <w:footnote w:id="21">
    <w:p w:rsidR="00022C0C" w:rsidRDefault="00022C0C" w:rsidP="00C36A5B">
      <w:pPr>
        <w:pStyle w:val="FootnoteText"/>
      </w:pPr>
      <w:r w:rsidRPr="00DD2E73">
        <w:rPr>
          <w:rStyle w:val="FootnoteReference"/>
        </w:rPr>
        <w:footnoteRef/>
      </w:r>
      <w:r w:rsidRPr="00DD2E73">
        <w:t>D</w:t>
      </w:r>
      <w:r w:rsidRPr="00CA6326">
        <w:t>ocument No. 03875-2018, filed May 23, 2018. The monthly mortgage on the home is $572.63. There also appears to be a home equity loan on the home, with monthly payments of $681.23. This equals $1</w:t>
      </w:r>
      <w:r>
        <w:t>,</w:t>
      </w:r>
      <w:r w:rsidRPr="00CA6326">
        <w:t>253.86 in monthly payments on the home.</w:t>
      </w:r>
    </w:p>
  </w:footnote>
  <w:footnote w:id="22">
    <w:p w:rsidR="00022C0C" w:rsidRDefault="00022C0C" w:rsidP="00C36A5B">
      <w:pPr>
        <w:pStyle w:val="FootnoteText"/>
      </w:pPr>
      <w:r>
        <w:rPr>
          <w:rStyle w:val="FootnoteReference"/>
        </w:rPr>
        <w:footnoteRef/>
      </w:r>
      <w:r>
        <w:t>Document No. 00603-2018, filed January 24, 2018.</w:t>
      </w:r>
    </w:p>
  </w:footnote>
  <w:footnote w:id="23">
    <w:p w:rsidR="00022C0C" w:rsidRDefault="00022C0C" w:rsidP="00C36A5B">
      <w:pPr>
        <w:pStyle w:val="FootnoteText"/>
      </w:pPr>
      <w:r>
        <w:rPr>
          <w:rStyle w:val="FootnoteReference"/>
        </w:rPr>
        <w:footnoteRef/>
      </w:r>
      <w:r>
        <w:t>Document No. 01930-2018, filed February 28, 2018.</w:t>
      </w:r>
    </w:p>
  </w:footnote>
  <w:footnote w:id="24">
    <w:p w:rsidR="00022C0C" w:rsidRDefault="00022C0C" w:rsidP="00C36A5B">
      <w:pPr>
        <w:pStyle w:val="FootnoteText"/>
      </w:pPr>
      <w:r w:rsidRPr="001F44B6">
        <w:rPr>
          <w:rStyle w:val="FootnoteReference"/>
        </w:rPr>
        <w:footnoteRef/>
      </w:r>
      <w:r>
        <w:t>Based on the u</w:t>
      </w:r>
      <w:r w:rsidRPr="001F44B6">
        <w:t>tility</w:t>
      </w:r>
      <w:r>
        <w:t>’</w:t>
      </w:r>
      <w:r w:rsidRPr="001F44B6">
        <w:t>s 2011-2013 Annual Reports, FIMC reported combined bad debt expense for water and wastewater of $948 in 2011, $948 in 2012, and $495 in 2013. The 2013 amount reflects bad debt for wastewater only.</w:t>
      </w:r>
    </w:p>
  </w:footnote>
  <w:footnote w:id="25">
    <w:p w:rsidR="00022C0C" w:rsidRDefault="00022C0C" w:rsidP="00C36A5B">
      <w:pPr>
        <w:pStyle w:val="FootnoteText"/>
      </w:pPr>
      <w:r>
        <w:rPr>
          <w:rStyle w:val="FootnoteReference"/>
        </w:rPr>
        <w:footnoteRef/>
      </w:r>
      <w:r>
        <w:t>Document No. 03875-2018.</w:t>
      </w:r>
    </w:p>
  </w:footnote>
  <w:footnote w:id="26">
    <w:p w:rsidR="00022C0C" w:rsidRDefault="00022C0C" w:rsidP="00C36A5B">
      <w:pPr>
        <w:pStyle w:val="FootnoteText"/>
      </w:pPr>
      <w:r>
        <w:rPr>
          <w:rStyle w:val="FootnoteReference"/>
        </w:rPr>
        <w:footnoteRef/>
      </w:r>
      <w:r>
        <w:t>While not reflected in the general ledger, the utility did reflect depreciation expense in its 2016 Annual Report.</w:t>
      </w:r>
    </w:p>
  </w:footnote>
  <w:footnote w:id="27">
    <w:p w:rsidR="00022C0C" w:rsidRDefault="00022C0C" w:rsidP="00C36A5B">
      <w:pPr>
        <w:pStyle w:val="FootnoteText"/>
      </w:pPr>
      <w:r>
        <w:rPr>
          <w:rStyle w:val="FootnoteReference"/>
        </w:rPr>
        <w:footnoteRef/>
      </w:r>
      <w:r w:rsidRPr="00F825C0">
        <w:t>As of July 1, 2018, threshold levels for eligibility will increase to $300,000 or less per system.</w:t>
      </w:r>
    </w:p>
  </w:footnote>
  <w:footnote w:id="28">
    <w:p w:rsidR="00022C0C" w:rsidRDefault="00022C0C" w:rsidP="00C36A5B">
      <w:pPr>
        <w:pStyle w:val="FootnoteText"/>
      </w:pPr>
      <w:r>
        <w:rPr>
          <w:rStyle w:val="FootnoteReference"/>
        </w:rPr>
        <w:footnoteRef/>
      </w:r>
      <w:r w:rsidRPr="00C36A5B">
        <w:rPr>
          <w:rFonts w:cs="Calibri"/>
        </w:rPr>
        <w:t xml:space="preserve">Order No. PSC-96-0357-FOF-WU, issued March 13, 1996, in Docket No. 19950641-WU, </w:t>
      </w:r>
      <w:r w:rsidRPr="00C36A5B">
        <w:rPr>
          <w:rFonts w:cs="Calibri"/>
          <w:i/>
          <w:iCs/>
        </w:rPr>
        <w:t>In re: Application for staff-assisted rate case in Palm Beach County by Lake Osborne Utilities Company, Inc.</w:t>
      </w:r>
    </w:p>
  </w:footnote>
  <w:footnote w:id="29">
    <w:p w:rsidR="00022C0C" w:rsidRDefault="00022C0C" w:rsidP="00C36A5B">
      <w:pPr>
        <w:pStyle w:val="FootnoteText"/>
      </w:pPr>
      <w:r>
        <w:rPr>
          <w:rStyle w:val="FootnoteReference"/>
        </w:rPr>
        <w:footnoteRef/>
      </w:r>
      <w:r w:rsidRPr="00C36A5B">
        <w:rPr>
          <w:rFonts w:cs="Calibri"/>
        </w:rPr>
        <w:t xml:space="preserve">Order No. PSC-97-0130-FOF-SU, issued February 10, 1997, in Docket No. 19960561-SU, </w:t>
      </w:r>
      <w:r w:rsidRPr="00C36A5B">
        <w:rPr>
          <w:rFonts w:cs="Calibri"/>
          <w:i/>
          <w:iCs/>
        </w:rPr>
        <w:t>In re: Application for staff-assisted rate case in Citrus County by Indian Springs Utilities, Inc.</w:t>
      </w:r>
    </w:p>
  </w:footnote>
  <w:footnote w:id="30">
    <w:p w:rsidR="00022C0C" w:rsidRPr="00C36A5B" w:rsidRDefault="00022C0C" w:rsidP="00C36A5B">
      <w:pPr>
        <w:pStyle w:val="FootnoteText"/>
        <w:tabs>
          <w:tab w:val="left" w:pos="180"/>
        </w:tabs>
        <w:rPr>
          <w:rFonts w:cs="Calibri"/>
        </w:rPr>
      </w:pPr>
      <w:r>
        <w:rPr>
          <w:rStyle w:val="FootnoteReference"/>
        </w:rPr>
        <w:footnoteRef/>
      </w:r>
      <w:r w:rsidRPr="00C36A5B">
        <w:rPr>
          <w:rFonts w:cs="Calibri"/>
        </w:rPr>
        <w:t>Order No. P</w:t>
      </w:r>
      <w:r w:rsidRPr="00BB79EF">
        <w:t>SC-2017-0459-PAA-WS</w:t>
      </w:r>
      <w:r w:rsidRPr="00C36A5B">
        <w:rPr>
          <w:rFonts w:cs="Calibri"/>
        </w:rPr>
        <w:t xml:space="preserve">, issued November 30, 2017, in Docket No. 20160176-WS, </w:t>
      </w:r>
      <w:r w:rsidRPr="00BB79EF">
        <w:rPr>
          <w:i/>
        </w:rPr>
        <w:t>In re: Application for staff-assisted rate case in Polk County by Four Lakes Golf Club, Ltd.</w:t>
      </w:r>
    </w:p>
  </w:footnote>
  <w:footnote w:id="31">
    <w:p w:rsidR="00022C0C" w:rsidRPr="00B714E0" w:rsidRDefault="00022C0C" w:rsidP="00805898">
      <w:pPr>
        <w:pStyle w:val="FootnoteText"/>
        <w:rPr>
          <w:i/>
        </w:rPr>
      </w:pPr>
      <w:r w:rsidRPr="00890011">
        <w:rPr>
          <w:rStyle w:val="FootnoteReference"/>
        </w:rPr>
        <w:footnoteRef/>
      </w:r>
      <w:r w:rsidRPr="00686608">
        <w:rPr>
          <w:i/>
        </w:rPr>
        <w:t xml:space="preserve">See e.g., </w:t>
      </w:r>
      <w:r w:rsidRPr="00890011">
        <w:t xml:space="preserve">Order No. PSC-15-0142-PAA-SU, issued March 26, 2015, in Docket No. </w:t>
      </w:r>
      <w:r>
        <w:t>20</w:t>
      </w:r>
      <w:r w:rsidRPr="00890011">
        <w:t xml:space="preserve">130178-SU, </w:t>
      </w:r>
      <w:r w:rsidRPr="00890011">
        <w:rPr>
          <w:i/>
        </w:rPr>
        <w:t>In re: Application for staff-assisted rate case in Polk County by Crooked Lake Park Sewerage Company.</w:t>
      </w:r>
    </w:p>
  </w:footnote>
  <w:footnote w:id="32">
    <w:p w:rsidR="00022C0C" w:rsidRDefault="00022C0C" w:rsidP="00805898">
      <w:pPr>
        <w:pStyle w:val="FootnoteText"/>
      </w:pPr>
      <w:r w:rsidRPr="00506B22">
        <w:rPr>
          <w:rStyle w:val="FootnoteReference"/>
        </w:rPr>
        <w:footnoteRef/>
      </w:r>
      <w:r w:rsidRPr="00A55107">
        <w:rPr>
          <w:i/>
        </w:rPr>
        <w:t>See</w:t>
      </w:r>
      <w:r w:rsidRPr="00A93125">
        <w:rPr>
          <w:i/>
        </w:rPr>
        <w:t xml:space="preserve"> </w:t>
      </w:r>
      <w:r w:rsidRPr="00DC4710">
        <w:t>Order</w:t>
      </w:r>
      <w:r w:rsidRPr="00506B22">
        <w:t xml:space="preserve"> No. PSC-92-0479-FOF-WS, issued June </w:t>
      </w:r>
      <w:r>
        <w:t>9, 1992, in</w:t>
      </w:r>
      <w:r w:rsidRPr="00506B22">
        <w:t xml:space="preserve"> Docket No. </w:t>
      </w:r>
      <w:r>
        <w:t>19</w:t>
      </w:r>
      <w:r w:rsidRPr="00506B22">
        <w:t xml:space="preserve">911091-WS, </w:t>
      </w:r>
      <w:r w:rsidRPr="00506B22">
        <w:rPr>
          <w:i/>
        </w:rPr>
        <w:t>In re: Application for a staff-assisted rate case in Levy C</w:t>
      </w:r>
      <w:r>
        <w:rPr>
          <w:i/>
        </w:rPr>
        <w:t xml:space="preserve">ounty by FIMC Hideaway, Inc.; </w:t>
      </w:r>
      <w:r w:rsidRPr="00DC4710">
        <w:t>Order</w:t>
      </w:r>
      <w:r w:rsidRPr="00506B22">
        <w:t xml:space="preserve"> No. </w:t>
      </w:r>
      <w:r w:rsidRPr="00506B22">
        <w:rPr>
          <w:color w:val="1C1C1C"/>
        </w:rPr>
        <w:t>23970</w:t>
      </w:r>
      <w:r>
        <w:t>, issued January 8, 1991,</w:t>
      </w:r>
      <w:r w:rsidRPr="00506B22">
        <w:t xml:space="preserve"> Docket No. </w:t>
      </w:r>
      <w:r>
        <w:t>19900408</w:t>
      </w:r>
      <w:r w:rsidRPr="00506B22">
        <w:t xml:space="preserve">-WS, </w:t>
      </w:r>
      <w:r w:rsidRPr="00506B22">
        <w:rPr>
          <w:i/>
        </w:rPr>
        <w:t xml:space="preserve">In re: Application for transfer of Certificates Nos. 435-W and 366-S in Levy County from Springside, Inc. to Springside At Manatee, Ltd.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C0C" w:rsidRDefault="00022C0C">
    <w:pPr>
      <w:pStyle w:val="OrderHeader"/>
    </w:pPr>
    <w:r>
      <w:t xml:space="preserve">ORDER NO. </w:t>
    </w:r>
    <w:fldSimple w:instr=" REF OrderNo0389 ">
      <w:r w:rsidR="00E86240">
        <w:t>PSC-2018-0389-PAA-WS</w:t>
      </w:r>
    </w:fldSimple>
    <w:r>
      <w:tab/>
    </w:r>
    <w:r>
      <w:tab/>
    </w:r>
  </w:p>
  <w:p w:rsidR="00022C0C" w:rsidRDefault="00022C0C">
    <w:pPr>
      <w:pStyle w:val="OrderHeader"/>
    </w:pPr>
    <w:bookmarkStart w:id="11" w:name="HeaderDocketNo"/>
    <w:bookmarkEnd w:id="11"/>
    <w:r>
      <w:t>DOCKET NO. 20170147-WS</w:t>
    </w:r>
  </w:p>
  <w:p w:rsidR="00022C0C" w:rsidRDefault="00022C0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6240">
      <w:rPr>
        <w:rStyle w:val="PageNumber"/>
        <w:noProof/>
      </w:rPr>
      <w:t>34</w:t>
    </w:r>
    <w:r>
      <w:rPr>
        <w:rStyle w:val="PageNumber"/>
      </w:rPr>
      <w:fldChar w:fldCharType="end"/>
    </w:r>
  </w:p>
  <w:p w:rsidR="00022C0C" w:rsidRDefault="00022C0C">
    <w:pPr>
      <w:pStyle w:val="Order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C0C" w:rsidRDefault="00022C0C" w:rsidP="00B22AD8">
    <w:pPr>
      <w:pStyle w:val="OrderHeader"/>
    </w:pPr>
    <w:r>
      <w:t>ORDER NO.</w:t>
    </w:r>
    <w:r w:rsidR="00E86240">
      <w:t xml:space="preserve">  PSC-2018-0389-PAA-WS</w:t>
    </w:r>
    <w:r>
      <w:t xml:space="preserve"> </w:t>
    </w:r>
    <w:r>
      <w:tab/>
    </w:r>
    <w:r>
      <w:tab/>
      <w:t>Schedule No. 3-C</w:t>
    </w:r>
  </w:p>
  <w:p w:rsidR="00022C0C" w:rsidRDefault="00022C0C" w:rsidP="00B22AD8">
    <w:pPr>
      <w:pStyle w:val="OrderHeader"/>
    </w:pPr>
    <w:r>
      <w:t>DOCKET NO. 20170147-WS</w:t>
    </w:r>
    <w:r>
      <w:tab/>
    </w:r>
    <w:r>
      <w:tab/>
      <w:t>Page 1 of 2</w:t>
    </w:r>
  </w:p>
  <w:p w:rsidR="00022C0C" w:rsidRDefault="00022C0C" w:rsidP="00B22AD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6240">
      <w:rPr>
        <w:rStyle w:val="PageNumber"/>
        <w:noProof/>
      </w:rPr>
      <w:t>41</w:t>
    </w:r>
    <w:r>
      <w:rPr>
        <w:rStyle w:val="PageNumbe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C0C" w:rsidRDefault="00022C0C" w:rsidP="00B22AD8">
    <w:pPr>
      <w:pStyle w:val="OrderHeader"/>
    </w:pPr>
    <w:r>
      <w:t>O</w:t>
    </w:r>
    <w:r w:rsidR="00E86240">
      <w:t>RDER NO.  PSC-2018-0389-PAA-WS</w:t>
    </w:r>
    <w:r>
      <w:tab/>
    </w:r>
    <w:r>
      <w:tab/>
      <w:t>Schedule No. 3-D</w:t>
    </w:r>
  </w:p>
  <w:p w:rsidR="00022C0C" w:rsidRDefault="00022C0C" w:rsidP="00B22AD8">
    <w:pPr>
      <w:pStyle w:val="OrderHeader"/>
    </w:pPr>
    <w:r>
      <w:t>DOCKET NO. 20170147-WS</w:t>
    </w:r>
    <w:r>
      <w:tab/>
    </w:r>
    <w:r>
      <w:tab/>
      <w:t>Page 1 of 1</w:t>
    </w:r>
  </w:p>
  <w:p w:rsidR="00022C0C" w:rsidRDefault="00022C0C" w:rsidP="00B22AD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6240">
      <w:rPr>
        <w:rStyle w:val="PageNumber"/>
        <w:noProof/>
      </w:rPr>
      <w:t>43</w:t>
    </w:r>
    <w:r>
      <w:rPr>
        <w:rStyle w:val="PageNumbe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C0C" w:rsidRDefault="00022C0C" w:rsidP="00B22AD8">
    <w:pPr>
      <w:pStyle w:val="OrderHeader"/>
    </w:pPr>
    <w:r>
      <w:t>ORDER NO.</w:t>
    </w:r>
    <w:r w:rsidR="00E86240">
      <w:t xml:space="preserve">  PSC-2018-0389-PAA-WS</w:t>
    </w:r>
    <w:r>
      <w:t xml:space="preserve"> </w:t>
    </w:r>
    <w:r>
      <w:tab/>
    </w:r>
    <w:r>
      <w:tab/>
      <w:t>Schedule No. 3-E</w:t>
    </w:r>
  </w:p>
  <w:p w:rsidR="00022C0C" w:rsidRDefault="00022C0C" w:rsidP="00B22AD8">
    <w:pPr>
      <w:pStyle w:val="OrderHeader"/>
    </w:pPr>
    <w:r>
      <w:t>DOCKET NO. 20170147-WS</w:t>
    </w:r>
    <w:r>
      <w:tab/>
    </w:r>
    <w:r>
      <w:tab/>
      <w:t>Page 1 of 1</w:t>
    </w:r>
  </w:p>
  <w:p w:rsidR="00022C0C" w:rsidRDefault="00022C0C" w:rsidP="00B22AD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6240">
      <w:rPr>
        <w:rStyle w:val="PageNumber"/>
        <w:noProof/>
      </w:rPr>
      <w:t>44</w:t>
    </w:r>
    <w:r>
      <w:rPr>
        <w:rStyle w:val="PageNumbe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C0C" w:rsidRDefault="00022C0C" w:rsidP="00B22AD8">
    <w:pPr>
      <w:pStyle w:val="OrderHeader"/>
    </w:pPr>
    <w:r>
      <w:t>ORDER NO.</w:t>
    </w:r>
    <w:r w:rsidR="00E86240">
      <w:t xml:space="preserve">  PSC-2018-0389-PAA-WS</w:t>
    </w:r>
    <w:r>
      <w:t xml:space="preserve"> </w:t>
    </w:r>
    <w:r>
      <w:tab/>
    </w:r>
    <w:r>
      <w:tab/>
      <w:t>Schedule No. 4-A</w:t>
    </w:r>
  </w:p>
  <w:p w:rsidR="00022C0C" w:rsidRDefault="00022C0C" w:rsidP="00B22AD8">
    <w:pPr>
      <w:pStyle w:val="OrderHeader"/>
    </w:pPr>
    <w:r>
      <w:t>DOCKET NO. 20170147-WS</w:t>
    </w:r>
    <w:r>
      <w:tab/>
    </w:r>
    <w:r>
      <w:tab/>
      <w:t>Page 1 of 1</w:t>
    </w:r>
  </w:p>
  <w:p w:rsidR="00022C0C" w:rsidRDefault="00022C0C" w:rsidP="00B22AD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6240">
      <w:rPr>
        <w:rStyle w:val="PageNumber"/>
        <w:noProof/>
      </w:rPr>
      <w:t>45</w:t>
    </w:r>
    <w:r>
      <w:rPr>
        <w:rStyle w:val="PageNumbe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C0C" w:rsidRDefault="00022C0C" w:rsidP="00B22AD8">
    <w:pPr>
      <w:pStyle w:val="OrderHeader"/>
    </w:pPr>
    <w:r>
      <w:t>ORDER NO.</w:t>
    </w:r>
    <w:r w:rsidR="00E86240">
      <w:t xml:space="preserve">  PSC-2018-0389-PAA-WS</w:t>
    </w:r>
    <w:r>
      <w:t xml:space="preserve"> </w:t>
    </w:r>
    <w:r>
      <w:tab/>
    </w:r>
    <w:r>
      <w:tab/>
      <w:t>Schedule No. 4-B</w:t>
    </w:r>
  </w:p>
  <w:p w:rsidR="00022C0C" w:rsidRDefault="00022C0C" w:rsidP="00B22AD8">
    <w:pPr>
      <w:pStyle w:val="OrderHeader"/>
    </w:pPr>
    <w:r>
      <w:t>DOCKET NO. 20170147-WS</w:t>
    </w:r>
    <w:r>
      <w:tab/>
    </w:r>
    <w:r>
      <w:tab/>
      <w:t>Page 1 of 1</w:t>
    </w:r>
  </w:p>
  <w:p w:rsidR="00022C0C" w:rsidRDefault="00022C0C" w:rsidP="00B22AD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6240">
      <w:rPr>
        <w:rStyle w:val="PageNumber"/>
        <w:noProof/>
      </w:rPr>
      <w:t>46</w:t>
    </w:r>
    <w:r>
      <w:rPr>
        <w:rStyle w:val="PageNumbe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C0C" w:rsidRDefault="00022C0C" w:rsidP="00B22AD8">
    <w:pPr>
      <w:pStyle w:val="OrderHeader"/>
    </w:pPr>
    <w:r>
      <w:t>ORDER NO.</w:t>
    </w:r>
    <w:r w:rsidR="00E86240">
      <w:t xml:space="preserve">  PSC-2018-0389-PAA-WS</w:t>
    </w:r>
    <w:r>
      <w:t xml:space="preserve"> </w:t>
    </w:r>
    <w:r>
      <w:tab/>
    </w:r>
    <w:r>
      <w:tab/>
      <w:t>Schedule No. 5-A</w:t>
    </w:r>
  </w:p>
  <w:p w:rsidR="00022C0C" w:rsidRDefault="00022C0C" w:rsidP="00B22AD8">
    <w:pPr>
      <w:pStyle w:val="OrderHeader"/>
    </w:pPr>
    <w:r>
      <w:t>DOCKET NO. 20170147-WS</w:t>
    </w:r>
    <w:r>
      <w:tab/>
    </w:r>
    <w:r>
      <w:tab/>
      <w:t>Page 1 of 1</w:t>
    </w:r>
  </w:p>
  <w:p w:rsidR="00022C0C" w:rsidRDefault="00022C0C" w:rsidP="00B22AD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6240">
      <w:rPr>
        <w:rStyle w:val="PageNumber"/>
        <w:noProof/>
      </w:rPr>
      <w:t>47</w:t>
    </w:r>
    <w:r>
      <w:rPr>
        <w:rStyle w:val="PageNumbe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C0C" w:rsidRDefault="00022C0C" w:rsidP="00B22AD8">
    <w:pPr>
      <w:pStyle w:val="OrderHeader"/>
    </w:pPr>
    <w:r>
      <w:t>ORDER NO.</w:t>
    </w:r>
    <w:r w:rsidR="00E86240">
      <w:t xml:space="preserve">  PSC-2018-0389-PAA-WS</w:t>
    </w:r>
    <w:r>
      <w:t xml:space="preserve"> </w:t>
    </w:r>
    <w:r>
      <w:tab/>
    </w:r>
    <w:r>
      <w:tab/>
      <w:t>Schedule No. 5-B</w:t>
    </w:r>
  </w:p>
  <w:p w:rsidR="00022C0C" w:rsidRDefault="00022C0C" w:rsidP="00B22AD8">
    <w:pPr>
      <w:pStyle w:val="OrderHeader"/>
    </w:pPr>
    <w:r>
      <w:t>DOCKET NO. 20170147-WS</w:t>
    </w:r>
    <w:r>
      <w:tab/>
    </w:r>
    <w:r>
      <w:tab/>
      <w:t>Page 1 of 1</w:t>
    </w:r>
  </w:p>
  <w:p w:rsidR="00022C0C" w:rsidRDefault="00022C0C" w:rsidP="00B22AD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6240">
      <w:rPr>
        <w:rStyle w:val="PageNumber"/>
        <w:noProof/>
      </w:rPr>
      <w:t>48</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C0C" w:rsidRDefault="00022C0C" w:rsidP="00B22AD8">
    <w:pPr>
      <w:pStyle w:val="OrderHeader"/>
    </w:pPr>
    <w:r>
      <w:t>O</w:t>
    </w:r>
    <w:r w:rsidR="00E86240">
      <w:t>RDER NO.  PSC-2018-0389-PAA-WS</w:t>
    </w:r>
    <w:r>
      <w:tab/>
    </w:r>
    <w:r>
      <w:tab/>
      <w:t>Schedule No. 1-A</w:t>
    </w:r>
  </w:p>
  <w:p w:rsidR="00022C0C" w:rsidRDefault="00022C0C" w:rsidP="00B22AD8">
    <w:pPr>
      <w:pStyle w:val="OrderHeader"/>
    </w:pPr>
    <w:r>
      <w:t>DOCKET NO. 20170147-WS</w:t>
    </w:r>
    <w:r>
      <w:tab/>
    </w:r>
    <w:r>
      <w:tab/>
      <w:t>Page 1 of 1</w:t>
    </w:r>
  </w:p>
  <w:p w:rsidR="00022C0C" w:rsidRDefault="00022C0C" w:rsidP="00B22AD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6240">
      <w:rPr>
        <w:rStyle w:val="PageNumber"/>
        <w:noProof/>
      </w:rPr>
      <w:t>35</w:t>
    </w:r>
    <w:r>
      <w:rPr>
        <w:rStyle w:val="PageNumber"/>
      </w:rPr>
      <w:fldChar w:fldCharType="end"/>
    </w:r>
  </w:p>
  <w:p w:rsidR="00022C0C" w:rsidRPr="00B22AD8" w:rsidRDefault="00022C0C" w:rsidP="00B22A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C0C" w:rsidRDefault="00022C0C" w:rsidP="00B22AD8">
    <w:pPr>
      <w:pStyle w:val="OrderHeader"/>
    </w:pPr>
    <w:r>
      <w:t>O</w:t>
    </w:r>
    <w:r w:rsidR="00E86240">
      <w:t>RDER NO.  PSC-2018-0389-PAA-WS</w:t>
    </w:r>
    <w:r>
      <w:tab/>
    </w:r>
    <w:r>
      <w:tab/>
      <w:t>Schedule No. 1-B</w:t>
    </w:r>
  </w:p>
  <w:p w:rsidR="00022C0C" w:rsidRDefault="00022C0C" w:rsidP="00B22AD8">
    <w:pPr>
      <w:pStyle w:val="OrderHeader"/>
    </w:pPr>
    <w:r>
      <w:t>DOCKET NO. 20170147-WS</w:t>
    </w:r>
    <w:r>
      <w:tab/>
    </w:r>
    <w:r>
      <w:tab/>
      <w:t>Page 1 of 1</w:t>
    </w:r>
  </w:p>
  <w:p w:rsidR="00022C0C" w:rsidRDefault="00022C0C" w:rsidP="00B22AD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6240">
      <w:rPr>
        <w:rStyle w:val="PageNumber"/>
        <w:noProof/>
      </w:rPr>
      <w:t>36</w:t>
    </w:r>
    <w:r>
      <w:rPr>
        <w:rStyle w:val="PageNumber"/>
      </w:rPr>
      <w:fldChar w:fldCharType="end"/>
    </w:r>
  </w:p>
  <w:p w:rsidR="00022C0C" w:rsidRPr="00B22AD8" w:rsidRDefault="00022C0C" w:rsidP="00B22AD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C0C" w:rsidRDefault="00022C0C" w:rsidP="00B22AD8">
    <w:pPr>
      <w:pStyle w:val="OrderHeader"/>
    </w:pPr>
    <w:r>
      <w:t>O</w:t>
    </w:r>
    <w:r w:rsidR="00E86240">
      <w:t>RDER NO.  PSC-2018-0389-PAA-WS</w:t>
    </w:r>
    <w:r>
      <w:tab/>
    </w:r>
    <w:r>
      <w:tab/>
      <w:t>Schedule No. 1-C</w:t>
    </w:r>
  </w:p>
  <w:p w:rsidR="00022C0C" w:rsidRDefault="00022C0C" w:rsidP="00B22AD8">
    <w:pPr>
      <w:pStyle w:val="OrderHeader"/>
    </w:pPr>
    <w:r>
      <w:t>DOCKET NO. 20170147-WS</w:t>
    </w:r>
    <w:r>
      <w:tab/>
    </w:r>
    <w:r>
      <w:tab/>
      <w:t>Page 1 of 1</w:t>
    </w:r>
  </w:p>
  <w:p w:rsidR="00022C0C" w:rsidRDefault="00022C0C" w:rsidP="00B22AD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6240">
      <w:rPr>
        <w:rStyle w:val="PageNumber"/>
        <w:noProof/>
      </w:rPr>
      <w:t>37</w:t>
    </w:r>
    <w:r>
      <w:rPr>
        <w:rStyle w:val="PageNumber"/>
      </w:rPr>
      <w:fldChar w:fldCharType="end"/>
    </w:r>
  </w:p>
  <w:p w:rsidR="00022C0C" w:rsidRPr="00B22AD8" w:rsidRDefault="00022C0C" w:rsidP="00B22AD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C0C" w:rsidRDefault="00022C0C">
    <w:pPr>
      <w:pStyle w:val="OrderHeader"/>
    </w:pPr>
    <w:r>
      <w:t>ORDER NO.</w:t>
    </w:r>
    <w:r w:rsidR="00E86240">
      <w:t xml:space="preserve">  PSC-2018-0389-PAA-WS</w:t>
    </w:r>
    <w:r>
      <w:t xml:space="preserve"> </w:t>
    </w:r>
    <w:r>
      <w:tab/>
    </w:r>
    <w:r>
      <w:tab/>
    </w:r>
    <w:r>
      <w:tab/>
    </w:r>
    <w:r>
      <w:tab/>
      <w:t>Schedule 3-A</w:t>
    </w:r>
    <w:r>
      <w:tab/>
    </w:r>
  </w:p>
  <w:p w:rsidR="00022C0C" w:rsidRDefault="00022C0C">
    <w:pPr>
      <w:pStyle w:val="OrderHeader"/>
    </w:pPr>
    <w:r>
      <w:t>DOCKET NO. 20170147-WS</w:t>
    </w:r>
    <w:r>
      <w:tab/>
    </w:r>
    <w:r>
      <w:tab/>
    </w:r>
    <w:r>
      <w:tab/>
    </w:r>
    <w:r>
      <w:tab/>
      <w:t>Page 1 of 1</w:t>
    </w:r>
  </w:p>
  <w:p w:rsidR="00022C0C" w:rsidRDefault="00022C0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6240">
      <w:rPr>
        <w:rStyle w:val="PageNumber"/>
        <w:noProof/>
      </w:rPr>
      <w:t>39</w:t>
    </w:r>
    <w:r>
      <w:rPr>
        <w:rStyle w:val="PageNumber"/>
      </w:rPr>
      <w:fldChar w:fldCharType="end"/>
    </w:r>
  </w:p>
  <w:p w:rsidR="00022C0C" w:rsidRDefault="00022C0C">
    <w:pPr>
      <w:pStyle w:val="Order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C0C" w:rsidRDefault="00022C0C" w:rsidP="00B22AD8">
    <w:pPr>
      <w:pStyle w:val="OrderHeader"/>
    </w:pPr>
    <w:r>
      <w:t>O</w:t>
    </w:r>
    <w:r w:rsidR="00E86240">
      <w:t>RDER NO.  PSC-2018-0389-PAA-WS</w:t>
    </w:r>
    <w:r>
      <w:tab/>
    </w:r>
    <w:r>
      <w:tab/>
    </w:r>
    <w:r>
      <w:tab/>
    </w:r>
    <w:r>
      <w:tab/>
      <w:t>Schedule No. 2</w:t>
    </w:r>
  </w:p>
  <w:p w:rsidR="00022C0C" w:rsidRDefault="00022C0C" w:rsidP="00B22AD8">
    <w:pPr>
      <w:pStyle w:val="OrderHeader"/>
    </w:pPr>
    <w:r>
      <w:t>DOCKET NO. 20170147-WS</w:t>
    </w:r>
    <w:r>
      <w:tab/>
    </w:r>
    <w:r>
      <w:tab/>
    </w:r>
    <w:r>
      <w:tab/>
    </w:r>
    <w:r>
      <w:tab/>
      <w:t>Page 1 of 1</w:t>
    </w:r>
  </w:p>
  <w:p w:rsidR="00022C0C" w:rsidRDefault="00022C0C" w:rsidP="00B22AD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6240">
      <w:rPr>
        <w:rStyle w:val="PageNumber"/>
        <w:noProof/>
      </w:rPr>
      <w:t>38</w:t>
    </w:r>
    <w:r>
      <w:rPr>
        <w:rStyle w:val="PageNumber"/>
      </w:rPr>
      <w:fldChar w:fldCharType="end"/>
    </w:r>
  </w:p>
  <w:p w:rsidR="00022C0C" w:rsidRPr="00B22AD8" w:rsidRDefault="00022C0C" w:rsidP="00B22AD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C0C" w:rsidRDefault="00022C0C">
    <w:pPr>
      <w:pStyle w:val="OrderHeader"/>
    </w:pPr>
    <w:r>
      <w:t xml:space="preserve">ORDER NO. </w:t>
    </w:r>
    <w:r>
      <w:tab/>
    </w:r>
    <w:r>
      <w:tab/>
    </w:r>
    <w:r>
      <w:tab/>
    </w:r>
    <w:r>
      <w:tab/>
      <w:t>Schedule 3-C</w:t>
    </w:r>
    <w:r>
      <w:tab/>
    </w:r>
  </w:p>
  <w:p w:rsidR="00022C0C" w:rsidRDefault="00022C0C">
    <w:pPr>
      <w:pStyle w:val="OrderHeader"/>
    </w:pPr>
    <w:r>
      <w:t>DOCKET NO. 20170147-WS</w:t>
    </w:r>
    <w:r>
      <w:tab/>
    </w:r>
    <w:r>
      <w:tab/>
    </w:r>
    <w:r>
      <w:tab/>
    </w:r>
    <w:r>
      <w:tab/>
      <w:t>Page 1 of 2</w:t>
    </w:r>
  </w:p>
  <w:p w:rsidR="00022C0C" w:rsidRDefault="00022C0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p>
  <w:p w:rsidR="00022C0C" w:rsidRDefault="00022C0C">
    <w:pPr>
      <w:pStyle w:val="Order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C0C" w:rsidRDefault="00022C0C" w:rsidP="00B22AD8">
    <w:pPr>
      <w:pStyle w:val="OrderHeader"/>
    </w:pPr>
    <w:r>
      <w:t>O</w:t>
    </w:r>
    <w:r w:rsidR="00E86240">
      <w:t>RDER NO.  PSC-2018-0389-PAA-WS</w:t>
    </w:r>
    <w:r>
      <w:tab/>
    </w:r>
    <w:r>
      <w:tab/>
    </w:r>
    <w:r>
      <w:tab/>
    </w:r>
    <w:r>
      <w:tab/>
      <w:t>Schedule No. 3-B</w:t>
    </w:r>
  </w:p>
  <w:p w:rsidR="00022C0C" w:rsidRDefault="00022C0C" w:rsidP="00B22AD8">
    <w:pPr>
      <w:pStyle w:val="OrderHeader"/>
    </w:pPr>
    <w:r>
      <w:t>DOCKET NO. 20170147-WS</w:t>
    </w:r>
    <w:r>
      <w:tab/>
    </w:r>
    <w:r>
      <w:tab/>
    </w:r>
    <w:r>
      <w:tab/>
    </w:r>
    <w:r>
      <w:tab/>
      <w:t>Page 1 of 1</w:t>
    </w:r>
  </w:p>
  <w:p w:rsidR="00022C0C" w:rsidRDefault="00022C0C" w:rsidP="00B22AD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6240">
      <w:rPr>
        <w:rStyle w:val="PageNumber"/>
        <w:noProof/>
      </w:rPr>
      <w:t>40</w:t>
    </w:r>
    <w:r>
      <w:rPr>
        <w:rStyle w:val="PageNumbe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C0C" w:rsidRDefault="00022C0C">
    <w:pPr>
      <w:pStyle w:val="OrderHeader"/>
    </w:pPr>
    <w:r>
      <w:t>ORDER NO.</w:t>
    </w:r>
    <w:r w:rsidR="00E86240">
      <w:t xml:space="preserve">  PSC-2018-0389-PAA-WS</w:t>
    </w:r>
    <w:r>
      <w:t xml:space="preserve"> </w:t>
    </w:r>
    <w:r>
      <w:tab/>
    </w:r>
    <w:r>
      <w:tab/>
      <w:t>Schedule 3-C</w:t>
    </w:r>
    <w:r>
      <w:tab/>
    </w:r>
  </w:p>
  <w:p w:rsidR="00022C0C" w:rsidRPr="00D51AB3" w:rsidRDefault="00022C0C">
    <w:pPr>
      <w:pStyle w:val="OrderHeader"/>
      <w:rPr>
        <w:i/>
      </w:rPr>
    </w:pPr>
    <w:r>
      <w:t>DOCKET NO. 20170147-WS</w:t>
    </w:r>
    <w:r>
      <w:tab/>
    </w:r>
    <w:r>
      <w:tab/>
      <w:t>Page 2 of 2</w:t>
    </w:r>
  </w:p>
  <w:p w:rsidR="00022C0C" w:rsidRPr="00D51AB3" w:rsidRDefault="00022C0C">
    <w:pPr>
      <w:pStyle w:val="OrderHeader"/>
      <w:rPr>
        <w:rStyle w:val="PageNumber"/>
      </w:rPr>
    </w:pPr>
    <w:r w:rsidRPr="00D51AB3">
      <w:t xml:space="preserve">PAGE </w:t>
    </w:r>
    <w:r w:rsidRPr="00D51AB3">
      <w:rPr>
        <w:rStyle w:val="PageNumber"/>
      </w:rPr>
      <w:fldChar w:fldCharType="begin"/>
    </w:r>
    <w:r w:rsidRPr="00D51AB3">
      <w:rPr>
        <w:rStyle w:val="PageNumber"/>
      </w:rPr>
      <w:instrText xml:space="preserve"> PAGE </w:instrText>
    </w:r>
    <w:r w:rsidRPr="00D51AB3">
      <w:rPr>
        <w:rStyle w:val="PageNumber"/>
      </w:rPr>
      <w:fldChar w:fldCharType="separate"/>
    </w:r>
    <w:r w:rsidR="00E86240">
      <w:rPr>
        <w:rStyle w:val="PageNumber"/>
        <w:noProof/>
      </w:rPr>
      <w:t>42</w:t>
    </w:r>
    <w:r w:rsidRPr="00D51AB3">
      <w:rPr>
        <w:rStyle w:val="PageNumber"/>
      </w:rPr>
      <w:fldChar w:fldCharType="end"/>
    </w:r>
  </w:p>
  <w:p w:rsidR="00022C0C" w:rsidRDefault="00022C0C">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D48C7"/>
    <w:multiLevelType w:val="hybridMultilevel"/>
    <w:tmpl w:val="70C82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4C37B2"/>
    <w:multiLevelType w:val="hybridMultilevel"/>
    <w:tmpl w:val="EA8A3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481F0D"/>
    <w:multiLevelType w:val="hybridMultilevel"/>
    <w:tmpl w:val="FFFCF1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C374C"/>
    <w:multiLevelType w:val="hybridMultilevel"/>
    <w:tmpl w:val="0C8CBA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4D3D5918"/>
    <w:multiLevelType w:val="hybridMultilevel"/>
    <w:tmpl w:val="F63864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6E2850E6"/>
    <w:multiLevelType w:val="hybridMultilevel"/>
    <w:tmpl w:val="2D267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47-WS"/>
  </w:docVars>
  <w:rsids>
    <w:rsidRoot w:val="00632484"/>
    <w:rsid w:val="00001195"/>
    <w:rsid w:val="000022B8"/>
    <w:rsid w:val="00010C60"/>
    <w:rsid w:val="00022C0C"/>
    <w:rsid w:val="00035A8C"/>
    <w:rsid w:val="00051C30"/>
    <w:rsid w:val="00053AB9"/>
    <w:rsid w:val="00056229"/>
    <w:rsid w:val="00057AF1"/>
    <w:rsid w:val="00065FC2"/>
    <w:rsid w:val="00067685"/>
    <w:rsid w:val="00076E6B"/>
    <w:rsid w:val="0008247D"/>
    <w:rsid w:val="00090AFC"/>
    <w:rsid w:val="000910CC"/>
    <w:rsid w:val="000949CE"/>
    <w:rsid w:val="000B783E"/>
    <w:rsid w:val="000D02B8"/>
    <w:rsid w:val="000D06E8"/>
    <w:rsid w:val="000E050C"/>
    <w:rsid w:val="000E20F0"/>
    <w:rsid w:val="000E344D"/>
    <w:rsid w:val="000E3F6D"/>
    <w:rsid w:val="000F359F"/>
    <w:rsid w:val="000F3B2C"/>
    <w:rsid w:val="000F442C"/>
    <w:rsid w:val="000F63EB"/>
    <w:rsid w:val="000F648A"/>
    <w:rsid w:val="000F7BE3"/>
    <w:rsid w:val="001052BA"/>
    <w:rsid w:val="001107B3"/>
    <w:rsid w:val="001114B1"/>
    <w:rsid w:val="001139D8"/>
    <w:rsid w:val="00116AD3"/>
    <w:rsid w:val="00121957"/>
    <w:rsid w:val="0012387E"/>
    <w:rsid w:val="00126593"/>
    <w:rsid w:val="00142A96"/>
    <w:rsid w:val="001513DE"/>
    <w:rsid w:val="00153D73"/>
    <w:rsid w:val="00154A71"/>
    <w:rsid w:val="00156516"/>
    <w:rsid w:val="00180828"/>
    <w:rsid w:val="00186982"/>
    <w:rsid w:val="00187E32"/>
    <w:rsid w:val="00194E81"/>
    <w:rsid w:val="001A15E7"/>
    <w:rsid w:val="001A33C9"/>
    <w:rsid w:val="001A58F3"/>
    <w:rsid w:val="001C2847"/>
    <w:rsid w:val="001C3F8C"/>
    <w:rsid w:val="001C6097"/>
    <w:rsid w:val="001D008A"/>
    <w:rsid w:val="001E0152"/>
    <w:rsid w:val="001E0FF5"/>
    <w:rsid w:val="002002ED"/>
    <w:rsid w:val="002170E5"/>
    <w:rsid w:val="00217EB4"/>
    <w:rsid w:val="00220D57"/>
    <w:rsid w:val="0022721A"/>
    <w:rsid w:val="00230BB9"/>
    <w:rsid w:val="00241CEF"/>
    <w:rsid w:val="0025124E"/>
    <w:rsid w:val="00252B30"/>
    <w:rsid w:val="002613E4"/>
    <w:rsid w:val="0026544B"/>
    <w:rsid w:val="00276CDC"/>
    <w:rsid w:val="00277655"/>
    <w:rsid w:val="002814B6"/>
    <w:rsid w:val="002824B7"/>
    <w:rsid w:val="00282AC4"/>
    <w:rsid w:val="00286B5B"/>
    <w:rsid w:val="002A11AC"/>
    <w:rsid w:val="002A6F30"/>
    <w:rsid w:val="002B3111"/>
    <w:rsid w:val="002C7908"/>
    <w:rsid w:val="002D35F1"/>
    <w:rsid w:val="002D391B"/>
    <w:rsid w:val="002D4B1F"/>
    <w:rsid w:val="002D7D15"/>
    <w:rsid w:val="002E1B2E"/>
    <w:rsid w:val="002E27EB"/>
    <w:rsid w:val="002E2BDC"/>
    <w:rsid w:val="002F2A9D"/>
    <w:rsid w:val="002F31C2"/>
    <w:rsid w:val="00303FDE"/>
    <w:rsid w:val="003140E8"/>
    <w:rsid w:val="003231C7"/>
    <w:rsid w:val="003270C4"/>
    <w:rsid w:val="00331ED0"/>
    <w:rsid w:val="00332B0A"/>
    <w:rsid w:val="00333A41"/>
    <w:rsid w:val="00345434"/>
    <w:rsid w:val="0035495B"/>
    <w:rsid w:val="00355A93"/>
    <w:rsid w:val="00357D2C"/>
    <w:rsid w:val="00361522"/>
    <w:rsid w:val="0037196E"/>
    <w:rsid w:val="003744F5"/>
    <w:rsid w:val="00387BDE"/>
    <w:rsid w:val="00390DD8"/>
    <w:rsid w:val="00394DC6"/>
    <w:rsid w:val="00397C3E"/>
    <w:rsid w:val="003B1A09"/>
    <w:rsid w:val="003B22B8"/>
    <w:rsid w:val="003D4CCA"/>
    <w:rsid w:val="003D52A6"/>
    <w:rsid w:val="003D6416"/>
    <w:rsid w:val="003E1D48"/>
    <w:rsid w:val="003F1D2B"/>
    <w:rsid w:val="004012D2"/>
    <w:rsid w:val="00411DF2"/>
    <w:rsid w:val="00411E8F"/>
    <w:rsid w:val="0042527B"/>
    <w:rsid w:val="00445218"/>
    <w:rsid w:val="0045537F"/>
    <w:rsid w:val="00457DC7"/>
    <w:rsid w:val="00472BCC"/>
    <w:rsid w:val="004A25CD"/>
    <w:rsid w:val="004A26CC"/>
    <w:rsid w:val="004B2108"/>
    <w:rsid w:val="004B3A2B"/>
    <w:rsid w:val="004B70D3"/>
    <w:rsid w:val="004C312D"/>
    <w:rsid w:val="004D2D1B"/>
    <w:rsid w:val="004D5067"/>
    <w:rsid w:val="004D6838"/>
    <w:rsid w:val="004D72BC"/>
    <w:rsid w:val="004E11A9"/>
    <w:rsid w:val="004E469D"/>
    <w:rsid w:val="004F2DDE"/>
    <w:rsid w:val="004F7826"/>
    <w:rsid w:val="0050097F"/>
    <w:rsid w:val="00514B1F"/>
    <w:rsid w:val="005175C9"/>
    <w:rsid w:val="00525E93"/>
    <w:rsid w:val="0052671D"/>
    <w:rsid w:val="00554A11"/>
    <w:rsid w:val="0055595D"/>
    <w:rsid w:val="00556A10"/>
    <w:rsid w:val="00557F50"/>
    <w:rsid w:val="00571D3D"/>
    <w:rsid w:val="0058264B"/>
    <w:rsid w:val="005868AA"/>
    <w:rsid w:val="00590845"/>
    <w:rsid w:val="00596387"/>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32484"/>
    <w:rsid w:val="00636751"/>
    <w:rsid w:val="006531A4"/>
    <w:rsid w:val="0065662C"/>
    <w:rsid w:val="00660774"/>
    <w:rsid w:val="0066389A"/>
    <w:rsid w:val="0066495C"/>
    <w:rsid w:val="00665CC7"/>
    <w:rsid w:val="00672612"/>
    <w:rsid w:val="00677F18"/>
    <w:rsid w:val="00693483"/>
    <w:rsid w:val="0069765B"/>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36C6"/>
    <w:rsid w:val="007467C4"/>
    <w:rsid w:val="0076170F"/>
    <w:rsid w:val="00763697"/>
    <w:rsid w:val="0076669C"/>
    <w:rsid w:val="00766E46"/>
    <w:rsid w:val="007714C9"/>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898"/>
    <w:rsid w:val="00805FBB"/>
    <w:rsid w:val="008150E3"/>
    <w:rsid w:val="008169A4"/>
    <w:rsid w:val="008278FE"/>
    <w:rsid w:val="00832598"/>
    <w:rsid w:val="0083397E"/>
    <w:rsid w:val="0083534B"/>
    <w:rsid w:val="00842602"/>
    <w:rsid w:val="00847B45"/>
    <w:rsid w:val="00863A66"/>
    <w:rsid w:val="008664E4"/>
    <w:rsid w:val="008703D7"/>
    <w:rsid w:val="00874429"/>
    <w:rsid w:val="008815B7"/>
    <w:rsid w:val="00883A39"/>
    <w:rsid w:val="00883D9A"/>
    <w:rsid w:val="008919EF"/>
    <w:rsid w:val="00892B20"/>
    <w:rsid w:val="008A12EC"/>
    <w:rsid w:val="008C21C8"/>
    <w:rsid w:val="008C6375"/>
    <w:rsid w:val="008C6A5B"/>
    <w:rsid w:val="008D229D"/>
    <w:rsid w:val="008D7C94"/>
    <w:rsid w:val="008E26A5"/>
    <w:rsid w:val="008E42D2"/>
    <w:rsid w:val="008E6328"/>
    <w:rsid w:val="009040EE"/>
    <w:rsid w:val="009057FD"/>
    <w:rsid w:val="00906FBA"/>
    <w:rsid w:val="009163E8"/>
    <w:rsid w:val="009166D7"/>
    <w:rsid w:val="009228C7"/>
    <w:rsid w:val="00922A7F"/>
    <w:rsid w:val="00923A5E"/>
    <w:rsid w:val="00924FE7"/>
    <w:rsid w:val="00926E27"/>
    <w:rsid w:val="00931C8C"/>
    <w:rsid w:val="0094504B"/>
    <w:rsid w:val="00953E4A"/>
    <w:rsid w:val="00964A38"/>
    <w:rsid w:val="00966A9D"/>
    <w:rsid w:val="0096742B"/>
    <w:rsid w:val="0097271A"/>
    <w:rsid w:val="0098494A"/>
    <w:rsid w:val="009924CF"/>
    <w:rsid w:val="00994100"/>
    <w:rsid w:val="00994110"/>
    <w:rsid w:val="009A6B17"/>
    <w:rsid w:val="009A70C3"/>
    <w:rsid w:val="009B31FE"/>
    <w:rsid w:val="009D4C29"/>
    <w:rsid w:val="009D754F"/>
    <w:rsid w:val="009F6AD2"/>
    <w:rsid w:val="00A00D8D"/>
    <w:rsid w:val="00A01BB6"/>
    <w:rsid w:val="00A4303C"/>
    <w:rsid w:val="00A470FD"/>
    <w:rsid w:val="00A528BA"/>
    <w:rsid w:val="00A62DAB"/>
    <w:rsid w:val="00A6757A"/>
    <w:rsid w:val="00A726A6"/>
    <w:rsid w:val="00A74842"/>
    <w:rsid w:val="00A97535"/>
    <w:rsid w:val="00AA2BAA"/>
    <w:rsid w:val="00AA73F1"/>
    <w:rsid w:val="00AB0E1A"/>
    <w:rsid w:val="00AB1A30"/>
    <w:rsid w:val="00AB3C36"/>
    <w:rsid w:val="00AD0A94"/>
    <w:rsid w:val="00AD10EB"/>
    <w:rsid w:val="00AD1ED3"/>
    <w:rsid w:val="00B02001"/>
    <w:rsid w:val="00B03C50"/>
    <w:rsid w:val="00B0777D"/>
    <w:rsid w:val="00B11576"/>
    <w:rsid w:val="00B1195F"/>
    <w:rsid w:val="00B14D10"/>
    <w:rsid w:val="00B209C7"/>
    <w:rsid w:val="00B22AD8"/>
    <w:rsid w:val="00B3644F"/>
    <w:rsid w:val="00B4057A"/>
    <w:rsid w:val="00B40894"/>
    <w:rsid w:val="00B41039"/>
    <w:rsid w:val="00B444AE"/>
    <w:rsid w:val="00B457F4"/>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D69B1"/>
    <w:rsid w:val="00BE09AF"/>
    <w:rsid w:val="00BF6691"/>
    <w:rsid w:val="00C028FC"/>
    <w:rsid w:val="00C037F2"/>
    <w:rsid w:val="00C0386D"/>
    <w:rsid w:val="00C065A1"/>
    <w:rsid w:val="00C10ED5"/>
    <w:rsid w:val="00C151A6"/>
    <w:rsid w:val="00C24098"/>
    <w:rsid w:val="00C30A4E"/>
    <w:rsid w:val="00C32852"/>
    <w:rsid w:val="00C36A5B"/>
    <w:rsid w:val="00C411F3"/>
    <w:rsid w:val="00C44105"/>
    <w:rsid w:val="00C55A33"/>
    <w:rsid w:val="00C66692"/>
    <w:rsid w:val="00C673B5"/>
    <w:rsid w:val="00C7063D"/>
    <w:rsid w:val="00C830BC"/>
    <w:rsid w:val="00C8524D"/>
    <w:rsid w:val="00C91123"/>
    <w:rsid w:val="00CA4739"/>
    <w:rsid w:val="00CA71FF"/>
    <w:rsid w:val="00CB5276"/>
    <w:rsid w:val="00CB5BFC"/>
    <w:rsid w:val="00CB68D7"/>
    <w:rsid w:val="00CC7E68"/>
    <w:rsid w:val="00CD7132"/>
    <w:rsid w:val="00CE0E6F"/>
    <w:rsid w:val="00CE3B21"/>
    <w:rsid w:val="00CE56FC"/>
    <w:rsid w:val="00CF4CFE"/>
    <w:rsid w:val="00D01935"/>
    <w:rsid w:val="00D02E0F"/>
    <w:rsid w:val="00D03EE8"/>
    <w:rsid w:val="00D13535"/>
    <w:rsid w:val="00D161A4"/>
    <w:rsid w:val="00D17B79"/>
    <w:rsid w:val="00D23FEA"/>
    <w:rsid w:val="00D269CA"/>
    <w:rsid w:val="00D30B48"/>
    <w:rsid w:val="00D3168A"/>
    <w:rsid w:val="00D46FAA"/>
    <w:rsid w:val="00D47A40"/>
    <w:rsid w:val="00D51AB3"/>
    <w:rsid w:val="00D51D33"/>
    <w:rsid w:val="00D57BB2"/>
    <w:rsid w:val="00D57E57"/>
    <w:rsid w:val="00D70752"/>
    <w:rsid w:val="00D70A61"/>
    <w:rsid w:val="00D733C8"/>
    <w:rsid w:val="00D80E2D"/>
    <w:rsid w:val="00D84D5E"/>
    <w:rsid w:val="00D8560E"/>
    <w:rsid w:val="00D8758F"/>
    <w:rsid w:val="00DA4EDD"/>
    <w:rsid w:val="00DA6B78"/>
    <w:rsid w:val="00DC1D94"/>
    <w:rsid w:val="00DC42CF"/>
    <w:rsid w:val="00DE057F"/>
    <w:rsid w:val="00DE2082"/>
    <w:rsid w:val="00DE2289"/>
    <w:rsid w:val="00DF09A7"/>
    <w:rsid w:val="00DF6ACE"/>
    <w:rsid w:val="00E001D6"/>
    <w:rsid w:val="00E03A76"/>
    <w:rsid w:val="00E04410"/>
    <w:rsid w:val="00E07484"/>
    <w:rsid w:val="00E11351"/>
    <w:rsid w:val="00E35A4B"/>
    <w:rsid w:val="00E4225C"/>
    <w:rsid w:val="00E44879"/>
    <w:rsid w:val="00E463BA"/>
    <w:rsid w:val="00E47150"/>
    <w:rsid w:val="00E52A44"/>
    <w:rsid w:val="00E72914"/>
    <w:rsid w:val="00E75AE0"/>
    <w:rsid w:val="00E83C1F"/>
    <w:rsid w:val="00E86240"/>
    <w:rsid w:val="00EA172C"/>
    <w:rsid w:val="00EA259B"/>
    <w:rsid w:val="00EA35A3"/>
    <w:rsid w:val="00EA3E6A"/>
    <w:rsid w:val="00EB18EF"/>
    <w:rsid w:val="00EB7951"/>
    <w:rsid w:val="00ED6A79"/>
    <w:rsid w:val="00EE17DF"/>
    <w:rsid w:val="00EE33A0"/>
    <w:rsid w:val="00EF4621"/>
    <w:rsid w:val="00EF4D52"/>
    <w:rsid w:val="00EF6312"/>
    <w:rsid w:val="00F038B0"/>
    <w:rsid w:val="00F22B27"/>
    <w:rsid w:val="00F234A7"/>
    <w:rsid w:val="00F277B6"/>
    <w:rsid w:val="00F27DA5"/>
    <w:rsid w:val="00F37E07"/>
    <w:rsid w:val="00F4182A"/>
    <w:rsid w:val="00F54380"/>
    <w:rsid w:val="00F54B47"/>
    <w:rsid w:val="00F54EE2"/>
    <w:rsid w:val="00F61247"/>
    <w:rsid w:val="00F6702E"/>
    <w:rsid w:val="00F673BF"/>
    <w:rsid w:val="00F70E84"/>
    <w:rsid w:val="00F84B96"/>
    <w:rsid w:val="00FA092B"/>
    <w:rsid w:val="00FA27F8"/>
    <w:rsid w:val="00FA2A2A"/>
    <w:rsid w:val="00FA30FE"/>
    <w:rsid w:val="00FA4F6C"/>
    <w:rsid w:val="00FA6EFD"/>
    <w:rsid w:val="00FB74EA"/>
    <w:rsid w:val="00FC5B51"/>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632484"/>
  </w:style>
  <w:style w:type="table" w:customStyle="1" w:styleId="TableGrid1">
    <w:name w:val="Table Grid1"/>
    <w:basedOn w:val="TableNormal"/>
    <w:next w:val="TableGrid"/>
    <w:rsid w:val="006324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36A5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C36A5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2AD8"/>
    <w:pPr>
      <w:ind w:left="720"/>
      <w:contextualSpacing/>
    </w:pPr>
    <w:rPr>
      <w:rFonts w:ascii="Calibri" w:eastAsia="Calibri" w:hAnsi="Calibri"/>
    </w:rPr>
  </w:style>
  <w:style w:type="paragraph" w:styleId="BalloonText">
    <w:name w:val="Balloon Text"/>
    <w:basedOn w:val="Normal"/>
    <w:link w:val="BalloonTextChar"/>
    <w:rsid w:val="00FC5B51"/>
    <w:rPr>
      <w:rFonts w:ascii="Tahoma" w:hAnsi="Tahoma" w:cs="Tahoma"/>
      <w:sz w:val="16"/>
      <w:szCs w:val="16"/>
    </w:rPr>
  </w:style>
  <w:style w:type="character" w:customStyle="1" w:styleId="BalloonTextChar">
    <w:name w:val="Balloon Text Char"/>
    <w:basedOn w:val="DefaultParagraphFont"/>
    <w:link w:val="BalloonText"/>
    <w:rsid w:val="00FC5B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632484"/>
  </w:style>
  <w:style w:type="table" w:customStyle="1" w:styleId="TableGrid1">
    <w:name w:val="Table Grid1"/>
    <w:basedOn w:val="TableNormal"/>
    <w:next w:val="TableGrid"/>
    <w:rsid w:val="006324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36A5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C36A5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2AD8"/>
    <w:pPr>
      <w:ind w:left="720"/>
      <w:contextualSpacing/>
    </w:pPr>
    <w:rPr>
      <w:rFonts w:ascii="Calibri" w:eastAsia="Calibri" w:hAnsi="Calibri"/>
    </w:rPr>
  </w:style>
  <w:style w:type="paragraph" w:styleId="BalloonText">
    <w:name w:val="Balloon Text"/>
    <w:basedOn w:val="Normal"/>
    <w:link w:val="BalloonTextChar"/>
    <w:rsid w:val="00FC5B51"/>
    <w:rPr>
      <w:rFonts w:ascii="Tahoma" w:hAnsi="Tahoma" w:cs="Tahoma"/>
      <w:sz w:val="16"/>
      <w:szCs w:val="16"/>
    </w:rPr>
  </w:style>
  <w:style w:type="character" w:customStyle="1" w:styleId="BalloonTextChar">
    <w:name w:val="Balloon Text Char"/>
    <w:basedOn w:val="DefaultParagraphFont"/>
    <w:link w:val="BalloonText"/>
    <w:rsid w:val="00FC5B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9085A-7F88-4F59-8A60-F86F3AB78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48</Pages>
  <Words>15933</Words>
  <Characters>87750</Characters>
  <Application>Microsoft Office Word</Application>
  <DocSecurity>0</DocSecurity>
  <Lines>731</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2018-08-02T14:24:00Z</dcterms:created>
  <dcterms:modified xsi:type="dcterms:W3CDTF">2018-08-02T14:43:00Z</dcterms:modified>
</cp:coreProperties>
</file>