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138F" w:rsidP="0049138F">
      <w:pPr>
        <w:pStyle w:val="OrderHeading"/>
      </w:pPr>
      <w:r>
        <w:t>BEFORE THE FLORIDA PUBLIC SERVICE COMMISSION</w:t>
      </w:r>
    </w:p>
    <w:p w:rsidR="0049138F" w:rsidRDefault="0049138F" w:rsidP="0049138F">
      <w:pPr>
        <w:pStyle w:val="OrderBody"/>
      </w:pPr>
    </w:p>
    <w:p w:rsidR="0049138F" w:rsidRDefault="0049138F" w:rsidP="004913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138F" w:rsidRPr="00C63FCF" w:rsidTr="005A5FAB">
        <w:trPr>
          <w:trHeight w:val="828"/>
        </w:trPr>
        <w:tc>
          <w:tcPr>
            <w:tcW w:w="4788" w:type="dxa"/>
            <w:tcBorders>
              <w:bottom w:val="single" w:sz="8" w:space="0" w:color="auto"/>
              <w:right w:val="double" w:sz="6" w:space="0" w:color="auto"/>
            </w:tcBorders>
            <w:shd w:val="clear" w:color="auto" w:fill="auto"/>
          </w:tcPr>
          <w:p w:rsidR="0049138F" w:rsidRDefault="0049138F" w:rsidP="005A5FAB">
            <w:pPr>
              <w:pStyle w:val="OrderBody"/>
              <w:tabs>
                <w:tab w:val="center" w:pos="4320"/>
                <w:tab w:val="right" w:pos="8640"/>
              </w:tabs>
              <w:jc w:val="left"/>
            </w:pPr>
            <w:r>
              <w:t xml:space="preserve">In re: </w:t>
            </w:r>
            <w:bookmarkStart w:id="0" w:name="SSInRe"/>
            <w:bookmarkEnd w:id="0"/>
            <w:r>
              <w:t>Consideration of the tax impacts associated with Tax Cuts and Jobs Act of 2017 for Tampa Electric Company.</w:t>
            </w:r>
          </w:p>
        </w:tc>
        <w:tc>
          <w:tcPr>
            <w:tcW w:w="4788" w:type="dxa"/>
            <w:tcBorders>
              <w:left w:val="double" w:sz="6" w:space="0" w:color="auto"/>
            </w:tcBorders>
            <w:shd w:val="clear" w:color="auto" w:fill="auto"/>
          </w:tcPr>
          <w:p w:rsidR="0049138F" w:rsidRDefault="0049138F" w:rsidP="0049138F">
            <w:pPr>
              <w:pStyle w:val="OrderBody"/>
            </w:pPr>
            <w:r>
              <w:t xml:space="preserve">DOCKET NO. </w:t>
            </w:r>
            <w:bookmarkStart w:id="1" w:name="SSDocketNo"/>
            <w:bookmarkEnd w:id="1"/>
            <w:r>
              <w:t>20180045-EI</w:t>
            </w:r>
          </w:p>
          <w:p w:rsidR="0049138F" w:rsidRDefault="0049138F" w:rsidP="005A5FAB">
            <w:pPr>
              <w:pStyle w:val="OrderBody"/>
              <w:tabs>
                <w:tab w:val="center" w:pos="4320"/>
                <w:tab w:val="right" w:pos="8640"/>
              </w:tabs>
              <w:jc w:val="left"/>
            </w:pPr>
            <w:r>
              <w:t xml:space="preserve">ORDER NO. </w:t>
            </w:r>
            <w:bookmarkStart w:id="2" w:name="OrderNo0403"/>
            <w:r w:rsidR="00AC2A7B">
              <w:t>PSC-2018-0403-PHO-EI</w:t>
            </w:r>
            <w:bookmarkEnd w:id="2"/>
          </w:p>
          <w:p w:rsidR="0049138F" w:rsidRDefault="0049138F" w:rsidP="005A5FAB">
            <w:pPr>
              <w:pStyle w:val="OrderBody"/>
              <w:tabs>
                <w:tab w:val="center" w:pos="4320"/>
                <w:tab w:val="right" w:pos="8640"/>
              </w:tabs>
              <w:jc w:val="left"/>
            </w:pPr>
            <w:r>
              <w:t xml:space="preserve">ISSUED: </w:t>
            </w:r>
            <w:r w:rsidR="00AC2A7B">
              <w:t>August 14, 2018</w:t>
            </w:r>
          </w:p>
        </w:tc>
      </w:tr>
    </w:tbl>
    <w:p w:rsidR="0049138F" w:rsidRDefault="0049138F" w:rsidP="0049138F"/>
    <w:p w:rsidR="00CB5276" w:rsidRDefault="0049138F" w:rsidP="0049138F">
      <w:pPr>
        <w:pStyle w:val="CenterUnderline"/>
      </w:pPr>
      <w:bookmarkStart w:id="3" w:name="Commissioners"/>
      <w:bookmarkStart w:id="4" w:name="OrderTitle"/>
      <w:bookmarkEnd w:id="3"/>
      <w:r>
        <w:t xml:space="preserve">PREHEARING ORDER </w:t>
      </w:r>
      <w:bookmarkEnd w:id="4"/>
    </w:p>
    <w:p w:rsidR="0049138F" w:rsidRDefault="0049138F" w:rsidP="0049138F">
      <w:pPr>
        <w:pStyle w:val="CenterUnderline"/>
        <w:jc w:val="both"/>
        <w:rPr>
          <w:u w:val="none"/>
        </w:rPr>
      </w:pPr>
    </w:p>
    <w:p w:rsidR="0049138F" w:rsidRPr="00701945" w:rsidRDefault="0049138F" w:rsidP="0049138F">
      <w:pPr>
        <w:ind w:firstLine="720"/>
        <w:jc w:val="both"/>
      </w:pPr>
      <w:r w:rsidRPr="00701945">
        <w:t xml:space="preserve">Pursuant to Notice and in accordance with Rule 28-106.209, </w:t>
      </w:r>
      <w:r>
        <w:t>Florida Administrative Code (F.A.C.)</w:t>
      </w:r>
      <w:r w:rsidRPr="00701945">
        <w:t xml:space="preserve">, a Prehearing Conference was held on </w:t>
      </w:r>
      <w:r>
        <w:t>August 6, 2018,</w:t>
      </w:r>
      <w:r w:rsidRPr="00701945">
        <w:t xml:space="preserve"> in Tallahassee, Florida, before Commissioner</w:t>
      </w:r>
      <w:r>
        <w:t xml:space="preserve"> Julie I. Brown</w:t>
      </w:r>
      <w:r w:rsidRPr="00701945">
        <w:t>, as Prehearing Officer.</w:t>
      </w:r>
    </w:p>
    <w:p w:rsidR="0049138F" w:rsidRPr="00701945" w:rsidRDefault="0049138F" w:rsidP="0049138F">
      <w:pPr>
        <w:jc w:val="both"/>
      </w:pPr>
    </w:p>
    <w:p w:rsidR="0049138F" w:rsidRPr="00701945" w:rsidRDefault="0049138F" w:rsidP="0049138F">
      <w:pPr>
        <w:jc w:val="both"/>
      </w:pPr>
      <w:r w:rsidRPr="00701945">
        <w:t>APPEARANCES:</w:t>
      </w:r>
    </w:p>
    <w:p w:rsidR="0049138F" w:rsidRPr="00701945" w:rsidRDefault="0049138F" w:rsidP="0049138F">
      <w:pPr>
        <w:jc w:val="both"/>
      </w:pPr>
    </w:p>
    <w:p w:rsidR="0049138F" w:rsidRDefault="0049138F" w:rsidP="0049138F">
      <w:pPr>
        <w:ind w:left="1440"/>
        <w:jc w:val="both"/>
      </w:pPr>
      <w:r>
        <w:t xml:space="preserve">JAMES D. BEASLEY and JEFFRY WAHLEN, </w:t>
      </w:r>
      <w:r w:rsidRPr="00701945">
        <w:t>ESQUIRE</w:t>
      </w:r>
      <w:r>
        <w:t>S</w:t>
      </w:r>
      <w:r w:rsidRPr="00701945">
        <w:t>,</w:t>
      </w:r>
      <w:r>
        <w:t xml:space="preserve"> Ausley, McMullen, P. O. Box 391, Tallahassee, Florida 32302 </w:t>
      </w:r>
    </w:p>
    <w:p w:rsidR="0049138F" w:rsidRDefault="0049138F" w:rsidP="0049138F">
      <w:pPr>
        <w:ind w:left="1440"/>
        <w:jc w:val="both"/>
      </w:pPr>
      <w:r w:rsidRPr="00CE1E06">
        <w:rPr>
          <w:u w:val="single"/>
        </w:rPr>
        <w:t xml:space="preserve">On behalf of </w:t>
      </w:r>
      <w:r>
        <w:rPr>
          <w:u w:val="single"/>
        </w:rPr>
        <w:t xml:space="preserve">TAMPA ELECTRIC </w:t>
      </w:r>
      <w:r w:rsidRPr="00CE1E06">
        <w:rPr>
          <w:u w:val="single"/>
        </w:rPr>
        <w:t>COMPANY (</w:t>
      </w:r>
      <w:r>
        <w:rPr>
          <w:u w:val="single"/>
        </w:rPr>
        <w:t>TECO</w:t>
      </w:r>
      <w:r w:rsidRPr="00CE1E06">
        <w:rPr>
          <w:u w:val="single"/>
        </w:rPr>
        <w:t>)</w:t>
      </w:r>
      <w:r w:rsidRPr="00701945">
        <w:t>.</w:t>
      </w:r>
    </w:p>
    <w:p w:rsidR="0049138F" w:rsidRDefault="0049138F" w:rsidP="0049138F">
      <w:pPr>
        <w:ind w:left="1440"/>
      </w:pPr>
    </w:p>
    <w:p w:rsidR="0049138F" w:rsidRDefault="0049138F" w:rsidP="002123CA">
      <w:pPr>
        <w:ind w:left="1440"/>
        <w:jc w:val="both"/>
      </w:pPr>
      <w:r>
        <w:t xml:space="preserve">J. R. KELLY, Public Counsel, </w:t>
      </w:r>
      <w:r w:rsidR="005369C8">
        <w:t xml:space="preserve">CHARLES </w:t>
      </w:r>
      <w:r w:rsidR="00B17BA9">
        <w:t xml:space="preserve">J. </w:t>
      </w:r>
      <w:r w:rsidR="005369C8">
        <w:t>REHWINKEL</w:t>
      </w:r>
      <w:r w:rsidR="009F08D0">
        <w:t>,</w:t>
      </w:r>
      <w:r w:rsidR="005369C8">
        <w:t xml:space="preserve"> </w:t>
      </w:r>
      <w:r w:rsidR="00B17BA9">
        <w:t xml:space="preserve">Deputy Public Counsel, </w:t>
      </w:r>
      <w:r>
        <w:t xml:space="preserve">and </w:t>
      </w:r>
      <w:r w:rsidR="00042528">
        <w:t>VIRGINIA PONDER</w:t>
      </w:r>
      <w:r>
        <w:t xml:space="preserve">, </w:t>
      </w:r>
      <w:r w:rsidRPr="00701945">
        <w:t>ESQUIRE</w:t>
      </w:r>
      <w:r>
        <w:t>S</w:t>
      </w:r>
      <w:r w:rsidRPr="00701945">
        <w:t>,</w:t>
      </w:r>
      <w:r>
        <w:t xml:space="preserve"> </w:t>
      </w:r>
      <w:r w:rsidR="00042528">
        <w:t>Office of Public Counsel, c/o The Florida Legislature, 111 E</w:t>
      </w:r>
      <w:r w:rsidR="00B425A3">
        <w:t>a</w:t>
      </w:r>
      <w:r w:rsidR="00042528">
        <w:t>st Madison Street, Room 812, Tallahassee, Florida 32399-9330</w:t>
      </w:r>
    </w:p>
    <w:p w:rsidR="0049138F" w:rsidRDefault="0049138F" w:rsidP="0049138F">
      <w:pPr>
        <w:ind w:left="1440"/>
      </w:pPr>
      <w:r w:rsidRPr="00701945">
        <w:rPr>
          <w:u w:val="single"/>
        </w:rPr>
        <w:t>On behalf of</w:t>
      </w:r>
      <w:r>
        <w:rPr>
          <w:u w:val="single"/>
        </w:rPr>
        <w:t xml:space="preserve"> the OFFICE OF PUBLIC COUNSEL (OPC) </w:t>
      </w:r>
      <w:r w:rsidRPr="00701945">
        <w:t>.</w:t>
      </w:r>
    </w:p>
    <w:p w:rsidR="0049138F" w:rsidRDefault="0049138F" w:rsidP="0049138F">
      <w:pPr>
        <w:ind w:left="1440"/>
      </w:pPr>
    </w:p>
    <w:p w:rsidR="0049138F" w:rsidRPr="00701945" w:rsidRDefault="0049138F" w:rsidP="0049138F">
      <w:pPr>
        <w:ind w:left="1440"/>
        <w:jc w:val="both"/>
      </w:pPr>
      <w:r>
        <w:t>JON C. MOYLE and KAREN A. PUTNAL</w:t>
      </w:r>
      <w:r w:rsidRPr="00701945">
        <w:t>, ESQUIRE</w:t>
      </w:r>
      <w:r>
        <w:t>S</w:t>
      </w:r>
      <w:r w:rsidRPr="00701945">
        <w:t xml:space="preserve">, </w:t>
      </w:r>
      <w:r>
        <w:t>118 North Gadsden Street, Tallahassee, Florida 32301</w:t>
      </w:r>
    </w:p>
    <w:p w:rsidR="0049138F" w:rsidRDefault="0049138F" w:rsidP="0049138F">
      <w:pPr>
        <w:ind w:left="720" w:firstLine="720"/>
        <w:jc w:val="both"/>
      </w:pPr>
      <w:r w:rsidRPr="00701945">
        <w:rPr>
          <w:u w:val="single"/>
        </w:rPr>
        <w:t xml:space="preserve">On behalf of </w:t>
      </w:r>
      <w:r>
        <w:rPr>
          <w:u w:val="single"/>
        </w:rPr>
        <w:t>FLORIDA INDUSTRIAL POWER USERS GROUP (FIPUG)</w:t>
      </w:r>
      <w:r w:rsidRPr="00701945">
        <w:t xml:space="preserve">. </w:t>
      </w:r>
    </w:p>
    <w:p w:rsidR="0049138F" w:rsidRDefault="0049138F" w:rsidP="0049138F">
      <w:pPr>
        <w:ind w:left="720" w:firstLine="720"/>
        <w:jc w:val="both"/>
      </w:pPr>
    </w:p>
    <w:p w:rsidR="0049138F" w:rsidRPr="00701945" w:rsidRDefault="0049138F" w:rsidP="0049138F">
      <w:pPr>
        <w:ind w:left="1440"/>
        <w:jc w:val="both"/>
      </w:pPr>
      <w:r>
        <w:t>ROBERT SCHEFFEL WRIGHT and JOHN T. LAVIA, III</w:t>
      </w:r>
      <w:r w:rsidRPr="00701945">
        <w:t>, ESQUIRE</w:t>
      </w:r>
      <w:r>
        <w:t>S</w:t>
      </w:r>
      <w:r w:rsidRPr="00701945">
        <w:t xml:space="preserve">, </w:t>
      </w:r>
      <w:r>
        <w:t>1300 Thomaswood Drive, Tallahassee, Florida 32308</w:t>
      </w:r>
    </w:p>
    <w:p w:rsidR="0049138F" w:rsidRDefault="0049138F" w:rsidP="0049138F">
      <w:pPr>
        <w:ind w:left="720" w:firstLine="720"/>
        <w:jc w:val="both"/>
      </w:pPr>
      <w:r w:rsidRPr="00701945">
        <w:rPr>
          <w:u w:val="single"/>
        </w:rPr>
        <w:t xml:space="preserve">On behalf of </w:t>
      </w:r>
      <w:r>
        <w:rPr>
          <w:u w:val="single"/>
        </w:rPr>
        <w:t>FLORIDA RETAIL FEDERATION (FRF)</w:t>
      </w:r>
      <w:r w:rsidRPr="00701945">
        <w:t xml:space="preserve">. </w:t>
      </w:r>
    </w:p>
    <w:p w:rsidR="0049138F" w:rsidRPr="00701945" w:rsidRDefault="0049138F" w:rsidP="0049138F">
      <w:pPr>
        <w:jc w:val="both"/>
      </w:pPr>
    </w:p>
    <w:p w:rsidR="0049138F" w:rsidRPr="00701945" w:rsidRDefault="0049138F" w:rsidP="0049138F">
      <w:pPr>
        <w:ind w:left="1440"/>
        <w:jc w:val="both"/>
      </w:pPr>
      <w:r>
        <w:t>SUZANNE BROWNLESS</w:t>
      </w:r>
      <w:r w:rsidRPr="00701945">
        <w:t xml:space="preserve"> </w:t>
      </w:r>
      <w:r w:rsidR="00042528">
        <w:t xml:space="preserve">and RACHAEL DZIECHCIARZ, </w:t>
      </w:r>
      <w:r w:rsidRPr="00701945">
        <w:t>ESQUIRE</w:t>
      </w:r>
      <w:r w:rsidR="00557ECB">
        <w:t>S</w:t>
      </w:r>
      <w:r w:rsidRPr="00701945">
        <w:t>, Florida Public Service Commission, 2540 Shumard Oak Boulevard, Tallahassee, Florida 32399-0850</w:t>
      </w:r>
    </w:p>
    <w:p w:rsidR="0049138F" w:rsidRPr="00701945" w:rsidRDefault="0049138F" w:rsidP="0049138F">
      <w:pPr>
        <w:ind w:left="720" w:firstLine="720"/>
        <w:jc w:val="both"/>
      </w:pPr>
      <w:r w:rsidRPr="00701945">
        <w:rPr>
          <w:u w:val="single"/>
        </w:rPr>
        <w:t>On behalf of the Florida Public Service Commission</w:t>
      </w:r>
      <w:r>
        <w:rPr>
          <w:u w:val="single"/>
        </w:rPr>
        <w:t xml:space="preserve"> (Staff)</w:t>
      </w:r>
      <w:r w:rsidRPr="00701945">
        <w:t>.</w:t>
      </w:r>
    </w:p>
    <w:p w:rsidR="0049138F" w:rsidRPr="00701945" w:rsidRDefault="0049138F" w:rsidP="0049138F">
      <w:pPr>
        <w:jc w:val="both"/>
      </w:pPr>
    </w:p>
    <w:p w:rsidR="0049138F" w:rsidRPr="00701945" w:rsidRDefault="0049138F" w:rsidP="0049138F">
      <w:pPr>
        <w:ind w:left="1440"/>
        <w:jc w:val="both"/>
      </w:pPr>
      <w:r>
        <w:t>MARY ANNE HELTON, ESQUIRE, Deputy General Counsel,</w:t>
      </w:r>
      <w:r w:rsidRPr="00701945">
        <w:t xml:space="preserve"> Florida Public Service Commission, 2540 Shumard Oak Boulevard, Tallahassee, Florida 32399-0850</w:t>
      </w:r>
    </w:p>
    <w:p w:rsidR="0049138F" w:rsidRDefault="0049138F" w:rsidP="0049138F">
      <w:pPr>
        <w:ind w:left="720" w:firstLine="720"/>
        <w:jc w:val="both"/>
      </w:pPr>
      <w:r>
        <w:rPr>
          <w:u w:val="single"/>
        </w:rPr>
        <w:t>Advisor to the</w:t>
      </w:r>
      <w:r w:rsidRPr="00701945">
        <w:rPr>
          <w:u w:val="single"/>
        </w:rPr>
        <w:t xml:space="preserve"> Florida Public Service Commission</w:t>
      </w:r>
      <w:r w:rsidRPr="00701945">
        <w:t>.</w:t>
      </w:r>
    </w:p>
    <w:p w:rsidR="0049138F" w:rsidRPr="00D033EB" w:rsidRDefault="0049138F" w:rsidP="0049138F">
      <w:pPr>
        <w:jc w:val="both"/>
        <w:rPr>
          <w:b/>
          <w:bCs/>
          <w:u w:val="single"/>
        </w:rPr>
      </w:pPr>
    </w:p>
    <w:p w:rsidR="0049138F" w:rsidRPr="00D033EB" w:rsidRDefault="0049138F" w:rsidP="0049138F">
      <w:pPr>
        <w:ind w:left="1440"/>
        <w:jc w:val="both"/>
      </w:pPr>
      <w:r w:rsidRPr="00D033EB">
        <w:t>KEITH HETRICK, ESQUIRE, General Counsel, Florida Public Service Commission, 2540 Shumard Oak Boulevard, Tallahassee, Florida 32399-0850</w:t>
      </w:r>
    </w:p>
    <w:p w:rsidR="0049138F" w:rsidRPr="00D033EB" w:rsidRDefault="0049138F" w:rsidP="0049138F">
      <w:pPr>
        <w:ind w:left="720" w:firstLine="720"/>
        <w:jc w:val="both"/>
      </w:pPr>
      <w:r w:rsidRPr="00D033EB">
        <w:rPr>
          <w:u w:val="single"/>
        </w:rPr>
        <w:t>Florida Public Service Commission General Counsel</w:t>
      </w:r>
    </w:p>
    <w:p w:rsidR="0049138F" w:rsidRPr="00701945" w:rsidRDefault="0049138F" w:rsidP="0049138F">
      <w:pPr>
        <w:jc w:val="center"/>
      </w:pPr>
      <w:r w:rsidRPr="00701945">
        <w:rPr>
          <w:b/>
          <w:bCs/>
          <w:u w:val="single"/>
        </w:rPr>
        <w:lastRenderedPageBreak/>
        <w:t>PREHEARING ORDER</w:t>
      </w:r>
    </w:p>
    <w:p w:rsidR="0049138F" w:rsidRDefault="0049138F" w:rsidP="0049138F">
      <w:pPr>
        <w:jc w:val="both"/>
      </w:pPr>
    </w:p>
    <w:p w:rsidR="0049138F" w:rsidRPr="00701945" w:rsidRDefault="0049138F" w:rsidP="0049138F">
      <w:pPr>
        <w:jc w:val="both"/>
      </w:pPr>
    </w:p>
    <w:p w:rsidR="0049138F" w:rsidRPr="00477A10" w:rsidRDefault="0049138F" w:rsidP="0049138F">
      <w:pPr>
        <w:jc w:val="both"/>
        <w:rPr>
          <w:b/>
        </w:rPr>
      </w:pPr>
      <w:r w:rsidRPr="00477A10">
        <w:rPr>
          <w:b/>
        </w:rPr>
        <w:t>I.</w:t>
      </w:r>
      <w:r w:rsidRPr="00477A10">
        <w:rPr>
          <w:b/>
        </w:rPr>
        <w:tab/>
      </w:r>
      <w:r w:rsidRPr="00477A10">
        <w:rPr>
          <w:b/>
          <w:u w:val="single"/>
        </w:rPr>
        <w:t>CASE BACKGROUND</w:t>
      </w:r>
    </w:p>
    <w:p w:rsidR="0049138F" w:rsidRPr="00701945" w:rsidRDefault="0049138F" w:rsidP="0049138F">
      <w:pPr>
        <w:jc w:val="both"/>
      </w:pPr>
    </w:p>
    <w:p w:rsidR="00042528" w:rsidRDefault="0049138F" w:rsidP="00042528">
      <w:pPr>
        <w:autoSpaceDE w:val="0"/>
        <w:autoSpaceDN w:val="0"/>
        <w:adjustRightInd w:val="0"/>
        <w:jc w:val="both"/>
      </w:pPr>
      <w:r>
        <w:tab/>
        <w:t xml:space="preserve">  </w:t>
      </w:r>
      <w:r w:rsidR="00042528">
        <w:t xml:space="preserve">Docket No. 20180045-EI was opened by the Commission on February 21, 2018, to consider the tax impacts associated with the passage of the Tax Cuts and Jobs Act of 2017 on Tampa Electric Company.  </w:t>
      </w:r>
      <w:r w:rsidR="00BF4432">
        <w:t>On March 13, 2018, Order No. PSC-2018-0136-PCO-EI, was issued acknowledging the intervention of the Office of Public Counsel (OPC).</w:t>
      </w:r>
      <w:r w:rsidR="002C49E1">
        <w:t xml:space="preserve">  </w:t>
      </w:r>
      <w:r w:rsidR="00042528">
        <w:t>The Order Establishing Procedure, Order No. PSC-2018-0208-PCO-EI,</w:t>
      </w:r>
      <w:r w:rsidR="002C49E1">
        <w:t xml:space="preserve"> </w:t>
      </w:r>
      <w:r w:rsidR="00042528">
        <w:t xml:space="preserve">was issued on April 25, 2018, in which controlling dates were set for filing testimony, exhibits, and discovery.  </w:t>
      </w:r>
      <w:r w:rsidR="00BF4432">
        <w:t xml:space="preserve">On April 30, 2018, the Office of Public Counsel (OPC) filed a Motion for Emergency Hearing Concerning Scheduling and Discovery Procedures which was granted by Order No. PSC-2018-0261-PCO-EI, issued on May 24, 2018.  On June 8, 2018, the Florida Industrial Users Group (FIPUG) and </w:t>
      </w:r>
      <w:r w:rsidR="00833448">
        <w:t xml:space="preserve">the </w:t>
      </w:r>
      <w:r w:rsidR="00BF4432">
        <w:t>Florida Retail Federation (FRF) were granted intervention.</w:t>
      </w:r>
      <w:r w:rsidR="00BF4432">
        <w:rPr>
          <w:rStyle w:val="FootnoteReference"/>
        </w:rPr>
        <w:footnoteReference w:id="1"/>
      </w:r>
      <w:r w:rsidR="00BF4432">
        <w:t xml:space="preserve">  </w:t>
      </w:r>
      <w:r w:rsidR="00833448">
        <w:t xml:space="preserve">Prehearing statements were filed on July 25, 2018, by Commission staff, TECO, FIPUG, FRF and OPC.  </w:t>
      </w:r>
      <w:r w:rsidR="002C49E1">
        <w:t xml:space="preserve">This docket is set for final hearing on August 20-24, 2018.  </w:t>
      </w:r>
      <w:r w:rsidR="00042528">
        <w:t>Jurisdiction over these matters is vested in the Commission through several provisions of Chapter 366, Florida Statutes (F.S.), including Sections 366.04, 366.05, and 366.06, F.S.</w:t>
      </w:r>
    </w:p>
    <w:p w:rsidR="0049138F" w:rsidRDefault="0049138F" w:rsidP="0049138F">
      <w:pPr>
        <w:jc w:val="both"/>
      </w:pPr>
    </w:p>
    <w:p w:rsidR="0049138F" w:rsidRDefault="0049138F" w:rsidP="0049138F">
      <w:pPr>
        <w:jc w:val="both"/>
      </w:pPr>
    </w:p>
    <w:p w:rsidR="0049138F" w:rsidRPr="00477A10" w:rsidRDefault="0049138F" w:rsidP="0049138F">
      <w:pPr>
        <w:jc w:val="both"/>
        <w:rPr>
          <w:b/>
        </w:rPr>
      </w:pPr>
      <w:r w:rsidRPr="00477A10">
        <w:rPr>
          <w:b/>
        </w:rPr>
        <w:t>II.</w:t>
      </w:r>
      <w:r w:rsidRPr="00477A10">
        <w:rPr>
          <w:b/>
        </w:rPr>
        <w:tab/>
      </w:r>
      <w:r w:rsidRPr="00477A10">
        <w:rPr>
          <w:b/>
          <w:u w:val="single"/>
        </w:rPr>
        <w:t>CONDUCT OF PROCEEDINGS</w:t>
      </w:r>
    </w:p>
    <w:p w:rsidR="0049138F" w:rsidRPr="00701945" w:rsidRDefault="0049138F" w:rsidP="0049138F">
      <w:pPr>
        <w:jc w:val="both"/>
      </w:pPr>
    </w:p>
    <w:p w:rsidR="0049138F" w:rsidRPr="00701945" w:rsidRDefault="0049138F" w:rsidP="0049138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r>
        <w:t xml:space="preserve">  </w:t>
      </w:r>
    </w:p>
    <w:p w:rsidR="0049138F" w:rsidRDefault="0049138F" w:rsidP="0049138F">
      <w:pPr>
        <w:jc w:val="both"/>
      </w:pPr>
    </w:p>
    <w:p w:rsidR="0049138F" w:rsidRPr="00701945" w:rsidRDefault="0049138F" w:rsidP="0049138F">
      <w:pPr>
        <w:jc w:val="both"/>
      </w:pPr>
    </w:p>
    <w:p w:rsidR="0049138F" w:rsidRPr="00477A10" w:rsidRDefault="0049138F" w:rsidP="0049138F">
      <w:pPr>
        <w:jc w:val="both"/>
        <w:rPr>
          <w:b/>
        </w:rPr>
      </w:pPr>
      <w:r w:rsidRPr="00477A10">
        <w:rPr>
          <w:b/>
        </w:rPr>
        <w:t>III.</w:t>
      </w:r>
      <w:r w:rsidRPr="00477A10">
        <w:rPr>
          <w:b/>
        </w:rPr>
        <w:tab/>
      </w:r>
      <w:r w:rsidRPr="00477A10">
        <w:rPr>
          <w:b/>
          <w:u w:val="single"/>
        </w:rPr>
        <w:t>JURISDICTION</w:t>
      </w:r>
    </w:p>
    <w:p w:rsidR="0049138F" w:rsidRPr="00701945" w:rsidRDefault="0049138F" w:rsidP="0049138F">
      <w:pPr>
        <w:jc w:val="both"/>
      </w:pPr>
    </w:p>
    <w:p w:rsidR="0049138F" w:rsidRDefault="0049138F" w:rsidP="0049138F">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49138F" w:rsidRDefault="0049138F" w:rsidP="0049138F">
      <w:pPr>
        <w:jc w:val="both"/>
      </w:pPr>
    </w:p>
    <w:p w:rsidR="0049138F" w:rsidRPr="00701945" w:rsidRDefault="0049138F" w:rsidP="0049138F">
      <w:pPr>
        <w:jc w:val="both"/>
      </w:pPr>
    </w:p>
    <w:p w:rsidR="0049138F" w:rsidRPr="00477A10" w:rsidRDefault="0049138F" w:rsidP="0049138F">
      <w:pPr>
        <w:jc w:val="both"/>
        <w:rPr>
          <w:b/>
        </w:rPr>
      </w:pPr>
      <w:r w:rsidRPr="00477A10">
        <w:rPr>
          <w:b/>
        </w:rPr>
        <w:t>IV.</w:t>
      </w:r>
      <w:r w:rsidRPr="00477A10">
        <w:rPr>
          <w:b/>
        </w:rPr>
        <w:tab/>
      </w:r>
      <w:r w:rsidRPr="00477A10">
        <w:rPr>
          <w:b/>
          <w:u w:val="single"/>
        </w:rPr>
        <w:t>PROCEDURE FOR HANDLING CONFIDENTIAL INFORMATION</w:t>
      </w:r>
    </w:p>
    <w:p w:rsidR="0049138F" w:rsidRPr="00701945" w:rsidRDefault="0049138F" w:rsidP="0049138F">
      <w:pPr>
        <w:jc w:val="both"/>
      </w:pPr>
    </w:p>
    <w:p w:rsidR="0049138F" w:rsidRDefault="0049138F" w:rsidP="0049138F">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w:t>
      </w:r>
      <w:r w:rsidRPr="005555EC">
        <w:lastRenderedPageBreak/>
        <w:t>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49138F" w:rsidRDefault="0049138F" w:rsidP="0049138F">
      <w:pPr>
        <w:jc w:val="both"/>
      </w:pPr>
    </w:p>
    <w:p w:rsidR="0049138F" w:rsidRDefault="0049138F" w:rsidP="004913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49138F" w:rsidRDefault="0049138F" w:rsidP="004913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138F" w:rsidRDefault="0049138F" w:rsidP="0049138F">
      <w:pPr>
        <w:spacing w:line="2" w:lineRule="exact"/>
        <w:jc w:val="both"/>
      </w:pPr>
    </w:p>
    <w:p w:rsidR="0049138F" w:rsidRDefault="0049138F" w:rsidP="0049138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9138F" w:rsidRDefault="0049138F" w:rsidP="004913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138F" w:rsidRDefault="0049138F" w:rsidP="0049138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9138F" w:rsidRDefault="0049138F" w:rsidP="004913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9138F" w:rsidRDefault="0049138F" w:rsidP="004913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9138F" w:rsidRDefault="0049138F" w:rsidP="0049138F">
      <w:pPr>
        <w:jc w:val="both"/>
      </w:pPr>
    </w:p>
    <w:p w:rsidR="0049138F" w:rsidRDefault="0049138F" w:rsidP="0049138F">
      <w:pPr>
        <w:jc w:val="both"/>
      </w:pPr>
    </w:p>
    <w:p w:rsidR="0049138F" w:rsidRPr="00477A10" w:rsidRDefault="0049138F" w:rsidP="0049138F">
      <w:pPr>
        <w:jc w:val="both"/>
        <w:rPr>
          <w:b/>
        </w:rPr>
      </w:pPr>
      <w:r w:rsidRPr="00477A10">
        <w:rPr>
          <w:b/>
        </w:rPr>
        <w:t>V.</w:t>
      </w:r>
      <w:r w:rsidRPr="00477A10">
        <w:rPr>
          <w:b/>
        </w:rPr>
        <w:tab/>
      </w:r>
      <w:r w:rsidRPr="00477A10">
        <w:rPr>
          <w:b/>
          <w:u w:val="single"/>
        </w:rPr>
        <w:t>PREFILED TESTIMONY AND EXHIBITS; WITNESSES</w:t>
      </w:r>
    </w:p>
    <w:p w:rsidR="0049138F" w:rsidRPr="00701945" w:rsidRDefault="0049138F" w:rsidP="0049138F">
      <w:pPr>
        <w:jc w:val="both"/>
      </w:pPr>
    </w:p>
    <w:p w:rsidR="0049138F" w:rsidRDefault="0049138F" w:rsidP="0049138F">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rsidR="007B302C">
        <w:t>three</w:t>
      </w:r>
      <w:r>
        <w:t xml:space="preserve"> </w:t>
      </w:r>
      <w:r w:rsidRPr="00701945">
        <w:t>minutes.</w:t>
      </w:r>
    </w:p>
    <w:p w:rsidR="0049138F" w:rsidRDefault="0049138F" w:rsidP="0049138F">
      <w:pPr>
        <w:jc w:val="both"/>
      </w:pPr>
    </w:p>
    <w:p w:rsidR="0049138F" w:rsidRPr="00701945" w:rsidRDefault="0049138F" w:rsidP="0049138F">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49138F" w:rsidRPr="00701945" w:rsidRDefault="0049138F" w:rsidP="0049138F">
      <w:pPr>
        <w:jc w:val="both"/>
      </w:pPr>
    </w:p>
    <w:p w:rsidR="0049138F" w:rsidRPr="00701945" w:rsidRDefault="0049138F" w:rsidP="0049138F">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49138F" w:rsidRPr="00B75F84" w:rsidRDefault="0049138F" w:rsidP="0049138F">
      <w:pPr>
        <w:jc w:val="both"/>
        <w:rPr>
          <w:color w:val="000000"/>
        </w:rPr>
      </w:pPr>
    </w:p>
    <w:p w:rsidR="0049138F" w:rsidRPr="00B75F84" w:rsidRDefault="0049138F" w:rsidP="0049138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9138F" w:rsidRDefault="0049138F" w:rsidP="0049138F">
      <w:pPr>
        <w:jc w:val="both"/>
      </w:pPr>
    </w:p>
    <w:p w:rsidR="0049138F" w:rsidRPr="00701945" w:rsidRDefault="0049138F" w:rsidP="0049138F">
      <w:pPr>
        <w:jc w:val="both"/>
      </w:pPr>
    </w:p>
    <w:p w:rsidR="0049138F" w:rsidRPr="00477A10" w:rsidRDefault="0049138F" w:rsidP="0049138F">
      <w:pPr>
        <w:jc w:val="both"/>
        <w:rPr>
          <w:b/>
        </w:rPr>
      </w:pPr>
      <w:r w:rsidRPr="00477A10">
        <w:rPr>
          <w:b/>
        </w:rPr>
        <w:t>VI.</w:t>
      </w:r>
      <w:r w:rsidRPr="00477A10">
        <w:rPr>
          <w:b/>
        </w:rPr>
        <w:tab/>
      </w:r>
      <w:r w:rsidRPr="00477A10">
        <w:rPr>
          <w:b/>
          <w:u w:val="single"/>
        </w:rPr>
        <w:t>ORDER OF WITNESSES</w:t>
      </w:r>
    </w:p>
    <w:p w:rsidR="0049138F" w:rsidRDefault="0049138F" w:rsidP="0049138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9138F" w:rsidRPr="00701945" w:rsidTr="005A5FAB">
        <w:trPr>
          <w:cantSplit/>
          <w:trHeight w:val="362"/>
          <w:tblHeader/>
        </w:trPr>
        <w:tc>
          <w:tcPr>
            <w:tcW w:w="3507" w:type="dxa"/>
            <w:tcBorders>
              <w:top w:val="nil"/>
              <w:left w:val="nil"/>
              <w:bottom w:val="nil"/>
              <w:right w:val="nil"/>
            </w:tcBorders>
          </w:tcPr>
          <w:p w:rsidR="0049138F" w:rsidRPr="00701945" w:rsidRDefault="0049138F" w:rsidP="005A5FAB">
            <w:pPr>
              <w:jc w:val="both"/>
            </w:pPr>
            <w:r w:rsidRPr="00701945">
              <w:rPr>
                <w:u w:val="single"/>
              </w:rPr>
              <w:t>Witness</w:t>
            </w:r>
          </w:p>
        </w:tc>
        <w:tc>
          <w:tcPr>
            <w:tcW w:w="2511" w:type="dxa"/>
            <w:tcBorders>
              <w:top w:val="nil"/>
              <w:left w:val="nil"/>
              <w:bottom w:val="nil"/>
              <w:right w:val="nil"/>
            </w:tcBorders>
          </w:tcPr>
          <w:p w:rsidR="0049138F" w:rsidRPr="00701945" w:rsidRDefault="0049138F" w:rsidP="005A5FAB">
            <w:pPr>
              <w:jc w:val="center"/>
            </w:pPr>
            <w:r w:rsidRPr="00701945">
              <w:rPr>
                <w:u w:val="single"/>
              </w:rPr>
              <w:t>Proffered By</w:t>
            </w:r>
          </w:p>
        </w:tc>
        <w:tc>
          <w:tcPr>
            <w:tcW w:w="3546" w:type="dxa"/>
            <w:tcBorders>
              <w:top w:val="nil"/>
              <w:left w:val="nil"/>
              <w:bottom w:val="nil"/>
              <w:right w:val="nil"/>
            </w:tcBorders>
          </w:tcPr>
          <w:p w:rsidR="0049138F" w:rsidRPr="00701945" w:rsidRDefault="0049138F" w:rsidP="005A5FAB">
            <w:pPr>
              <w:jc w:val="both"/>
            </w:pPr>
            <w:r w:rsidRPr="00701945">
              <w:rPr>
                <w:u w:val="single"/>
              </w:rPr>
              <w:t>Issues #</w:t>
            </w:r>
          </w:p>
        </w:tc>
      </w:tr>
      <w:tr w:rsidR="0049138F" w:rsidRPr="00701945" w:rsidTr="005A5FAB">
        <w:trPr>
          <w:cantSplit/>
          <w:trHeight w:val="362"/>
        </w:trPr>
        <w:tc>
          <w:tcPr>
            <w:tcW w:w="3507" w:type="dxa"/>
            <w:tcBorders>
              <w:top w:val="nil"/>
              <w:left w:val="nil"/>
              <w:bottom w:val="nil"/>
              <w:right w:val="nil"/>
            </w:tcBorders>
          </w:tcPr>
          <w:p w:rsidR="0049138F" w:rsidRPr="00AC105C" w:rsidRDefault="0049138F" w:rsidP="005A5FAB">
            <w:pPr>
              <w:jc w:val="both"/>
              <w:rPr>
                <w:u w:val="single"/>
              </w:rPr>
            </w:pPr>
            <w:r w:rsidRPr="00AC105C">
              <w:tab/>
            </w:r>
            <w:r w:rsidRPr="00AC105C">
              <w:rPr>
                <w:u w:val="single"/>
              </w:rPr>
              <w:t>Direct</w:t>
            </w:r>
          </w:p>
        </w:tc>
        <w:tc>
          <w:tcPr>
            <w:tcW w:w="2511" w:type="dxa"/>
            <w:tcBorders>
              <w:top w:val="nil"/>
              <w:left w:val="nil"/>
              <w:bottom w:val="nil"/>
              <w:right w:val="nil"/>
            </w:tcBorders>
          </w:tcPr>
          <w:p w:rsidR="0049138F" w:rsidRPr="00701945" w:rsidRDefault="0049138F" w:rsidP="005A5FAB">
            <w:pPr>
              <w:jc w:val="center"/>
            </w:pPr>
          </w:p>
        </w:tc>
        <w:tc>
          <w:tcPr>
            <w:tcW w:w="3546" w:type="dxa"/>
            <w:tcBorders>
              <w:top w:val="nil"/>
              <w:left w:val="nil"/>
              <w:bottom w:val="nil"/>
              <w:right w:val="nil"/>
            </w:tcBorders>
          </w:tcPr>
          <w:p w:rsidR="0049138F" w:rsidRPr="00701945" w:rsidRDefault="0049138F" w:rsidP="005A5FAB"/>
        </w:tc>
      </w:tr>
      <w:tr w:rsidR="0049138F" w:rsidRPr="00701945" w:rsidTr="005A5FAB">
        <w:trPr>
          <w:cantSplit/>
          <w:trHeight w:val="362"/>
        </w:trPr>
        <w:tc>
          <w:tcPr>
            <w:tcW w:w="3507" w:type="dxa"/>
            <w:tcBorders>
              <w:top w:val="nil"/>
              <w:left w:val="nil"/>
              <w:bottom w:val="nil"/>
              <w:right w:val="nil"/>
            </w:tcBorders>
          </w:tcPr>
          <w:p w:rsidR="007703C7" w:rsidRDefault="0013652C" w:rsidP="007703C7">
            <w:r>
              <w:t>*</w:t>
            </w:r>
            <w:r w:rsidR="007703C7">
              <w:t>Alan D. Felsenthal</w:t>
            </w:r>
          </w:p>
          <w:p w:rsidR="0049138F" w:rsidRPr="00701945" w:rsidRDefault="0049138F" w:rsidP="005A5FAB">
            <w:pPr>
              <w:jc w:val="both"/>
            </w:pPr>
          </w:p>
        </w:tc>
        <w:tc>
          <w:tcPr>
            <w:tcW w:w="2511" w:type="dxa"/>
            <w:tcBorders>
              <w:top w:val="nil"/>
              <w:left w:val="nil"/>
              <w:bottom w:val="nil"/>
              <w:right w:val="nil"/>
            </w:tcBorders>
          </w:tcPr>
          <w:p w:rsidR="0049138F" w:rsidRPr="00701945" w:rsidRDefault="00833448" w:rsidP="005A5FAB">
            <w:pPr>
              <w:jc w:val="center"/>
            </w:pPr>
            <w:r>
              <w:t>TECO</w:t>
            </w:r>
          </w:p>
        </w:tc>
        <w:tc>
          <w:tcPr>
            <w:tcW w:w="3546" w:type="dxa"/>
            <w:tcBorders>
              <w:top w:val="nil"/>
              <w:left w:val="nil"/>
              <w:bottom w:val="nil"/>
              <w:right w:val="nil"/>
            </w:tcBorders>
          </w:tcPr>
          <w:p w:rsidR="0049138F" w:rsidRPr="00701945" w:rsidRDefault="007703C7" w:rsidP="005A5FAB">
            <w:r>
              <w:t>1b, 1c, 1d, 1e, 2, 3</w:t>
            </w:r>
          </w:p>
        </w:tc>
      </w:tr>
      <w:tr w:rsidR="0049138F" w:rsidRPr="00701945" w:rsidTr="005A5FAB">
        <w:trPr>
          <w:cantSplit/>
          <w:trHeight w:val="362"/>
        </w:trPr>
        <w:tc>
          <w:tcPr>
            <w:tcW w:w="3507" w:type="dxa"/>
            <w:tcBorders>
              <w:top w:val="nil"/>
              <w:left w:val="nil"/>
              <w:bottom w:val="nil"/>
              <w:right w:val="nil"/>
            </w:tcBorders>
          </w:tcPr>
          <w:p w:rsidR="007703C7" w:rsidRDefault="0013652C" w:rsidP="007703C7">
            <w:r>
              <w:t>*</w:t>
            </w:r>
            <w:r w:rsidR="007703C7">
              <w:t>Valerie Strickland</w:t>
            </w:r>
          </w:p>
          <w:p w:rsidR="0049138F" w:rsidRPr="00701945" w:rsidRDefault="0049138F" w:rsidP="005A5FAB">
            <w:pPr>
              <w:jc w:val="both"/>
            </w:pPr>
          </w:p>
        </w:tc>
        <w:tc>
          <w:tcPr>
            <w:tcW w:w="2511" w:type="dxa"/>
            <w:tcBorders>
              <w:top w:val="nil"/>
              <w:left w:val="nil"/>
              <w:bottom w:val="nil"/>
              <w:right w:val="nil"/>
            </w:tcBorders>
          </w:tcPr>
          <w:p w:rsidR="0049138F" w:rsidRPr="00701945" w:rsidRDefault="00833448" w:rsidP="005A5FAB">
            <w:pPr>
              <w:jc w:val="center"/>
            </w:pPr>
            <w:r>
              <w:t>TECO</w:t>
            </w:r>
          </w:p>
        </w:tc>
        <w:tc>
          <w:tcPr>
            <w:tcW w:w="3546" w:type="dxa"/>
            <w:tcBorders>
              <w:top w:val="nil"/>
              <w:left w:val="nil"/>
              <w:bottom w:val="nil"/>
              <w:right w:val="nil"/>
            </w:tcBorders>
          </w:tcPr>
          <w:p w:rsidR="0049138F" w:rsidRPr="00701945" w:rsidRDefault="007703C7" w:rsidP="005A5FAB">
            <w:r>
              <w:t>1b, 1c, 1d, 1e, 2, 3</w:t>
            </w:r>
          </w:p>
        </w:tc>
      </w:tr>
      <w:tr w:rsidR="0049138F" w:rsidRPr="00701945" w:rsidTr="005A5FAB">
        <w:trPr>
          <w:cantSplit/>
          <w:trHeight w:val="362"/>
        </w:trPr>
        <w:tc>
          <w:tcPr>
            <w:tcW w:w="3507" w:type="dxa"/>
            <w:tcBorders>
              <w:top w:val="nil"/>
              <w:left w:val="nil"/>
              <w:bottom w:val="nil"/>
              <w:right w:val="nil"/>
            </w:tcBorders>
          </w:tcPr>
          <w:p w:rsidR="007703C7" w:rsidRDefault="0013652C" w:rsidP="007703C7">
            <w:r>
              <w:t>*</w:t>
            </w:r>
            <w:r w:rsidR="007703C7">
              <w:t>Jeffrey S. Chronister</w:t>
            </w:r>
          </w:p>
          <w:p w:rsidR="0049138F" w:rsidRPr="00701945" w:rsidRDefault="0049138F" w:rsidP="005A5FAB">
            <w:pPr>
              <w:jc w:val="both"/>
            </w:pPr>
          </w:p>
        </w:tc>
        <w:tc>
          <w:tcPr>
            <w:tcW w:w="2511" w:type="dxa"/>
            <w:tcBorders>
              <w:top w:val="nil"/>
              <w:left w:val="nil"/>
              <w:bottom w:val="nil"/>
              <w:right w:val="nil"/>
            </w:tcBorders>
          </w:tcPr>
          <w:p w:rsidR="0049138F" w:rsidRPr="00701945" w:rsidRDefault="00833448" w:rsidP="005A5FAB">
            <w:pPr>
              <w:jc w:val="center"/>
            </w:pPr>
            <w:r>
              <w:t>TECO</w:t>
            </w:r>
          </w:p>
        </w:tc>
        <w:tc>
          <w:tcPr>
            <w:tcW w:w="3546" w:type="dxa"/>
            <w:tcBorders>
              <w:top w:val="nil"/>
              <w:left w:val="nil"/>
              <w:bottom w:val="nil"/>
              <w:right w:val="nil"/>
            </w:tcBorders>
          </w:tcPr>
          <w:p w:rsidR="0049138F" w:rsidRPr="00701945" w:rsidRDefault="007703C7" w:rsidP="005A5FAB">
            <w:r>
              <w:t>1a, 1h, 4, 5, 6, 7, 8, 9, 10, 13</w:t>
            </w:r>
          </w:p>
        </w:tc>
      </w:tr>
      <w:tr w:rsidR="0049138F" w:rsidRPr="00701945" w:rsidTr="005A5FAB">
        <w:trPr>
          <w:cantSplit/>
          <w:trHeight w:val="362"/>
        </w:trPr>
        <w:tc>
          <w:tcPr>
            <w:tcW w:w="3507" w:type="dxa"/>
            <w:tcBorders>
              <w:top w:val="nil"/>
              <w:left w:val="nil"/>
              <w:bottom w:val="nil"/>
              <w:right w:val="nil"/>
            </w:tcBorders>
          </w:tcPr>
          <w:p w:rsidR="007703C7" w:rsidRDefault="0013652C" w:rsidP="007703C7">
            <w:r>
              <w:t>*</w:t>
            </w:r>
            <w:r w:rsidR="007703C7">
              <w:t>William R. Ashburn</w:t>
            </w:r>
          </w:p>
          <w:p w:rsidR="0049138F" w:rsidRPr="00701945" w:rsidRDefault="0049138F" w:rsidP="005A5FAB">
            <w:pPr>
              <w:jc w:val="both"/>
            </w:pPr>
          </w:p>
        </w:tc>
        <w:tc>
          <w:tcPr>
            <w:tcW w:w="2511" w:type="dxa"/>
            <w:tcBorders>
              <w:top w:val="nil"/>
              <w:left w:val="nil"/>
              <w:bottom w:val="nil"/>
              <w:right w:val="nil"/>
            </w:tcBorders>
          </w:tcPr>
          <w:p w:rsidR="0049138F" w:rsidRPr="00701945" w:rsidRDefault="00833448" w:rsidP="005A5FAB">
            <w:pPr>
              <w:jc w:val="center"/>
            </w:pPr>
            <w:r>
              <w:t>TECO</w:t>
            </w:r>
          </w:p>
        </w:tc>
        <w:tc>
          <w:tcPr>
            <w:tcW w:w="3546" w:type="dxa"/>
            <w:tcBorders>
              <w:top w:val="nil"/>
              <w:left w:val="nil"/>
              <w:bottom w:val="nil"/>
              <w:right w:val="nil"/>
            </w:tcBorders>
          </w:tcPr>
          <w:p w:rsidR="0049138F" w:rsidRPr="00701945" w:rsidRDefault="007703C7" w:rsidP="005A5FAB">
            <w:r>
              <w:t>11, 12</w:t>
            </w:r>
          </w:p>
        </w:tc>
      </w:tr>
      <w:tr w:rsidR="0049138F" w:rsidRPr="00701945" w:rsidTr="005A5FAB">
        <w:trPr>
          <w:cantSplit/>
          <w:trHeight w:val="362"/>
        </w:trPr>
        <w:tc>
          <w:tcPr>
            <w:tcW w:w="3507" w:type="dxa"/>
            <w:tcBorders>
              <w:top w:val="nil"/>
              <w:left w:val="nil"/>
              <w:bottom w:val="nil"/>
              <w:right w:val="nil"/>
            </w:tcBorders>
          </w:tcPr>
          <w:p w:rsidR="0049138F" w:rsidRPr="00701945" w:rsidRDefault="00833448" w:rsidP="00833448">
            <w:pPr>
              <w:jc w:val="both"/>
            </w:pPr>
            <w:r>
              <w:t xml:space="preserve"> </w:t>
            </w:r>
            <w:r w:rsidR="0013652C">
              <w:t>*</w:t>
            </w:r>
            <w:r>
              <w:t>Ralph Smith</w:t>
            </w:r>
          </w:p>
        </w:tc>
        <w:tc>
          <w:tcPr>
            <w:tcW w:w="2511" w:type="dxa"/>
            <w:tcBorders>
              <w:top w:val="nil"/>
              <w:left w:val="nil"/>
              <w:bottom w:val="nil"/>
              <w:right w:val="nil"/>
            </w:tcBorders>
          </w:tcPr>
          <w:p w:rsidR="0049138F" w:rsidRPr="00701945" w:rsidRDefault="0049138F" w:rsidP="005A5FAB">
            <w:pPr>
              <w:jc w:val="center"/>
            </w:pPr>
            <w:r>
              <w:t>OPC</w:t>
            </w:r>
          </w:p>
        </w:tc>
        <w:tc>
          <w:tcPr>
            <w:tcW w:w="3546" w:type="dxa"/>
            <w:tcBorders>
              <w:top w:val="nil"/>
              <w:left w:val="nil"/>
              <w:bottom w:val="nil"/>
              <w:right w:val="nil"/>
            </w:tcBorders>
          </w:tcPr>
          <w:p w:rsidR="0049138F" w:rsidRPr="00701945" w:rsidRDefault="00C92F62" w:rsidP="005A5FAB">
            <w:r w:rsidRPr="00A35C49">
              <w:rPr>
                <w:bCs/>
              </w:rPr>
              <w:t>1-10,12, 13</w:t>
            </w:r>
          </w:p>
        </w:tc>
      </w:tr>
      <w:tr w:rsidR="0049138F" w:rsidRPr="00701945" w:rsidTr="005A5FAB">
        <w:trPr>
          <w:cantSplit/>
          <w:trHeight w:val="362"/>
        </w:trPr>
        <w:tc>
          <w:tcPr>
            <w:tcW w:w="3507" w:type="dxa"/>
            <w:tcBorders>
              <w:top w:val="nil"/>
              <w:left w:val="nil"/>
              <w:bottom w:val="nil"/>
              <w:right w:val="nil"/>
            </w:tcBorders>
          </w:tcPr>
          <w:p w:rsidR="0049138F" w:rsidRPr="00833448" w:rsidRDefault="00833448" w:rsidP="005A5FAB">
            <w:pPr>
              <w:jc w:val="both"/>
              <w:rPr>
                <w:u w:val="single"/>
              </w:rPr>
            </w:pPr>
            <w:r>
              <w:t xml:space="preserve">           </w:t>
            </w:r>
            <w:r>
              <w:rPr>
                <w:u w:val="single"/>
              </w:rPr>
              <w:t>Rebuttal</w:t>
            </w:r>
          </w:p>
        </w:tc>
        <w:tc>
          <w:tcPr>
            <w:tcW w:w="2511" w:type="dxa"/>
            <w:tcBorders>
              <w:top w:val="nil"/>
              <w:left w:val="nil"/>
              <w:bottom w:val="nil"/>
              <w:right w:val="nil"/>
            </w:tcBorders>
          </w:tcPr>
          <w:p w:rsidR="0049138F" w:rsidRPr="00701945" w:rsidRDefault="0049138F" w:rsidP="005A5FAB">
            <w:pPr>
              <w:jc w:val="center"/>
            </w:pPr>
          </w:p>
        </w:tc>
        <w:tc>
          <w:tcPr>
            <w:tcW w:w="3546" w:type="dxa"/>
            <w:tcBorders>
              <w:top w:val="nil"/>
              <w:left w:val="nil"/>
              <w:bottom w:val="nil"/>
              <w:right w:val="nil"/>
            </w:tcBorders>
          </w:tcPr>
          <w:p w:rsidR="0049138F" w:rsidRPr="00701945" w:rsidRDefault="0049138F" w:rsidP="005A5FAB"/>
        </w:tc>
      </w:tr>
      <w:tr w:rsidR="0049138F" w:rsidRPr="00701945" w:rsidTr="005A5FAB">
        <w:trPr>
          <w:cantSplit/>
          <w:trHeight w:val="382"/>
        </w:trPr>
        <w:tc>
          <w:tcPr>
            <w:tcW w:w="3507" w:type="dxa"/>
            <w:tcBorders>
              <w:top w:val="nil"/>
              <w:left w:val="nil"/>
              <w:bottom w:val="nil"/>
              <w:right w:val="nil"/>
            </w:tcBorders>
          </w:tcPr>
          <w:p w:rsidR="0049138F" w:rsidRPr="00833448" w:rsidRDefault="0013652C" w:rsidP="00833448">
            <w:pPr>
              <w:jc w:val="both"/>
            </w:pPr>
            <w:r>
              <w:t>*</w:t>
            </w:r>
            <w:r w:rsidR="00833448">
              <w:t>Valerie Strickland</w:t>
            </w:r>
          </w:p>
        </w:tc>
        <w:tc>
          <w:tcPr>
            <w:tcW w:w="2511" w:type="dxa"/>
            <w:tcBorders>
              <w:top w:val="nil"/>
              <w:left w:val="nil"/>
              <w:bottom w:val="nil"/>
              <w:right w:val="nil"/>
            </w:tcBorders>
          </w:tcPr>
          <w:p w:rsidR="0049138F" w:rsidRPr="00701945" w:rsidRDefault="00833448" w:rsidP="005A5FAB">
            <w:pPr>
              <w:jc w:val="center"/>
            </w:pPr>
            <w:r>
              <w:t>TECO</w:t>
            </w:r>
          </w:p>
        </w:tc>
        <w:tc>
          <w:tcPr>
            <w:tcW w:w="3546" w:type="dxa"/>
            <w:tcBorders>
              <w:top w:val="nil"/>
              <w:left w:val="nil"/>
              <w:bottom w:val="nil"/>
              <w:right w:val="nil"/>
            </w:tcBorders>
          </w:tcPr>
          <w:p w:rsidR="0049138F" w:rsidRPr="00701945" w:rsidRDefault="007703C7" w:rsidP="005A5FAB">
            <w:r>
              <w:t>1f, 1g</w:t>
            </w:r>
          </w:p>
        </w:tc>
      </w:tr>
    </w:tbl>
    <w:p w:rsidR="0049138F" w:rsidRDefault="0049138F" w:rsidP="0049138F">
      <w:pPr>
        <w:jc w:val="both"/>
      </w:pPr>
    </w:p>
    <w:p w:rsidR="0049138F" w:rsidRDefault="0013652C" w:rsidP="0013652C">
      <w:pPr>
        <w:jc w:val="both"/>
      </w:pPr>
      <w:r>
        <w:tab/>
        <w:t>* These witnesses have been excused from attending the hearing and their testimony and exhibits, as identified in Section IX, s</w:t>
      </w:r>
      <w:r w:rsidR="002123CA">
        <w:t>tipulated to by all parties.</w:t>
      </w:r>
    </w:p>
    <w:p w:rsidR="0013652C" w:rsidRDefault="0013652C" w:rsidP="0013652C">
      <w:pPr>
        <w:jc w:val="both"/>
      </w:pPr>
    </w:p>
    <w:p w:rsidR="0013652C" w:rsidRDefault="0013652C" w:rsidP="0013652C">
      <w:pPr>
        <w:jc w:val="both"/>
      </w:pPr>
    </w:p>
    <w:p w:rsidR="0013652C" w:rsidRDefault="0013652C" w:rsidP="0013652C">
      <w:pPr>
        <w:jc w:val="both"/>
      </w:pPr>
    </w:p>
    <w:p w:rsidR="0049138F" w:rsidRPr="00477A10" w:rsidRDefault="0049138F" w:rsidP="0049138F">
      <w:pPr>
        <w:jc w:val="both"/>
        <w:rPr>
          <w:b/>
        </w:rPr>
      </w:pPr>
      <w:r w:rsidRPr="00477A10">
        <w:rPr>
          <w:b/>
        </w:rPr>
        <w:lastRenderedPageBreak/>
        <w:t>VII.</w:t>
      </w:r>
      <w:r w:rsidRPr="00477A10">
        <w:rPr>
          <w:b/>
        </w:rPr>
        <w:tab/>
      </w:r>
      <w:r w:rsidRPr="00477A10">
        <w:rPr>
          <w:b/>
          <w:u w:val="single"/>
        </w:rPr>
        <w:t>BASIC POSITIONS</w:t>
      </w:r>
    </w:p>
    <w:p w:rsidR="0049138F" w:rsidRPr="00701945" w:rsidRDefault="0049138F" w:rsidP="0049138F">
      <w:pPr>
        <w:jc w:val="both"/>
      </w:pPr>
    </w:p>
    <w:p w:rsidR="007703C7" w:rsidRDefault="00833448" w:rsidP="007703C7">
      <w:pPr>
        <w:ind w:left="1440" w:hanging="1440"/>
        <w:jc w:val="both"/>
      </w:pPr>
      <w:r>
        <w:rPr>
          <w:b/>
          <w:bCs/>
        </w:rPr>
        <w:t>TECO</w:t>
      </w:r>
      <w:r w:rsidR="0049138F" w:rsidRPr="00701945">
        <w:rPr>
          <w:b/>
          <w:bCs/>
        </w:rPr>
        <w:t>:</w:t>
      </w:r>
      <w:r w:rsidR="0049138F" w:rsidRPr="00701945">
        <w:tab/>
      </w:r>
      <w:r w:rsidR="007703C7">
        <w:t xml:space="preserve">The company has calculated the annual revenue requirement impact of the Tax Cuts and Jobs Act of 2017 (“TCJA”) in accordance with the 2017 Agreement, and that amount is approximately $102.7 million. The Commission should approve the company’s proposal to reduce base rates by this amount as specified in its </w:t>
      </w:r>
      <w:r w:rsidR="007703C7">
        <w:rPr>
          <w:rFonts w:cs="Courier New"/>
        </w:rPr>
        <w:t xml:space="preserve">2017 </w:t>
      </w:r>
      <w:r w:rsidR="007703C7" w:rsidRPr="00113C8E">
        <w:rPr>
          <w:rFonts w:cs="Courier New"/>
        </w:rPr>
        <w:t>Amended and Restated Stipulation and Settlement Agreement (“2017 Agreement”)</w:t>
      </w:r>
      <w:r w:rsidR="007703C7">
        <w:t xml:space="preserve"> effective concurrent with the first billing cycle in January 2019. This amount should also be used in Docket No. 20170271-EI to net against the storm costs as provided in paragraph 3 and to calculate the true-up contemplated in paragraph 5(c) of the Amended Implementation Stipulation.  </w:t>
      </w:r>
    </w:p>
    <w:p w:rsidR="007703C7" w:rsidRDefault="007703C7" w:rsidP="007703C7">
      <w:pPr>
        <w:jc w:val="both"/>
      </w:pPr>
    </w:p>
    <w:p w:rsidR="0049138F" w:rsidRPr="007703C7" w:rsidRDefault="007703C7" w:rsidP="007703C7">
      <w:pPr>
        <w:ind w:left="1440" w:hanging="1440"/>
        <w:jc w:val="both"/>
      </w:pPr>
      <w:r>
        <w:tab/>
      </w:r>
      <w:r w:rsidRPr="007703C7">
        <w:t xml:space="preserve">The company has properly calculated the amount of “excess” accumulated deferred income taxes (“excess ADIT”) as of December 31, 2017, has properly classified them as “protected” and “unprotected” and has reflected the excess amounts in the calculation of forecasted 2018 tax expense in accordance with the requirement of the Internal Revenue Code and the 2017 Agreement. If the portion of unprotected excess accumulated deferred income taxes associated with cost of removal/net negative salvage is later determined by the IRS to be “protected,” through the issuance of a private letter ruling (“PLR”) or otherwise, the company should further adjust base rates to reflect the 2018 revenue requirement impact either (a) in conjunction with a future solar base rate adjustment or (b) by filing a petition for a limited scope proceeding to adjust base rates within 60 days of the determination, whichever will result in a rate change earlier; and shall refund the associated 2018 revenue requirement difference from January 1, 2018 to the effective date of the further rate change.   </w:t>
      </w:r>
    </w:p>
    <w:p w:rsidR="00833448" w:rsidRPr="00701945" w:rsidRDefault="00833448" w:rsidP="00833448">
      <w:pPr>
        <w:ind w:left="1440" w:hanging="1440"/>
        <w:jc w:val="both"/>
      </w:pPr>
    </w:p>
    <w:p w:rsidR="00C92F62" w:rsidRPr="008E4BCD" w:rsidRDefault="0049138F" w:rsidP="00C92F62">
      <w:pPr>
        <w:ind w:left="1440" w:hanging="1440"/>
        <w:jc w:val="both"/>
      </w:pPr>
      <w:r>
        <w:rPr>
          <w:b/>
          <w:bCs/>
        </w:rPr>
        <w:t>OPC</w:t>
      </w:r>
      <w:r w:rsidRPr="00701945">
        <w:rPr>
          <w:b/>
          <w:bCs/>
        </w:rPr>
        <w:t>:</w:t>
      </w:r>
      <w:r>
        <w:rPr>
          <w:b/>
          <w:bCs/>
        </w:rPr>
        <w:tab/>
      </w:r>
      <w:r w:rsidR="00C92F62">
        <w:t xml:space="preserve">Tampa Electric Company has identified </w:t>
      </w:r>
      <w:r w:rsidR="00C92F62" w:rsidRPr="008E4BCD">
        <w:t>(i) a net regulatory liability for excess accumulated deferred income taxes of approximately $438.528 million and (ii) a one-time base rate revenue require</w:t>
      </w:r>
      <w:r w:rsidR="00C92F62">
        <w:t xml:space="preserve">ment change of $102.687 million, </w:t>
      </w:r>
      <w:r w:rsidR="00C92F62" w:rsidRPr="008E4BCD">
        <w:t xml:space="preserve">as two major impacts of the </w:t>
      </w:r>
      <w:r w:rsidR="00C92F62">
        <w:t>Tax Cuts and Jobs Act of 2017 (“TCJA”)</w:t>
      </w:r>
      <w:r w:rsidR="00C92F62" w:rsidRPr="008E4BCD">
        <w:t xml:space="preserve">.   </w:t>
      </w:r>
    </w:p>
    <w:p w:rsidR="00C92F62" w:rsidRDefault="00C92F62" w:rsidP="00C92F62">
      <w:pPr>
        <w:ind w:left="1440" w:hanging="1440"/>
        <w:jc w:val="both"/>
      </w:pPr>
      <w:r>
        <w:tab/>
      </w:r>
    </w:p>
    <w:p w:rsidR="00C92F62" w:rsidRDefault="00C92F62" w:rsidP="00C92F62">
      <w:pPr>
        <w:ind w:left="1440" w:hanging="1440"/>
        <w:jc w:val="both"/>
      </w:pPr>
      <w:r>
        <w:tab/>
        <w:t xml:space="preserve">The Citizens find no errors </w:t>
      </w:r>
      <w:r w:rsidRPr="008E4BCD">
        <w:t xml:space="preserve">with </w:t>
      </w:r>
      <w:r>
        <w:t xml:space="preserve">Tampa Electric Company’s calculation of excess accumulated deferred income taxes and do not disagree with its </w:t>
      </w:r>
      <w:r w:rsidRPr="008E4BCD">
        <w:t xml:space="preserve">classification </w:t>
      </w:r>
      <w:r>
        <w:t xml:space="preserve">of the excess accumulated deferred income taxes between “protected” and </w:t>
      </w:r>
      <w:r w:rsidRPr="008E4BCD">
        <w:t>“unprotected</w:t>
      </w:r>
      <w:r>
        <w:t>.</w:t>
      </w:r>
      <w:r w:rsidRPr="008E4BCD">
        <w:t>”</w:t>
      </w:r>
      <w:r>
        <w:t xml:space="preserve"> </w:t>
      </w:r>
      <w:r w:rsidRPr="008E4BCD">
        <w:t xml:space="preserve"> However, </w:t>
      </w:r>
      <w:r>
        <w:t xml:space="preserve">guidance provided in the TCJA and in previous Internal Revenue Service rulings presents some </w:t>
      </w:r>
      <w:r w:rsidRPr="008E4BCD">
        <w:t xml:space="preserve">uncertainty as to the </w:t>
      </w:r>
      <w:r>
        <w:t xml:space="preserve">appropriate </w:t>
      </w:r>
      <w:r w:rsidRPr="008E4BCD">
        <w:t>classification of the excess accumulated deferred income taxes relating to cost of removal/negative net salvage</w:t>
      </w:r>
      <w:r>
        <w:t xml:space="preserve">.  As a result of this uncertainty, the Citizens submit that Tampa Electric </w:t>
      </w:r>
      <w:r w:rsidRPr="008E4BCD">
        <w:t xml:space="preserve">Company </w:t>
      </w:r>
      <w:r>
        <w:t xml:space="preserve">should be required to </w:t>
      </w:r>
      <w:r w:rsidRPr="008E4BCD">
        <w:t xml:space="preserve">seek a private letter ruling from the </w:t>
      </w:r>
      <w:r>
        <w:t xml:space="preserve">Internal Revenue Service </w:t>
      </w:r>
      <w:r w:rsidRPr="008E4BCD">
        <w:t xml:space="preserve">to address </w:t>
      </w:r>
      <w:r>
        <w:t xml:space="preserve">its </w:t>
      </w:r>
      <w:r w:rsidRPr="008E4BCD">
        <w:t>specific factual situation</w:t>
      </w:r>
      <w:r>
        <w:t xml:space="preserve"> regarding the cost of removal/negative net salvage as it relates to excess accumulated deferred income taxes.   </w:t>
      </w:r>
    </w:p>
    <w:p w:rsidR="000618D8" w:rsidRPr="008E4BCD" w:rsidRDefault="000618D8" w:rsidP="00C92F62">
      <w:pPr>
        <w:ind w:left="1440" w:hanging="1440"/>
        <w:jc w:val="both"/>
      </w:pPr>
    </w:p>
    <w:p w:rsidR="0049138F" w:rsidRDefault="00C92F62" w:rsidP="00C92F62">
      <w:pPr>
        <w:tabs>
          <w:tab w:val="left" w:pos="720"/>
        </w:tabs>
        <w:ind w:left="1440" w:hanging="1440"/>
        <w:jc w:val="both"/>
        <w:rPr>
          <w:bCs/>
        </w:rPr>
      </w:pPr>
      <w:r>
        <w:lastRenderedPageBreak/>
        <w:tab/>
      </w:r>
      <w:r>
        <w:tab/>
        <w:t xml:space="preserve">Tampa Electric Company’s </w:t>
      </w:r>
      <w:r w:rsidRPr="008E4BCD">
        <w:t xml:space="preserve">identification of approximately $102.687 </w:t>
      </w:r>
      <w:r>
        <w:t xml:space="preserve">million </w:t>
      </w:r>
      <w:r w:rsidRPr="008E4BCD">
        <w:t xml:space="preserve">as the one-time base rate revenue requirement reduction as shown on </w:t>
      </w:r>
      <w:r>
        <w:t xml:space="preserve">its </w:t>
      </w:r>
      <w:r w:rsidRPr="008E4BCD">
        <w:t>Exhibit No. JSC-1</w:t>
      </w:r>
      <w:r>
        <w:t xml:space="preserve">, Document No. 5, does not appear to be unreasonable for purposes of estimating the one-time annual revenue requirement reduction and excess accumulated deferred income taxes related to the TCJA.  Therefore, this </w:t>
      </w:r>
      <w:r w:rsidRPr="008E4BCD">
        <w:t>amount should be used for evaluating any true-up required under the Amended</w:t>
      </w:r>
      <w:r>
        <w:t xml:space="preserve"> </w:t>
      </w:r>
      <w:r w:rsidRPr="008E4BCD">
        <w:t xml:space="preserve">Implementation Agreement filed on February 13, 2018, in Docket Nos. 20170271-EI and 20180013-PU.  </w:t>
      </w:r>
    </w:p>
    <w:p w:rsidR="00833448" w:rsidRDefault="00833448" w:rsidP="00833448">
      <w:pPr>
        <w:tabs>
          <w:tab w:val="left" w:pos="720"/>
        </w:tabs>
        <w:ind w:left="1440" w:hanging="1440"/>
        <w:jc w:val="both"/>
        <w:rPr>
          <w:b/>
          <w:bCs/>
        </w:rPr>
      </w:pPr>
    </w:p>
    <w:p w:rsidR="0049138F" w:rsidRPr="00156D78" w:rsidRDefault="0049138F" w:rsidP="0049138F">
      <w:pPr>
        <w:ind w:left="1440" w:hanging="1440"/>
        <w:jc w:val="both"/>
        <w:rPr>
          <w:bCs/>
        </w:rPr>
      </w:pPr>
      <w:r>
        <w:rPr>
          <w:b/>
          <w:bCs/>
        </w:rPr>
        <w:t>FIPUG:</w:t>
      </w:r>
      <w:r>
        <w:rPr>
          <w:b/>
          <w:bCs/>
        </w:rPr>
        <w:tab/>
      </w:r>
      <w:r w:rsidR="00156D78" w:rsidRPr="00156D78">
        <w:rPr>
          <w:bCs/>
        </w:rPr>
        <w:t>FIPUG seeks a full and fair</w:t>
      </w:r>
      <w:r w:rsidR="00156D78">
        <w:rPr>
          <w:b/>
          <w:bCs/>
        </w:rPr>
        <w:t xml:space="preserve"> </w:t>
      </w:r>
      <w:r w:rsidR="00156D78">
        <w:rPr>
          <w:bCs/>
        </w:rPr>
        <w:t xml:space="preserve">distribution of dollars to FIPUG </w:t>
      </w:r>
      <w:r w:rsidR="00156D78" w:rsidRPr="00130071">
        <w:rPr>
          <w:bCs/>
        </w:rPr>
        <w:t>members</w:t>
      </w:r>
      <w:r w:rsidR="00156D78">
        <w:rPr>
          <w:bCs/>
        </w:rPr>
        <w:t xml:space="preserve"> and other Tampa Electric Company </w:t>
      </w:r>
      <w:r w:rsidR="00156D78" w:rsidRPr="00130071">
        <w:rPr>
          <w:bCs/>
        </w:rPr>
        <w:t>customers</w:t>
      </w:r>
      <w:r w:rsidR="00156D78">
        <w:rPr>
          <w:bCs/>
        </w:rPr>
        <w:t xml:space="preserve"> resulting from the federal Tax Cuts and Jobs Act of 2017.  This distribution should be done efficiently, transparently, accurately, and without delay. </w:t>
      </w:r>
    </w:p>
    <w:p w:rsidR="0049138F" w:rsidRDefault="0049138F" w:rsidP="0049138F">
      <w:pPr>
        <w:ind w:left="1440" w:hanging="1440"/>
        <w:jc w:val="both"/>
        <w:rPr>
          <w:b/>
          <w:bCs/>
        </w:rPr>
      </w:pPr>
    </w:p>
    <w:p w:rsidR="0049138F" w:rsidRPr="00701945" w:rsidRDefault="0049138F" w:rsidP="0049138F">
      <w:pPr>
        <w:ind w:left="1440" w:hanging="1440"/>
        <w:jc w:val="both"/>
      </w:pPr>
      <w:r>
        <w:rPr>
          <w:b/>
          <w:bCs/>
        </w:rPr>
        <w:t>FRF:</w:t>
      </w:r>
      <w:r w:rsidRPr="00701945">
        <w:tab/>
      </w:r>
      <w:r w:rsidR="00280056">
        <w:t>Tampa Electric has realized significant cost savings pursuant to the Tax Cuts and Jobs Act of 2017.  The 2017 Amended and Restated Stipulation and Settlement Agreement (“2017 Agreement”), as modified by the Amended Implementation Stipulation, requires Tampa Electric to reduce its retail rates and to refund certain amounts of accumulated deferred income taxes to customers as specified in these documents.  Tampa Electric should reduce its retail rates and implement the refunds as required by the 2017 Agreement and in accordance with the Amended Implementation Stipulation.</w:t>
      </w:r>
    </w:p>
    <w:p w:rsidR="00586D35" w:rsidRPr="00701945" w:rsidRDefault="00586D35" w:rsidP="0049138F">
      <w:pPr>
        <w:jc w:val="both"/>
      </w:pPr>
    </w:p>
    <w:p w:rsidR="0049138F" w:rsidRDefault="0049138F" w:rsidP="0049138F">
      <w:pPr>
        <w:ind w:left="1440" w:hanging="1440"/>
        <w:jc w:val="both"/>
      </w:pPr>
      <w:r w:rsidRPr="007B326F">
        <w:rPr>
          <w:b/>
          <w:bCs/>
        </w:rPr>
        <w:t>STAFF:</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49138F" w:rsidRDefault="0049138F" w:rsidP="0049138F">
      <w:pPr>
        <w:ind w:left="1440" w:hanging="1440"/>
        <w:jc w:val="both"/>
      </w:pPr>
    </w:p>
    <w:p w:rsidR="0049138F" w:rsidRPr="00701945" w:rsidRDefault="0049138F" w:rsidP="0049138F">
      <w:pPr>
        <w:ind w:left="1440" w:hanging="1440"/>
        <w:jc w:val="both"/>
      </w:pPr>
    </w:p>
    <w:p w:rsidR="0049138F" w:rsidRPr="00477A10" w:rsidRDefault="0049138F" w:rsidP="0049138F">
      <w:pPr>
        <w:jc w:val="both"/>
        <w:rPr>
          <w:b/>
        </w:rPr>
      </w:pPr>
      <w:r w:rsidRPr="00477A10">
        <w:rPr>
          <w:b/>
        </w:rPr>
        <w:t>VIII.</w:t>
      </w:r>
      <w:r w:rsidRPr="00477A10">
        <w:rPr>
          <w:b/>
        </w:rPr>
        <w:tab/>
      </w:r>
      <w:r w:rsidRPr="00477A10">
        <w:rPr>
          <w:b/>
          <w:u w:val="single"/>
        </w:rPr>
        <w:t>ISSUES AND POSITIONS</w:t>
      </w:r>
    </w:p>
    <w:p w:rsidR="0049138F" w:rsidRDefault="0049138F" w:rsidP="0049138F">
      <w:pPr>
        <w:jc w:val="both"/>
      </w:pPr>
    </w:p>
    <w:p w:rsidR="00591BAC" w:rsidRPr="000618D8" w:rsidRDefault="0049138F" w:rsidP="00591BAC">
      <w:pPr>
        <w:ind w:left="1440" w:hanging="1440"/>
        <w:jc w:val="both"/>
        <w:rPr>
          <w:b/>
          <w:bCs/>
          <w:color w:val="000000" w:themeColor="text1"/>
        </w:rPr>
      </w:pPr>
      <w:r w:rsidRPr="00701945">
        <w:rPr>
          <w:b/>
          <w:bCs/>
          <w:u w:val="single"/>
        </w:rPr>
        <w:t>ISSUE 1</w:t>
      </w:r>
      <w:r w:rsidRPr="00701945">
        <w:rPr>
          <w:b/>
          <w:bCs/>
        </w:rPr>
        <w:t>:</w:t>
      </w:r>
      <w:r w:rsidR="00F06B1D">
        <w:rPr>
          <w:b/>
          <w:bCs/>
        </w:rPr>
        <w:tab/>
      </w:r>
      <w:r w:rsidR="00591BAC">
        <w:rPr>
          <w:b/>
          <w:bCs/>
        </w:rPr>
        <w:t xml:space="preserve">PROPOSED STIPULATION – </w:t>
      </w:r>
      <w:r w:rsidR="00591BAC" w:rsidRPr="00591BAC">
        <w:rPr>
          <w:bCs/>
        </w:rPr>
        <w:t>See Section X.</w:t>
      </w:r>
    </w:p>
    <w:p w:rsidR="0049138F" w:rsidRPr="00CC259A" w:rsidRDefault="0049138F" w:rsidP="0049138F">
      <w:pPr>
        <w:jc w:val="both"/>
        <w:rPr>
          <w:b/>
          <w:bCs/>
        </w:rPr>
      </w:pPr>
      <w:r w:rsidRPr="00CC259A">
        <w:rPr>
          <w:b/>
          <w:bCs/>
          <w:color w:val="FF0000"/>
        </w:rPr>
        <w:tab/>
      </w:r>
    </w:p>
    <w:p w:rsidR="00F06B1D" w:rsidRDefault="0049138F" w:rsidP="00591BAC">
      <w:pPr>
        <w:ind w:left="1440" w:hanging="1440"/>
        <w:jc w:val="both"/>
        <w:rPr>
          <w:b/>
          <w:bCs/>
        </w:rPr>
      </w:pPr>
      <w:r w:rsidRPr="00701945">
        <w:rPr>
          <w:b/>
          <w:bCs/>
          <w:u w:val="single"/>
        </w:rPr>
        <w:t xml:space="preserve">ISSUE </w:t>
      </w:r>
      <w:r w:rsidR="00F06B1D">
        <w:rPr>
          <w:b/>
          <w:bCs/>
          <w:u w:val="single"/>
        </w:rPr>
        <w:t>1a</w:t>
      </w:r>
      <w:r w:rsidRPr="00701945">
        <w:rPr>
          <w:b/>
          <w:bCs/>
        </w:rPr>
        <w:t>:</w:t>
      </w:r>
      <w:r>
        <w:rPr>
          <w:b/>
          <w:bCs/>
        </w:rPr>
        <w:tab/>
      </w:r>
      <w:r w:rsidR="00591BAC">
        <w:rPr>
          <w:b/>
          <w:bCs/>
        </w:rPr>
        <w:t xml:space="preserve">PROPOSED STIPULATION – </w:t>
      </w:r>
      <w:r w:rsidR="00591BAC" w:rsidRPr="00591BAC">
        <w:rPr>
          <w:bCs/>
        </w:rPr>
        <w:t>See Section X.</w:t>
      </w:r>
    </w:p>
    <w:p w:rsidR="0049138F" w:rsidRPr="00CC259A" w:rsidRDefault="0049138F" w:rsidP="0049138F">
      <w:pPr>
        <w:jc w:val="both"/>
        <w:rPr>
          <w:b/>
          <w:bCs/>
        </w:rPr>
      </w:pPr>
    </w:p>
    <w:p w:rsidR="0049138F" w:rsidRDefault="0049138F" w:rsidP="00591BAC">
      <w:pPr>
        <w:ind w:left="1440" w:hanging="1440"/>
        <w:jc w:val="both"/>
      </w:pPr>
      <w:r w:rsidRPr="00701945">
        <w:rPr>
          <w:b/>
          <w:bCs/>
          <w:u w:val="single"/>
        </w:rPr>
        <w:t xml:space="preserve">ISSUE </w:t>
      </w:r>
      <w:r w:rsidR="00F06B1D">
        <w:rPr>
          <w:b/>
          <w:bCs/>
          <w:u w:val="single"/>
        </w:rPr>
        <w:t>1b</w:t>
      </w:r>
      <w:r w:rsidRPr="00701945">
        <w:rPr>
          <w:b/>
          <w:bCs/>
        </w:rPr>
        <w:t>:</w:t>
      </w:r>
      <w:r>
        <w:rPr>
          <w:b/>
          <w:bCs/>
        </w:rPr>
        <w:tab/>
      </w:r>
      <w:r w:rsidR="00591BAC">
        <w:rPr>
          <w:b/>
          <w:bCs/>
        </w:rPr>
        <w:t xml:space="preserve">PROPOSED STIPULATION – </w:t>
      </w:r>
      <w:r w:rsidR="00591BAC" w:rsidRPr="00591BAC">
        <w:rPr>
          <w:bCs/>
        </w:rPr>
        <w:t>See Section X.</w:t>
      </w:r>
    </w:p>
    <w:p w:rsidR="0049138F" w:rsidRDefault="0049138F" w:rsidP="0049138F">
      <w:pPr>
        <w:jc w:val="both"/>
      </w:pPr>
    </w:p>
    <w:p w:rsidR="0049138F" w:rsidRDefault="0049138F" w:rsidP="00591BAC">
      <w:pPr>
        <w:ind w:left="1440" w:hanging="1440"/>
        <w:jc w:val="both"/>
      </w:pPr>
      <w:r w:rsidRPr="00701945">
        <w:rPr>
          <w:b/>
          <w:bCs/>
          <w:u w:val="single"/>
        </w:rPr>
        <w:t xml:space="preserve">ISSUE </w:t>
      </w:r>
      <w:r w:rsidR="00F06B1D">
        <w:rPr>
          <w:b/>
          <w:bCs/>
          <w:u w:val="single"/>
        </w:rPr>
        <w:t>1c</w:t>
      </w:r>
      <w:r w:rsidRPr="00701945">
        <w:rPr>
          <w:b/>
          <w:bCs/>
        </w:rPr>
        <w:t>:</w:t>
      </w:r>
      <w:r>
        <w:rPr>
          <w:b/>
          <w:bCs/>
        </w:rPr>
        <w:tab/>
      </w:r>
      <w:r w:rsidR="00591BAC">
        <w:rPr>
          <w:b/>
          <w:bCs/>
        </w:rPr>
        <w:t xml:space="preserve">PROPOSED STIPULATION – </w:t>
      </w:r>
      <w:r w:rsidR="00591BAC" w:rsidRPr="00591BAC">
        <w:rPr>
          <w:bCs/>
        </w:rPr>
        <w:t>See Section X.</w:t>
      </w:r>
    </w:p>
    <w:p w:rsidR="002A609F" w:rsidRDefault="002A609F" w:rsidP="0049138F">
      <w:pPr>
        <w:jc w:val="both"/>
      </w:pPr>
    </w:p>
    <w:p w:rsidR="0049138F" w:rsidRDefault="0049138F" w:rsidP="00591BAC">
      <w:pPr>
        <w:ind w:left="1440" w:hanging="1440"/>
        <w:jc w:val="both"/>
      </w:pPr>
      <w:r w:rsidRPr="00701945">
        <w:rPr>
          <w:b/>
          <w:bCs/>
          <w:u w:val="single"/>
        </w:rPr>
        <w:t xml:space="preserve">ISSUE </w:t>
      </w:r>
      <w:r w:rsidR="00F06B1D">
        <w:rPr>
          <w:b/>
          <w:bCs/>
          <w:u w:val="single"/>
        </w:rPr>
        <w:t>1d</w:t>
      </w:r>
      <w:r w:rsidRPr="00701945">
        <w:rPr>
          <w:b/>
          <w:bCs/>
        </w:rPr>
        <w:t>:</w:t>
      </w:r>
      <w:r>
        <w:rPr>
          <w:b/>
          <w:bCs/>
        </w:rPr>
        <w:tab/>
      </w:r>
      <w:r w:rsidR="00591BAC">
        <w:rPr>
          <w:b/>
          <w:bCs/>
        </w:rPr>
        <w:t xml:space="preserve">PROPOSED STIPULATION – </w:t>
      </w:r>
      <w:r w:rsidR="00591BAC" w:rsidRPr="00591BAC">
        <w:rPr>
          <w:bCs/>
        </w:rPr>
        <w:t>See Section X.</w:t>
      </w:r>
    </w:p>
    <w:p w:rsidR="0049138F" w:rsidRDefault="0049138F" w:rsidP="0049138F">
      <w:pPr>
        <w:jc w:val="both"/>
      </w:pPr>
    </w:p>
    <w:p w:rsidR="0049138F" w:rsidRDefault="0049138F" w:rsidP="00591BAC">
      <w:pPr>
        <w:ind w:left="1440" w:hanging="1440"/>
        <w:jc w:val="both"/>
      </w:pPr>
      <w:r w:rsidRPr="00701945">
        <w:rPr>
          <w:b/>
          <w:bCs/>
          <w:u w:val="single"/>
        </w:rPr>
        <w:t xml:space="preserve">ISSUE </w:t>
      </w:r>
      <w:r w:rsidR="00F06B1D">
        <w:rPr>
          <w:b/>
          <w:bCs/>
          <w:u w:val="single"/>
        </w:rPr>
        <w:t>1e</w:t>
      </w:r>
      <w:r w:rsidRPr="00701945">
        <w:rPr>
          <w:b/>
          <w:bCs/>
        </w:rPr>
        <w:t>:</w:t>
      </w:r>
      <w:r>
        <w:rPr>
          <w:b/>
          <w:bCs/>
        </w:rPr>
        <w:tab/>
      </w:r>
      <w:r w:rsidR="0007689E">
        <w:rPr>
          <w:b/>
          <w:bCs/>
        </w:rPr>
        <w:t xml:space="preserve">PROPOSED STIPULATION – </w:t>
      </w:r>
      <w:r w:rsidR="0007689E" w:rsidRPr="00591BAC">
        <w:rPr>
          <w:bCs/>
        </w:rPr>
        <w:t>See Section X.</w:t>
      </w:r>
    </w:p>
    <w:p w:rsidR="0049138F" w:rsidRDefault="0049138F" w:rsidP="0049138F">
      <w:pPr>
        <w:jc w:val="both"/>
      </w:pPr>
    </w:p>
    <w:p w:rsidR="0049138F" w:rsidRDefault="0049138F" w:rsidP="00591BAC">
      <w:pPr>
        <w:ind w:left="1440" w:hanging="1440"/>
        <w:jc w:val="both"/>
      </w:pPr>
      <w:r w:rsidRPr="00701945">
        <w:rPr>
          <w:b/>
          <w:bCs/>
          <w:u w:val="single"/>
        </w:rPr>
        <w:t xml:space="preserve">ISSUE </w:t>
      </w:r>
      <w:r w:rsidR="00F06B1D">
        <w:rPr>
          <w:b/>
          <w:bCs/>
          <w:u w:val="single"/>
        </w:rPr>
        <w:t>1f</w:t>
      </w:r>
      <w:r w:rsidRPr="00701945">
        <w:rPr>
          <w:b/>
          <w:bCs/>
        </w:rPr>
        <w:t>:</w:t>
      </w:r>
      <w:r>
        <w:rPr>
          <w:b/>
          <w:bCs/>
        </w:rPr>
        <w:tab/>
      </w:r>
      <w:r w:rsidR="0007689E">
        <w:rPr>
          <w:b/>
          <w:bCs/>
        </w:rPr>
        <w:t xml:space="preserve">PROPOSED STIPULATION – </w:t>
      </w:r>
      <w:r w:rsidR="0007689E" w:rsidRPr="00591BAC">
        <w:rPr>
          <w:bCs/>
        </w:rPr>
        <w:t>See Section X.</w:t>
      </w:r>
    </w:p>
    <w:p w:rsidR="0049138F" w:rsidRDefault="0049138F" w:rsidP="0049138F">
      <w:pPr>
        <w:jc w:val="both"/>
      </w:pPr>
    </w:p>
    <w:p w:rsidR="002A609F" w:rsidRDefault="0049138F" w:rsidP="00591BAC">
      <w:pPr>
        <w:ind w:left="1440" w:hanging="1440"/>
        <w:jc w:val="both"/>
      </w:pPr>
      <w:r w:rsidRPr="00701945">
        <w:rPr>
          <w:b/>
          <w:bCs/>
          <w:u w:val="single"/>
        </w:rPr>
        <w:lastRenderedPageBreak/>
        <w:t>ISSUE</w:t>
      </w:r>
      <w:r w:rsidR="000618D8">
        <w:rPr>
          <w:b/>
          <w:bCs/>
          <w:u w:val="single"/>
        </w:rPr>
        <w:t xml:space="preserve"> </w:t>
      </w:r>
      <w:r w:rsidR="001D16BD">
        <w:rPr>
          <w:b/>
          <w:bCs/>
          <w:u w:val="single"/>
        </w:rPr>
        <w:t>1g</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jc w:val="both"/>
        <w:rPr>
          <w:b/>
          <w:bCs/>
          <w:u w:val="single"/>
        </w:rPr>
      </w:pPr>
    </w:p>
    <w:p w:rsidR="0049138F" w:rsidRDefault="0049138F" w:rsidP="00591BAC">
      <w:pPr>
        <w:ind w:left="1440" w:hanging="1440"/>
        <w:jc w:val="both"/>
        <w:rPr>
          <w:b/>
          <w:bCs/>
        </w:rPr>
      </w:pPr>
      <w:r w:rsidRPr="00701945">
        <w:rPr>
          <w:b/>
          <w:bCs/>
          <w:u w:val="single"/>
        </w:rPr>
        <w:t xml:space="preserve">ISSUE </w:t>
      </w:r>
      <w:r w:rsidR="001D16BD">
        <w:rPr>
          <w:b/>
          <w:bCs/>
          <w:u w:val="single"/>
        </w:rPr>
        <w:t>1h</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jc w:val="both"/>
      </w:pPr>
    </w:p>
    <w:p w:rsidR="0049138F" w:rsidRDefault="0049138F" w:rsidP="00591BAC">
      <w:pPr>
        <w:ind w:left="1440" w:hanging="1440"/>
        <w:rPr>
          <w:b/>
          <w:bCs/>
        </w:rPr>
      </w:pPr>
      <w:r w:rsidRPr="00701945">
        <w:rPr>
          <w:b/>
          <w:bCs/>
          <w:u w:val="single"/>
        </w:rPr>
        <w:t xml:space="preserve">ISSUE </w:t>
      </w:r>
      <w:r w:rsidR="001D16BD">
        <w:rPr>
          <w:b/>
          <w:bCs/>
          <w:u w:val="single"/>
        </w:rPr>
        <w:t>2</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pPr>
    </w:p>
    <w:p w:rsidR="005A5FAB" w:rsidRDefault="005A5FAB" w:rsidP="00591BAC">
      <w:pPr>
        <w:ind w:left="1440" w:hanging="1440"/>
      </w:pPr>
      <w:r w:rsidRPr="00701945">
        <w:rPr>
          <w:b/>
          <w:bCs/>
          <w:u w:val="single"/>
        </w:rPr>
        <w:t xml:space="preserve">ISSUE </w:t>
      </w:r>
      <w:r>
        <w:rPr>
          <w:b/>
          <w:bCs/>
          <w:u w:val="single"/>
        </w:rPr>
        <w:t>3</w:t>
      </w:r>
      <w:r w:rsidRPr="00701945">
        <w:rPr>
          <w:b/>
          <w:bCs/>
        </w:rPr>
        <w:t>:</w:t>
      </w:r>
      <w:r>
        <w:rPr>
          <w:b/>
          <w:bCs/>
        </w:rPr>
        <w:tab/>
      </w:r>
      <w:r w:rsidR="0007689E">
        <w:rPr>
          <w:b/>
          <w:bCs/>
        </w:rPr>
        <w:t xml:space="preserve">PROPOSED STIPULATION – </w:t>
      </w:r>
      <w:r w:rsidR="0007689E" w:rsidRPr="00591BAC">
        <w:rPr>
          <w:bCs/>
        </w:rPr>
        <w:t>See Section X.</w:t>
      </w:r>
    </w:p>
    <w:p w:rsidR="002A609F" w:rsidRDefault="002A609F" w:rsidP="0049138F">
      <w:pPr>
        <w:jc w:val="both"/>
      </w:pPr>
    </w:p>
    <w:p w:rsidR="005A5FAB" w:rsidRDefault="005A5FAB" w:rsidP="00591BAC">
      <w:pPr>
        <w:ind w:left="1440" w:hanging="1440"/>
        <w:rPr>
          <w:b/>
          <w:bCs/>
        </w:rPr>
      </w:pPr>
      <w:r w:rsidRPr="00701945">
        <w:rPr>
          <w:b/>
          <w:bCs/>
          <w:u w:val="single"/>
        </w:rPr>
        <w:t xml:space="preserve">ISSUE </w:t>
      </w:r>
      <w:r>
        <w:rPr>
          <w:b/>
          <w:bCs/>
          <w:u w:val="single"/>
        </w:rPr>
        <w:t>4</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pPr>
    </w:p>
    <w:p w:rsidR="005A5FAB" w:rsidRDefault="005A5FAB" w:rsidP="00591BAC">
      <w:pPr>
        <w:ind w:left="1440" w:hanging="1440"/>
        <w:rPr>
          <w:b/>
          <w:bCs/>
        </w:rPr>
      </w:pPr>
      <w:r w:rsidRPr="00701945">
        <w:rPr>
          <w:b/>
          <w:bCs/>
          <w:u w:val="single"/>
        </w:rPr>
        <w:t xml:space="preserve">ISSUE </w:t>
      </w:r>
      <w:r>
        <w:rPr>
          <w:b/>
          <w:bCs/>
          <w:u w:val="single"/>
        </w:rPr>
        <w:t>5</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pPr>
    </w:p>
    <w:p w:rsidR="005A5FAB" w:rsidRDefault="005A5FAB" w:rsidP="00591BAC">
      <w:pPr>
        <w:ind w:left="1440" w:hanging="1440"/>
        <w:rPr>
          <w:b/>
          <w:bCs/>
        </w:rPr>
      </w:pPr>
      <w:r w:rsidRPr="00701945">
        <w:rPr>
          <w:b/>
          <w:bCs/>
          <w:u w:val="single"/>
        </w:rPr>
        <w:t xml:space="preserve">ISSUE </w:t>
      </w:r>
      <w:r>
        <w:rPr>
          <w:b/>
          <w:bCs/>
          <w:u w:val="single"/>
        </w:rPr>
        <w:t>6</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pPr>
    </w:p>
    <w:p w:rsidR="005A5FAB" w:rsidRDefault="005A5FAB" w:rsidP="00591BAC">
      <w:pPr>
        <w:ind w:left="1440" w:hanging="1440"/>
        <w:rPr>
          <w:b/>
          <w:bCs/>
        </w:rPr>
      </w:pPr>
      <w:r w:rsidRPr="00701945">
        <w:rPr>
          <w:b/>
          <w:bCs/>
          <w:u w:val="single"/>
        </w:rPr>
        <w:t xml:space="preserve">ISSUE </w:t>
      </w:r>
      <w:r>
        <w:rPr>
          <w:b/>
          <w:bCs/>
          <w:u w:val="single"/>
        </w:rPr>
        <w:t>7</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pPr>
    </w:p>
    <w:p w:rsidR="005A5FAB" w:rsidRDefault="005A5FAB" w:rsidP="00591BAC">
      <w:pPr>
        <w:ind w:left="1440" w:hanging="1440"/>
        <w:rPr>
          <w:b/>
          <w:bCs/>
        </w:rPr>
      </w:pPr>
      <w:r w:rsidRPr="00701945">
        <w:rPr>
          <w:b/>
          <w:bCs/>
          <w:u w:val="single"/>
        </w:rPr>
        <w:t xml:space="preserve">ISSUE </w:t>
      </w:r>
      <w:r>
        <w:rPr>
          <w:b/>
          <w:bCs/>
          <w:u w:val="single"/>
        </w:rPr>
        <w:t>8</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pPr>
    </w:p>
    <w:p w:rsidR="005A5FAB" w:rsidRDefault="005A5FAB" w:rsidP="00591BAC">
      <w:pPr>
        <w:ind w:left="1440" w:hanging="1440"/>
      </w:pPr>
      <w:r w:rsidRPr="00701945">
        <w:rPr>
          <w:b/>
          <w:bCs/>
          <w:u w:val="single"/>
        </w:rPr>
        <w:t xml:space="preserve">ISSUE </w:t>
      </w:r>
      <w:r>
        <w:rPr>
          <w:b/>
          <w:bCs/>
          <w:u w:val="single"/>
        </w:rPr>
        <w:t>9</w:t>
      </w:r>
      <w:r w:rsidRPr="00701945">
        <w:rPr>
          <w:b/>
          <w:bCs/>
        </w:rPr>
        <w:t>:</w:t>
      </w:r>
      <w:r>
        <w:rPr>
          <w:b/>
          <w:bCs/>
        </w:rPr>
        <w:tab/>
      </w:r>
      <w:r w:rsidR="0007689E">
        <w:rPr>
          <w:b/>
          <w:bCs/>
        </w:rPr>
        <w:t xml:space="preserve">PROPOSED STIPULATION – </w:t>
      </w:r>
      <w:r w:rsidR="0007689E" w:rsidRPr="00591BAC">
        <w:rPr>
          <w:bCs/>
        </w:rPr>
        <w:t>See Section X.</w:t>
      </w:r>
    </w:p>
    <w:p w:rsidR="005A5FAB" w:rsidRDefault="005A5FAB" w:rsidP="0049138F">
      <w:pPr>
        <w:ind w:left="1440" w:hanging="1440"/>
        <w:rPr>
          <w:b/>
          <w:bCs/>
          <w:u w:val="single"/>
        </w:rPr>
      </w:pPr>
    </w:p>
    <w:p w:rsidR="005A5FAB" w:rsidRDefault="005A5FAB" w:rsidP="00591BAC">
      <w:pPr>
        <w:ind w:left="1440" w:hanging="1440"/>
      </w:pPr>
      <w:r w:rsidRPr="00701945">
        <w:rPr>
          <w:b/>
          <w:bCs/>
          <w:u w:val="single"/>
        </w:rPr>
        <w:t xml:space="preserve">ISSUE </w:t>
      </w:r>
      <w:r>
        <w:rPr>
          <w:b/>
          <w:bCs/>
          <w:u w:val="single"/>
        </w:rPr>
        <w:t>10</w:t>
      </w:r>
      <w:r w:rsidRPr="00701945">
        <w:rPr>
          <w:b/>
          <w:bCs/>
        </w:rPr>
        <w:t>:</w:t>
      </w:r>
      <w:r>
        <w:rPr>
          <w:b/>
          <w:bCs/>
        </w:rPr>
        <w:tab/>
      </w:r>
      <w:r w:rsidR="0007689E">
        <w:rPr>
          <w:b/>
          <w:bCs/>
        </w:rPr>
        <w:t xml:space="preserve">PROPOSED STIPULATION – </w:t>
      </w:r>
      <w:r w:rsidR="0007689E" w:rsidRPr="00591BAC">
        <w:rPr>
          <w:bCs/>
        </w:rPr>
        <w:t>See Section X.</w:t>
      </w:r>
    </w:p>
    <w:p w:rsidR="005A5FAB" w:rsidRDefault="005A5FAB" w:rsidP="0049138F">
      <w:pPr>
        <w:ind w:left="1440" w:hanging="1440"/>
        <w:rPr>
          <w:b/>
          <w:bCs/>
          <w:u w:val="single"/>
        </w:rPr>
      </w:pPr>
    </w:p>
    <w:p w:rsidR="005A5FAB" w:rsidRDefault="005A5FAB" w:rsidP="00591BAC">
      <w:pPr>
        <w:ind w:left="1440" w:hanging="1440"/>
      </w:pPr>
      <w:r w:rsidRPr="00701945">
        <w:rPr>
          <w:b/>
          <w:bCs/>
          <w:u w:val="single"/>
        </w:rPr>
        <w:t xml:space="preserve">ISSUE </w:t>
      </w:r>
      <w:r>
        <w:rPr>
          <w:b/>
          <w:bCs/>
          <w:u w:val="single"/>
        </w:rPr>
        <w:t>11</w:t>
      </w:r>
      <w:r w:rsidRPr="00701945">
        <w:rPr>
          <w:b/>
          <w:bCs/>
        </w:rPr>
        <w:t>:</w:t>
      </w:r>
      <w:r>
        <w:rPr>
          <w:b/>
          <w:bCs/>
        </w:rPr>
        <w:tab/>
      </w:r>
      <w:r w:rsidR="0007689E">
        <w:rPr>
          <w:b/>
          <w:bCs/>
        </w:rPr>
        <w:t xml:space="preserve">PROPOSED STIPULATION – </w:t>
      </w:r>
      <w:r w:rsidR="0007689E" w:rsidRPr="00591BAC">
        <w:rPr>
          <w:bCs/>
        </w:rPr>
        <w:t>See Section X.</w:t>
      </w:r>
    </w:p>
    <w:p w:rsidR="005A5FAB" w:rsidRDefault="005A5FAB" w:rsidP="0049138F">
      <w:pPr>
        <w:ind w:left="1440" w:hanging="1440"/>
        <w:rPr>
          <w:b/>
          <w:bCs/>
          <w:u w:val="single"/>
        </w:rPr>
      </w:pPr>
    </w:p>
    <w:p w:rsidR="005A5FAB" w:rsidRDefault="005A5FAB" w:rsidP="00591BAC">
      <w:pPr>
        <w:ind w:left="1440" w:hanging="1440"/>
        <w:rPr>
          <w:b/>
          <w:bCs/>
        </w:rPr>
      </w:pPr>
      <w:r w:rsidRPr="00701945">
        <w:rPr>
          <w:b/>
          <w:bCs/>
          <w:u w:val="single"/>
        </w:rPr>
        <w:t xml:space="preserve">ISSUE </w:t>
      </w:r>
      <w:r>
        <w:rPr>
          <w:b/>
          <w:bCs/>
          <w:u w:val="single"/>
        </w:rPr>
        <w:t>12</w:t>
      </w:r>
      <w:r w:rsidRPr="00701945">
        <w:rPr>
          <w:b/>
          <w:bCs/>
        </w:rPr>
        <w:t>:</w:t>
      </w:r>
      <w:r>
        <w:rPr>
          <w:b/>
          <w:bCs/>
        </w:rPr>
        <w:tab/>
      </w:r>
      <w:r w:rsidR="0007689E">
        <w:rPr>
          <w:b/>
          <w:bCs/>
        </w:rPr>
        <w:t xml:space="preserve">PROPOSED STIPULATION – </w:t>
      </w:r>
      <w:r w:rsidR="0007689E" w:rsidRPr="00591BAC">
        <w:rPr>
          <w:bCs/>
        </w:rPr>
        <w:t>See Section X.</w:t>
      </w:r>
    </w:p>
    <w:p w:rsidR="00591BAC" w:rsidRDefault="00591BAC" w:rsidP="00591BAC">
      <w:pPr>
        <w:ind w:left="1440" w:hanging="1440"/>
        <w:rPr>
          <w:b/>
          <w:bCs/>
          <w:u w:val="single"/>
        </w:rPr>
      </w:pPr>
    </w:p>
    <w:p w:rsidR="005A5FAB" w:rsidRDefault="005A5FAB" w:rsidP="00591BAC">
      <w:pPr>
        <w:ind w:left="1440" w:hanging="1440"/>
        <w:rPr>
          <w:b/>
          <w:bCs/>
          <w:u w:val="single"/>
        </w:rPr>
      </w:pPr>
      <w:r w:rsidRPr="00701945">
        <w:rPr>
          <w:b/>
          <w:bCs/>
          <w:u w:val="single"/>
        </w:rPr>
        <w:t xml:space="preserve">ISSUE </w:t>
      </w:r>
      <w:r>
        <w:rPr>
          <w:b/>
          <w:bCs/>
          <w:u w:val="single"/>
        </w:rPr>
        <w:t>13</w:t>
      </w:r>
      <w:r w:rsidRPr="00701945">
        <w:rPr>
          <w:b/>
          <w:bCs/>
        </w:rPr>
        <w:t>:</w:t>
      </w:r>
      <w:r>
        <w:rPr>
          <w:b/>
          <w:bCs/>
        </w:rPr>
        <w:tab/>
      </w:r>
      <w:r w:rsidR="006B43C7">
        <w:rPr>
          <w:b/>
          <w:bCs/>
        </w:rPr>
        <w:t xml:space="preserve">PROPOSED STIPULATION – </w:t>
      </w:r>
      <w:r w:rsidR="006B43C7" w:rsidRPr="00591BAC">
        <w:rPr>
          <w:bCs/>
        </w:rPr>
        <w:t>See Section X.</w:t>
      </w:r>
    </w:p>
    <w:p w:rsidR="002C49E1" w:rsidRDefault="002C49E1" w:rsidP="0049138F">
      <w:pPr>
        <w:ind w:left="1440" w:hanging="1440"/>
        <w:rPr>
          <w:b/>
          <w:bCs/>
          <w:u w:val="single"/>
        </w:rPr>
      </w:pPr>
    </w:p>
    <w:p w:rsidR="0049138F" w:rsidRDefault="0049138F" w:rsidP="00591BAC">
      <w:pPr>
        <w:ind w:left="1440" w:hanging="1440"/>
      </w:pPr>
      <w:r w:rsidRPr="00701945">
        <w:rPr>
          <w:b/>
          <w:bCs/>
          <w:u w:val="single"/>
        </w:rPr>
        <w:t xml:space="preserve">ISSUE </w:t>
      </w:r>
      <w:r w:rsidR="001D16BD">
        <w:rPr>
          <w:b/>
          <w:bCs/>
          <w:u w:val="single"/>
        </w:rPr>
        <w:t>14</w:t>
      </w:r>
      <w:r w:rsidRPr="00701945">
        <w:rPr>
          <w:b/>
          <w:bCs/>
        </w:rPr>
        <w:t>:</w:t>
      </w:r>
      <w:r>
        <w:rPr>
          <w:b/>
          <w:bCs/>
        </w:rPr>
        <w:tab/>
      </w:r>
      <w:r w:rsidR="006B43C7">
        <w:rPr>
          <w:b/>
          <w:bCs/>
        </w:rPr>
        <w:t xml:space="preserve">PROPOSED STIPULATION – </w:t>
      </w:r>
      <w:r w:rsidR="006B43C7" w:rsidRPr="00591BAC">
        <w:rPr>
          <w:bCs/>
        </w:rPr>
        <w:t>See Section X.</w:t>
      </w:r>
    </w:p>
    <w:p w:rsidR="002A609F" w:rsidRDefault="002A609F" w:rsidP="00693E9D">
      <w:pPr>
        <w:rPr>
          <w:b/>
        </w:rPr>
      </w:pPr>
    </w:p>
    <w:p w:rsidR="000618D8" w:rsidRDefault="000618D8" w:rsidP="00693E9D">
      <w:pPr>
        <w:rPr>
          <w:b/>
        </w:rPr>
      </w:pPr>
    </w:p>
    <w:p w:rsidR="0049138F" w:rsidRPr="00477A10" w:rsidRDefault="0049138F" w:rsidP="00693E9D">
      <w:pPr>
        <w:rPr>
          <w:b/>
        </w:rPr>
      </w:pPr>
      <w:r w:rsidRPr="00477A10">
        <w:rPr>
          <w:b/>
        </w:rPr>
        <w:t>IX.</w:t>
      </w:r>
      <w:r w:rsidRPr="00477A10">
        <w:rPr>
          <w:b/>
        </w:rPr>
        <w:tab/>
      </w:r>
      <w:r w:rsidRPr="00477A10">
        <w:rPr>
          <w:b/>
          <w:u w:val="single"/>
        </w:rPr>
        <w:t>EXHIBIT LIST</w:t>
      </w:r>
    </w:p>
    <w:p w:rsidR="0049138F" w:rsidRPr="00701945" w:rsidRDefault="0049138F" w:rsidP="0049138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9138F" w:rsidRPr="00701945" w:rsidTr="005A5FAB">
        <w:trPr>
          <w:cantSplit/>
          <w:trHeight w:val="373"/>
          <w:tblHeader/>
        </w:trPr>
        <w:tc>
          <w:tcPr>
            <w:tcW w:w="3198" w:type="dxa"/>
            <w:tcBorders>
              <w:top w:val="nil"/>
              <w:left w:val="nil"/>
              <w:bottom w:val="nil"/>
              <w:right w:val="nil"/>
            </w:tcBorders>
          </w:tcPr>
          <w:p w:rsidR="0049138F" w:rsidRPr="00701945" w:rsidRDefault="0049138F" w:rsidP="005A5FAB">
            <w:pPr>
              <w:jc w:val="both"/>
            </w:pPr>
            <w:r w:rsidRPr="00701945">
              <w:rPr>
                <w:u w:val="single"/>
              </w:rPr>
              <w:t>Witness</w:t>
            </w:r>
          </w:p>
        </w:tc>
        <w:tc>
          <w:tcPr>
            <w:tcW w:w="1680" w:type="dxa"/>
            <w:tcBorders>
              <w:top w:val="nil"/>
              <w:left w:val="nil"/>
              <w:bottom w:val="nil"/>
              <w:right w:val="nil"/>
            </w:tcBorders>
          </w:tcPr>
          <w:p w:rsidR="0049138F" w:rsidRPr="00701945" w:rsidRDefault="0049138F" w:rsidP="005A5FAB">
            <w:pPr>
              <w:jc w:val="center"/>
            </w:pPr>
            <w:r w:rsidRPr="00701945">
              <w:rPr>
                <w:u w:val="single"/>
              </w:rPr>
              <w:t>Proffered By</w:t>
            </w:r>
          </w:p>
        </w:tc>
        <w:tc>
          <w:tcPr>
            <w:tcW w:w="1482" w:type="dxa"/>
            <w:tcBorders>
              <w:top w:val="nil"/>
              <w:left w:val="nil"/>
              <w:bottom w:val="nil"/>
              <w:right w:val="nil"/>
            </w:tcBorders>
          </w:tcPr>
          <w:p w:rsidR="0049138F" w:rsidRPr="004515FB" w:rsidRDefault="0049138F" w:rsidP="005A5FAB">
            <w:pPr>
              <w:jc w:val="center"/>
            </w:pPr>
          </w:p>
        </w:tc>
        <w:tc>
          <w:tcPr>
            <w:tcW w:w="3205" w:type="dxa"/>
            <w:tcBorders>
              <w:top w:val="nil"/>
              <w:left w:val="nil"/>
              <w:bottom w:val="nil"/>
              <w:right w:val="nil"/>
            </w:tcBorders>
          </w:tcPr>
          <w:p w:rsidR="0049138F" w:rsidRPr="00701945" w:rsidRDefault="0049138F" w:rsidP="005A5FAB">
            <w:pPr>
              <w:jc w:val="both"/>
            </w:pPr>
            <w:r w:rsidRPr="00701945">
              <w:rPr>
                <w:u w:val="single"/>
              </w:rPr>
              <w:t>Description</w:t>
            </w:r>
          </w:p>
        </w:tc>
      </w:tr>
      <w:tr w:rsidR="0049138F" w:rsidRPr="00701945" w:rsidTr="005A5FAB">
        <w:trPr>
          <w:cantSplit/>
          <w:trHeight w:val="353"/>
        </w:trPr>
        <w:tc>
          <w:tcPr>
            <w:tcW w:w="3198" w:type="dxa"/>
            <w:tcBorders>
              <w:top w:val="nil"/>
              <w:left w:val="nil"/>
              <w:bottom w:val="nil"/>
              <w:right w:val="nil"/>
            </w:tcBorders>
          </w:tcPr>
          <w:p w:rsidR="0049138F" w:rsidRPr="00701945" w:rsidRDefault="0049138F" w:rsidP="005A5FAB">
            <w:pPr>
              <w:jc w:val="both"/>
            </w:pPr>
            <w:r w:rsidRPr="00701945">
              <w:tab/>
            </w:r>
            <w:r w:rsidRPr="00701945">
              <w:rPr>
                <w:u w:val="single"/>
              </w:rPr>
              <w:t>Direct</w:t>
            </w:r>
          </w:p>
        </w:tc>
        <w:tc>
          <w:tcPr>
            <w:tcW w:w="1680" w:type="dxa"/>
            <w:tcBorders>
              <w:top w:val="nil"/>
              <w:left w:val="nil"/>
              <w:bottom w:val="nil"/>
              <w:right w:val="nil"/>
            </w:tcBorders>
          </w:tcPr>
          <w:p w:rsidR="0049138F" w:rsidRPr="00701945" w:rsidRDefault="0049138F" w:rsidP="005A5FAB">
            <w:pPr>
              <w:jc w:val="center"/>
            </w:pPr>
          </w:p>
        </w:tc>
        <w:tc>
          <w:tcPr>
            <w:tcW w:w="1482" w:type="dxa"/>
            <w:tcBorders>
              <w:top w:val="nil"/>
              <w:left w:val="nil"/>
              <w:bottom w:val="nil"/>
              <w:right w:val="nil"/>
            </w:tcBorders>
          </w:tcPr>
          <w:p w:rsidR="0049138F" w:rsidRPr="004515FB" w:rsidRDefault="0049138F" w:rsidP="005A5FAB">
            <w:pPr>
              <w:jc w:val="center"/>
            </w:pPr>
          </w:p>
        </w:tc>
        <w:tc>
          <w:tcPr>
            <w:tcW w:w="3205" w:type="dxa"/>
            <w:tcBorders>
              <w:top w:val="nil"/>
              <w:left w:val="nil"/>
              <w:bottom w:val="nil"/>
              <w:right w:val="nil"/>
            </w:tcBorders>
          </w:tcPr>
          <w:p w:rsidR="0049138F" w:rsidRPr="00701945" w:rsidRDefault="0049138F" w:rsidP="005A5FAB"/>
        </w:tc>
      </w:tr>
      <w:tr w:rsidR="0049138F" w:rsidRPr="00701945" w:rsidTr="005A5FAB">
        <w:trPr>
          <w:cantSplit/>
          <w:trHeight w:val="353"/>
        </w:trPr>
        <w:tc>
          <w:tcPr>
            <w:tcW w:w="3198" w:type="dxa"/>
            <w:tcBorders>
              <w:top w:val="nil"/>
              <w:left w:val="nil"/>
              <w:bottom w:val="nil"/>
              <w:right w:val="nil"/>
            </w:tcBorders>
          </w:tcPr>
          <w:p w:rsidR="0049138F" w:rsidRPr="00701945" w:rsidRDefault="00122630" w:rsidP="005A5FAB">
            <w:pPr>
              <w:jc w:val="both"/>
            </w:pPr>
            <w:r>
              <w:t>Alan D. Felsenthal</w:t>
            </w:r>
          </w:p>
        </w:tc>
        <w:tc>
          <w:tcPr>
            <w:tcW w:w="1680" w:type="dxa"/>
            <w:tcBorders>
              <w:top w:val="nil"/>
              <w:left w:val="nil"/>
              <w:bottom w:val="nil"/>
              <w:right w:val="nil"/>
            </w:tcBorders>
          </w:tcPr>
          <w:p w:rsidR="0049138F" w:rsidRPr="00701945" w:rsidRDefault="00122630" w:rsidP="005A5FAB">
            <w:pPr>
              <w:jc w:val="center"/>
            </w:pPr>
            <w:r>
              <w:t>TECO</w:t>
            </w:r>
          </w:p>
        </w:tc>
        <w:tc>
          <w:tcPr>
            <w:tcW w:w="1482" w:type="dxa"/>
            <w:tcBorders>
              <w:top w:val="nil"/>
              <w:left w:val="nil"/>
              <w:bottom w:val="nil"/>
              <w:right w:val="nil"/>
            </w:tcBorders>
          </w:tcPr>
          <w:p w:rsidR="0049138F" w:rsidRPr="004515FB" w:rsidRDefault="00AA31A9" w:rsidP="00C36477">
            <w:r>
              <w:t xml:space="preserve">    </w:t>
            </w:r>
            <w:r w:rsidR="00122630">
              <w:t>ADF-1</w:t>
            </w:r>
            <w:r w:rsidR="00C36477" w:rsidRPr="004515FB">
              <w:t xml:space="preserve"> </w:t>
            </w:r>
          </w:p>
        </w:tc>
        <w:tc>
          <w:tcPr>
            <w:tcW w:w="3205" w:type="dxa"/>
            <w:tcBorders>
              <w:top w:val="nil"/>
              <w:left w:val="nil"/>
              <w:bottom w:val="nil"/>
              <w:right w:val="nil"/>
            </w:tcBorders>
          </w:tcPr>
          <w:p w:rsidR="0049138F" w:rsidRPr="00701945" w:rsidRDefault="00122630" w:rsidP="005A5FAB">
            <w:r>
              <w:t>Depreciation Timing Difference Examples; ARAM illustration</w:t>
            </w:r>
          </w:p>
        </w:tc>
      </w:tr>
      <w:tr w:rsidR="0049138F" w:rsidRPr="00701945" w:rsidTr="005A5FAB">
        <w:trPr>
          <w:cantSplit/>
          <w:trHeight w:val="373"/>
        </w:trPr>
        <w:tc>
          <w:tcPr>
            <w:tcW w:w="3198" w:type="dxa"/>
            <w:tcBorders>
              <w:top w:val="nil"/>
              <w:left w:val="nil"/>
              <w:bottom w:val="nil"/>
              <w:right w:val="nil"/>
            </w:tcBorders>
          </w:tcPr>
          <w:p w:rsidR="0049138F" w:rsidRPr="00701945" w:rsidRDefault="00122630" w:rsidP="005A5FAB">
            <w:pPr>
              <w:jc w:val="both"/>
            </w:pPr>
            <w:r>
              <w:t>Valerie Strickland</w:t>
            </w:r>
          </w:p>
        </w:tc>
        <w:tc>
          <w:tcPr>
            <w:tcW w:w="1680" w:type="dxa"/>
            <w:tcBorders>
              <w:top w:val="nil"/>
              <w:left w:val="nil"/>
              <w:bottom w:val="nil"/>
              <w:right w:val="nil"/>
            </w:tcBorders>
          </w:tcPr>
          <w:p w:rsidR="0049138F" w:rsidRPr="00701945" w:rsidRDefault="00122630" w:rsidP="00AA31A9">
            <w:pPr>
              <w:jc w:val="center"/>
            </w:pPr>
            <w:r>
              <w:t>TECO</w:t>
            </w:r>
            <w:r w:rsidR="00AA31A9">
              <w:t xml:space="preserve">   </w:t>
            </w:r>
          </w:p>
        </w:tc>
        <w:tc>
          <w:tcPr>
            <w:tcW w:w="1482" w:type="dxa"/>
            <w:tcBorders>
              <w:top w:val="nil"/>
              <w:left w:val="nil"/>
              <w:bottom w:val="nil"/>
              <w:right w:val="nil"/>
            </w:tcBorders>
          </w:tcPr>
          <w:p w:rsidR="0049138F" w:rsidRPr="004515FB" w:rsidRDefault="00122630" w:rsidP="00C36477">
            <w:pPr>
              <w:jc w:val="center"/>
            </w:pPr>
            <w:r>
              <w:t xml:space="preserve">VS-1, </w:t>
            </w:r>
          </w:p>
        </w:tc>
        <w:tc>
          <w:tcPr>
            <w:tcW w:w="3205" w:type="dxa"/>
            <w:tcBorders>
              <w:top w:val="nil"/>
              <w:left w:val="nil"/>
              <w:bottom w:val="nil"/>
              <w:right w:val="nil"/>
            </w:tcBorders>
          </w:tcPr>
          <w:p w:rsidR="0049138F" w:rsidRPr="00701945" w:rsidRDefault="00122630" w:rsidP="00C36477">
            <w:r>
              <w:t>Estimated and Excess ADIT; 2018 Tax Expense under the TCJA; MFR C-22</w:t>
            </w:r>
          </w:p>
        </w:tc>
      </w:tr>
      <w:tr w:rsidR="0049138F" w:rsidRPr="00701945" w:rsidTr="005A5FAB">
        <w:trPr>
          <w:cantSplit/>
          <w:trHeight w:val="373"/>
        </w:trPr>
        <w:tc>
          <w:tcPr>
            <w:tcW w:w="3198" w:type="dxa"/>
            <w:tcBorders>
              <w:top w:val="nil"/>
              <w:left w:val="nil"/>
              <w:bottom w:val="nil"/>
              <w:right w:val="nil"/>
            </w:tcBorders>
          </w:tcPr>
          <w:p w:rsidR="0049138F" w:rsidRPr="00701945" w:rsidRDefault="0049138F" w:rsidP="005A5FAB">
            <w:pPr>
              <w:jc w:val="both"/>
            </w:pPr>
          </w:p>
        </w:tc>
        <w:tc>
          <w:tcPr>
            <w:tcW w:w="1680" w:type="dxa"/>
            <w:tcBorders>
              <w:top w:val="nil"/>
              <w:left w:val="nil"/>
              <w:bottom w:val="nil"/>
              <w:right w:val="nil"/>
            </w:tcBorders>
          </w:tcPr>
          <w:p w:rsidR="0049138F" w:rsidRPr="00701945" w:rsidRDefault="0049138F" w:rsidP="005A5FAB">
            <w:pPr>
              <w:jc w:val="center"/>
            </w:pPr>
          </w:p>
        </w:tc>
        <w:tc>
          <w:tcPr>
            <w:tcW w:w="1482" w:type="dxa"/>
            <w:tcBorders>
              <w:top w:val="nil"/>
              <w:left w:val="nil"/>
              <w:bottom w:val="nil"/>
              <w:right w:val="nil"/>
            </w:tcBorders>
          </w:tcPr>
          <w:p w:rsidR="00C36477" w:rsidRDefault="00C36477" w:rsidP="00C36477">
            <w:pPr>
              <w:jc w:val="center"/>
            </w:pPr>
            <w:r>
              <w:t>Revised</w:t>
            </w:r>
          </w:p>
          <w:p w:rsidR="0049138F" w:rsidRPr="004515FB" w:rsidRDefault="00C36477" w:rsidP="00C36477">
            <w:pPr>
              <w:jc w:val="center"/>
            </w:pPr>
            <w:r>
              <w:t xml:space="preserve"> VS-1 </w:t>
            </w:r>
          </w:p>
        </w:tc>
        <w:tc>
          <w:tcPr>
            <w:tcW w:w="3205" w:type="dxa"/>
            <w:tcBorders>
              <w:top w:val="nil"/>
              <w:left w:val="nil"/>
              <w:bottom w:val="nil"/>
              <w:right w:val="nil"/>
            </w:tcBorders>
          </w:tcPr>
          <w:p w:rsidR="0049138F" w:rsidRPr="00701945" w:rsidRDefault="00C36477" w:rsidP="005A5FAB">
            <w:r>
              <w:t>Estimated and Revised Excess ADIT; 2018 Tax Expense under the TCJA; MFR C-22</w:t>
            </w:r>
          </w:p>
        </w:tc>
      </w:tr>
      <w:tr w:rsidR="0049138F" w:rsidRPr="00701945" w:rsidTr="005A5FAB">
        <w:trPr>
          <w:cantSplit/>
          <w:trHeight w:val="353"/>
        </w:trPr>
        <w:tc>
          <w:tcPr>
            <w:tcW w:w="3198" w:type="dxa"/>
            <w:tcBorders>
              <w:top w:val="nil"/>
              <w:left w:val="nil"/>
              <w:bottom w:val="nil"/>
              <w:right w:val="nil"/>
            </w:tcBorders>
          </w:tcPr>
          <w:p w:rsidR="0049138F" w:rsidRPr="00701945" w:rsidRDefault="00C36477" w:rsidP="005A5FAB">
            <w:pPr>
              <w:jc w:val="both"/>
            </w:pPr>
            <w:r>
              <w:t>Jeffrey S. Chronister</w:t>
            </w:r>
          </w:p>
        </w:tc>
        <w:tc>
          <w:tcPr>
            <w:tcW w:w="1680" w:type="dxa"/>
            <w:tcBorders>
              <w:top w:val="nil"/>
              <w:left w:val="nil"/>
              <w:bottom w:val="nil"/>
              <w:right w:val="nil"/>
            </w:tcBorders>
          </w:tcPr>
          <w:p w:rsidR="0049138F" w:rsidRPr="00701945" w:rsidRDefault="00C36477" w:rsidP="005A5FAB">
            <w:pPr>
              <w:jc w:val="center"/>
            </w:pPr>
            <w:r>
              <w:t>TECO</w:t>
            </w:r>
          </w:p>
        </w:tc>
        <w:tc>
          <w:tcPr>
            <w:tcW w:w="1482" w:type="dxa"/>
            <w:tcBorders>
              <w:top w:val="nil"/>
              <w:left w:val="nil"/>
              <w:bottom w:val="nil"/>
              <w:right w:val="nil"/>
            </w:tcBorders>
          </w:tcPr>
          <w:p w:rsidR="0049138F" w:rsidRPr="004515FB" w:rsidRDefault="00C36477" w:rsidP="005A5FAB">
            <w:pPr>
              <w:jc w:val="center"/>
            </w:pPr>
            <w:r>
              <w:t>JSC-1</w:t>
            </w:r>
          </w:p>
        </w:tc>
        <w:tc>
          <w:tcPr>
            <w:tcW w:w="3205" w:type="dxa"/>
            <w:tcBorders>
              <w:top w:val="nil"/>
              <w:left w:val="nil"/>
              <w:bottom w:val="nil"/>
              <w:right w:val="nil"/>
            </w:tcBorders>
          </w:tcPr>
          <w:p w:rsidR="0049138F" w:rsidRPr="00701945" w:rsidRDefault="00C36477" w:rsidP="005A5FAB">
            <w:r>
              <w:t xml:space="preserve">2017 Agreement; Amended </w:t>
            </w:r>
            <w:r w:rsidR="00F02FC3">
              <w:t>Implementation</w:t>
            </w:r>
            <w:r>
              <w:t xml:space="preserve"> Stipulation; 2018 Forecasted Earnings Surveillance Report as Filed and Updated to Reflect the TCJA; Calculation of Annual Revenue Requirement Reduction Required by the 2017 Agreement and Adjustment thereto for the First SoBRA Budget Difference and Tax Reform Adjustment</w:t>
            </w:r>
          </w:p>
        </w:tc>
      </w:tr>
      <w:tr w:rsidR="0049138F" w:rsidRPr="00701945" w:rsidTr="005A5FAB">
        <w:trPr>
          <w:cantSplit/>
          <w:trHeight w:val="373"/>
        </w:trPr>
        <w:tc>
          <w:tcPr>
            <w:tcW w:w="3198" w:type="dxa"/>
            <w:tcBorders>
              <w:top w:val="nil"/>
              <w:left w:val="nil"/>
              <w:bottom w:val="nil"/>
              <w:right w:val="nil"/>
            </w:tcBorders>
          </w:tcPr>
          <w:p w:rsidR="0049138F" w:rsidRPr="00701945" w:rsidRDefault="00C36477" w:rsidP="005A5FAB">
            <w:pPr>
              <w:jc w:val="both"/>
            </w:pPr>
            <w:r>
              <w:t>William R. Ashburn</w:t>
            </w:r>
          </w:p>
        </w:tc>
        <w:tc>
          <w:tcPr>
            <w:tcW w:w="1680" w:type="dxa"/>
            <w:tcBorders>
              <w:top w:val="nil"/>
              <w:left w:val="nil"/>
              <w:bottom w:val="nil"/>
              <w:right w:val="nil"/>
            </w:tcBorders>
          </w:tcPr>
          <w:p w:rsidR="0049138F" w:rsidRPr="00701945" w:rsidRDefault="00C36477" w:rsidP="005A5FAB">
            <w:pPr>
              <w:jc w:val="center"/>
            </w:pPr>
            <w:r>
              <w:t>TECO</w:t>
            </w:r>
          </w:p>
        </w:tc>
        <w:tc>
          <w:tcPr>
            <w:tcW w:w="1482" w:type="dxa"/>
            <w:tcBorders>
              <w:top w:val="nil"/>
              <w:left w:val="nil"/>
              <w:bottom w:val="nil"/>
              <w:right w:val="nil"/>
            </w:tcBorders>
          </w:tcPr>
          <w:p w:rsidR="0049138F" w:rsidRPr="004515FB" w:rsidRDefault="00C36477" w:rsidP="005A5FAB">
            <w:pPr>
              <w:jc w:val="center"/>
            </w:pPr>
            <w:r>
              <w:t>WRA-1</w:t>
            </w:r>
          </w:p>
        </w:tc>
        <w:tc>
          <w:tcPr>
            <w:tcW w:w="3205" w:type="dxa"/>
            <w:tcBorders>
              <w:top w:val="nil"/>
              <w:left w:val="nil"/>
              <w:bottom w:val="nil"/>
              <w:right w:val="nil"/>
            </w:tcBorders>
          </w:tcPr>
          <w:p w:rsidR="0049138F" w:rsidRPr="00701945" w:rsidRDefault="00C36477" w:rsidP="005A5FAB">
            <w:r>
              <w:t>Base Revenue by Rate Schedules; Roll-up Base Revenue by Rate Class; Typical Bills Reflecting Tax Reform Base Rate Decrease; Redlined and Clean Tariffs Reflecting Tax Reform Base Rate Decrease</w:t>
            </w:r>
          </w:p>
        </w:tc>
      </w:tr>
      <w:tr w:rsidR="0049138F" w:rsidRPr="00701945" w:rsidTr="005A5FAB">
        <w:trPr>
          <w:cantSplit/>
          <w:trHeight w:val="353"/>
        </w:trPr>
        <w:tc>
          <w:tcPr>
            <w:tcW w:w="3198" w:type="dxa"/>
            <w:tcBorders>
              <w:top w:val="nil"/>
              <w:left w:val="nil"/>
              <w:bottom w:val="nil"/>
              <w:right w:val="nil"/>
            </w:tcBorders>
          </w:tcPr>
          <w:p w:rsidR="00AA31A9" w:rsidRPr="00701945" w:rsidRDefault="00AA31A9" w:rsidP="005A5FAB">
            <w:pPr>
              <w:jc w:val="both"/>
            </w:pPr>
            <w:r>
              <w:t>Ralph Smith</w:t>
            </w:r>
          </w:p>
        </w:tc>
        <w:tc>
          <w:tcPr>
            <w:tcW w:w="1680" w:type="dxa"/>
            <w:tcBorders>
              <w:top w:val="nil"/>
              <w:left w:val="nil"/>
              <w:bottom w:val="nil"/>
              <w:right w:val="nil"/>
            </w:tcBorders>
          </w:tcPr>
          <w:p w:rsidR="0049138F" w:rsidRPr="00701945" w:rsidRDefault="00AA31A9" w:rsidP="005A5FAB">
            <w:pPr>
              <w:jc w:val="center"/>
            </w:pPr>
            <w:r>
              <w:t>OPC</w:t>
            </w:r>
          </w:p>
        </w:tc>
        <w:tc>
          <w:tcPr>
            <w:tcW w:w="1482" w:type="dxa"/>
            <w:tcBorders>
              <w:top w:val="nil"/>
              <w:left w:val="nil"/>
              <w:bottom w:val="nil"/>
              <w:right w:val="nil"/>
            </w:tcBorders>
          </w:tcPr>
          <w:p w:rsidR="0049138F" w:rsidRPr="004515FB" w:rsidRDefault="00AA31A9" w:rsidP="005A5FAB">
            <w:pPr>
              <w:jc w:val="center"/>
            </w:pPr>
            <w:r>
              <w:t>RCS-1</w:t>
            </w:r>
          </w:p>
        </w:tc>
        <w:tc>
          <w:tcPr>
            <w:tcW w:w="3205" w:type="dxa"/>
            <w:tcBorders>
              <w:top w:val="nil"/>
              <w:left w:val="nil"/>
              <w:bottom w:val="nil"/>
              <w:right w:val="nil"/>
            </w:tcBorders>
          </w:tcPr>
          <w:p w:rsidR="0049138F" w:rsidRDefault="00AA31A9" w:rsidP="005A5FAB">
            <w:r>
              <w:t>Summary of Experience and Qualifications</w:t>
            </w:r>
          </w:p>
          <w:p w:rsidR="00AA31A9" w:rsidRPr="00701945" w:rsidRDefault="00AA31A9" w:rsidP="005A5FAB"/>
        </w:tc>
      </w:tr>
    </w:tbl>
    <w:p w:rsidR="0049138F" w:rsidRPr="00701945" w:rsidRDefault="0049138F" w:rsidP="0049138F">
      <w:pPr>
        <w:jc w:val="both"/>
      </w:pPr>
      <w:r w:rsidRPr="00701945">
        <w:tab/>
        <w:t>Parties and Staff reserve the right to identify additional exhibits for the purpose of cross-examination.</w:t>
      </w:r>
    </w:p>
    <w:p w:rsidR="0049138F" w:rsidRDefault="0049138F" w:rsidP="0049138F">
      <w:pPr>
        <w:jc w:val="both"/>
      </w:pPr>
    </w:p>
    <w:p w:rsidR="0049138F" w:rsidRPr="00477A10" w:rsidRDefault="002C49E1" w:rsidP="0049138F">
      <w:pPr>
        <w:jc w:val="both"/>
        <w:rPr>
          <w:b/>
        </w:rPr>
      </w:pPr>
      <w:r>
        <w:rPr>
          <w:b/>
        </w:rPr>
        <w:br w:type="page"/>
      </w:r>
      <w:r w:rsidR="0049138F" w:rsidRPr="00477A10">
        <w:rPr>
          <w:b/>
        </w:rPr>
        <w:lastRenderedPageBreak/>
        <w:t>X.</w:t>
      </w:r>
      <w:r w:rsidR="0049138F" w:rsidRPr="00477A10">
        <w:rPr>
          <w:b/>
        </w:rPr>
        <w:tab/>
      </w:r>
      <w:r w:rsidR="0049138F" w:rsidRPr="00477A10">
        <w:rPr>
          <w:b/>
          <w:u w:val="single"/>
        </w:rPr>
        <w:t>PROPOSED STIPULATIONS</w:t>
      </w:r>
    </w:p>
    <w:p w:rsidR="0049138F" w:rsidRDefault="0049138F" w:rsidP="0049138F">
      <w:pPr>
        <w:jc w:val="both"/>
      </w:pPr>
    </w:p>
    <w:p w:rsidR="0049138F" w:rsidRDefault="0049138F" w:rsidP="0049138F">
      <w:r>
        <w:tab/>
      </w:r>
      <w:r w:rsidR="00E0476F">
        <w:t>All issues have been stipulated at this time as noted below.</w:t>
      </w:r>
    </w:p>
    <w:p w:rsidR="00E0476F" w:rsidRDefault="00E0476F" w:rsidP="0049138F"/>
    <w:p w:rsidR="00E0476F" w:rsidRDefault="00E0476F" w:rsidP="00E0476F">
      <w:pPr>
        <w:jc w:val="both"/>
        <w:rPr>
          <w:u w:val="single"/>
        </w:rPr>
      </w:pPr>
      <w:r>
        <w:rPr>
          <w:u w:val="single"/>
        </w:rPr>
        <w:t>TYPE 1</w:t>
      </w:r>
    </w:p>
    <w:p w:rsidR="00E0476F" w:rsidRDefault="00E0476F" w:rsidP="00E0476F">
      <w:pPr>
        <w:jc w:val="center"/>
        <w:rPr>
          <w:u w:val="single"/>
        </w:rPr>
      </w:pPr>
    </w:p>
    <w:p w:rsidR="00E0476F" w:rsidRPr="00F06B1D" w:rsidRDefault="00E0476F" w:rsidP="00E0476F">
      <w:pPr>
        <w:ind w:left="1440" w:hanging="1440"/>
        <w:jc w:val="both"/>
        <w:rPr>
          <w:b/>
        </w:rPr>
      </w:pPr>
      <w:r w:rsidRPr="00701945">
        <w:rPr>
          <w:b/>
          <w:bCs/>
          <w:u w:val="single"/>
        </w:rPr>
        <w:t>ISSUE 1</w:t>
      </w:r>
      <w:r w:rsidRPr="00701945">
        <w:rPr>
          <w:b/>
          <w:bCs/>
        </w:rPr>
        <w:t>:</w:t>
      </w:r>
      <w:r>
        <w:rPr>
          <w:b/>
          <w:bCs/>
        </w:rPr>
        <w:tab/>
      </w:r>
      <w:r w:rsidRPr="00F06B1D">
        <w:rPr>
          <w:b/>
        </w:rPr>
        <w:t>Has TECO complied with the applicable provisions of its 2017 Amended and Restated Stipulation and Settlement Agreement and Amended Implementation Stipulation regarding Tax Cuts and Jobs Act of 2017 (TCJA)?</w:t>
      </w:r>
    </w:p>
    <w:p w:rsidR="00E0476F" w:rsidRPr="00701945" w:rsidRDefault="00E0476F" w:rsidP="00E0476F">
      <w:pPr>
        <w:jc w:val="both"/>
      </w:pPr>
    </w:p>
    <w:p w:rsidR="00E0476F" w:rsidRPr="00E73195" w:rsidRDefault="00E0476F" w:rsidP="00E0476F">
      <w:pPr>
        <w:spacing w:line="480" w:lineRule="auto"/>
        <w:ind w:left="1440" w:hanging="1440"/>
      </w:pPr>
      <w:r w:rsidRPr="00347347">
        <w:rPr>
          <w:b/>
          <w:bCs/>
        </w:rPr>
        <w:t>STIPULATION</w:t>
      </w:r>
      <w:r>
        <w:rPr>
          <w:bCs/>
        </w:rPr>
        <w:t>:</w:t>
      </w:r>
      <w:r>
        <w:rPr>
          <w:bCs/>
        </w:rPr>
        <w:tab/>
      </w:r>
      <w:r>
        <w:t>Yes, as detailed below</w:t>
      </w:r>
      <w:r w:rsidR="00557ECB">
        <w:t>.</w:t>
      </w:r>
    </w:p>
    <w:p w:rsidR="00E0476F" w:rsidRPr="00701945" w:rsidRDefault="00E0476F" w:rsidP="00E0476F">
      <w:pPr>
        <w:ind w:left="1440" w:hanging="1440"/>
        <w:jc w:val="both"/>
      </w:pPr>
      <w:r w:rsidRPr="00701945">
        <w:rPr>
          <w:b/>
          <w:bCs/>
          <w:u w:val="single"/>
        </w:rPr>
        <w:t xml:space="preserve">ISSUE </w:t>
      </w:r>
      <w:r>
        <w:rPr>
          <w:b/>
          <w:bCs/>
          <w:u w:val="single"/>
        </w:rPr>
        <w:t>1a</w:t>
      </w:r>
      <w:r w:rsidRPr="00701945">
        <w:rPr>
          <w:b/>
          <w:bCs/>
        </w:rPr>
        <w:t>:</w:t>
      </w:r>
      <w:r>
        <w:rPr>
          <w:b/>
          <w:bCs/>
        </w:rPr>
        <w:tab/>
      </w:r>
      <w:r w:rsidRPr="00F06B1D">
        <w:rPr>
          <w:b/>
        </w:rPr>
        <w:t>Was TECO’s “forecasted earnings surveillance report for the calendar year that includes the period in which Tax Reform is effective” used?</w:t>
      </w:r>
    </w:p>
    <w:p w:rsidR="00E0476F" w:rsidRDefault="00E0476F" w:rsidP="00E0476F">
      <w:pPr>
        <w:jc w:val="both"/>
        <w:rPr>
          <w:b/>
          <w:bCs/>
        </w:rPr>
      </w:pPr>
    </w:p>
    <w:p w:rsidR="00E0476F" w:rsidRDefault="00E0476F" w:rsidP="00E0476F">
      <w:pPr>
        <w:ind w:left="2160" w:hanging="2160"/>
        <w:jc w:val="both"/>
      </w:pPr>
      <w:r w:rsidRPr="00347347">
        <w:rPr>
          <w:b/>
          <w:bCs/>
        </w:rPr>
        <w:t>STIPULATION</w:t>
      </w:r>
      <w:r>
        <w:rPr>
          <w:b/>
          <w:bCs/>
        </w:rPr>
        <w:t>:</w:t>
      </w:r>
      <w:r>
        <w:rPr>
          <w:b/>
          <w:bCs/>
        </w:rPr>
        <w:tab/>
      </w:r>
      <w:r>
        <w:t>Yes. The company properly used the 2018 Forecasted Earnings Surveillance Report as filed on March 16, 2018 to compute the annual revenue requirement impact associated with the TCJA in accordance with the 2017 Agreement.</w:t>
      </w:r>
    </w:p>
    <w:p w:rsidR="00E0476F" w:rsidRDefault="00E0476F" w:rsidP="00E0476F">
      <w:pPr>
        <w:ind w:left="2160" w:hanging="2160"/>
        <w:jc w:val="both"/>
      </w:pPr>
    </w:p>
    <w:p w:rsidR="00E0476F" w:rsidRPr="00701945" w:rsidRDefault="00E0476F" w:rsidP="00E0476F">
      <w:pPr>
        <w:ind w:left="1440" w:hanging="1440"/>
        <w:jc w:val="both"/>
      </w:pPr>
      <w:r w:rsidRPr="00701945">
        <w:rPr>
          <w:b/>
          <w:bCs/>
          <w:u w:val="single"/>
        </w:rPr>
        <w:t>ISSUE 1</w:t>
      </w:r>
      <w:r>
        <w:rPr>
          <w:b/>
          <w:bCs/>
          <w:u w:val="single"/>
        </w:rPr>
        <w:t>b</w:t>
      </w:r>
      <w:r w:rsidRPr="00701945">
        <w:rPr>
          <w:b/>
          <w:bCs/>
        </w:rPr>
        <w:t>:</w:t>
      </w:r>
      <w:r>
        <w:rPr>
          <w:b/>
          <w:bCs/>
        </w:rPr>
        <w:tab/>
      </w:r>
      <w:r w:rsidRPr="00F06B1D">
        <w:rPr>
          <w:b/>
        </w:rPr>
        <w:t xml:space="preserve">Were “protected excess deferred taxes” for 2018 using a 21 percent corporate tax rate appropriately calculated and flowed back?  </w:t>
      </w:r>
    </w:p>
    <w:p w:rsidR="00E0476F" w:rsidRPr="00701945" w:rsidRDefault="00E0476F" w:rsidP="00E0476F">
      <w:pPr>
        <w:jc w:val="both"/>
      </w:pPr>
    </w:p>
    <w:p w:rsidR="00E0476F" w:rsidRDefault="00E0476F" w:rsidP="00E0476F">
      <w:pPr>
        <w:ind w:left="2160" w:hanging="2160"/>
        <w:jc w:val="both"/>
      </w:pPr>
      <w:r w:rsidRPr="00347347">
        <w:rPr>
          <w:b/>
          <w:bCs/>
          <w:u w:val="single"/>
        </w:rPr>
        <w:t>STIPULATION</w:t>
      </w:r>
      <w:r w:rsidRPr="00347347">
        <w:rPr>
          <w:b/>
          <w:bCs/>
        </w:rPr>
        <w:t>:</w:t>
      </w:r>
      <w:r>
        <w:rPr>
          <w:b/>
          <w:bCs/>
        </w:rPr>
        <w:tab/>
      </w:r>
      <w:r>
        <w:t>Yes. The amount of protected excess ADIT as of December 31, 2017 was $347.8 million. Protected excess ADIT amounts were properly reflected in the calculation of 2018 income tax expense using the average rate assumption method in accordance with the Internal Revenue Code and the 2017 Agreement.</w:t>
      </w:r>
    </w:p>
    <w:p w:rsidR="00E0476F" w:rsidRDefault="00E0476F" w:rsidP="00E0476F">
      <w:pPr>
        <w:ind w:left="2160" w:hanging="2160"/>
        <w:jc w:val="both"/>
      </w:pPr>
    </w:p>
    <w:p w:rsidR="00E0476F" w:rsidRPr="000A3AF2" w:rsidRDefault="00E0476F" w:rsidP="00E0476F">
      <w:pPr>
        <w:ind w:left="1440" w:hanging="1440"/>
        <w:jc w:val="both"/>
        <w:rPr>
          <w:b/>
        </w:rPr>
      </w:pPr>
      <w:r w:rsidRPr="00701945">
        <w:rPr>
          <w:b/>
          <w:bCs/>
          <w:u w:val="single"/>
        </w:rPr>
        <w:t xml:space="preserve">ISSUE </w:t>
      </w:r>
      <w:r>
        <w:rPr>
          <w:b/>
          <w:bCs/>
          <w:u w:val="single"/>
        </w:rPr>
        <w:t>1c</w:t>
      </w:r>
      <w:r w:rsidRPr="00701945">
        <w:rPr>
          <w:b/>
          <w:bCs/>
        </w:rPr>
        <w:t>:</w:t>
      </w:r>
      <w:r>
        <w:rPr>
          <w:b/>
          <w:bCs/>
        </w:rPr>
        <w:tab/>
      </w:r>
      <w:r w:rsidRPr="00F06B1D">
        <w:rPr>
          <w:b/>
        </w:rPr>
        <w:t>Were “unprotected excess deferred taxes” for 2018 using a 21 percent corporate tax rate appropriately calculated and flowed back?</w:t>
      </w:r>
      <w:r>
        <w:t xml:space="preserve">   </w:t>
      </w:r>
    </w:p>
    <w:p w:rsidR="00E0476F" w:rsidRPr="00701945" w:rsidRDefault="00E0476F" w:rsidP="00E0476F">
      <w:pPr>
        <w:jc w:val="both"/>
      </w:pPr>
    </w:p>
    <w:p w:rsidR="00E0476F" w:rsidRDefault="00E0476F" w:rsidP="00E0476F">
      <w:pPr>
        <w:ind w:left="2160" w:hanging="2160"/>
        <w:jc w:val="both"/>
      </w:pPr>
      <w:r>
        <w:rPr>
          <w:b/>
          <w:bCs/>
        </w:rPr>
        <w:t>STIPULATION</w:t>
      </w:r>
      <w:r w:rsidRPr="00701945">
        <w:rPr>
          <w:b/>
          <w:bCs/>
        </w:rPr>
        <w:t>:</w:t>
      </w:r>
      <w:r w:rsidRPr="00701945">
        <w:tab/>
      </w:r>
      <w:r>
        <w:t>Yes. Book-tax differences not covered by protected normalization rules were properly considered to be unprotected. The amount of unprotected excess ADIT as of December 31, 2017 was $133.0 million. Excess unprotected ADIT were properly reflected in the calculation of 2018 income tax expense over a ten-year flowback period in accordance with the 2017 Agreement.</w:t>
      </w:r>
    </w:p>
    <w:p w:rsidR="00E0476F" w:rsidRDefault="00E0476F" w:rsidP="00E0476F">
      <w:pPr>
        <w:ind w:left="2160" w:hanging="2160"/>
        <w:jc w:val="both"/>
      </w:pPr>
    </w:p>
    <w:p w:rsidR="00E0476F" w:rsidRPr="00F06B1D" w:rsidRDefault="00E0476F" w:rsidP="00E0476F">
      <w:pPr>
        <w:ind w:left="1440" w:hanging="1440"/>
        <w:jc w:val="both"/>
        <w:rPr>
          <w:b/>
        </w:rPr>
      </w:pPr>
      <w:r w:rsidRPr="00701945">
        <w:rPr>
          <w:b/>
          <w:bCs/>
          <w:u w:val="single"/>
        </w:rPr>
        <w:t xml:space="preserve">ISSUE </w:t>
      </w:r>
      <w:r>
        <w:rPr>
          <w:b/>
          <w:bCs/>
          <w:u w:val="single"/>
        </w:rPr>
        <w:t>1d</w:t>
      </w:r>
      <w:r w:rsidRPr="00701945">
        <w:rPr>
          <w:b/>
          <w:bCs/>
        </w:rPr>
        <w:t>:</w:t>
      </w:r>
      <w:r>
        <w:rPr>
          <w:b/>
          <w:bCs/>
        </w:rPr>
        <w:tab/>
      </w:r>
      <w:r w:rsidRPr="00F06B1D">
        <w:rPr>
          <w:b/>
        </w:rPr>
        <w:t>Were Accumulated Deferred Income Taxes (ADIT) appropriately calculated?</w:t>
      </w:r>
    </w:p>
    <w:p w:rsidR="00E0476F" w:rsidRPr="00701945" w:rsidRDefault="00E0476F" w:rsidP="00E0476F">
      <w:pPr>
        <w:jc w:val="both"/>
      </w:pPr>
    </w:p>
    <w:p w:rsidR="00E0476F" w:rsidRDefault="00E0476F" w:rsidP="00E0476F">
      <w:pPr>
        <w:ind w:left="2160" w:hanging="2160"/>
        <w:jc w:val="both"/>
      </w:pPr>
      <w:r w:rsidRPr="007B326F">
        <w:rPr>
          <w:b/>
          <w:bCs/>
        </w:rPr>
        <w:t>S</w:t>
      </w:r>
      <w:r>
        <w:rPr>
          <w:b/>
          <w:bCs/>
        </w:rPr>
        <w:t>TIPULATION:</w:t>
      </w:r>
      <w:r>
        <w:rPr>
          <w:b/>
          <w:bCs/>
        </w:rPr>
        <w:tab/>
      </w:r>
      <w:r>
        <w:t xml:space="preserve">Yes. Tampa Electric identified the book-tax differences that would be impacted by the TCJA, then calculated income tax expense to re-measure </w:t>
      </w:r>
      <w:r>
        <w:lastRenderedPageBreak/>
        <w:t>ADIT balances at the new applicable corporate rate of 21 percent. In accordance with the 2017 Agreement, these excess ADIT were deferred to a regulatory asset or liability which will be included in FPSC-adjusted capital structure and flowed back to customers consistent with the Internal Revenue Code and the 2017 Agreement.</w:t>
      </w:r>
    </w:p>
    <w:p w:rsidR="00E0476F" w:rsidRDefault="00E0476F" w:rsidP="00E0476F">
      <w:pPr>
        <w:ind w:left="2160" w:hanging="2160"/>
        <w:jc w:val="both"/>
      </w:pPr>
    </w:p>
    <w:p w:rsidR="00E0476F" w:rsidRPr="000A3AF2" w:rsidRDefault="00E0476F" w:rsidP="00E0476F">
      <w:pPr>
        <w:ind w:left="1440" w:hanging="1440"/>
        <w:jc w:val="both"/>
        <w:rPr>
          <w:b/>
        </w:rPr>
      </w:pPr>
      <w:r w:rsidRPr="00701945">
        <w:rPr>
          <w:b/>
          <w:bCs/>
          <w:u w:val="single"/>
        </w:rPr>
        <w:t xml:space="preserve">ISSUE </w:t>
      </w:r>
      <w:r>
        <w:rPr>
          <w:b/>
          <w:bCs/>
          <w:u w:val="single"/>
        </w:rPr>
        <w:t>1e</w:t>
      </w:r>
      <w:r w:rsidRPr="00701945">
        <w:rPr>
          <w:b/>
          <w:bCs/>
        </w:rPr>
        <w:t>:</w:t>
      </w:r>
      <w:r>
        <w:rPr>
          <w:b/>
          <w:bCs/>
        </w:rPr>
        <w:tab/>
      </w:r>
      <w:r w:rsidRPr="00F06B1D">
        <w:rPr>
          <w:b/>
        </w:rPr>
        <w:t xml:space="preserve">Are TECO’s classifications of the excess ADIT between “protected” and “unprotected” appropriate? </w:t>
      </w:r>
      <w:r>
        <w:t xml:space="preserve"> </w:t>
      </w:r>
    </w:p>
    <w:p w:rsidR="00E0476F" w:rsidRPr="00701945" w:rsidRDefault="00E0476F" w:rsidP="00E0476F">
      <w:pPr>
        <w:jc w:val="both"/>
      </w:pPr>
    </w:p>
    <w:p w:rsidR="00E0476F" w:rsidRDefault="00E0476F" w:rsidP="00E0476F">
      <w:pPr>
        <w:ind w:left="2160" w:hanging="2160"/>
        <w:jc w:val="both"/>
      </w:pPr>
      <w:r w:rsidRPr="007B326F">
        <w:rPr>
          <w:b/>
          <w:bCs/>
        </w:rPr>
        <w:t>S</w:t>
      </w:r>
      <w:r>
        <w:rPr>
          <w:b/>
          <w:bCs/>
        </w:rPr>
        <w:t>TIPULATION:</w:t>
      </w:r>
      <w:r>
        <w:rPr>
          <w:b/>
          <w:bCs/>
        </w:rPr>
        <w:tab/>
      </w:r>
      <w:r>
        <w:t>Yes. Tampa Electric engaged PowerPlan to assist in identifying and remeasuring excess deferred taxes, and PriceWaterhouseCoopers has tested and verified the company’s calculation of the impact of the TCJA.</w:t>
      </w:r>
    </w:p>
    <w:p w:rsidR="00E0476F" w:rsidRDefault="00E0476F" w:rsidP="00E0476F">
      <w:pPr>
        <w:ind w:left="2160" w:hanging="2160"/>
        <w:jc w:val="both"/>
      </w:pPr>
    </w:p>
    <w:p w:rsidR="00E0476F" w:rsidRDefault="00E0476F" w:rsidP="00E0476F">
      <w:pPr>
        <w:ind w:left="1440" w:hanging="1440"/>
        <w:jc w:val="both"/>
      </w:pPr>
      <w:r w:rsidRPr="00701945">
        <w:rPr>
          <w:b/>
          <w:bCs/>
          <w:u w:val="single"/>
        </w:rPr>
        <w:t xml:space="preserve">ISSUE </w:t>
      </w:r>
      <w:r>
        <w:rPr>
          <w:b/>
          <w:bCs/>
          <w:u w:val="single"/>
        </w:rPr>
        <w:t>1f</w:t>
      </w:r>
      <w:r w:rsidRPr="00701945">
        <w:rPr>
          <w:b/>
          <w:bCs/>
        </w:rPr>
        <w:t>:</w:t>
      </w:r>
      <w:r>
        <w:rPr>
          <w:b/>
          <w:bCs/>
        </w:rPr>
        <w:tab/>
      </w:r>
      <w:r w:rsidRPr="00F06B1D">
        <w:rPr>
          <w:b/>
        </w:rPr>
        <w:t>Should TECO seek a private letter ruling from the IRS regarding its classification of the excess ADIT relating to cost of removal/negative net salvage as “unprotected”?</w:t>
      </w:r>
    </w:p>
    <w:p w:rsidR="00E0476F" w:rsidRPr="000A3AF2" w:rsidRDefault="00E0476F" w:rsidP="00E0476F">
      <w:pPr>
        <w:ind w:left="1440" w:hanging="1440"/>
        <w:jc w:val="both"/>
        <w:rPr>
          <w:b/>
        </w:rPr>
      </w:pPr>
    </w:p>
    <w:p w:rsidR="00E0476F" w:rsidRDefault="00E0476F" w:rsidP="00E0476F">
      <w:pPr>
        <w:ind w:left="2160" w:hanging="2160"/>
        <w:jc w:val="both"/>
      </w:pPr>
      <w:r w:rsidRPr="007B326F">
        <w:rPr>
          <w:b/>
          <w:bCs/>
        </w:rPr>
        <w:t>S</w:t>
      </w:r>
      <w:r>
        <w:rPr>
          <w:b/>
          <w:bCs/>
        </w:rPr>
        <w:t>TIPULATION:</w:t>
      </w:r>
      <w:r>
        <w:rPr>
          <w:b/>
          <w:bCs/>
        </w:rPr>
        <w:tab/>
      </w:r>
      <w:r w:rsidRPr="008657DB">
        <w:rPr>
          <w:bCs/>
        </w:rPr>
        <w:t>Yes.</w:t>
      </w:r>
      <w:r>
        <w:rPr>
          <w:bCs/>
        </w:rPr>
        <w:t xml:space="preserve">  </w:t>
      </w:r>
      <w:r w:rsidRPr="00A630BE">
        <w:t>T</w:t>
      </w:r>
      <w:r>
        <w:t xml:space="preserve">ampa Electric does not object to seeking </w:t>
      </w:r>
      <w:r w:rsidRPr="00A630BE">
        <w:t xml:space="preserve">a </w:t>
      </w:r>
      <w:r>
        <w:t>PLR</w:t>
      </w:r>
      <w:r w:rsidRPr="00A630BE">
        <w:t xml:space="preserve"> from the IRS regarding its classification of the excess ADIT relating to cost of removal/negative net salvage as unprotected</w:t>
      </w:r>
      <w:r>
        <w:t>.</w:t>
      </w:r>
    </w:p>
    <w:p w:rsidR="00E0476F" w:rsidRDefault="00E0476F" w:rsidP="00E0476F">
      <w:pPr>
        <w:ind w:left="2160" w:hanging="2160"/>
        <w:jc w:val="both"/>
      </w:pPr>
    </w:p>
    <w:p w:rsidR="00E0476F" w:rsidRPr="001D16BD" w:rsidRDefault="005369C8" w:rsidP="00E0476F">
      <w:pPr>
        <w:ind w:left="1440" w:hanging="1440"/>
        <w:jc w:val="both"/>
        <w:rPr>
          <w:b/>
        </w:rPr>
      </w:pPr>
      <w:r>
        <w:rPr>
          <w:b/>
          <w:bCs/>
          <w:u w:val="single"/>
        </w:rPr>
        <w:t>I</w:t>
      </w:r>
      <w:r w:rsidR="00E0476F" w:rsidRPr="00701945">
        <w:rPr>
          <w:b/>
          <w:bCs/>
          <w:u w:val="single"/>
        </w:rPr>
        <w:t>SSUE</w:t>
      </w:r>
      <w:r w:rsidR="00E0476F">
        <w:rPr>
          <w:b/>
          <w:bCs/>
          <w:u w:val="single"/>
        </w:rPr>
        <w:t>1g</w:t>
      </w:r>
      <w:r w:rsidR="00E0476F" w:rsidRPr="00701945">
        <w:rPr>
          <w:b/>
          <w:bCs/>
        </w:rPr>
        <w:t>:</w:t>
      </w:r>
      <w:r w:rsidR="00E0476F">
        <w:rPr>
          <w:b/>
          <w:bCs/>
        </w:rPr>
        <w:tab/>
      </w:r>
      <w:r w:rsidR="00E0476F" w:rsidRPr="001D16BD">
        <w:rPr>
          <w:b/>
        </w:rPr>
        <w:t>If TECO seeks a private letter ruling and the IRS rules therein (or in another private letter ruling) that the excess ADIT relating to cost of removal/negative net salvage is to be treated as “protected”, what process should be followed for the reclassification?</w:t>
      </w:r>
    </w:p>
    <w:p w:rsidR="00E0476F" w:rsidRPr="000A3AF2" w:rsidRDefault="00E0476F" w:rsidP="00E0476F">
      <w:pPr>
        <w:ind w:left="1440" w:hanging="1440"/>
        <w:jc w:val="both"/>
        <w:rPr>
          <w:b/>
        </w:rPr>
      </w:pPr>
    </w:p>
    <w:p w:rsidR="00E0476F" w:rsidRDefault="00E0476F" w:rsidP="00E0476F">
      <w:pPr>
        <w:ind w:left="2160" w:hanging="2160"/>
        <w:jc w:val="both"/>
        <w:rPr>
          <w:iCs/>
        </w:rPr>
      </w:pPr>
      <w:r w:rsidRPr="007B326F">
        <w:rPr>
          <w:b/>
          <w:bCs/>
        </w:rPr>
        <w:t>S</w:t>
      </w:r>
      <w:r>
        <w:rPr>
          <w:b/>
          <w:bCs/>
        </w:rPr>
        <w:t>TIPULATION:</w:t>
      </w:r>
      <w:r>
        <w:rPr>
          <w:b/>
          <w:bCs/>
        </w:rPr>
        <w:tab/>
      </w:r>
      <w:r w:rsidRPr="00122184">
        <w:rPr>
          <w:iCs/>
        </w:rPr>
        <w:t>If Tampa Electric receives a private letter ruling (“PLR”) from the IRS ruling that the excess ADIT relating to cost of removal/negative net salvage is to be treated as protected, then a reclassification should be made in the company’s books and records and flow</w:t>
      </w:r>
      <w:r>
        <w:rPr>
          <w:iCs/>
        </w:rPr>
        <w:t>-</w:t>
      </w:r>
      <w:r w:rsidRPr="00122184">
        <w:rPr>
          <w:iCs/>
        </w:rPr>
        <w:t>back amounts should be trued</w:t>
      </w:r>
      <w:r>
        <w:rPr>
          <w:iCs/>
        </w:rPr>
        <w:t xml:space="preserve"> </w:t>
      </w:r>
      <w:r w:rsidRPr="00122184">
        <w:rPr>
          <w:iCs/>
        </w:rPr>
        <w:t>up based on the ruling</w:t>
      </w:r>
      <w:r>
        <w:rPr>
          <w:iCs/>
        </w:rPr>
        <w:t xml:space="preserve">. </w:t>
      </w:r>
      <w:r w:rsidRPr="00122184">
        <w:rPr>
          <w:iCs/>
        </w:rPr>
        <w:t xml:space="preserve">In addition, the company should further adjust base rates to reflect the 2018 revenue requirement impact either (a) in conjunction with a future solar base rate adjustment or (b) by filing a petition for a limited scope proceeding (or stipulated among all parties in lieu thereof) to adjust base rates within </w:t>
      </w:r>
      <w:r>
        <w:rPr>
          <w:iCs/>
        </w:rPr>
        <w:t>60</w:t>
      </w:r>
      <w:r w:rsidRPr="00122184">
        <w:rPr>
          <w:iCs/>
        </w:rPr>
        <w:t xml:space="preserve"> days of the determination in the PLR, whichever will result in a rate change earlier; and shall refund the associated 2018 revenue requirement, difference from January 1, 2018 to the effective date of the further rate change through the conservation cost recovery clause</w:t>
      </w:r>
      <w:r>
        <w:rPr>
          <w:iCs/>
        </w:rPr>
        <w:t>.</w:t>
      </w:r>
    </w:p>
    <w:p w:rsidR="00E0476F" w:rsidRDefault="00E0476F" w:rsidP="00E0476F">
      <w:pPr>
        <w:ind w:left="2160" w:hanging="2160"/>
        <w:jc w:val="both"/>
        <w:rPr>
          <w:iCs/>
        </w:rPr>
      </w:pPr>
    </w:p>
    <w:p w:rsidR="002123CA" w:rsidRDefault="002123CA" w:rsidP="00E0476F">
      <w:pPr>
        <w:ind w:left="2160" w:hanging="2160"/>
        <w:jc w:val="both"/>
        <w:rPr>
          <w:iCs/>
        </w:rPr>
      </w:pPr>
    </w:p>
    <w:p w:rsidR="002123CA" w:rsidRDefault="002123CA" w:rsidP="00E0476F">
      <w:pPr>
        <w:ind w:left="2160" w:hanging="2160"/>
        <w:jc w:val="both"/>
        <w:rPr>
          <w:iCs/>
        </w:rPr>
      </w:pPr>
    </w:p>
    <w:p w:rsidR="002123CA" w:rsidRDefault="002123CA" w:rsidP="00E0476F">
      <w:pPr>
        <w:ind w:left="2160" w:hanging="2160"/>
        <w:jc w:val="both"/>
        <w:rPr>
          <w:iCs/>
        </w:rPr>
      </w:pPr>
    </w:p>
    <w:p w:rsidR="002123CA" w:rsidRDefault="002123CA" w:rsidP="00E0476F">
      <w:pPr>
        <w:ind w:left="2160" w:hanging="2160"/>
        <w:jc w:val="both"/>
        <w:rPr>
          <w:iCs/>
        </w:rPr>
      </w:pPr>
    </w:p>
    <w:p w:rsidR="00E0476F" w:rsidRPr="001D16BD" w:rsidRDefault="005369C8" w:rsidP="00E0476F">
      <w:pPr>
        <w:ind w:left="1440" w:hanging="1440"/>
        <w:jc w:val="both"/>
        <w:rPr>
          <w:b/>
        </w:rPr>
      </w:pPr>
      <w:r>
        <w:rPr>
          <w:b/>
          <w:bCs/>
          <w:u w:val="single"/>
        </w:rPr>
        <w:lastRenderedPageBreak/>
        <w:t>I</w:t>
      </w:r>
      <w:r w:rsidR="00E0476F" w:rsidRPr="00701945">
        <w:rPr>
          <w:b/>
          <w:bCs/>
          <w:u w:val="single"/>
        </w:rPr>
        <w:t xml:space="preserve">SSUE </w:t>
      </w:r>
      <w:r w:rsidR="00E0476F">
        <w:rPr>
          <w:b/>
          <w:bCs/>
          <w:u w:val="single"/>
        </w:rPr>
        <w:t>1h</w:t>
      </w:r>
      <w:r w:rsidR="00E0476F" w:rsidRPr="00701945">
        <w:rPr>
          <w:b/>
          <w:bCs/>
        </w:rPr>
        <w:t>:</w:t>
      </w:r>
      <w:r w:rsidR="00E0476F">
        <w:rPr>
          <w:b/>
          <w:bCs/>
        </w:rPr>
        <w:tab/>
      </w:r>
      <w:r w:rsidR="00E0476F" w:rsidRPr="001D16BD">
        <w:rPr>
          <w:b/>
        </w:rPr>
        <w:t>Were appropriate adjustments made to the First SoBRA project for the impact of the TCJA for the tax year 2018?</w:t>
      </w:r>
    </w:p>
    <w:p w:rsidR="00E0476F" w:rsidRPr="001D16BD" w:rsidRDefault="00E0476F" w:rsidP="00E0476F">
      <w:pPr>
        <w:rPr>
          <w:b/>
          <w:bCs/>
        </w:rPr>
      </w:pPr>
    </w:p>
    <w:p w:rsidR="00E0476F" w:rsidRDefault="00E0476F" w:rsidP="00E0476F">
      <w:pPr>
        <w:ind w:left="2160" w:hanging="2160"/>
        <w:jc w:val="both"/>
      </w:pPr>
      <w:r w:rsidRPr="007B326F">
        <w:rPr>
          <w:b/>
          <w:bCs/>
        </w:rPr>
        <w:t>S</w:t>
      </w:r>
      <w:r>
        <w:rPr>
          <w:b/>
          <w:bCs/>
        </w:rPr>
        <w:t>TIPULATION:</w:t>
      </w:r>
      <w:r>
        <w:rPr>
          <w:b/>
          <w:bCs/>
        </w:rPr>
        <w:tab/>
      </w:r>
      <w:r>
        <w:t xml:space="preserve">Yes. </w:t>
      </w:r>
      <w:r w:rsidRPr="00543CB9">
        <w:t>I</w:t>
      </w:r>
      <w:r w:rsidRPr="00361234">
        <w:t xml:space="preserve">n accordance with the 2017 Agreement, for 2018 </w:t>
      </w:r>
      <w:r>
        <w:t xml:space="preserve">the company adjusted its cost recovery request for </w:t>
      </w:r>
      <w:r w:rsidRPr="00361234">
        <w:t xml:space="preserve">the First SoBRA </w:t>
      </w:r>
      <w:r>
        <w:t>in Docket No. 20170260-EI to reflect lower revenue requirements as a result of the TCJA.</w:t>
      </w:r>
    </w:p>
    <w:p w:rsidR="00CC0623" w:rsidRDefault="00CC0623" w:rsidP="00E0476F">
      <w:pPr>
        <w:ind w:left="2160" w:hanging="2160"/>
        <w:jc w:val="both"/>
      </w:pPr>
    </w:p>
    <w:p w:rsidR="00CC0623" w:rsidRDefault="00CC0623" w:rsidP="00CC0623">
      <w:pPr>
        <w:jc w:val="both"/>
        <w:rPr>
          <w:b/>
        </w:rPr>
      </w:pPr>
      <w:r w:rsidRPr="00701945">
        <w:rPr>
          <w:b/>
          <w:bCs/>
          <w:u w:val="single"/>
        </w:rPr>
        <w:t xml:space="preserve">ISSUE </w:t>
      </w:r>
      <w:r>
        <w:rPr>
          <w:b/>
          <w:bCs/>
          <w:u w:val="single"/>
        </w:rPr>
        <w:t>2</w:t>
      </w:r>
      <w:r w:rsidRPr="00701945">
        <w:rPr>
          <w:b/>
          <w:bCs/>
        </w:rPr>
        <w:t>:</w:t>
      </w:r>
      <w:r>
        <w:rPr>
          <w:b/>
          <w:bCs/>
        </w:rPr>
        <w:tab/>
      </w:r>
      <w:r w:rsidR="00E0476F" w:rsidRPr="001D16BD">
        <w:rPr>
          <w:b/>
        </w:rPr>
        <w:t>What is the forecasted tax expense fo</w:t>
      </w:r>
      <w:r>
        <w:rPr>
          <w:b/>
        </w:rPr>
        <w:t>r TECO for the tax year 2018 at</w:t>
      </w:r>
      <w:r>
        <w:rPr>
          <w:b/>
          <w:bCs/>
        </w:rPr>
        <w:t xml:space="preserve"> </w:t>
      </w:r>
      <w:r>
        <w:rPr>
          <w:b/>
        </w:rPr>
        <w:t xml:space="preserve">a 21 </w:t>
      </w:r>
    </w:p>
    <w:p w:rsidR="00E0476F" w:rsidRPr="00CC0623" w:rsidRDefault="00E0476F" w:rsidP="00CC0623">
      <w:pPr>
        <w:ind w:left="2160" w:hanging="720"/>
        <w:jc w:val="both"/>
        <w:rPr>
          <w:b/>
          <w:bCs/>
        </w:rPr>
      </w:pPr>
      <w:r w:rsidRPr="001D16BD">
        <w:rPr>
          <w:b/>
        </w:rPr>
        <w:t>percent corporate tax rate?</w:t>
      </w:r>
    </w:p>
    <w:p w:rsidR="00E0476F" w:rsidRDefault="00E0476F" w:rsidP="00E0476F">
      <w:pPr>
        <w:ind w:left="1440" w:hanging="1440"/>
      </w:pPr>
    </w:p>
    <w:p w:rsidR="00E0476F" w:rsidRDefault="00E0476F" w:rsidP="00E0476F">
      <w:pPr>
        <w:ind w:left="2160" w:hanging="2160"/>
        <w:jc w:val="both"/>
      </w:pPr>
      <w:r w:rsidRPr="007B326F">
        <w:rPr>
          <w:b/>
          <w:bCs/>
        </w:rPr>
        <w:t>S</w:t>
      </w:r>
      <w:r>
        <w:rPr>
          <w:b/>
          <w:bCs/>
        </w:rPr>
        <w:t>TIPULATION:</w:t>
      </w:r>
      <w:r w:rsidRPr="00727069">
        <w:t xml:space="preserve"> </w:t>
      </w:r>
      <w:r>
        <w:tab/>
        <w:t>The forecasted tax expense under the TCJA, for the tax year 2018 at a corporate tax rate of 21 percent for Tampa Electric is $85.9 million, a reduction in forecasted tax expense of $82.1 million when compared to tax expense without tax reform.</w:t>
      </w:r>
    </w:p>
    <w:p w:rsidR="00E0476F" w:rsidRPr="00701945" w:rsidRDefault="00E0476F" w:rsidP="00E0476F">
      <w:pPr>
        <w:ind w:left="2160" w:hanging="2160"/>
        <w:jc w:val="both"/>
      </w:pPr>
      <w:r>
        <w:tab/>
      </w:r>
    </w:p>
    <w:p w:rsidR="00E0476F" w:rsidRDefault="00E0476F" w:rsidP="00E0476F">
      <w:pPr>
        <w:ind w:left="1440" w:hanging="1440"/>
      </w:pPr>
      <w:r w:rsidRPr="00701945">
        <w:rPr>
          <w:b/>
          <w:bCs/>
          <w:u w:val="single"/>
        </w:rPr>
        <w:t xml:space="preserve">ISSUE </w:t>
      </w:r>
      <w:r>
        <w:rPr>
          <w:b/>
          <w:bCs/>
          <w:u w:val="single"/>
        </w:rPr>
        <w:t>3</w:t>
      </w:r>
      <w:r w:rsidRPr="00701945">
        <w:rPr>
          <w:b/>
          <w:bCs/>
        </w:rPr>
        <w:t>:</w:t>
      </w:r>
      <w:r w:rsidR="00CC0623">
        <w:rPr>
          <w:b/>
          <w:bCs/>
        </w:rPr>
        <w:tab/>
      </w:r>
      <w:r w:rsidRPr="005A5FAB">
        <w:rPr>
          <w:b/>
        </w:rPr>
        <w:t>What is the forecasted tax expense for TECO for the tax year 2018 at a 35 percent corporate tax rate?</w:t>
      </w:r>
    </w:p>
    <w:p w:rsidR="00E0476F" w:rsidRPr="000A3AF2" w:rsidRDefault="00E0476F" w:rsidP="00E0476F">
      <w:pPr>
        <w:ind w:left="1440" w:hanging="1440"/>
        <w:jc w:val="both"/>
        <w:rPr>
          <w:b/>
        </w:rPr>
      </w:pPr>
    </w:p>
    <w:p w:rsidR="00E0476F" w:rsidRDefault="00E0476F" w:rsidP="00E0476F">
      <w:pPr>
        <w:ind w:left="2160" w:hanging="2160"/>
        <w:jc w:val="both"/>
      </w:pPr>
      <w:r w:rsidRPr="007B326F">
        <w:rPr>
          <w:b/>
          <w:bCs/>
        </w:rPr>
        <w:t>S</w:t>
      </w:r>
      <w:r>
        <w:rPr>
          <w:b/>
          <w:bCs/>
        </w:rPr>
        <w:t>TIPULATION:</w:t>
      </w:r>
      <w:r>
        <w:rPr>
          <w:b/>
          <w:bCs/>
        </w:rPr>
        <w:tab/>
      </w:r>
      <w:r>
        <w:t>The forecasted tax expense without tax reform for the tax year 2018 at a corporate tax rate of 35 percent for Tampa Electric is approximately $168.1 million.</w:t>
      </w:r>
    </w:p>
    <w:p w:rsidR="00E0476F" w:rsidRDefault="00E0476F" w:rsidP="00E0476F">
      <w:pPr>
        <w:ind w:left="2160" w:hanging="2160"/>
      </w:pPr>
    </w:p>
    <w:p w:rsidR="00E0476F" w:rsidRDefault="00E0476F" w:rsidP="00E0476F">
      <w:pPr>
        <w:ind w:left="1440" w:hanging="1440"/>
      </w:pPr>
      <w:r w:rsidRPr="00701945">
        <w:rPr>
          <w:b/>
          <w:bCs/>
          <w:u w:val="single"/>
        </w:rPr>
        <w:t xml:space="preserve">ISSUE </w:t>
      </w:r>
      <w:r>
        <w:rPr>
          <w:b/>
          <w:bCs/>
          <w:u w:val="single"/>
        </w:rPr>
        <w:t>4</w:t>
      </w:r>
      <w:r w:rsidRPr="00701945">
        <w:rPr>
          <w:b/>
          <w:bCs/>
        </w:rPr>
        <w:t>:</w:t>
      </w:r>
      <w:r>
        <w:rPr>
          <w:b/>
          <w:bCs/>
        </w:rPr>
        <w:tab/>
      </w:r>
      <w:r w:rsidRPr="005A5FAB">
        <w:rPr>
          <w:b/>
        </w:rPr>
        <w:t>What is the forecasted NOI for the tax year 2018 at a 21 percent corporate tax rate?</w:t>
      </w:r>
    </w:p>
    <w:p w:rsidR="00E0476F" w:rsidRDefault="00E0476F" w:rsidP="00E0476F">
      <w:pPr>
        <w:ind w:left="1440" w:hanging="1440"/>
      </w:pPr>
    </w:p>
    <w:p w:rsidR="00E0476F" w:rsidRDefault="00E0476F" w:rsidP="00E0476F">
      <w:pPr>
        <w:ind w:left="2160" w:hanging="2160"/>
        <w:jc w:val="both"/>
      </w:pPr>
      <w:r w:rsidRPr="007B326F">
        <w:rPr>
          <w:b/>
          <w:bCs/>
        </w:rPr>
        <w:t>S</w:t>
      </w:r>
      <w:r>
        <w:rPr>
          <w:b/>
          <w:bCs/>
        </w:rPr>
        <w:t>TIPULATION:</w:t>
      </w:r>
      <w:r>
        <w:rPr>
          <w:b/>
          <w:bCs/>
        </w:rPr>
        <w:tab/>
      </w:r>
      <w:r>
        <w:t>The forecasted FPSC-adjusted 13-month average NOI adjusted for the effects of the TCJA at a 21 percent tax rate is $438.3 million.</w:t>
      </w:r>
    </w:p>
    <w:p w:rsidR="00E0476F" w:rsidRDefault="00E0476F" w:rsidP="00E0476F">
      <w:pPr>
        <w:ind w:left="2160" w:hanging="2160"/>
      </w:pPr>
    </w:p>
    <w:p w:rsidR="00E0476F" w:rsidRDefault="00E0476F" w:rsidP="00E0476F">
      <w:pPr>
        <w:ind w:left="1440" w:hanging="1440"/>
      </w:pPr>
      <w:r w:rsidRPr="00701945">
        <w:rPr>
          <w:b/>
          <w:bCs/>
          <w:u w:val="single"/>
        </w:rPr>
        <w:t xml:space="preserve">ISSUE </w:t>
      </w:r>
      <w:r>
        <w:rPr>
          <w:b/>
          <w:bCs/>
          <w:u w:val="single"/>
        </w:rPr>
        <w:t>5</w:t>
      </w:r>
      <w:r w:rsidRPr="00701945">
        <w:rPr>
          <w:b/>
          <w:bCs/>
        </w:rPr>
        <w:t>:</w:t>
      </w:r>
      <w:r>
        <w:rPr>
          <w:b/>
          <w:bCs/>
        </w:rPr>
        <w:tab/>
      </w:r>
      <w:r w:rsidRPr="005A5FAB">
        <w:rPr>
          <w:b/>
        </w:rPr>
        <w:t>What is the forecasted NOI for the tax year 2018 at a 35 percent corporate tax rate?</w:t>
      </w:r>
    </w:p>
    <w:p w:rsidR="00E0476F" w:rsidRDefault="00E0476F" w:rsidP="00E0476F">
      <w:pPr>
        <w:ind w:left="1440" w:hanging="1440"/>
      </w:pPr>
    </w:p>
    <w:p w:rsidR="00E0476F" w:rsidRDefault="00E0476F" w:rsidP="00E0476F">
      <w:pPr>
        <w:ind w:left="2160" w:hanging="2160"/>
        <w:jc w:val="both"/>
      </w:pPr>
      <w:r w:rsidRPr="007B326F">
        <w:rPr>
          <w:b/>
          <w:bCs/>
        </w:rPr>
        <w:t>S</w:t>
      </w:r>
      <w:r w:rsidR="00CC0623">
        <w:rPr>
          <w:b/>
          <w:bCs/>
        </w:rPr>
        <w:t>TIPULATI</w:t>
      </w:r>
      <w:r>
        <w:rPr>
          <w:b/>
          <w:bCs/>
        </w:rPr>
        <w:t>ON:</w:t>
      </w:r>
      <w:r>
        <w:rPr>
          <w:b/>
          <w:bCs/>
        </w:rPr>
        <w:tab/>
      </w:r>
      <w:r>
        <w:t>The forecasted FPSC-adjusted 13-month average NOI at a 35 percent tax rate is $360.1 million.</w:t>
      </w:r>
    </w:p>
    <w:p w:rsidR="00E0476F" w:rsidRDefault="00E0476F" w:rsidP="00E0476F">
      <w:pPr>
        <w:ind w:left="2160" w:hanging="2160"/>
      </w:pPr>
    </w:p>
    <w:p w:rsidR="00E0476F" w:rsidRPr="005A5FAB" w:rsidRDefault="00E0476F" w:rsidP="00E0476F">
      <w:pPr>
        <w:ind w:left="1440" w:hanging="1440"/>
        <w:rPr>
          <w:b/>
        </w:rPr>
      </w:pPr>
      <w:r w:rsidRPr="00701945">
        <w:rPr>
          <w:b/>
          <w:bCs/>
          <w:u w:val="single"/>
        </w:rPr>
        <w:t xml:space="preserve">ISSUE </w:t>
      </w:r>
      <w:r>
        <w:rPr>
          <w:b/>
          <w:bCs/>
          <w:u w:val="single"/>
        </w:rPr>
        <w:t>6</w:t>
      </w:r>
      <w:r w:rsidRPr="00701945">
        <w:rPr>
          <w:b/>
          <w:bCs/>
        </w:rPr>
        <w:t>:</w:t>
      </w:r>
      <w:r>
        <w:rPr>
          <w:b/>
          <w:bCs/>
        </w:rPr>
        <w:tab/>
      </w:r>
      <w:r w:rsidRPr="005A5FAB">
        <w:rPr>
          <w:b/>
        </w:rPr>
        <w:t>What is the forecasted capital structure for the tax year 2018 at a 21 percent corporate tax rate?</w:t>
      </w:r>
    </w:p>
    <w:p w:rsidR="00E0476F" w:rsidRDefault="00E0476F" w:rsidP="00E0476F">
      <w:pPr>
        <w:ind w:left="1440" w:hanging="1440"/>
      </w:pPr>
    </w:p>
    <w:p w:rsidR="00E0476F" w:rsidRDefault="00E0476F" w:rsidP="00E0476F">
      <w:pPr>
        <w:ind w:left="2160" w:hanging="2160"/>
        <w:jc w:val="both"/>
      </w:pPr>
      <w:r w:rsidRPr="007B326F">
        <w:rPr>
          <w:b/>
          <w:bCs/>
        </w:rPr>
        <w:t>S</w:t>
      </w:r>
      <w:r>
        <w:rPr>
          <w:b/>
          <w:bCs/>
        </w:rPr>
        <w:t>TIPULATION:</w:t>
      </w:r>
      <w:r>
        <w:rPr>
          <w:b/>
          <w:bCs/>
        </w:rPr>
        <w:tab/>
      </w:r>
      <w:r>
        <w:t>The average midpoint forecasted capital structure for the tax year 2018, under the TCJA at a 21 percent corporate tax rate on an FPSC-adjusted basis is as follows:</w:t>
      </w:r>
    </w:p>
    <w:p w:rsidR="00E0476F" w:rsidRDefault="00E0476F" w:rsidP="00E0476F">
      <w:pPr>
        <w:ind w:left="1440" w:hanging="1440"/>
      </w:pPr>
    </w:p>
    <w:p w:rsidR="00E0476F" w:rsidRDefault="00E0476F" w:rsidP="00E0476F">
      <w:pPr>
        <w:ind w:left="1440" w:hanging="1440"/>
      </w:pPr>
    </w:p>
    <w:p w:rsidR="00E0476F" w:rsidRDefault="00E0476F" w:rsidP="00E0476F">
      <w:pPr>
        <w:ind w:left="2160" w:hanging="1440"/>
      </w:pPr>
      <w:r w:rsidRPr="00472928">
        <w:rPr>
          <w:noProof/>
        </w:rPr>
        <w:lastRenderedPageBreak/>
        <w:drawing>
          <wp:inline distT="0" distB="0" distL="0" distR="0" wp14:anchorId="01A91824" wp14:editId="4F0FDC8B">
            <wp:extent cx="5219700" cy="1653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1653540"/>
                    </a:xfrm>
                    <a:prstGeom prst="rect">
                      <a:avLst/>
                    </a:prstGeom>
                    <a:noFill/>
                    <a:ln>
                      <a:noFill/>
                    </a:ln>
                  </pic:spPr>
                </pic:pic>
              </a:graphicData>
            </a:graphic>
          </wp:inline>
        </w:drawing>
      </w:r>
    </w:p>
    <w:p w:rsidR="00E0476F" w:rsidRDefault="00E0476F" w:rsidP="00E0476F">
      <w:pPr>
        <w:ind w:left="2160" w:hanging="2160"/>
        <w:rPr>
          <w:u w:val="single"/>
        </w:rPr>
      </w:pPr>
    </w:p>
    <w:p w:rsidR="00E0476F" w:rsidRPr="005A5FAB" w:rsidRDefault="00E0476F" w:rsidP="00E0476F">
      <w:pPr>
        <w:ind w:left="1440" w:hanging="1440"/>
        <w:rPr>
          <w:b/>
        </w:rPr>
      </w:pPr>
      <w:r w:rsidRPr="00701945">
        <w:rPr>
          <w:b/>
          <w:bCs/>
          <w:u w:val="single"/>
        </w:rPr>
        <w:t xml:space="preserve">ISSUE </w:t>
      </w:r>
      <w:r>
        <w:rPr>
          <w:b/>
          <w:bCs/>
          <w:u w:val="single"/>
        </w:rPr>
        <w:t>7</w:t>
      </w:r>
      <w:r w:rsidRPr="00701945">
        <w:rPr>
          <w:b/>
          <w:bCs/>
        </w:rPr>
        <w:t>:</w:t>
      </w:r>
      <w:r>
        <w:rPr>
          <w:b/>
          <w:bCs/>
        </w:rPr>
        <w:tab/>
      </w:r>
      <w:r w:rsidRPr="005A5FAB">
        <w:rPr>
          <w:b/>
        </w:rPr>
        <w:t>What is the forecasted capital structure for the tax year 2018 at a 35 percent corporate tax rate?</w:t>
      </w:r>
    </w:p>
    <w:p w:rsidR="00E0476F" w:rsidRPr="005A5FAB" w:rsidRDefault="00E0476F" w:rsidP="00E0476F">
      <w:pPr>
        <w:ind w:left="1440" w:hanging="1440"/>
        <w:rPr>
          <w:b/>
        </w:rPr>
      </w:pPr>
    </w:p>
    <w:p w:rsidR="00E0476F" w:rsidRDefault="00E0476F" w:rsidP="00E0476F">
      <w:pPr>
        <w:ind w:left="2160" w:hanging="2160"/>
        <w:jc w:val="both"/>
      </w:pPr>
      <w:r w:rsidRPr="007B326F">
        <w:rPr>
          <w:b/>
          <w:bCs/>
        </w:rPr>
        <w:t>S</w:t>
      </w:r>
      <w:r>
        <w:rPr>
          <w:b/>
          <w:bCs/>
        </w:rPr>
        <w:t>TIPULATION:</w:t>
      </w:r>
      <w:r>
        <w:rPr>
          <w:b/>
          <w:bCs/>
        </w:rPr>
        <w:tab/>
      </w:r>
      <w:r>
        <w:t>The average midpoint forecasted capital structure for the tax year 2018, under the TCJA at a 35 percent corporate tax rate on an FPSC-adjusted basis is as follows:</w:t>
      </w:r>
    </w:p>
    <w:p w:rsidR="00E0476F" w:rsidRDefault="00E0476F" w:rsidP="00E0476F">
      <w:pPr>
        <w:ind w:left="1440" w:hanging="1440"/>
      </w:pPr>
      <w:r>
        <w:tab/>
      </w:r>
    </w:p>
    <w:p w:rsidR="00E0476F" w:rsidRDefault="00E0476F" w:rsidP="00E0476F">
      <w:pPr>
        <w:ind w:left="720" w:hanging="1440"/>
      </w:pPr>
      <w:r>
        <w:tab/>
      </w:r>
      <w:r w:rsidRPr="00472928">
        <w:t xml:space="preserve"> </w:t>
      </w:r>
      <w:r w:rsidRPr="00472928">
        <w:rPr>
          <w:noProof/>
        </w:rPr>
        <w:drawing>
          <wp:inline distT="0" distB="0" distL="0" distR="0" wp14:anchorId="2E8C9491" wp14:editId="622C5C56">
            <wp:extent cx="5410200" cy="1653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1653540"/>
                    </a:xfrm>
                    <a:prstGeom prst="rect">
                      <a:avLst/>
                    </a:prstGeom>
                    <a:noFill/>
                    <a:ln>
                      <a:noFill/>
                    </a:ln>
                  </pic:spPr>
                </pic:pic>
              </a:graphicData>
            </a:graphic>
          </wp:inline>
        </w:drawing>
      </w:r>
    </w:p>
    <w:p w:rsidR="00E0476F" w:rsidRDefault="00E0476F" w:rsidP="00E0476F">
      <w:pPr>
        <w:ind w:left="2160" w:hanging="2160"/>
        <w:rPr>
          <w:u w:val="single"/>
        </w:rPr>
      </w:pPr>
    </w:p>
    <w:p w:rsidR="00E0476F" w:rsidRDefault="00E0476F" w:rsidP="00E0476F">
      <w:pPr>
        <w:ind w:left="1440" w:hanging="1440"/>
      </w:pPr>
      <w:r>
        <w:rPr>
          <w:b/>
          <w:bCs/>
          <w:u w:val="single"/>
        </w:rPr>
        <w:t>I</w:t>
      </w:r>
      <w:r w:rsidRPr="00701945">
        <w:rPr>
          <w:b/>
          <w:bCs/>
          <w:u w:val="single"/>
        </w:rPr>
        <w:t xml:space="preserve">SSUE </w:t>
      </w:r>
      <w:r>
        <w:rPr>
          <w:b/>
          <w:bCs/>
          <w:u w:val="single"/>
        </w:rPr>
        <w:t>8</w:t>
      </w:r>
      <w:r w:rsidRPr="00701945">
        <w:rPr>
          <w:b/>
          <w:bCs/>
        </w:rPr>
        <w:t>:</w:t>
      </w:r>
      <w:r>
        <w:rPr>
          <w:b/>
          <w:bCs/>
        </w:rPr>
        <w:tab/>
      </w:r>
      <w:r w:rsidRPr="005A5FAB">
        <w:rPr>
          <w:b/>
        </w:rPr>
        <w:t>What is the forecasted revenue requirement for TECO for the tax year 2018 using a 21 percent corporate tax rate?</w:t>
      </w:r>
    </w:p>
    <w:p w:rsidR="00E0476F" w:rsidRDefault="00E0476F" w:rsidP="00E0476F">
      <w:pPr>
        <w:ind w:left="1440" w:hanging="1440"/>
      </w:pPr>
    </w:p>
    <w:p w:rsidR="00E0476F" w:rsidRDefault="00E0476F" w:rsidP="00E0476F">
      <w:pPr>
        <w:ind w:left="2160" w:hanging="2160"/>
        <w:jc w:val="both"/>
      </w:pPr>
      <w:r w:rsidRPr="007B326F">
        <w:rPr>
          <w:b/>
          <w:bCs/>
        </w:rPr>
        <w:t>S</w:t>
      </w:r>
      <w:r>
        <w:rPr>
          <w:b/>
          <w:bCs/>
        </w:rPr>
        <w:t>TIPULATION:</w:t>
      </w:r>
      <w:r>
        <w:rPr>
          <w:b/>
          <w:bCs/>
        </w:rPr>
        <w:tab/>
      </w:r>
      <w:r>
        <w:t>The forecasted 13-month average NOI for TECO for the tax year 2018 at a 21 percent tax rate is $438.3 million, and the application of the 0.74655 tax gross-up factor results in a revenue requirement of $587.1 million.</w:t>
      </w:r>
    </w:p>
    <w:p w:rsidR="00E0476F" w:rsidRDefault="00E0476F" w:rsidP="00E0476F">
      <w:pPr>
        <w:ind w:left="2160" w:hanging="2160"/>
      </w:pPr>
    </w:p>
    <w:p w:rsidR="00E0476F" w:rsidRDefault="00E0476F" w:rsidP="00E0476F">
      <w:pPr>
        <w:ind w:left="1440" w:hanging="1440"/>
      </w:pPr>
      <w:r w:rsidRPr="00701945">
        <w:rPr>
          <w:b/>
          <w:bCs/>
          <w:u w:val="single"/>
        </w:rPr>
        <w:t xml:space="preserve">ISSUE </w:t>
      </w:r>
      <w:r>
        <w:rPr>
          <w:b/>
          <w:bCs/>
          <w:u w:val="single"/>
        </w:rPr>
        <w:t>9</w:t>
      </w:r>
      <w:r w:rsidRPr="00701945">
        <w:rPr>
          <w:b/>
          <w:bCs/>
        </w:rPr>
        <w:t>:</w:t>
      </w:r>
      <w:r>
        <w:rPr>
          <w:b/>
          <w:bCs/>
        </w:rPr>
        <w:tab/>
      </w:r>
      <w:r w:rsidRPr="005A5FAB">
        <w:rPr>
          <w:b/>
        </w:rPr>
        <w:t xml:space="preserve">What is the forecasted revenue requirement for TECO for the tax year 2018 using a </w:t>
      </w:r>
      <w:r>
        <w:rPr>
          <w:b/>
        </w:rPr>
        <w:t>35</w:t>
      </w:r>
      <w:r w:rsidRPr="005A5FAB">
        <w:rPr>
          <w:b/>
        </w:rPr>
        <w:t xml:space="preserve"> percent corporate tax rate?</w:t>
      </w:r>
    </w:p>
    <w:p w:rsidR="00E0476F" w:rsidRDefault="00E0476F" w:rsidP="00E0476F">
      <w:pPr>
        <w:ind w:left="1440" w:hanging="1440"/>
      </w:pPr>
    </w:p>
    <w:p w:rsidR="00E0476F" w:rsidRDefault="00E0476F" w:rsidP="00E0476F">
      <w:pPr>
        <w:ind w:left="2160" w:hanging="2160"/>
        <w:jc w:val="both"/>
      </w:pPr>
      <w:r w:rsidRPr="00727069">
        <w:rPr>
          <w:b/>
        </w:rPr>
        <w:t>STIPULATION:</w:t>
      </w:r>
      <w:r>
        <w:rPr>
          <w:b/>
        </w:rPr>
        <w:tab/>
      </w:r>
      <w:r>
        <w:t>The forecasted 13-month average NOI for TECO for the tax year 2018 at a 35 percent corporate tax rate is $360.1 million, and the application of the 0.74655 tax gross-up factor results in a revenue requirement of</w:t>
      </w:r>
      <w:r w:rsidDel="00E75D44">
        <w:t xml:space="preserve"> </w:t>
      </w:r>
      <w:r>
        <w:t>$482.3 million.</w:t>
      </w:r>
    </w:p>
    <w:p w:rsidR="00CC0623" w:rsidRDefault="00CC0623" w:rsidP="00E0476F">
      <w:pPr>
        <w:ind w:left="2160" w:hanging="2160"/>
        <w:jc w:val="both"/>
      </w:pPr>
    </w:p>
    <w:p w:rsidR="00E0476F" w:rsidRDefault="00E0476F" w:rsidP="00E0476F">
      <w:pPr>
        <w:ind w:left="2160" w:hanging="2160"/>
        <w:jc w:val="both"/>
      </w:pPr>
    </w:p>
    <w:p w:rsidR="00E0476F" w:rsidRPr="005A5FAB" w:rsidRDefault="00E0476F" w:rsidP="00E0476F">
      <w:pPr>
        <w:ind w:left="1440" w:hanging="1440"/>
        <w:rPr>
          <w:b/>
        </w:rPr>
      </w:pPr>
      <w:r w:rsidRPr="00701945">
        <w:rPr>
          <w:b/>
          <w:bCs/>
          <w:u w:val="single"/>
        </w:rPr>
        <w:lastRenderedPageBreak/>
        <w:t xml:space="preserve">ISSUE </w:t>
      </w:r>
      <w:r>
        <w:rPr>
          <w:b/>
          <w:bCs/>
          <w:u w:val="single"/>
        </w:rPr>
        <w:t>10</w:t>
      </w:r>
      <w:r w:rsidRPr="00701945">
        <w:rPr>
          <w:b/>
          <w:bCs/>
        </w:rPr>
        <w:t>:</w:t>
      </w:r>
      <w:r>
        <w:rPr>
          <w:b/>
          <w:bCs/>
        </w:rPr>
        <w:tab/>
      </w:r>
      <w:r w:rsidRPr="005A5FAB">
        <w:rPr>
          <w:b/>
        </w:rPr>
        <w:t xml:space="preserve">What is the amount of annual revenue requirement decrease/increase due to the enactment of the TCJA for the tax year 2018?  </w:t>
      </w:r>
    </w:p>
    <w:p w:rsidR="00E0476F" w:rsidRDefault="00E0476F" w:rsidP="00E0476F">
      <w:pPr>
        <w:ind w:left="1440" w:hanging="1440"/>
      </w:pPr>
    </w:p>
    <w:p w:rsidR="00E0476F" w:rsidRDefault="00E0476F" w:rsidP="00E0476F">
      <w:pPr>
        <w:ind w:left="2160" w:hanging="2160"/>
        <w:jc w:val="both"/>
      </w:pPr>
      <w:r w:rsidRPr="00727069">
        <w:rPr>
          <w:b/>
        </w:rPr>
        <w:t>STIPULATION:</w:t>
      </w:r>
      <w:r>
        <w:rPr>
          <w:b/>
        </w:rPr>
        <w:tab/>
      </w:r>
      <w:r>
        <w:t xml:space="preserve">The revenue requirement decrease due to the enactment of the TCJA for the tax year 2018 is </w:t>
      </w:r>
      <w:r w:rsidRPr="00EB3E78">
        <w:t>$102.</w:t>
      </w:r>
      <w:r>
        <w:t>7 million. The 2018 revenue requirement decrease is the difference between the forecasted NOI pre- and post-TCJA with the 0.74655 tax gross-up factor applied, and then adjusted to reflect actual instead of budgeted First SoBRA revenue requirements included in the NOI and the First SoBRA tax reform revenue requirements reduction already performed in Docket No. 20170260-EI.</w:t>
      </w:r>
    </w:p>
    <w:p w:rsidR="00E0476F" w:rsidRDefault="00E0476F" w:rsidP="00E0476F">
      <w:pPr>
        <w:ind w:left="2160" w:hanging="2160"/>
      </w:pPr>
    </w:p>
    <w:p w:rsidR="00E0476F" w:rsidRPr="005A5FAB" w:rsidRDefault="00E0476F" w:rsidP="00CC0623">
      <w:pPr>
        <w:ind w:left="1440" w:hanging="1440"/>
        <w:jc w:val="both"/>
        <w:rPr>
          <w:b/>
        </w:rPr>
      </w:pPr>
      <w:r w:rsidRPr="00701945">
        <w:rPr>
          <w:b/>
          <w:bCs/>
          <w:u w:val="single"/>
        </w:rPr>
        <w:t xml:space="preserve">ISSUE </w:t>
      </w:r>
      <w:r>
        <w:rPr>
          <w:b/>
          <w:bCs/>
          <w:u w:val="single"/>
        </w:rPr>
        <w:t>12</w:t>
      </w:r>
      <w:r w:rsidRPr="00701945">
        <w:rPr>
          <w:b/>
          <w:bCs/>
        </w:rPr>
        <w:t>:</w:t>
      </w:r>
      <w:r>
        <w:rPr>
          <w:b/>
          <w:bCs/>
        </w:rPr>
        <w:tab/>
      </w:r>
      <w:r w:rsidRPr="005A5FAB">
        <w:rPr>
          <w:b/>
        </w:rPr>
        <w:t>What are the appropriate base rate charges implementing the TCJA and when should the new base rate charges become effective</w:t>
      </w:r>
      <w:r>
        <w:rPr>
          <w:b/>
        </w:rPr>
        <w:t>?</w:t>
      </w:r>
    </w:p>
    <w:p w:rsidR="00E0476F" w:rsidRDefault="00E0476F" w:rsidP="00E0476F">
      <w:pPr>
        <w:ind w:left="1440" w:hanging="1440"/>
      </w:pPr>
    </w:p>
    <w:p w:rsidR="00E0476F" w:rsidRDefault="00E0476F" w:rsidP="00E0476F">
      <w:pPr>
        <w:ind w:left="2160" w:hanging="2160"/>
        <w:jc w:val="both"/>
      </w:pPr>
      <w:r w:rsidRPr="007B326F">
        <w:rPr>
          <w:b/>
          <w:bCs/>
        </w:rPr>
        <w:t>S</w:t>
      </w:r>
      <w:r>
        <w:rPr>
          <w:b/>
          <w:bCs/>
        </w:rPr>
        <w:t>TIPULATION:</w:t>
      </w:r>
      <w:r>
        <w:rPr>
          <w:b/>
          <w:bCs/>
        </w:rPr>
        <w:tab/>
      </w:r>
      <w:r>
        <w:rPr>
          <w:rFonts w:cs="Arial"/>
          <w:kern w:val="32"/>
          <w:szCs w:val="32"/>
        </w:rPr>
        <w:t xml:space="preserve">Pursuant to the 2017 Amended and Restated Stipulation and Settlement Agreement and the Amended Implementation Stipulation, a one-time rate reduction of $102.7 million should be accomplished via a uniform percentage decrease to customer, demand and energy base rate charges for all retail customer classes as shown in Witness Ashburn’s Exhibit No. ___ (WRA-1), </w:t>
      </w:r>
      <w:r>
        <w:t>Document No. 5.  These new base rate changes should become effective concurrent with the first billing cycle of January 2019.</w:t>
      </w:r>
    </w:p>
    <w:p w:rsidR="00E0476F" w:rsidRDefault="00E0476F" w:rsidP="00E0476F">
      <w:pPr>
        <w:ind w:left="1440" w:hanging="1440"/>
        <w:jc w:val="both"/>
      </w:pPr>
      <w:r>
        <w:t xml:space="preserve"> </w:t>
      </w:r>
    </w:p>
    <w:p w:rsidR="00E0476F" w:rsidRDefault="00E0476F" w:rsidP="00CC0623">
      <w:pPr>
        <w:ind w:left="1440" w:hanging="1440"/>
        <w:jc w:val="both"/>
      </w:pPr>
      <w:r w:rsidRPr="00701945">
        <w:rPr>
          <w:b/>
          <w:bCs/>
          <w:u w:val="single"/>
        </w:rPr>
        <w:t xml:space="preserve">ISSUE </w:t>
      </w:r>
      <w:r>
        <w:rPr>
          <w:b/>
          <w:bCs/>
          <w:u w:val="single"/>
        </w:rPr>
        <w:t>13</w:t>
      </w:r>
      <w:r w:rsidRPr="00701945">
        <w:rPr>
          <w:b/>
          <w:bCs/>
        </w:rPr>
        <w:t>:</w:t>
      </w:r>
      <w:r>
        <w:rPr>
          <w:b/>
          <w:bCs/>
        </w:rPr>
        <w:tab/>
      </w:r>
      <w:r w:rsidRPr="005A5FAB">
        <w:rPr>
          <w:b/>
        </w:rPr>
        <w:t>What is the amount of the 2018 annual revenue requirement decrease attributable to the TCJA that should be used in Docket No. 20170271-EI to recover the storm cost as provided in paragraph 3 and to calculate the true up contemplated in paragraph 5(c) of the Amended Implementation Stipulation?</w:t>
      </w:r>
    </w:p>
    <w:p w:rsidR="00E0476F" w:rsidRDefault="00E0476F" w:rsidP="00E0476F">
      <w:pPr>
        <w:ind w:left="1440" w:hanging="1440"/>
      </w:pPr>
    </w:p>
    <w:p w:rsidR="00E0476F" w:rsidRDefault="00E0476F" w:rsidP="00E0476F">
      <w:pPr>
        <w:ind w:left="2160" w:hanging="2160"/>
        <w:jc w:val="both"/>
      </w:pPr>
      <w:r w:rsidRPr="007038C8">
        <w:rPr>
          <w:b/>
        </w:rPr>
        <w:t>STIPULATION:</w:t>
      </w:r>
      <w:r>
        <w:rPr>
          <w:b/>
        </w:rPr>
        <w:tab/>
      </w:r>
      <w:r>
        <w:t>The $102.7 million revenue requirement impact specified in Issue 10, above, should be used in Docket No. 20170271-EI to net against the storm costs as provided in paragraph 3 and to calculate the true-up contemplated in paragraph 5(c) of the Amended Implementation Stipulation.</w:t>
      </w:r>
    </w:p>
    <w:p w:rsidR="00E0476F" w:rsidRDefault="00E0476F" w:rsidP="00E0476F">
      <w:pPr>
        <w:ind w:left="2160" w:hanging="2160"/>
        <w:jc w:val="both"/>
      </w:pPr>
    </w:p>
    <w:p w:rsidR="00E0476F" w:rsidRDefault="00E0476F" w:rsidP="00CC0623">
      <w:pPr>
        <w:ind w:left="1440" w:hanging="1440"/>
        <w:jc w:val="both"/>
      </w:pPr>
      <w:r w:rsidRPr="00701945">
        <w:rPr>
          <w:b/>
          <w:bCs/>
          <w:u w:val="single"/>
        </w:rPr>
        <w:t xml:space="preserve">ISSUE </w:t>
      </w:r>
      <w:r>
        <w:rPr>
          <w:b/>
          <w:bCs/>
          <w:u w:val="single"/>
        </w:rPr>
        <w:t>14</w:t>
      </w:r>
      <w:r w:rsidRPr="00701945">
        <w:rPr>
          <w:b/>
          <w:bCs/>
        </w:rPr>
        <w:t>:</w:t>
      </w:r>
      <w:r>
        <w:rPr>
          <w:b/>
          <w:bCs/>
        </w:rPr>
        <w:tab/>
      </w:r>
      <w:r w:rsidRPr="00A14049">
        <w:rPr>
          <w:b/>
        </w:rPr>
        <w:t>Should this docket be closed?</w:t>
      </w:r>
    </w:p>
    <w:p w:rsidR="00E0476F" w:rsidRDefault="00E0476F" w:rsidP="00E0476F">
      <w:pPr>
        <w:ind w:left="1440" w:hanging="1440"/>
      </w:pPr>
    </w:p>
    <w:p w:rsidR="00E0476F" w:rsidRDefault="00E0476F" w:rsidP="00E0476F">
      <w:pPr>
        <w:ind w:left="2160" w:hanging="2160"/>
        <w:jc w:val="both"/>
        <w:rPr>
          <w:rFonts w:cs="Arial"/>
          <w:kern w:val="32"/>
          <w:szCs w:val="32"/>
        </w:rPr>
      </w:pPr>
      <w:r w:rsidRPr="007B326F">
        <w:rPr>
          <w:b/>
          <w:bCs/>
        </w:rPr>
        <w:t>S</w:t>
      </w:r>
      <w:r>
        <w:rPr>
          <w:b/>
          <w:bCs/>
        </w:rPr>
        <w:t>TIPULATION:</w:t>
      </w:r>
      <w:r>
        <w:rPr>
          <w:b/>
          <w:bCs/>
        </w:rPr>
        <w:tab/>
      </w:r>
      <w:r>
        <w:rPr>
          <w:rFonts w:cs="Arial"/>
          <w:kern w:val="32"/>
          <w:szCs w:val="32"/>
        </w:rPr>
        <w:t>This docket should remain open to consider feedback from the IRS through the PLR regarding whether the treatment of excess ADIT relating to the cost of removal/negative net salvage as unprotected is appropriate and until all true-ups and offsets are fully implemented pursuant to the 2017 Amended and Restated Stipulation and Settlement Agreement and the Amended Implementation Stipulation.</w:t>
      </w:r>
    </w:p>
    <w:p w:rsidR="00E0476F" w:rsidRDefault="00E0476F" w:rsidP="00E0476F">
      <w:pPr>
        <w:ind w:left="2160" w:hanging="2160"/>
        <w:jc w:val="both"/>
        <w:rPr>
          <w:rFonts w:cs="Arial"/>
          <w:kern w:val="32"/>
          <w:szCs w:val="32"/>
        </w:rPr>
      </w:pPr>
    </w:p>
    <w:p w:rsidR="00CC0623" w:rsidRDefault="00CC0623" w:rsidP="00E0476F">
      <w:pPr>
        <w:ind w:left="2160" w:hanging="2160"/>
        <w:jc w:val="both"/>
        <w:rPr>
          <w:rFonts w:cs="Arial"/>
          <w:kern w:val="32"/>
          <w:szCs w:val="32"/>
        </w:rPr>
      </w:pPr>
    </w:p>
    <w:p w:rsidR="00CC0623" w:rsidRDefault="00CC0623" w:rsidP="00E0476F">
      <w:pPr>
        <w:ind w:left="2160" w:hanging="2160"/>
        <w:jc w:val="both"/>
        <w:rPr>
          <w:rFonts w:cs="Arial"/>
          <w:kern w:val="32"/>
          <w:szCs w:val="32"/>
        </w:rPr>
      </w:pPr>
    </w:p>
    <w:p w:rsidR="00CC0623" w:rsidRDefault="00CC0623" w:rsidP="00E0476F">
      <w:pPr>
        <w:ind w:left="2160" w:hanging="2160"/>
        <w:jc w:val="both"/>
        <w:rPr>
          <w:rFonts w:cs="Arial"/>
          <w:kern w:val="32"/>
          <w:szCs w:val="32"/>
        </w:rPr>
      </w:pPr>
    </w:p>
    <w:p w:rsidR="00E0476F" w:rsidRPr="00FB7E35" w:rsidRDefault="00E0476F" w:rsidP="00E0476F">
      <w:pPr>
        <w:ind w:left="2160" w:hanging="2160"/>
        <w:jc w:val="both"/>
        <w:rPr>
          <w:rFonts w:cs="Arial"/>
          <w:kern w:val="32"/>
          <w:szCs w:val="32"/>
          <w:u w:val="single"/>
        </w:rPr>
      </w:pPr>
      <w:r w:rsidRPr="00FB7E35">
        <w:rPr>
          <w:rFonts w:cs="Arial"/>
          <w:kern w:val="32"/>
          <w:szCs w:val="32"/>
          <w:u w:val="single"/>
        </w:rPr>
        <w:lastRenderedPageBreak/>
        <w:t>TYPE 2</w:t>
      </w:r>
    </w:p>
    <w:p w:rsidR="00E0476F" w:rsidRDefault="00E0476F" w:rsidP="00E0476F">
      <w:pPr>
        <w:ind w:left="2160" w:hanging="2160"/>
        <w:jc w:val="both"/>
        <w:rPr>
          <w:rFonts w:cs="Arial"/>
          <w:kern w:val="32"/>
          <w:szCs w:val="32"/>
        </w:rPr>
      </w:pPr>
    </w:p>
    <w:p w:rsidR="00E0476F" w:rsidRDefault="00E0476F" w:rsidP="00CC0623">
      <w:pPr>
        <w:ind w:left="1440" w:hanging="1440"/>
        <w:jc w:val="both"/>
      </w:pPr>
      <w:r w:rsidRPr="00701945">
        <w:rPr>
          <w:b/>
          <w:bCs/>
          <w:u w:val="single"/>
        </w:rPr>
        <w:t xml:space="preserve">ISSUE </w:t>
      </w:r>
      <w:r>
        <w:rPr>
          <w:b/>
          <w:bCs/>
          <w:u w:val="single"/>
        </w:rPr>
        <w:t>11</w:t>
      </w:r>
      <w:r w:rsidRPr="00701945">
        <w:rPr>
          <w:b/>
          <w:bCs/>
        </w:rPr>
        <w:t>:</w:t>
      </w:r>
      <w:r>
        <w:rPr>
          <w:b/>
          <w:bCs/>
        </w:rPr>
        <w:tab/>
      </w:r>
      <w:r w:rsidRPr="005A5FAB">
        <w:rPr>
          <w:b/>
        </w:rPr>
        <w:t>What is the annual percentage decrease for the base rate charges for the RS, GS, GSD and IS rate classes resulting from the TCJA?</w:t>
      </w:r>
    </w:p>
    <w:p w:rsidR="00E0476F" w:rsidRDefault="00E0476F" w:rsidP="00E0476F">
      <w:pPr>
        <w:jc w:val="both"/>
        <w:rPr>
          <w:b/>
          <w:bCs/>
        </w:rPr>
      </w:pPr>
    </w:p>
    <w:p w:rsidR="00E0476F" w:rsidRDefault="00E0476F" w:rsidP="00E0476F">
      <w:pPr>
        <w:ind w:left="2160" w:hanging="2160"/>
        <w:jc w:val="both"/>
        <w:rPr>
          <w:rFonts w:cs="Arial"/>
          <w:kern w:val="32"/>
          <w:szCs w:val="32"/>
        </w:rPr>
      </w:pPr>
      <w:r w:rsidRPr="007B326F">
        <w:rPr>
          <w:b/>
          <w:bCs/>
        </w:rPr>
        <w:t>S</w:t>
      </w:r>
      <w:r>
        <w:rPr>
          <w:b/>
          <w:bCs/>
        </w:rPr>
        <w:t>TIPULATION:</w:t>
      </w:r>
      <w:r>
        <w:rPr>
          <w:b/>
          <w:bCs/>
        </w:rPr>
        <w:tab/>
      </w:r>
      <w:r>
        <w:t>Consistent with the 2017 Agreement, the annual percentage decrease in the base rate charge for RS, GS, GSD, and IS rate classes resulting from the TCJA is 9.0 percent.</w:t>
      </w:r>
    </w:p>
    <w:p w:rsidR="00E0476F" w:rsidRDefault="00E0476F" w:rsidP="0049138F"/>
    <w:p w:rsidR="0049138F" w:rsidRPr="00DB1E4E" w:rsidRDefault="0049138F" w:rsidP="0049138F"/>
    <w:p w:rsidR="0049138F" w:rsidRPr="00477A10" w:rsidRDefault="0049138F" w:rsidP="0049138F">
      <w:pPr>
        <w:jc w:val="both"/>
        <w:rPr>
          <w:b/>
        </w:rPr>
      </w:pPr>
      <w:r w:rsidRPr="00477A10">
        <w:rPr>
          <w:b/>
        </w:rPr>
        <w:t>XI.</w:t>
      </w:r>
      <w:r w:rsidRPr="00477A10">
        <w:rPr>
          <w:b/>
        </w:rPr>
        <w:tab/>
      </w:r>
      <w:r w:rsidRPr="00477A10">
        <w:rPr>
          <w:b/>
          <w:u w:val="single"/>
        </w:rPr>
        <w:t>PENDING MOTIONS</w:t>
      </w:r>
    </w:p>
    <w:p w:rsidR="0049138F" w:rsidRPr="00701945" w:rsidRDefault="0049138F" w:rsidP="0049138F">
      <w:pPr>
        <w:jc w:val="both"/>
      </w:pPr>
    </w:p>
    <w:p w:rsidR="0049138F" w:rsidRDefault="0049138F" w:rsidP="0049138F">
      <w:pPr>
        <w:jc w:val="both"/>
      </w:pPr>
      <w:r>
        <w:tab/>
      </w:r>
      <w:r w:rsidR="008364CE">
        <w:t>None.</w:t>
      </w:r>
    </w:p>
    <w:p w:rsidR="0049138F" w:rsidRDefault="0049138F" w:rsidP="0049138F">
      <w:pPr>
        <w:jc w:val="both"/>
      </w:pPr>
    </w:p>
    <w:p w:rsidR="0049138F" w:rsidRPr="00701945" w:rsidRDefault="0049138F" w:rsidP="0049138F">
      <w:pPr>
        <w:jc w:val="both"/>
      </w:pPr>
    </w:p>
    <w:p w:rsidR="0049138F" w:rsidRPr="00477A10" w:rsidRDefault="0049138F" w:rsidP="0049138F">
      <w:pPr>
        <w:jc w:val="both"/>
        <w:rPr>
          <w:b/>
        </w:rPr>
      </w:pPr>
      <w:r w:rsidRPr="00477A10">
        <w:rPr>
          <w:b/>
        </w:rPr>
        <w:t>XII.</w:t>
      </w:r>
      <w:r w:rsidRPr="00477A10">
        <w:rPr>
          <w:b/>
        </w:rPr>
        <w:tab/>
      </w:r>
      <w:r w:rsidRPr="00477A10">
        <w:rPr>
          <w:b/>
          <w:u w:val="single"/>
        </w:rPr>
        <w:t>PENDING CONFIDENTIALITY MATTERS</w:t>
      </w:r>
    </w:p>
    <w:p w:rsidR="0049138F" w:rsidRDefault="0049138F" w:rsidP="0049138F">
      <w:pPr>
        <w:jc w:val="both"/>
      </w:pPr>
    </w:p>
    <w:p w:rsidR="0049138F" w:rsidRDefault="0049138F" w:rsidP="0049138F">
      <w:pPr>
        <w:jc w:val="both"/>
      </w:pPr>
      <w:r>
        <w:tab/>
      </w:r>
      <w:r w:rsidR="008364CE">
        <w:t>None.</w:t>
      </w:r>
    </w:p>
    <w:p w:rsidR="0049138F" w:rsidRDefault="0049138F" w:rsidP="0049138F">
      <w:pPr>
        <w:jc w:val="both"/>
      </w:pPr>
    </w:p>
    <w:p w:rsidR="0049138F" w:rsidRDefault="0049138F" w:rsidP="0049138F">
      <w:pPr>
        <w:jc w:val="both"/>
      </w:pPr>
    </w:p>
    <w:p w:rsidR="0049138F" w:rsidRPr="00477A10" w:rsidRDefault="0049138F" w:rsidP="0049138F">
      <w:pPr>
        <w:jc w:val="both"/>
        <w:rPr>
          <w:b/>
        </w:rPr>
      </w:pPr>
      <w:r w:rsidRPr="00477A10">
        <w:rPr>
          <w:b/>
        </w:rPr>
        <w:t>XIII.</w:t>
      </w:r>
      <w:r w:rsidRPr="00477A10">
        <w:rPr>
          <w:b/>
        </w:rPr>
        <w:tab/>
      </w:r>
      <w:r w:rsidRPr="00477A10">
        <w:rPr>
          <w:b/>
          <w:u w:val="single"/>
        </w:rPr>
        <w:t>POST-HEARING PROCEDURES</w:t>
      </w:r>
    </w:p>
    <w:p w:rsidR="0049138F" w:rsidRPr="00477A10" w:rsidRDefault="0049138F" w:rsidP="0049138F">
      <w:pPr>
        <w:jc w:val="both"/>
        <w:rPr>
          <w:b/>
        </w:rPr>
      </w:pPr>
    </w:p>
    <w:p w:rsidR="0049138F" w:rsidRPr="00701945" w:rsidRDefault="0049138F" w:rsidP="0049138F">
      <w:pPr>
        <w:jc w:val="both"/>
      </w:pPr>
      <w:r w:rsidRPr="00701945">
        <w:tab/>
      </w:r>
      <w:r>
        <w:t>If no bench decision is made, e</w:t>
      </w:r>
      <w:r w:rsidRPr="00701945">
        <w:t>ach party shall file a post-hearing statement of issues and positions.  A summary of</w:t>
      </w:r>
      <w:r>
        <w:t xml:space="preserve"> each position,</w:t>
      </w:r>
      <w:r w:rsidRPr="00701945">
        <w:t xml:space="preserve"> set off with asterisks, shall be included in that statement.  If a party's position has not cha</w:t>
      </w:r>
      <w:r>
        <w:t>nged since the issuance of this Prehearing O</w:t>
      </w:r>
      <w:r w:rsidRPr="00701945">
        <w:t>rder, the post-hearing statement may simply restate the prehearing position</w:t>
      </w:r>
      <w:r>
        <w:t>.</w:t>
      </w:r>
      <w:r w:rsidRPr="00701945">
        <w:t xml:space="preserve">  If a party fails to file a post-hearing statement, that party shall have waived all issues and may be dismissed from the proceeding.</w:t>
      </w:r>
    </w:p>
    <w:p w:rsidR="0049138F" w:rsidRPr="00701945" w:rsidRDefault="0049138F" w:rsidP="0049138F">
      <w:pPr>
        <w:jc w:val="both"/>
      </w:pPr>
    </w:p>
    <w:p w:rsidR="0049138F" w:rsidRPr="00701945" w:rsidRDefault="0049138F" w:rsidP="0049138F">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6B43C7">
        <w:t>40</w:t>
      </w:r>
      <w:r w:rsidRPr="00701945">
        <w:t xml:space="preserve"> pages</w:t>
      </w:r>
      <w:r>
        <w:rPr>
          <w:color w:val="FF0000"/>
        </w:rPr>
        <w:t xml:space="preserve"> </w:t>
      </w:r>
      <w:r w:rsidRPr="00701945">
        <w:t>and shall be filed at the same time.</w:t>
      </w:r>
    </w:p>
    <w:p w:rsidR="0049138F" w:rsidRDefault="0049138F" w:rsidP="0049138F">
      <w:pPr>
        <w:jc w:val="both"/>
      </w:pPr>
    </w:p>
    <w:p w:rsidR="0049138F" w:rsidRPr="00CC0623" w:rsidRDefault="0049138F" w:rsidP="0049138F"/>
    <w:p w:rsidR="0049138F" w:rsidRPr="00477A10" w:rsidRDefault="0049138F" w:rsidP="0049138F">
      <w:pPr>
        <w:rPr>
          <w:b/>
        </w:rPr>
      </w:pPr>
      <w:r w:rsidRPr="00477A10">
        <w:rPr>
          <w:b/>
        </w:rPr>
        <w:t>XIV.</w:t>
      </w:r>
      <w:r w:rsidRPr="00477A10">
        <w:rPr>
          <w:b/>
        </w:rPr>
        <w:tab/>
      </w:r>
      <w:r w:rsidRPr="00477A10">
        <w:rPr>
          <w:b/>
          <w:u w:val="single"/>
        </w:rPr>
        <w:t>RULINGS</w:t>
      </w:r>
    </w:p>
    <w:p w:rsidR="0049138F" w:rsidRPr="00477A10" w:rsidRDefault="0049138F" w:rsidP="0049138F">
      <w:pPr>
        <w:jc w:val="both"/>
        <w:rPr>
          <w:b/>
        </w:rPr>
      </w:pPr>
    </w:p>
    <w:p w:rsidR="0049138F" w:rsidRPr="00701945" w:rsidRDefault="0049138F" w:rsidP="0049138F">
      <w:pPr>
        <w:ind w:firstLine="720"/>
        <w:jc w:val="both"/>
      </w:pPr>
      <w:r w:rsidRPr="00701945">
        <w:t xml:space="preserve">Opening statements, if any, shall not exceed </w:t>
      </w:r>
      <w:r w:rsidR="007B302C">
        <w:t xml:space="preserve">5 </w:t>
      </w:r>
      <w:r w:rsidRPr="00701945">
        <w:t>minutes per party.</w:t>
      </w:r>
      <w:r>
        <w:t xml:space="preserve">  </w:t>
      </w:r>
    </w:p>
    <w:p w:rsidR="008364CE" w:rsidRDefault="008364CE" w:rsidP="0049138F">
      <w:pPr>
        <w:jc w:val="both"/>
      </w:pPr>
    </w:p>
    <w:p w:rsidR="0049138F" w:rsidRPr="00701945" w:rsidRDefault="0049138F" w:rsidP="0049138F">
      <w:pPr>
        <w:jc w:val="both"/>
      </w:pPr>
      <w:r>
        <w:tab/>
      </w:r>
      <w:r w:rsidRPr="00701945">
        <w:t>It is therefore,</w:t>
      </w:r>
      <w:r>
        <w:t xml:space="preserve"> hereby</w:t>
      </w:r>
    </w:p>
    <w:p w:rsidR="0049138F" w:rsidRPr="00701945" w:rsidRDefault="0049138F" w:rsidP="0049138F">
      <w:pPr>
        <w:jc w:val="both"/>
      </w:pPr>
    </w:p>
    <w:p w:rsidR="0049138F" w:rsidRPr="00701945" w:rsidRDefault="0049138F" w:rsidP="0049138F">
      <w:pPr>
        <w:jc w:val="both"/>
      </w:pPr>
      <w:r w:rsidRPr="00701945">
        <w:tab/>
        <w:t xml:space="preserve">ORDERED by Commissioner </w:t>
      </w:r>
      <w:r>
        <w:t>Julie I. Brown</w:t>
      </w:r>
      <w:r w:rsidRPr="00701945">
        <w:t>, as Prehearing Officer, that this Prehearing Order shall govern the conduct of these proceedings as set forth above unless modified by the Commission.</w:t>
      </w:r>
    </w:p>
    <w:p w:rsidR="0049138F" w:rsidRDefault="0049138F" w:rsidP="0049138F">
      <w:pPr>
        <w:pStyle w:val="CenterUnderline"/>
        <w:jc w:val="both"/>
        <w:rPr>
          <w:u w:val="none"/>
        </w:rPr>
      </w:pPr>
    </w:p>
    <w:p w:rsidR="002C49E1" w:rsidRDefault="002C49E1" w:rsidP="002C49E1">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AC2A7B">
        <w:t>14th</w:t>
      </w:r>
      <w:r w:rsidR="00AC2A7B">
        <w:rPr>
          <w:u w:val="none"/>
        </w:rPr>
        <w:t xml:space="preserve"> day of </w:t>
      </w:r>
      <w:r w:rsidR="00AC2A7B">
        <w:t>August</w:t>
      </w:r>
      <w:r w:rsidR="00AC2A7B">
        <w:rPr>
          <w:u w:val="none"/>
        </w:rPr>
        <w:t xml:space="preserve">, </w:t>
      </w:r>
      <w:r w:rsidR="00AC2A7B">
        <w:t>2018</w:t>
      </w:r>
      <w:r w:rsidR="00AC2A7B">
        <w:rPr>
          <w:u w:val="none"/>
        </w:rPr>
        <w:t>.</w:t>
      </w:r>
    </w:p>
    <w:p w:rsidR="00AC2A7B" w:rsidRPr="00AC2A7B" w:rsidRDefault="00AC2A7B" w:rsidP="002C49E1">
      <w:pPr>
        <w:pStyle w:val="CenterUnderline"/>
        <w:keepNext/>
        <w:keepLines/>
        <w:jc w:val="both"/>
        <w:rPr>
          <w:u w:val="none"/>
        </w:rPr>
      </w:pPr>
    </w:p>
    <w:p w:rsidR="002C49E1" w:rsidRDefault="002C49E1" w:rsidP="002C49E1">
      <w:pPr>
        <w:pStyle w:val="CenterUnderline"/>
        <w:keepNext/>
        <w:keepLines/>
        <w:jc w:val="both"/>
        <w:rPr>
          <w:u w:val="none"/>
        </w:rPr>
      </w:pPr>
    </w:p>
    <w:p w:rsidR="002C49E1" w:rsidRDefault="002C49E1" w:rsidP="002C49E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C49E1" w:rsidTr="002C49E1">
        <w:tc>
          <w:tcPr>
            <w:tcW w:w="720" w:type="dxa"/>
            <w:shd w:val="clear" w:color="auto" w:fill="auto"/>
          </w:tcPr>
          <w:p w:rsidR="002C49E1" w:rsidRDefault="002C49E1" w:rsidP="002C49E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C49E1" w:rsidRDefault="00AC2A7B" w:rsidP="002C49E1">
            <w:pPr>
              <w:pStyle w:val="CenterUnderline"/>
              <w:keepNext/>
              <w:keepLines/>
              <w:jc w:val="both"/>
              <w:rPr>
                <w:u w:val="none"/>
              </w:rPr>
            </w:pPr>
            <w:r>
              <w:rPr>
                <w:u w:val="none"/>
              </w:rPr>
              <w:t>/s/ Julie I. Brown</w:t>
            </w:r>
            <w:bookmarkStart w:id="7" w:name="_GoBack"/>
            <w:bookmarkEnd w:id="7"/>
          </w:p>
        </w:tc>
      </w:tr>
      <w:bookmarkEnd w:id="6"/>
      <w:tr w:rsidR="002C49E1" w:rsidTr="002C49E1">
        <w:tc>
          <w:tcPr>
            <w:tcW w:w="720" w:type="dxa"/>
            <w:shd w:val="clear" w:color="auto" w:fill="auto"/>
          </w:tcPr>
          <w:p w:rsidR="002C49E1" w:rsidRDefault="002C49E1" w:rsidP="002C49E1">
            <w:pPr>
              <w:pStyle w:val="CenterUnderline"/>
              <w:keepNext/>
              <w:keepLines/>
              <w:jc w:val="both"/>
              <w:rPr>
                <w:u w:val="none"/>
              </w:rPr>
            </w:pPr>
          </w:p>
        </w:tc>
        <w:tc>
          <w:tcPr>
            <w:tcW w:w="4320" w:type="dxa"/>
            <w:tcBorders>
              <w:top w:val="single" w:sz="4" w:space="0" w:color="auto"/>
            </w:tcBorders>
            <w:shd w:val="clear" w:color="auto" w:fill="auto"/>
          </w:tcPr>
          <w:p w:rsidR="002C49E1" w:rsidRDefault="002C49E1" w:rsidP="002C49E1">
            <w:pPr>
              <w:pStyle w:val="CenterUnderline"/>
              <w:keepNext/>
              <w:keepLines/>
              <w:jc w:val="both"/>
              <w:rPr>
                <w:u w:val="none"/>
              </w:rPr>
            </w:pPr>
            <w:r>
              <w:rPr>
                <w:u w:val="none"/>
              </w:rPr>
              <w:t>JULIE I. BROWN</w:t>
            </w:r>
          </w:p>
          <w:p w:rsidR="002C49E1" w:rsidRDefault="002C49E1" w:rsidP="002C49E1">
            <w:pPr>
              <w:pStyle w:val="CenterUnderline"/>
              <w:keepNext/>
              <w:keepLines/>
              <w:jc w:val="both"/>
              <w:rPr>
                <w:u w:val="none"/>
              </w:rPr>
            </w:pPr>
            <w:r>
              <w:rPr>
                <w:u w:val="none"/>
              </w:rPr>
              <w:t>Commissioner and Prehearing Officer</w:t>
            </w:r>
          </w:p>
        </w:tc>
      </w:tr>
    </w:tbl>
    <w:p w:rsidR="002C49E1" w:rsidRDefault="002C49E1" w:rsidP="002C49E1">
      <w:pPr>
        <w:pStyle w:val="OrderSigInfo"/>
        <w:keepNext/>
        <w:keepLines/>
      </w:pPr>
      <w:r>
        <w:t>Florida Public Service Commission</w:t>
      </w:r>
    </w:p>
    <w:p w:rsidR="002C49E1" w:rsidRDefault="002C49E1" w:rsidP="002C49E1">
      <w:pPr>
        <w:pStyle w:val="OrderSigInfo"/>
        <w:keepNext/>
        <w:keepLines/>
      </w:pPr>
      <w:r>
        <w:t>2540 Shumard Oak Boulevard</w:t>
      </w:r>
    </w:p>
    <w:p w:rsidR="002C49E1" w:rsidRDefault="002C49E1" w:rsidP="002C49E1">
      <w:pPr>
        <w:pStyle w:val="OrderSigInfo"/>
        <w:keepNext/>
        <w:keepLines/>
      </w:pPr>
      <w:r>
        <w:t>Tallahassee, Florida 32399</w:t>
      </w:r>
    </w:p>
    <w:p w:rsidR="002C49E1" w:rsidRDefault="002C49E1" w:rsidP="002C49E1">
      <w:pPr>
        <w:pStyle w:val="OrderSigInfo"/>
        <w:keepNext/>
        <w:keepLines/>
      </w:pPr>
      <w:r>
        <w:t>(850) 413</w:t>
      </w:r>
      <w:r>
        <w:noBreakHyphen/>
        <w:t>6770</w:t>
      </w:r>
    </w:p>
    <w:p w:rsidR="002C49E1" w:rsidRDefault="002C49E1" w:rsidP="002C49E1">
      <w:pPr>
        <w:pStyle w:val="OrderSigInfo"/>
        <w:keepNext/>
        <w:keepLines/>
      </w:pPr>
      <w:r>
        <w:t>www.floridapsc.com</w:t>
      </w:r>
    </w:p>
    <w:p w:rsidR="002C49E1" w:rsidRDefault="002C49E1" w:rsidP="002C49E1">
      <w:pPr>
        <w:pStyle w:val="OrderSigInfo"/>
        <w:keepNext/>
        <w:keepLines/>
      </w:pPr>
    </w:p>
    <w:p w:rsidR="002C49E1" w:rsidRDefault="002C49E1" w:rsidP="002C49E1">
      <w:pPr>
        <w:pStyle w:val="OrderSigInfo"/>
        <w:keepNext/>
        <w:keepLines/>
      </w:pPr>
      <w:r>
        <w:t>Copies furnished:  A copy of this document is provided to the parties of record at the time of issuance and, if applicable, interested persons.</w:t>
      </w:r>
    </w:p>
    <w:p w:rsidR="002C49E1" w:rsidRDefault="002C49E1" w:rsidP="002C49E1">
      <w:pPr>
        <w:pStyle w:val="OrderBody"/>
        <w:keepNext/>
        <w:keepLines/>
      </w:pPr>
    </w:p>
    <w:p w:rsidR="00CC0623" w:rsidRDefault="00CC0623" w:rsidP="002C49E1">
      <w:pPr>
        <w:pStyle w:val="OrderBody"/>
        <w:keepNext/>
        <w:keepLines/>
      </w:pPr>
    </w:p>
    <w:p w:rsidR="002C49E1" w:rsidRDefault="002C49E1" w:rsidP="002C49E1">
      <w:pPr>
        <w:pStyle w:val="CenterUnderline"/>
        <w:keepNext/>
        <w:keepLines/>
        <w:jc w:val="both"/>
        <w:rPr>
          <w:u w:val="none"/>
        </w:rPr>
      </w:pPr>
      <w:r>
        <w:rPr>
          <w:u w:val="none"/>
        </w:rPr>
        <w:t>SBr</w:t>
      </w:r>
    </w:p>
    <w:p w:rsidR="002C49E1" w:rsidRDefault="002C49E1" w:rsidP="002C49E1">
      <w:pPr>
        <w:pStyle w:val="CenterUnderline"/>
        <w:keepNext/>
        <w:keepLines/>
        <w:jc w:val="both"/>
        <w:rPr>
          <w:u w:val="none"/>
        </w:rPr>
      </w:pPr>
    </w:p>
    <w:p w:rsidR="00CC0623" w:rsidRDefault="00CC0623" w:rsidP="002C49E1">
      <w:pPr>
        <w:pStyle w:val="CenterUnderline"/>
        <w:keepNext/>
        <w:keepLines/>
        <w:jc w:val="both"/>
        <w:rPr>
          <w:u w:val="none"/>
        </w:rPr>
      </w:pPr>
    </w:p>
    <w:p w:rsidR="002C49E1" w:rsidRDefault="002C49E1" w:rsidP="002C49E1">
      <w:pPr>
        <w:pStyle w:val="CenterUnderline"/>
      </w:pPr>
      <w:r>
        <w:t>NOTICE OF FURTHER PROCEEDINGS OR JUDICIAL REVIEW</w:t>
      </w:r>
    </w:p>
    <w:p w:rsidR="002C49E1" w:rsidRDefault="002C49E1" w:rsidP="002C49E1">
      <w:pPr>
        <w:pStyle w:val="CenterUnderline"/>
      </w:pPr>
    </w:p>
    <w:p w:rsidR="002C49E1" w:rsidRDefault="002C49E1" w:rsidP="002C49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C49E1" w:rsidRDefault="002C49E1" w:rsidP="002C49E1">
      <w:pPr>
        <w:pStyle w:val="OrderBody"/>
      </w:pPr>
    </w:p>
    <w:p w:rsidR="002C49E1" w:rsidRDefault="002C49E1" w:rsidP="002C49E1">
      <w:pPr>
        <w:pStyle w:val="OrderBody"/>
      </w:pPr>
      <w:r>
        <w:tab/>
        <w:t>Mediation may be available on a case-by-case basis.  If mediation is conducted, it does not affect a substantially interested person's right to a hearing.</w:t>
      </w:r>
    </w:p>
    <w:p w:rsidR="002C49E1" w:rsidRDefault="002C49E1" w:rsidP="002C49E1">
      <w:pPr>
        <w:pStyle w:val="OrderBody"/>
      </w:pPr>
    </w:p>
    <w:p w:rsidR="002C49E1" w:rsidRDefault="002C49E1" w:rsidP="002C49E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C49E1">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AB" w:rsidRDefault="005A5FAB">
      <w:r>
        <w:separator/>
      </w:r>
    </w:p>
  </w:endnote>
  <w:endnote w:type="continuationSeparator" w:id="0">
    <w:p w:rsidR="005A5FAB" w:rsidRDefault="005A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AB" w:rsidRDefault="005A5FAB">
    <w:pPr>
      <w:pStyle w:val="Footer"/>
    </w:pPr>
  </w:p>
  <w:p w:rsidR="005A5FAB" w:rsidRDefault="005A5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AB" w:rsidRDefault="005A5FAB">
      <w:r>
        <w:separator/>
      </w:r>
    </w:p>
  </w:footnote>
  <w:footnote w:type="continuationSeparator" w:id="0">
    <w:p w:rsidR="005A5FAB" w:rsidRDefault="005A5FAB">
      <w:r>
        <w:continuationSeparator/>
      </w:r>
    </w:p>
  </w:footnote>
  <w:footnote w:id="1">
    <w:p w:rsidR="005A5FAB" w:rsidRDefault="005A5FAB">
      <w:pPr>
        <w:pStyle w:val="FootnoteText"/>
      </w:pPr>
      <w:r>
        <w:rPr>
          <w:rStyle w:val="FootnoteReference"/>
        </w:rPr>
        <w:footnoteRef/>
      </w:r>
      <w:r>
        <w:t xml:space="preserve"> Order Nos. PSC-2018-0300-PCO-EI and PSC-2018-0301-PCO-EI,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FAB" w:rsidRDefault="005A5FAB">
    <w:pPr>
      <w:pStyle w:val="OrderHeader"/>
    </w:pPr>
    <w:r>
      <w:t xml:space="preserve">ORDER NO. </w:t>
    </w:r>
    <w:fldSimple w:instr=" REF OrderNo0403 ">
      <w:r w:rsidR="00AC2A7B">
        <w:t>PSC-2018-0403-PHO-EI</w:t>
      </w:r>
    </w:fldSimple>
  </w:p>
  <w:p w:rsidR="005A5FAB" w:rsidRDefault="005A5FAB">
    <w:pPr>
      <w:pStyle w:val="OrderHeader"/>
    </w:pPr>
    <w:bookmarkStart w:id="8" w:name="HeaderDocketNo"/>
    <w:bookmarkEnd w:id="8"/>
    <w:r>
      <w:t>DOCKET NO. 20180045-EI</w:t>
    </w:r>
  </w:p>
  <w:p w:rsidR="005A5FAB" w:rsidRDefault="005A5FA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2A7B">
      <w:rPr>
        <w:rStyle w:val="PageNumber"/>
        <w:noProof/>
      </w:rPr>
      <w:t>15</w:t>
    </w:r>
    <w:r>
      <w:rPr>
        <w:rStyle w:val="PageNumber"/>
      </w:rPr>
      <w:fldChar w:fldCharType="end"/>
    </w:r>
  </w:p>
  <w:p w:rsidR="005A5FAB" w:rsidRDefault="005A5FAB">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5-EI"/>
  </w:docVars>
  <w:rsids>
    <w:rsidRoot w:val="0049138F"/>
    <w:rsid w:val="000022B8"/>
    <w:rsid w:val="00035A8C"/>
    <w:rsid w:val="00042528"/>
    <w:rsid w:val="00053AB9"/>
    <w:rsid w:val="00056229"/>
    <w:rsid w:val="00057AF1"/>
    <w:rsid w:val="000618D8"/>
    <w:rsid w:val="00065FC2"/>
    <w:rsid w:val="00067685"/>
    <w:rsid w:val="0007689E"/>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630"/>
    <w:rsid w:val="0012387E"/>
    <w:rsid w:val="00126593"/>
    <w:rsid w:val="00130071"/>
    <w:rsid w:val="0013652C"/>
    <w:rsid w:val="00142A96"/>
    <w:rsid w:val="001513DE"/>
    <w:rsid w:val="00154A71"/>
    <w:rsid w:val="00156D78"/>
    <w:rsid w:val="00187E32"/>
    <w:rsid w:val="00194E81"/>
    <w:rsid w:val="001A15E7"/>
    <w:rsid w:val="001A33C9"/>
    <w:rsid w:val="001A58F3"/>
    <w:rsid w:val="001C2847"/>
    <w:rsid w:val="001C3F8C"/>
    <w:rsid w:val="001C6097"/>
    <w:rsid w:val="001D008A"/>
    <w:rsid w:val="001D16BD"/>
    <w:rsid w:val="001E0152"/>
    <w:rsid w:val="001E0FF5"/>
    <w:rsid w:val="002002ED"/>
    <w:rsid w:val="002123CA"/>
    <w:rsid w:val="002170E5"/>
    <w:rsid w:val="00220D57"/>
    <w:rsid w:val="0022721A"/>
    <w:rsid w:val="00230BB9"/>
    <w:rsid w:val="00241CEF"/>
    <w:rsid w:val="0025124E"/>
    <w:rsid w:val="00252B30"/>
    <w:rsid w:val="002613E4"/>
    <w:rsid w:val="0026544B"/>
    <w:rsid w:val="00276CDC"/>
    <w:rsid w:val="00277655"/>
    <w:rsid w:val="00280056"/>
    <w:rsid w:val="002824B7"/>
    <w:rsid w:val="00282AC4"/>
    <w:rsid w:val="00286AE1"/>
    <w:rsid w:val="002A11AC"/>
    <w:rsid w:val="002A609F"/>
    <w:rsid w:val="002A6F30"/>
    <w:rsid w:val="002B3111"/>
    <w:rsid w:val="002C1B16"/>
    <w:rsid w:val="002C49E1"/>
    <w:rsid w:val="002C7908"/>
    <w:rsid w:val="002D391B"/>
    <w:rsid w:val="002D4B1F"/>
    <w:rsid w:val="002D7D15"/>
    <w:rsid w:val="002E1B2E"/>
    <w:rsid w:val="002E27EB"/>
    <w:rsid w:val="002F2A9D"/>
    <w:rsid w:val="002F31C2"/>
    <w:rsid w:val="00303FDE"/>
    <w:rsid w:val="003140E8"/>
    <w:rsid w:val="00317F39"/>
    <w:rsid w:val="003231C7"/>
    <w:rsid w:val="003270C4"/>
    <w:rsid w:val="003276C1"/>
    <w:rsid w:val="00331ED0"/>
    <w:rsid w:val="00332B0A"/>
    <w:rsid w:val="00333A41"/>
    <w:rsid w:val="00345434"/>
    <w:rsid w:val="0035495B"/>
    <w:rsid w:val="00355A93"/>
    <w:rsid w:val="00361522"/>
    <w:rsid w:val="0037196E"/>
    <w:rsid w:val="003744F5"/>
    <w:rsid w:val="00376F35"/>
    <w:rsid w:val="00387BDE"/>
    <w:rsid w:val="00390DD8"/>
    <w:rsid w:val="00394DC6"/>
    <w:rsid w:val="00397C3E"/>
    <w:rsid w:val="003B1A09"/>
    <w:rsid w:val="003D4CCA"/>
    <w:rsid w:val="003D52A6"/>
    <w:rsid w:val="003D6416"/>
    <w:rsid w:val="003E1D48"/>
    <w:rsid w:val="003E67A7"/>
    <w:rsid w:val="003F1D2B"/>
    <w:rsid w:val="00411DF2"/>
    <w:rsid w:val="00411E8F"/>
    <w:rsid w:val="0042527B"/>
    <w:rsid w:val="0045537F"/>
    <w:rsid w:val="00457DC7"/>
    <w:rsid w:val="00472BCC"/>
    <w:rsid w:val="00477675"/>
    <w:rsid w:val="0049138F"/>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69C8"/>
    <w:rsid w:val="0055595D"/>
    <w:rsid w:val="00556A10"/>
    <w:rsid w:val="00557ECB"/>
    <w:rsid w:val="00557F50"/>
    <w:rsid w:val="00571D3D"/>
    <w:rsid w:val="0058264B"/>
    <w:rsid w:val="005868AA"/>
    <w:rsid w:val="00586D35"/>
    <w:rsid w:val="00590845"/>
    <w:rsid w:val="00591BAC"/>
    <w:rsid w:val="005963C2"/>
    <w:rsid w:val="005A0D69"/>
    <w:rsid w:val="005A31F4"/>
    <w:rsid w:val="005A5FAB"/>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3E9D"/>
    <w:rsid w:val="006A0BF3"/>
    <w:rsid w:val="006B0DA6"/>
    <w:rsid w:val="006B43C7"/>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03C7"/>
    <w:rsid w:val="00777727"/>
    <w:rsid w:val="00782B79"/>
    <w:rsid w:val="007865E9"/>
    <w:rsid w:val="00792383"/>
    <w:rsid w:val="00794D5A"/>
    <w:rsid w:val="00794DD9"/>
    <w:rsid w:val="007A060F"/>
    <w:rsid w:val="007B302C"/>
    <w:rsid w:val="007C0FBC"/>
    <w:rsid w:val="007C36E3"/>
    <w:rsid w:val="007C7134"/>
    <w:rsid w:val="007D3D20"/>
    <w:rsid w:val="007D742E"/>
    <w:rsid w:val="007E3AFD"/>
    <w:rsid w:val="00801DAD"/>
    <w:rsid w:val="00803189"/>
    <w:rsid w:val="00804E7A"/>
    <w:rsid w:val="00805FBB"/>
    <w:rsid w:val="008169A4"/>
    <w:rsid w:val="008278FE"/>
    <w:rsid w:val="00832598"/>
    <w:rsid w:val="00833448"/>
    <w:rsid w:val="0083397E"/>
    <w:rsid w:val="0083534B"/>
    <w:rsid w:val="008364CE"/>
    <w:rsid w:val="00842602"/>
    <w:rsid w:val="00847B45"/>
    <w:rsid w:val="00863A66"/>
    <w:rsid w:val="008703D7"/>
    <w:rsid w:val="00874429"/>
    <w:rsid w:val="00883D9A"/>
    <w:rsid w:val="008919EF"/>
    <w:rsid w:val="00892B20"/>
    <w:rsid w:val="008A12EC"/>
    <w:rsid w:val="008B2BB7"/>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339"/>
    <w:rsid w:val="00926E27"/>
    <w:rsid w:val="00931C8C"/>
    <w:rsid w:val="0094504B"/>
    <w:rsid w:val="00964A38"/>
    <w:rsid w:val="00966A9D"/>
    <w:rsid w:val="0096742B"/>
    <w:rsid w:val="009924CF"/>
    <w:rsid w:val="00994100"/>
    <w:rsid w:val="009A6B17"/>
    <w:rsid w:val="009D4C29"/>
    <w:rsid w:val="009F08D0"/>
    <w:rsid w:val="009F6AD2"/>
    <w:rsid w:val="00A00D8D"/>
    <w:rsid w:val="00A01BB6"/>
    <w:rsid w:val="00A4303C"/>
    <w:rsid w:val="00A470FD"/>
    <w:rsid w:val="00A62DAB"/>
    <w:rsid w:val="00A6757A"/>
    <w:rsid w:val="00A726A6"/>
    <w:rsid w:val="00A74842"/>
    <w:rsid w:val="00A97535"/>
    <w:rsid w:val="00AA2BAA"/>
    <w:rsid w:val="00AA31A9"/>
    <w:rsid w:val="00AA73F1"/>
    <w:rsid w:val="00AB0E1A"/>
    <w:rsid w:val="00AB1A30"/>
    <w:rsid w:val="00AB3C36"/>
    <w:rsid w:val="00AC2A7B"/>
    <w:rsid w:val="00AD10EB"/>
    <w:rsid w:val="00AD1ED3"/>
    <w:rsid w:val="00B02001"/>
    <w:rsid w:val="00B03C50"/>
    <w:rsid w:val="00B0777D"/>
    <w:rsid w:val="00B11576"/>
    <w:rsid w:val="00B1195F"/>
    <w:rsid w:val="00B14D10"/>
    <w:rsid w:val="00B17BA9"/>
    <w:rsid w:val="00B209C7"/>
    <w:rsid w:val="00B3644F"/>
    <w:rsid w:val="00B4057A"/>
    <w:rsid w:val="00B40894"/>
    <w:rsid w:val="00B41039"/>
    <w:rsid w:val="00B425A3"/>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4432"/>
    <w:rsid w:val="00BF6691"/>
    <w:rsid w:val="00C028FC"/>
    <w:rsid w:val="00C037F2"/>
    <w:rsid w:val="00C0386D"/>
    <w:rsid w:val="00C065A1"/>
    <w:rsid w:val="00C10ED5"/>
    <w:rsid w:val="00C151A6"/>
    <w:rsid w:val="00C24098"/>
    <w:rsid w:val="00C30A4E"/>
    <w:rsid w:val="00C36477"/>
    <w:rsid w:val="00C411F3"/>
    <w:rsid w:val="00C44105"/>
    <w:rsid w:val="00C53201"/>
    <w:rsid w:val="00C55A33"/>
    <w:rsid w:val="00C66692"/>
    <w:rsid w:val="00C673B5"/>
    <w:rsid w:val="00C7063D"/>
    <w:rsid w:val="00C830BC"/>
    <w:rsid w:val="00C8524D"/>
    <w:rsid w:val="00C91123"/>
    <w:rsid w:val="00C92F62"/>
    <w:rsid w:val="00CA71FF"/>
    <w:rsid w:val="00CB5276"/>
    <w:rsid w:val="00CB5BFC"/>
    <w:rsid w:val="00CB68D7"/>
    <w:rsid w:val="00CC0623"/>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476F"/>
    <w:rsid w:val="00E07484"/>
    <w:rsid w:val="00E11351"/>
    <w:rsid w:val="00E169A6"/>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2FC3"/>
    <w:rsid w:val="00F038B0"/>
    <w:rsid w:val="00F06B1D"/>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2C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9138F"/>
    <w:pPr>
      <w:autoSpaceDE w:val="0"/>
      <w:autoSpaceDN w:val="0"/>
      <w:adjustRightInd w:val="0"/>
      <w:ind w:left="1440"/>
    </w:pPr>
    <w:rPr>
      <w:sz w:val="24"/>
      <w:szCs w:val="24"/>
    </w:rPr>
  </w:style>
  <w:style w:type="paragraph" w:styleId="BodyTextIndent">
    <w:name w:val="Body Text Indent"/>
    <w:basedOn w:val="Normal"/>
    <w:link w:val="BodyTextIndentChar"/>
    <w:rsid w:val="0049138F"/>
    <w:pPr>
      <w:ind w:left="720" w:hanging="720"/>
      <w:jc w:val="both"/>
    </w:pPr>
    <w:rPr>
      <w:rFonts w:ascii="Arial" w:hAnsi="Arial"/>
      <w:szCs w:val="20"/>
    </w:rPr>
  </w:style>
  <w:style w:type="character" w:customStyle="1" w:styleId="BodyTextIndentChar">
    <w:name w:val="Body Text Indent Char"/>
    <w:basedOn w:val="DefaultParagraphFont"/>
    <w:link w:val="BodyTextIndent"/>
    <w:rsid w:val="0049138F"/>
    <w:rPr>
      <w:rFonts w:ascii="Arial" w:hAnsi="Arial"/>
      <w:sz w:val="24"/>
    </w:rPr>
  </w:style>
  <w:style w:type="character" w:customStyle="1" w:styleId="FootnoteTextChar">
    <w:name w:val="Footnote Text Char"/>
    <w:link w:val="FootnoteText"/>
    <w:rsid w:val="0049138F"/>
  </w:style>
  <w:style w:type="paragraph" w:customStyle="1" w:styleId="IssueBody">
    <w:name w:val="Issue Body"/>
    <w:basedOn w:val="Normal"/>
    <w:rsid w:val="005A5FAB"/>
    <w:pPr>
      <w:spacing w:after="240"/>
      <w:ind w:left="1440"/>
      <w:jc w:val="both"/>
    </w:pPr>
    <w:rPr>
      <w:szCs w:val="20"/>
    </w:rPr>
  </w:style>
  <w:style w:type="paragraph" w:styleId="BalloonText">
    <w:name w:val="Balloon Text"/>
    <w:basedOn w:val="Normal"/>
    <w:link w:val="BalloonTextChar"/>
    <w:rsid w:val="00122630"/>
    <w:rPr>
      <w:rFonts w:ascii="Tahoma" w:hAnsi="Tahoma" w:cs="Tahoma"/>
      <w:sz w:val="16"/>
      <w:szCs w:val="16"/>
    </w:rPr>
  </w:style>
  <w:style w:type="character" w:customStyle="1" w:styleId="BalloonTextChar">
    <w:name w:val="Balloon Text Char"/>
    <w:basedOn w:val="DefaultParagraphFont"/>
    <w:link w:val="BalloonText"/>
    <w:rsid w:val="00122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9138F"/>
    <w:pPr>
      <w:autoSpaceDE w:val="0"/>
      <w:autoSpaceDN w:val="0"/>
      <w:adjustRightInd w:val="0"/>
      <w:ind w:left="1440"/>
    </w:pPr>
    <w:rPr>
      <w:sz w:val="24"/>
      <w:szCs w:val="24"/>
    </w:rPr>
  </w:style>
  <w:style w:type="paragraph" w:styleId="BodyTextIndent">
    <w:name w:val="Body Text Indent"/>
    <w:basedOn w:val="Normal"/>
    <w:link w:val="BodyTextIndentChar"/>
    <w:rsid w:val="0049138F"/>
    <w:pPr>
      <w:ind w:left="720" w:hanging="720"/>
      <w:jc w:val="both"/>
    </w:pPr>
    <w:rPr>
      <w:rFonts w:ascii="Arial" w:hAnsi="Arial"/>
      <w:szCs w:val="20"/>
    </w:rPr>
  </w:style>
  <w:style w:type="character" w:customStyle="1" w:styleId="BodyTextIndentChar">
    <w:name w:val="Body Text Indent Char"/>
    <w:basedOn w:val="DefaultParagraphFont"/>
    <w:link w:val="BodyTextIndent"/>
    <w:rsid w:val="0049138F"/>
    <w:rPr>
      <w:rFonts w:ascii="Arial" w:hAnsi="Arial"/>
      <w:sz w:val="24"/>
    </w:rPr>
  </w:style>
  <w:style w:type="character" w:customStyle="1" w:styleId="FootnoteTextChar">
    <w:name w:val="Footnote Text Char"/>
    <w:link w:val="FootnoteText"/>
    <w:rsid w:val="0049138F"/>
  </w:style>
  <w:style w:type="paragraph" w:customStyle="1" w:styleId="IssueBody">
    <w:name w:val="Issue Body"/>
    <w:basedOn w:val="Normal"/>
    <w:rsid w:val="005A5FAB"/>
    <w:pPr>
      <w:spacing w:after="240"/>
      <w:ind w:left="1440"/>
      <w:jc w:val="both"/>
    </w:pPr>
    <w:rPr>
      <w:szCs w:val="20"/>
    </w:rPr>
  </w:style>
  <w:style w:type="paragraph" w:styleId="BalloonText">
    <w:name w:val="Balloon Text"/>
    <w:basedOn w:val="Normal"/>
    <w:link w:val="BalloonTextChar"/>
    <w:rsid w:val="00122630"/>
    <w:rPr>
      <w:rFonts w:ascii="Tahoma" w:hAnsi="Tahoma" w:cs="Tahoma"/>
      <w:sz w:val="16"/>
      <w:szCs w:val="16"/>
    </w:rPr>
  </w:style>
  <w:style w:type="character" w:customStyle="1" w:styleId="BalloonTextChar">
    <w:name w:val="Balloon Text Char"/>
    <w:basedOn w:val="DefaultParagraphFont"/>
    <w:link w:val="BalloonText"/>
    <w:rsid w:val="00122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C7359-643F-40EE-B0D1-BB3C86E6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15</Pages>
  <Words>4358</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2018-08-14T14:16:00Z</dcterms:created>
  <dcterms:modified xsi:type="dcterms:W3CDTF">2018-08-14T14:32:00Z</dcterms:modified>
</cp:coreProperties>
</file>