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918A0">
            <w:pPr>
              <w:jc w:val="center"/>
            </w:pPr>
            <w:r>
              <w:rPr>
                <w:noProof/>
              </w:rPr>
              <w:drawing>
                <wp:inline distT="0" distB="0" distL="0" distR="0">
                  <wp:extent cx="923925" cy="914400"/>
                  <wp:effectExtent l="0" t="0" r="9525" b="0"/>
                  <wp:docPr id="3"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015D9" w:rsidP="008A09D5">
            <w:pPr>
              <w:pStyle w:val="MemoHeading"/>
            </w:pPr>
            <w:bookmarkStart w:id="1" w:name="FilingDate"/>
            <w:r>
              <w:t xml:space="preserve">August </w:t>
            </w:r>
            <w:r w:rsidR="008A09D5">
              <w:t>17</w:t>
            </w:r>
            <w:r w:rsidR="007A290B">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A290B" w:rsidRDefault="007A290B">
            <w:pPr>
              <w:pStyle w:val="MemoHeading"/>
            </w:pPr>
            <w:bookmarkStart w:id="2" w:name="From"/>
            <w:r>
              <w:t>Office of Industry Development and Market Analysis (Wooten, Bates, Long)</w:t>
            </w:r>
          </w:p>
          <w:p w:rsidR="007C0528" w:rsidRDefault="007A290B">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A290B">
            <w:pPr>
              <w:pStyle w:val="MemoHeadingRe"/>
            </w:pPr>
            <w:bookmarkStart w:id="3" w:name="Re"/>
            <w:r>
              <w:t>Docket No. 20180122-TP – 2019 State certification under 47 C.F.R.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290B" w:rsidP="00CC3606">
            <w:pPr>
              <w:pStyle w:val="MemoHeading"/>
            </w:pPr>
            <w:bookmarkStart w:id="4" w:name="AgendaDate"/>
            <w:r>
              <w:t>0</w:t>
            </w:r>
            <w:r w:rsidR="008A09D5">
              <w:t>8</w:t>
            </w:r>
            <w:r>
              <w:t>/</w:t>
            </w:r>
            <w:r w:rsidR="008A09D5">
              <w:t>29</w:t>
            </w:r>
            <w:r>
              <w:t>/18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A290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A290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A290B">
            <w:pPr>
              <w:pStyle w:val="MemoHeading"/>
            </w:pPr>
            <w:bookmarkStart w:id="9" w:name="CriticalDates"/>
            <w:r>
              <w:t>10/01/18</w:t>
            </w:r>
            <w:r w:rsidRPr="007A290B">
              <w:t xml:space="preserve"> (Filing deadline with Federal Communications Commission and Universal Service Administrative Company)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A290B">
            <w:pPr>
              <w:pStyle w:val="MemoHeading"/>
            </w:pPr>
            <w:bookmarkStart w:id="10" w:name="SpecialInstructions"/>
            <w:r>
              <w:t>None</w:t>
            </w:r>
            <w:bookmarkEnd w:id="10"/>
          </w:p>
        </w:tc>
      </w:tr>
    </w:tbl>
    <w:p w:rsidR="007C0528" w:rsidRDefault="007C0528">
      <w:pPr>
        <w:pStyle w:val="BodyText"/>
      </w:pPr>
    </w:p>
    <w:p w:rsidR="007C0528" w:rsidRDefault="007C0528" w:rsidP="00CC4BEC">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A290B" w:rsidRPr="007A290B" w:rsidRDefault="007A290B" w:rsidP="007A290B">
      <w:pPr>
        <w:pStyle w:val="BodyText"/>
      </w:pPr>
      <w:r w:rsidRPr="007A290B">
        <w:t xml:space="preserve">Section 254(e) of the Telecommunications Act of 1996, provides in part,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 </w:t>
      </w:r>
      <w:r w:rsidRPr="007A290B">
        <w:lastRenderedPageBreak/>
        <w:t xml:space="preserve">universal service goal by allowing eligible </w:t>
      </w:r>
      <w:r w:rsidR="00D90B33">
        <w:t xml:space="preserve">telecommunications </w:t>
      </w:r>
      <w:r w:rsidRPr="007A290B">
        <w:t xml:space="preserve">carriers </w:t>
      </w:r>
      <w:r w:rsidR="00D90B33">
        <w:t>(ETCs) that</w:t>
      </w:r>
      <w:r w:rsidRPr="007A290B">
        <w:t xml:space="preserve"> serve these areas to recover some of their costs from the federal Universal Service Fund.</w:t>
      </w:r>
    </w:p>
    <w:p w:rsidR="007A290B" w:rsidRPr="007A290B" w:rsidRDefault="007A290B" w:rsidP="007A290B">
      <w:pPr>
        <w:pStyle w:val="BodyText"/>
      </w:pPr>
      <w:r w:rsidRPr="007A290B">
        <w:t xml:space="preserve">Each Florida ETC filed </w:t>
      </w:r>
      <w:r w:rsidR="008A09D5">
        <w:t>an affidavit</w:t>
      </w:r>
      <w:r w:rsidRPr="007A290B">
        <w:t xml:space="preserve"> with the Florida Public Service Commission (Commission) </w:t>
      </w:r>
      <w:r w:rsidR="008A09D5">
        <w:t xml:space="preserve">attesting that funds received during the preceding </w:t>
      </w:r>
      <w:r w:rsidR="00671DA5">
        <w:t xml:space="preserve">calendar </w:t>
      </w:r>
      <w:r w:rsidR="008A09D5">
        <w:t xml:space="preserve">year and the upcoming </w:t>
      </w:r>
      <w:r w:rsidR="00671DA5">
        <w:t xml:space="preserve">calendar </w:t>
      </w:r>
      <w:r w:rsidR="008A09D5">
        <w:t xml:space="preserve">year will be used only </w:t>
      </w:r>
      <w:r w:rsidR="008A09D5" w:rsidRPr="007A290B">
        <w:t>for the provision, maintenance, and upgrading of facilities and services for which the support is intended</w:t>
      </w:r>
      <w:r w:rsidRPr="007A290B">
        <w:t>.</w:t>
      </w:r>
      <w:r w:rsidR="00D2182E">
        <w:t xml:space="preserve"> </w:t>
      </w:r>
      <w:r w:rsidRPr="007A290B">
        <w:t xml:space="preserve">Staff’s recommendation for certification affirms that the federal high-cost funds flowing to carriers in the state will be used in a manner that comports with Section 254(e) of the 1996 Telecommunications Act. Certification is defined by 47 C.F.R. §54.314(a) as follows: </w:t>
      </w:r>
    </w:p>
    <w:p w:rsidR="007A290B" w:rsidRPr="007A290B" w:rsidRDefault="007A290B" w:rsidP="00CC3606">
      <w:pPr>
        <w:pStyle w:val="BodyText"/>
        <w:ind w:left="720" w:right="720"/>
        <w:rPr>
          <w:u w:val="single"/>
        </w:rPr>
      </w:pPr>
      <w:r w:rsidRPr="007A290B">
        <w:rPr>
          <w:u w:val="single"/>
        </w:rPr>
        <w:t>Certification of support for eligible telecommunications carriers</w:t>
      </w:r>
    </w:p>
    <w:p w:rsidR="007A290B" w:rsidRPr="007A290B" w:rsidRDefault="007A290B" w:rsidP="00CC3606">
      <w:pPr>
        <w:pStyle w:val="BodyText"/>
        <w:ind w:left="720" w:right="720"/>
      </w:pPr>
      <w:r w:rsidRPr="007A290B">
        <w:t>(a)</w:t>
      </w:r>
      <w:r w:rsidRPr="007A290B">
        <w:tab/>
        <w:t>Certification. States that desire eligible telecommunications carriers to receive support pursuant to the high-cost program must file an annual certification with the Administrator</w:t>
      </w:r>
      <w:r w:rsidR="00E22CCF">
        <w:t xml:space="preserve"> [USAC]</w:t>
      </w:r>
      <w:r w:rsidRPr="007A290B">
        <w:t xml:space="preserve"> and the Commission</w:t>
      </w:r>
      <w:r w:rsidR="00E22CCF">
        <w:t xml:space="preserve"> [FCC]</w:t>
      </w:r>
      <w:r w:rsidRPr="007A290B">
        <w:t xml:space="preserve">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7A290B" w:rsidRPr="007A290B" w:rsidRDefault="007A290B" w:rsidP="007A290B">
      <w:pPr>
        <w:pStyle w:val="BodyText"/>
      </w:pPr>
      <w:r w:rsidRPr="007A290B">
        <w:t>In order for a carrier to be eligible for high-cost universal service support for all of calendar year 201</w:t>
      </w:r>
      <w:r w:rsidR="009C6EC5" w:rsidRPr="009C6EC5">
        <w:t>9</w:t>
      </w:r>
      <w:r w:rsidRPr="007A290B">
        <w:t>, certification must be submitted by the Commission by October 1, 201</w:t>
      </w:r>
      <w:r w:rsidR="009C6EC5" w:rsidRPr="009C6EC5">
        <w:t>8</w:t>
      </w:r>
      <w:r w:rsidRPr="007A290B">
        <w:t>.</w:t>
      </w:r>
      <w:r w:rsidRPr="007A290B">
        <w:rPr>
          <w:vertAlign w:val="superscript"/>
        </w:rPr>
        <w:footnoteReference w:id="1"/>
      </w:r>
      <w:r w:rsidRPr="007A290B">
        <w:t xml:space="preserve">  The certification may be filed </w:t>
      </w:r>
      <w:r w:rsidR="008A09D5">
        <w:t xml:space="preserve">online with USAC. After online certification is complete, the USAC website </w:t>
      </w:r>
      <w:r w:rsidR="00D2182E">
        <w:t>will generate</w:t>
      </w:r>
      <w:r w:rsidR="008A09D5">
        <w:t xml:space="preserve"> a letter that can be subsequently filed electronically with the FCC</w:t>
      </w:r>
      <w:r w:rsidR="008C4E9D">
        <w:t xml:space="preserve"> to comport with the requirements </w:t>
      </w:r>
      <w:r w:rsidR="008C0A04">
        <w:t>of</w:t>
      </w:r>
      <w:r w:rsidR="008C4E9D">
        <w:t xml:space="preserve"> </w:t>
      </w:r>
      <w:r w:rsidR="00091781">
        <w:t>47 C.F.R. §54.314(c). B</w:t>
      </w:r>
      <w:r w:rsidRPr="007A290B">
        <w:t xml:space="preserve">ased on prior support received by </w:t>
      </w:r>
      <w:r w:rsidR="008A09D5">
        <w:t xml:space="preserve">these </w:t>
      </w:r>
      <w:r w:rsidRPr="007A290B">
        <w:t xml:space="preserve">carriers in Florida, staff estimates that the amount of </w:t>
      </w:r>
      <w:r w:rsidR="008A09D5">
        <w:t>high-cost support</w:t>
      </w:r>
      <w:r w:rsidR="008A09D5" w:rsidRPr="007A290B">
        <w:t xml:space="preserve"> </w:t>
      </w:r>
      <w:r w:rsidR="008A09D5">
        <w:t xml:space="preserve">these </w:t>
      </w:r>
      <w:r w:rsidRPr="007A290B">
        <w:t>carriers will receive for 201</w:t>
      </w:r>
      <w:r w:rsidR="00E22CCF" w:rsidRPr="00E22CCF">
        <w:t>9</w:t>
      </w:r>
      <w:r w:rsidRPr="007A290B">
        <w:t xml:space="preserve"> will be approximately $</w:t>
      </w:r>
      <w:r w:rsidR="009C6EC5" w:rsidRPr="009C6EC5">
        <w:t>5</w:t>
      </w:r>
      <w:r w:rsidR="00D275D3">
        <w:t>8</w:t>
      </w:r>
      <w:r w:rsidRPr="007A290B">
        <w:t xml:space="preserve"> million.</w:t>
      </w:r>
      <w:r w:rsidR="00091781">
        <w:rPr>
          <w:rStyle w:val="FootnoteReference"/>
        </w:rPr>
        <w:footnoteReference w:id="2"/>
      </w:r>
      <w:r w:rsidRPr="007A290B">
        <w:t xml:space="preserve"> </w:t>
      </w:r>
    </w:p>
    <w:p w:rsidR="007A290B" w:rsidRPr="007A290B" w:rsidRDefault="007A290B" w:rsidP="007A290B">
      <w:pPr>
        <w:pStyle w:val="BodyText"/>
      </w:pPr>
    </w:p>
    <w:p w:rsidR="007A290B" w:rsidRPr="007A290B" w:rsidRDefault="007A290B" w:rsidP="007A290B">
      <w:pPr>
        <w:pStyle w:val="BodyText"/>
      </w:pP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A290B" w:rsidRPr="00CC3606" w:rsidRDefault="007A290B" w:rsidP="007A290B">
      <w:pPr>
        <w:pStyle w:val="BodyText"/>
        <w:rPr>
          <w:rFonts w:ascii="Arial" w:hAnsi="Arial" w:cs="Arial"/>
          <w:b/>
          <w:bCs/>
          <w:i/>
          <w:vanish/>
        </w:rPr>
      </w:pPr>
      <w:r w:rsidRPr="00CC3606">
        <w:rPr>
          <w:rFonts w:ascii="Arial" w:hAnsi="Arial" w:cs="Arial"/>
          <w:b/>
          <w:bCs/>
          <w:i/>
        </w:rPr>
        <w:t xml:space="preserve">Issue </w:t>
      </w:r>
      <w:r w:rsidRPr="00CC3606">
        <w:rPr>
          <w:rFonts w:ascii="Arial" w:hAnsi="Arial" w:cs="Arial"/>
          <w:b/>
          <w:bCs/>
          <w:i/>
        </w:rPr>
        <w:fldChar w:fldCharType="begin"/>
      </w:r>
      <w:r w:rsidRPr="00CC3606">
        <w:rPr>
          <w:rFonts w:ascii="Arial" w:hAnsi="Arial" w:cs="Arial"/>
          <w:b/>
          <w:bCs/>
          <w:i/>
        </w:rPr>
        <w:instrText xml:space="preserve"> SEQ Issue \* MERGEFORMAT </w:instrText>
      </w:r>
      <w:r w:rsidRPr="00CC3606">
        <w:rPr>
          <w:rFonts w:ascii="Arial" w:hAnsi="Arial" w:cs="Arial"/>
          <w:b/>
          <w:bCs/>
          <w:i/>
        </w:rPr>
        <w:fldChar w:fldCharType="separate"/>
      </w:r>
      <w:r w:rsidR="00B20C93">
        <w:rPr>
          <w:rFonts w:ascii="Arial" w:hAnsi="Arial" w:cs="Arial"/>
          <w:b/>
          <w:bCs/>
          <w:i/>
          <w:noProof/>
        </w:rPr>
        <w:t>1</w:t>
      </w:r>
      <w:r w:rsidRPr="00CC3606">
        <w:rPr>
          <w:rFonts w:ascii="Arial" w:hAnsi="Arial" w:cs="Arial"/>
        </w:rPr>
        <w:fldChar w:fldCharType="end"/>
      </w:r>
      <w:r w:rsidRPr="00CC3606">
        <w:rPr>
          <w:rFonts w:ascii="Arial" w:hAnsi="Arial" w:cs="Arial"/>
          <w:b/>
          <w:bCs/>
          <w:i/>
        </w:rPr>
        <w:t>:</w:t>
      </w:r>
      <w:r w:rsidRPr="00CC3606">
        <w:rPr>
          <w:rFonts w:ascii="Arial" w:hAnsi="Arial" w:cs="Arial"/>
          <w:b/>
          <w:bCs/>
          <w:i/>
        </w:rPr>
        <w:fldChar w:fldCharType="begin"/>
      </w:r>
      <w:r w:rsidRPr="00CC3606">
        <w:rPr>
          <w:rFonts w:ascii="Arial" w:hAnsi="Arial" w:cs="Arial"/>
          <w:b/>
          <w:bCs/>
          <w:i/>
        </w:rPr>
        <w:instrText xml:space="preserve"> TC "</w:instrText>
      </w:r>
      <w:r w:rsidRPr="00CC3606">
        <w:rPr>
          <w:rFonts w:ascii="Arial" w:hAnsi="Arial" w:cs="Arial"/>
          <w:b/>
          <w:bCs/>
          <w:i/>
        </w:rPr>
        <w:fldChar w:fldCharType="begin"/>
      </w:r>
      <w:r w:rsidRPr="00CC3606">
        <w:rPr>
          <w:rFonts w:ascii="Arial" w:hAnsi="Arial" w:cs="Arial"/>
          <w:b/>
          <w:bCs/>
          <w:i/>
        </w:rPr>
        <w:instrText xml:space="preserve"> SEQ issue \c </w:instrText>
      </w:r>
      <w:r w:rsidRPr="00CC3606">
        <w:rPr>
          <w:rFonts w:ascii="Arial" w:hAnsi="Arial" w:cs="Arial"/>
          <w:b/>
          <w:bCs/>
          <w:i/>
        </w:rPr>
        <w:fldChar w:fldCharType="separate"/>
      </w:r>
      <w:r w:rsidR="00B20C93">
        <w:rPr>
          <w:rFonts w:ascii="Arial" w:hAnsi="Arial" w:cs="Arial"/>
          <w:b/>
          <w:bCs/>
          <w:i/>
          <w:noProof/>
        </w:rPr>
        <w:instrText>1</w:instrText>
      </w:r>
      <w:r w:rsidRPr="00CC3606">
        <w:rPr>
          <w:rFonts w:ascii="Arial" w:hAnsi="Arial" w:cs="Arial"/>
        </w:rPr>
        <w:fldChar w:fldCharType="end"/>
      </w:r>
      <w:r w:rsidRPr="00CC3606">
        <w:rPr>
          <w:rFonts w:ascii="Arial" w:hAnsi="Arial" w:cs="Arial"/>
          <w:b/>
          <w:bCs/>
          <w:i/>
        </w:rPr>
        <w:tab/>
        <w:instrText xml:space="preserve">(Curry, Bates, Long)" \l 1 </w:instrText>
      </w:r>
      <w:r w:rsidRPr="00CC3606">
        <w:rPr>
          <w:rFonts w:ascii="Arial" w:hAnsi="Arial" w:cs="Arial"/>
          <w:b/>
          <w:bCs/>
          <w:i/>
        </w:rPr>
        <w:fldChar w:fldCharType="end"/>
      </w:r>
      <w:r w:rsidRPr="00CC3606">
        <w:rPr>
          <w:rFonts w:ascii="Arial" w:hAnsi="Arial" w:cs="Arial"/>
          <w:b/>
          <w:bCs/>
          <w:i/>
        </w:rPr>
        <w:t> </w:t>
      </w:r>
    </w:p>
    <w:p w:rsidR="007A290B" w:rsidRPr="00CC3606" w:rsidRDefault="007A290B" w:rsidP="00CC3606">
      <w:pPr>
        <w:pStyle w:val="BodyText"/>
        <w:numPr>
          <w:ilvl w:val="0"/>
          <w:numId w:val="1"/>
        </w:numPr>
        <w:tabs>
          <w:tab w:val="clear" w:pos="360"/>
          <w:tab w:val="num" w:pos="0"/>
        </w:tabs>
        <w:ind w:left="0" w:firstLine="0"/>
      </w:pPr>
      <w:r w:rsidRPr="00CC3606">
        <w:rPr>
          <w:rFonts w:ascii="Arial" w:hAnsi="Arial" w:cs="Arial"/>
        </w:rPr>
        <w:t> </w:t>
      </w:r>
      <w:r w:rsidR="00671DA5" w:rsidRPr="0093075A">
        <w:t xml:space="preserve">Should the Commission certify to </w:t>
      </w:r>
      <w:r w:rsidR="00671DA5" w:rsidRPr="00CC3606">
        <w:t>USAC and to the FCC</w:t>
      </w:r>
      <w:r w:rsidR="00D90B33">
        <w:t xml:space="preserve"> </w:t>
      </w:r>
      <w:r w:rsidR="00671DA5" w:rsidRPr="00CC3606">
        <w:t>that BellSouth Telecommunications, LLC d/b/a AT&amp;T Florida</w:t>
      </w:r>
      <w:r w:rsidR="00D275D3">
        <w:t xml:space="preserve"> d/b/a AT&amp;T Southeast</w:t>
      </w:r>
      <w:r w:rsidR="00671DA5" w:rsidRPr="00CC3606">
        <w:t xml:space="preserve">; Embarq Florida, Inc. d/b/a CenturyLink; Frontier Florida LLC; Frontier Communications of the South, LLC; GTC, Inc. d/b/a </w:t>
      </w:r>
      <w:r w:rsidR="00671DA5" w:rsidRPr="00CC3606">
        <w:rPr>
          <w:bCs/>
        </w:rPr>
        <w:t>Consolidated Communications/GTC</w:t>
      </w:r>
      <w:r w:rsidR="00671DA5" w:rsidRPr="00CC3606">
        <w:t xml:space="preserve">; ITS Telecommunications Systems, Inc.; Knology of Florida, Inc. d/b/a WOW! </w:t>
      </w:r>
      <w:r w:rsidR="00A8120F">
        <w:t>Internet, Cable</w:t>
      </w:r>
      <w:r w:rsidRPr="00CC3606">
        <w:t xml:space="preserve"> and Phone; Northeast Florida Telephone Company d/b/a NEFCOM; Quincy Telephone Company d/b/a TDS Telecom; Smart City Telecommunications LLC d/b/a Smart City</w:t>
      </w:r>
      <w:r w:rsidR="008C4E9D">
        <w:t xml:space="preserve"> Telecom</w:t>
      </w:r>
      <w:r w:rsidRPr="00CC3606">
        <w:t xml:space="preserve">; and Windstream Florida, </w:t>
      </w:r>
      <w:r w:rsidR="008C4E9D">
        <w:t>LLC</w:t>
      </w:r>
      <w:r w:rsidRPr="00CC3606">
        <w:t xml:space="preserve">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p>
    <w:p w:rsidR="007A290B" w:rsidRPr="00CC3606" w:rsidRDefault="007A290B" w:rsidP="007A290B">
      <w:pPr>
        <w:pStyle w:val="BodyText"/>
        <w:rPr>
          <w:rFonts w:ascii="Arial" w:hAnsi="Arial" w:cs="Arial"/>
          <w:b/>
          <w:bCs/>
          <w:i/>
          <w:iCs/>
          <w:vanish/>
        </w:rPr>
      </w:pPr>
      <w:r w:rsidRPr="00CC3606">
        <w:rPr>
          <w:rFonts w:ascii="Arial" w:hAnsi="Arial" w:cs="Arial"/>
          <w:b/>
          <w:bCs/>
          <w:i/>
          <w:iCs/>
        </w:rPr>
        <w:t>Recommendation: </w:t>
      </w:r>
    </w:p>
    <w:p w:rsidR="007A290B" w:rsidRPr="00CC3606" w:rsidRDefault="007A290B" w:rsidP="00CC3606">
      <w:pPr>
        <w:pStyle w:val="BodyText"/>
        <w:numPr>
          <w:ilvl w:val="0"/>
          <w:numId w:val="1"/>
        </w:numPr>
        <w:tabs>
          <w:tab w:val="clear" w:pos="360"/>
          <w:tab w:val="num" w:pos="0"/>
        </w:tabs>
        <w:ind w:left="0" w:firstLine="0"/>
      </w:pPr>
      <w:r w:rsidRPr="00CC3606">
        <w:rPr>
          <w:rFonts w:ascii="Arial" w:hAnsi="Arial" w:cs="Arial"/>
        </w:rPr>
        <w:t> </w:t>
      </w:r>
      <w:r w:rsidRPr="00CC3606">
        <w:t xml:space="preserve">Yes. The Commission should certify </w:t>
      </w:r>
      <w:r w:rsidR="002A0E0A" w:rsidRPr="00CC3606">
        <w:t>to USAC and to the FCC</w:t>
      </w:r>
      <w:r w:rsidRPr="00CC3606">
        <w:t xml:space="preserve"> that BellSouth Telecommunications, LLC d/b/a AT&amp;T Florida</w:t>
      </w:r>
      <w:r w:rsidR="008C4E9D">
        <w:t xml:space="preserve"> d/b/a AT&amp;T Southeast</w:t>
      </w:r>
      <w:r w:rsidRPr="00CC3606">
        <w:t xml:space="preserve">; Embarq Florida, Inc. d/b/a CenturyLink; Frontier Florida LLC; Frontier Communications of the South, LLC; GTC, Inc. d/b/a </w:t>
      </w:r>
      <w:r w:rsidR="009C6EC5" w:rsidRPr="00CC3606">
        <w:rPr>
          <w:bCs/>
        </w:rPr>
        <w:t xml:space="preserve">Consolidated </w:t>
      </w:r>
      <w:r w:rsidR="00B7441C" w:rsidRPr="00CC3606">
        <w:rPr>
          <w:bCs/>
        </w:rPr>
        <w:t>Communications</w:t>
      </w:r>
      <w:r w:rsidR="009C6EC5" w:rsidRPr="00CC3606">
        <w:rPr>
          <w:bCs/>
        </w:rPr>
        <w:t>/GTC</w:t>
      </w:r>
      <w:r w:rsidRPr="00CC3606">
        <w:t>; ITS Telecommunications Systems, Inc.; Knology of Florida, Inc. d/b/a WOW! Internet, Cable and Phone; Northeast Florida Telephone Company d/b/a NEFCOM; Quincy Telephone Company d/b/a TDS Telecom</w:t>
      </w:r>
      <w:r w:rsidR="00A8120F">
        <w:t>; Smart City Telecommunications</w:t>
      </w:r>
      <w:r w:rsidRPr="00CC3606">
        <w:t xml:space="preserve"> LLC d/b/a Smart City</w:t>
      </w:r>
      <w:r w:rsidR="008C4E9D">
        <w:t xml:space="preserve"> Telecom</w:t>
      </w:r>
      <w:r w:rsidRPr="00CC3606">
        <w:t xml:space="preserve">; and Windstream Florida, </w:t>
      </w:r>
      <w:r w:rsidR="008C4E9D">
        <w:t>LLC</w:t>
      </w:r>
      <w:r w:rsidRPr="00CC3606">
        <w:t xml:space="preserve">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t>
      </w:r>
      <w:r w:rsidR="009C6EC5" w:rsidRPr="00CC3606">
        <w:t>Wooten</w:t>
      </w:r>
      <w:r w:rsidRPr="00CC3606">
        <w:t xml:space="preserve">, Bates, Long) </w:t>
      </w:r>
    </w:p>
    <w:p w:rsidR="007A290B" w:rsidRPr="00CC3606" w:rsidRDefault="007A290B" w:rsidP="007A290B">
      <w:pPr>
        <w:pStyle w:val="BodyText"/>
        <w:rPr>
          <w:rFonts w:ascii="Arial" w:hAnsi="Arial" w:cs="Arial"/>
          <w:b/>
          <w:bCs/>
          <w:i/>
          <w:iCs/>
          <w:vanish/>
        </w:rPr>
      </w:pPr>
      <w:r w:rsidRPr="00CC3606">
        <w:rPr>
          <w:rFonts w:ascii="Arial" w:hAnsi="Arial" w:cs="Arial"/>
          <w:b/>
          <w:bCs/>
          <w:i/>
          <w:iCs/>
        </w:rPr>
        <w:t>Staff Analysis: </w:t>
      </w:r>
    </w:p>
    <w:p w:rsidR="007A290B" w:rsidRPr="00CC3606" w:rsidRDefault="007A290B" w:rsidP="00CC3606">
      <w:pPr>
        <w:pStyle w:val="BodyText"/>
        <w:numPr>
          <w:ilvl w:val="0"/>
          <w:numId w:val="1"/>
        </w:numPr>
        <w:tabs>
          <w:tab w:val="clear" w:pos="360"/>
          <w:tab w:val="num" w:pos="0"/>
        </w:tabs>
        <w:ind w:left="0" w:firstLine="0"/>
      </w:pPr>
      <w:r w:rsidRPr="007A290B">
        <w:t> </w:t>
      </w:r>
      <w:r w:rsidRPr="00CC3606">
        <w:t>Staff reviewed each of the carriers’</w:t>
      </w:r>
      <w:r w:rsidR="002A0E0A">
        <w:t xml:space="preserve"> affidavits and submissions to USAC</w:t>
      </w:r>
      <w:r w:rsidRPr="00CC3606">
        <w:t xml:space="preserve">.  </w:t>
      </w:r>
      <w:r w:rsidR="002A0E0A">
        <w:t>E</w:t>
      </w:r>
      <w:r w:rsidRPr="00CC3606">
        <w:t xml:space="preserve">ach of the Florida ETCs receiving high-cost support has certified that all federal high-cost support provided to them within Florida was used in the preceding calendar year and will be used in the coming calendar year only for the provision, maintenance, and upgrading of facilities and services for which the support is intended. </w:t>
      </w:r>
    </w:p>
    <w:p w:rsidR="007A290B" w:rsidRPr="007A290B" w:rsidRDefault="007A290B" w:rsidP="007A290B">
      <w:pPr>
        <w:pStyle w:val="BodyText"/>
      </w:pPr>
      <w:r w:rsidRPr="007A290B">
        <w:t xml:space="preserve">Previously, </w:t>
      </w:r>
      <w:r w:rsidR="00671DA5">
        <w:t>the Commission submitted certification to the FCC and USAC via USAC’s online portal coupled with a separate letter from the Chairman. However, USAC’s online certification process now generates a letter that can be used to file state certification at the FCC, making a separate letter from the Chairman unnecessary.</w:t>
      </w:r>
    </w:p>
    <w:p w:rsidR="007A290B" w:rsidRPr="007A290B" w:rsidRDefault="007A290B" w:rsidP="007A290B">
      <w:pPr>
        <w:pStyle w:val="BodyText"/>
      </w:pPr>
      <w:r w:rsidRPr="007A290B">
        <w:t xml:space="preserve">Having reviewed the ETCs’ filings, staff recommends that the Commission certify </w:t>
      </w:r>
      <w:r w:rsidR="002A0E0A" w:rsidRPr="00005F60">
        <w:t>to USAC and to the FCC, through USAC’s online portal and the FCC’s Electronic Comment Filing System</w:t>
      </w:r>
      <w:r w:rsidRPr="007A290B">
        <w:t>, that BellSouth Telecommunications, LLC d/b/a AT&amp;T Florida</w:t>
      </w:r>
      <w:r w:rsidR="00B7441C">
        <w:t xml:space="preserve"> d/b/a AT&amp;T Southeast</w:t>
      </w:r>
      <w:r w:rsidRPr="007A290B">
        <w:t xml:space="preserve">; Embarq Florida, Inc. d/b/a CenturyLink; Frontier Florida LLC; Frontier Communications of the South, LLC; GTC, Inc. d/b/a </w:t>
      </w:r>
      <w:r w:rsidR="009C6EC5" w:rsidRPr="009C6EC5">
        <w:rPr>
          <w:bCs/>
        </w:rPr>
        <w:t>Consolidated Communicat</w:t>
      </w:r>
      <w:r w:rsidR="00091781">
        <w:rPr>
          <w:bCs/>
        </w:rPr>
        <w:t>i</w:t>
      </w:r>
      <w:r w:rsidR="009C6EC5" w:rsidRPr="009C6EC5">
        <w:rPr>
          <w:bCs/>
        </w:rPr>
        <w:t>ons/GTC</w:t>
      </w:r>
      <w:r w:rsidRPr="007A290B">
        <w:t xml:space="preserve">; ITS Telecommunications Systems, Inc.; Knology of Florida, </w:t>
      </w:r>
      <w:r w:rsidR="00A8120F">
        <w:t>Inc. d/b/a WOW! Internet, Cable</w:t>
      </w:r>
      <w:r w:rsidRPr="007A290B">
        <w:t xml:space="preserve"> and Phone; Northeast Florida Telephone Company d/b/a NEFCOM; Quincy Telephone Company d/b/a TDS Telecom</w:t>
      </w:r>
      <w:r w:rsidR="00A8120F">
        <w:t>; Smart City Telecommunications</w:t>
      </w:r>
      <w:r w:rsidRPr="007A290B">
        <w:t xml:space="preserve"> LLC d/b/a Smart City</w:t>
      </w:r>
      <w:r w:rsidR="00B7441C">
        <w:t xml:space="preserve"> Telecom</w:t>
      </w:r>
      <w:r w:rsidRPr="007A290B">
        <w:t xml:space="preserve">; and Windstream Florida, </w:t>
      </w:r>
      <w:r w:rsidR="00B7441C">
        <w:t>LLC</w:t>
      </w:r>
      <w:r w:rsidRPr="007A290B">
        <w:t xml:space="preserve"> are eligible to receive federal high-cost support, that they have used the federal high-cost support in the preceding calendar year, and they will use the federal high-cost support they receive in the </w:t>
      </w:r>
      <w:r w:rsidRPr="007A290B">
        <w:lastRenderedPageBreak/>
        <w:t>coming calendar year only for the provision, maintenance, and upgrading of facilities and services for which the support is intended.</w:t>
      </w:r>
    </w:p>
    <w:p w:rsidR="007A290B" w:rsidRPr="00CC3606" w:rsidRDefault="007A290B" w:rsidP="007A290B">
      <w:pPr>
        <w:pStyle w:val="BodyText"/>
        <w:rPr>
          <w:rFonts w:ascii="Arial" w:hAnsi="Arial" w:cs="Arial"/>
          <w:b/>
          <w:bCs/>
          <w:i/>
          <w:vanish/>
        </w:rPr>
      </w:pPr>
      <w:r w:rsidRPr="007A290B">
        <w:rPr>
          <w:bCs/>
        </w:rPr>
        <w:br w:type="page"/>
      </w:r>
      <w:r w:rsidRPr="00CC3606">
        <w:rPr>
          <w:rFonts w:ascii="Arial" w:hAnsi="Arial" w:cs="Arial"/>
          <w:b/>
          <w:bCs/>
          <w:i/>
        </w:rPr>
        <w:lastRenderedPageBreak/>
        <w:t xml:space="preserve">Issue </w:t>
      </w:r>
      <w:r w:rsidRPr="00CC3606">
        <w:rPr>
          <w:rFonts w:ascii="Arial" w:hAnsi="Arial" w:cs="Arial"/>
          <w:b/>
          <w:bCs/>
          <w:i/>
        </w:rPr>
        <w:fldChar w:fldCharType="begin"/>
      </w:r>
      <w:r w:rsidRPr="00CC3606">
        <w:rPr>
          <w:rFonts w:ascii="Arial" w:hAnsi="Arial" w:cs="Arial"/>
          <w:b/>
          <w:bCs/>
          <w:i/>
        </w:rPr>
        <w:instrText xml:space="preserve"> SEQ Issue \* MERGEFORMAT </w:instrText>
      </w:r>
      <w:r w:rsidRPr="00CC3606">
        <w:rPr>
          <w:rFonts w:ascii="Arial" w:hAnsi="Arial" w:cs="Arial"/>
          <w:b/>
          <w:bCs/>
          <w:i/>
        </w:rPr>
        <w:fldChar w:fldCharType="separate"/>
      </w:r>
      <w:r w:rsidR="00B20C93">
        <w:rPr>
          <w:rFonts w:ascii="Arial" w:hAnsi="Arial" w:cs="Arial"/>
          <w:b/>
          <w:bCs/>
          <w:i/>
          <w:noProof/>
        </w:rPr>
        <w:t>2</w:t>
      </w:r>
      <w:r w:rsidRPr="00CC3606">
        <w:rPr>
          <w:rFonts w:ascii="Arial" w:hAnsi="Arial" w:cs="Arial"/>
        </w:rPr>
        <w:fldChar w:fldCharType="end"/>
      </w:r>
      <w:r w:rsidRPr="00CC3606">
        <w:rPr>
          <w:rFonts w:ascii="Arial" w:hAnsi="Arial" w:cs="Arial"/>
          <w:b/>
          <w:bCs/>
          <w:i/>
        </w:rPr>
        <w:t>:</w:t>
      </w:r>
      <w:r w:rsidRPr="00CC3606">
        <w:rPr>
          <w:rFonts w:ascii="Arial" w:hAnsi="Arial" w:cs="Arial"/>
          <w:b/>
          <w:bCs/>
          <w:i/>
        </w:rPr>
        <w:fldChar w:fldCharType="begin"/>
      </w:r>
      <w:r w:rsidRPr="00CC3606">
        <w:rPr>
          <w:rFonts w:ascii="Arial" w:hAnsi="Arial" w:cs="Arial"/>
          <w:b/>
          <w:bCs/>
          <w:i/>
        </w:rPr>
        <w:instrText xml:space="preserve"> TC "</w:instrText>
      </w:r>
      <w:r w:rsidRPr="00CC3606">
        <w:rPr>
          <w:rFonts w:ascii="Arial" w:hAnsi="Arial" w:cs="Arial"/>
          <w:b/>
          <w:bCs/>
          <w:i/>
        </w:rPr>
        <w:fldChar w:fldCharType="begin"/>
      </w:r>
      <w:r w:rsidRPr="00CC3606">
        <w:rPr>
          <w:rFonts w:ascii="Arial" w:hAnsi="Arial" w:cs="Arial"/>
          <w:b/>
          <w:bCs/>
          <w:i/>
        </w:rPr>
        <w:instrText xml:space="preserve"> SEQ issue \c </w:instrText>
      </w:r>
      <w:r w:rsidRPr="00CC3606">
        <w:rPr>
          <w:rFonts w:ascii="Arial" w:hAnsi="Arial" w:cs="Arial"/>
          <w:b/>
          <w:bCs/>
          <w:i/>
        </w:rPr>
        <w:fldChar w:fldCharType="separate"/>
      </w:r>
      <w:r w:rsidR="00B20C93">
        <w:rPr>
          <w:rFonts w:ascii="Arial" w:hAnsi="Arial" w:cs="Arial"/>
          <w:b/>
          <w:bCs/>
          <w:i/>
          <w:noProof/>
        </w:rPr>
        <w:instrText>2</w:instrText>
      </w:r>
      <w:r w:rsidRPr="00CC3606">
        <w:rPr>
          <w:rFonts w:ascii="Arial" w:hAnsi="Arial" w:cs="Arial"/>
        </w:rPr>
        <w:fldChar w:fldCharType="end"/>
      </w:r>
      <w:r w:rsidRPr="00CC3606">
        <w:rPr>
          <w:rFonts w:ascii="Arial" w:hAnsi="Arial" w:cs="Arial"/>
          <w:b/>
          <w:bCs/>
          <w:i/>
        </w:rPr>
        <w:tab/>
        <w:instrText xml:space="preserve">(Cuello, Murphy)" \l 1 </w:instrText>
      </w:r>
      <w:r w:rsidRPr="00CC3606">
        <w:rPr>
          <w:rFonts w:ascii="Arial" w:hAnsi="Arial" w:cs="Arial"/>
          <w:b/>
          <w:bCs/>
          <w:i/>
        </w:rPr>
        <w:fldChar w:fldCharType="end"/>
      </w:r>
      <w:r w:rsidRPr="00CC3606">
        <w:rPr>
          <w:rFonts w:ascii="Arial" w:hAnsi="Arial" w:cs="Arial"/>
          <w:b/>
          <w:bCs/>
          <w:i/>
        </w:rPr>
        <w:t> </w:t>
      </w:r>
    </w:p>
    <w:p w:rsidR="007A290B" w:rsidRPr="00CC3606" w:rsidRDefault="007A290B" w:rsidP="00CC3606">
      <w:pPr>
        <w:pStyle w:val="BodyText"/>
        <w:numPr>
          <w:ilvl w:val="0"/>
          <w:numId w:val="1"/>
        </w:numPr>
        <w:tabs>
          <w:tab w:val="clear" w:pos="360"/>
          <w:tab w:val="left" w:pos="0"/>
        </w:tabs>
        <w:ind w:left="0" w:firstLine="0"/>
      </w:pPr>
      <w:r w:rsidRPr="00CC3606">
        <w:rPr>
          <w:rFonts w:ascii="Arial" w:hAnsi="Arial" w:cs="Arial"/>
        </w:rPr>
        <w:t> </w:t>
      </w:r>
      <w:r w:rsidRPr="00CC3606">
        <w:t>Should this docket be closed?</w:t>
      </w:r>
    </w:p>
    <w:p w:rsidR="007A290B" w:rsidRPr="00CC3606" w:rsidRDefault="007A290B" w:rsidP="007A290B">
      <w:pPr>
        <w:pStyle w:val="BodyText"/>
        <w:rPr>
          <w:rFonts w:ascii="Arial" w:hAnsi="Arial" w:cs="Arial"/>
          <w:b/>
          <w:bCs/>
          <w:i/>
          <w:iCs/>
          <w:vanish/>
        </w:rPr>
      </w:pPr>
      <w:r w:rsidRPr="00CC3606">
        <w:rPr>
          <w:rFonts w:ascii="Arial" w:hAnsi="Arial" w:cs="Arial"/>
          <w:b/>
          <w:bCs/>
          <w:i/>
          <w:iCs/>
        </w:rPr>
        <w:t>Recommendation: </w:t>
      </w:r>
    </w:p>
    <w:p w:rsidR="007A290B" w:rsidRPr="007A290B" w:rsidRDefault="007A290B" w:rsidP="001B258C">
      <w:pPr>
        <w:pStyle w:val="BodyText"/>
      </w:pPr>
      <w:r w:rsidRPr="00CC3606">
        <w:rPr>
          <w:rFonts w:ascii="Arial" w:hAnsi="Arial" w:cs="Arial"/>
        </w:rPr>
        <w:t> </w:t>
      </w:r>
      <w:r w:rsidRPr="007A290B">
        <w:t xml:space="preserve">Yes. This docket should be closed upon issuance of a </w:t>
      </w:r>
      <w:r w:rsidR="001B258C">
        <w:t>Final</w:t>
      </w:r>
      <w:r w:rsidRPr="007A290B">
        <w:t xml:space="preserve"> Order. (Murphy)</w:t>
      </w:r>
    </w:p>
    <w:p w:rsidR="007A290B" w:rsidRPr="00CC3606" w:rsidRDefault="007A290B" w:rsidP="007A290B">
      <w:pPr>
        <w:pStyle w:val="BodyText"/>
        <w:rPr>
          <w:rFonts w:ascii="Arial" w:hAnsi="Arial" w:cs="Arial"/>
          <w:b/>
          <w:bCs/>
          <w:i/>
          <w:iCs/>
          <w:vanish/>
        </w:rPr>
      </w:pPr>
      <w:r w:rsidRPr="00CC3606">
        <w:rPr>
          <w:rFonts w:ascii="Arial" w:hAnsi="Arial" w:cs="Arial"/>
          <w:b/>
          <w:bCs/>
          <w:i/>
          <w:iCs/>
        </w:rPr>
        <w:t>Staff Analysis: </w:t>
      </w:r>
    </w:p>
    <w:p w:rsidR="007A290B" w:rsidRPr="00CC3606" w:rsidRDefault="007A290B" w:rsidP="00CC3606">
      <w:pPr>
        <w:pStyle w:val="BodyText"/>
        <w:numPr>
          <w:ilvl w:val="0"/>
          <w:numId w:val="1"/>
        </w:numPr>
        <w:tabs>
          <w:tab w:val="clear" w:pos="360"/>
          <w:tab w:val="num" w:pos="0"/>
        </w:tabs>
        <w:ind w:left="0" w:firstLine="0"/>
      </w:pPr>
      <w:r w:rsidRPr="00CC3606">
        <w:rPr>
          <w:rFonts w:ascii="Arial" w:hAnsi="Arial" w:cs="Arial"/>
        </w:rPr>
        <w:t> </w:t>
      </w:r>
      <w:r w:rsidRPr="00CC3606">
        <w:t xml:space="preserve">This docket should be closed upon issuance of a </w:t>
      </w:r>
      <w:r w:rsidR="001B258C" w:rsidRPr="00CC3606">
        <w:t>Final</w:t>
      </w:r>
      <w:r w:rsidR="00CC4BEC" w:rsidRPr="00CC3606">
        <w:t xml:space="preserve"> </w:t>
      </w:r>
      <w:r w:rsidRPr="00CC3606">
        <w:t>Order.</w:t>
      </w:r>
    </w:p>
    <w:p w:rsidR="00E06484" w:rsidRDefault="00E06484" w:rsidP="00CC3606">
      <w:pPr>
        <w:pStyle w:val="BodyText"/>
        <w:ind w:left="360"/>
      </w:pPr>
      <w:bookmarkStart w:id="17" w:name="currentDate"/>
      <w:bookmarkEnd w:id="17"/>
    </w:p>
    <w:sectPr w:rsidR="00E06484" w:rsidSect="00CC3606">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0B" w:rsidRDefault="007A290B">
      <w:r>
        <w:separator/>
      </w:r>
    </w:p>
  </w:endnote>
  <w:endnote w:type="continuationSeparator" w:id="0">
    <w:p w:rsidR="007A290B" w:rsidRDefault="007A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7B6A">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0B" w:rsidRDefault="007A290B">
      <w:r>
        <w:separator/>
      </w:r>
    </w:p>
  </w:footnote>
  <w:footnote w:type="continuationSeparator" w:id="0">
    <w:p w:rsidR="007A290B" w:rsidRDefault="007A290B">
      <w:r>
        <w:continuationSeparator/>
      </w:r>
    </w:p>
  </w:footnote>
  <w:footnote w:id="1">
    <w:p w:rsidR="007A290B" w:rsidRDefault="007A290B" w:rsidP="007A290B">
      <w:pPr>
        <w:pStyle w:val="FootnoteText"/>
      </w:pPr>
      <w:r>
        <w:rPr>
          <w:rStyle w:val="FootnoteReference"/>
        </w:rPr>
        <w:footnoteRef/>
      </w:r>
      <w:r>
        <w:t xml:space="preserve"> </w:t>
      </w:r>
      <w:proofErr w:type="gramStart"/>
      <w:r>
        <w:t>47 C.F.R §54.314(d</w:t>
      </w:r>
      <w:r w:rsidRPr="00340987">
        <w:t>)</w:t>
      </w:r>
      <w:r w:rsidR="00E4373C">
        <w:t>.</w:t>
      </w:r>
      <w:proofErr w:type="gramEnd"/>
    </w:p>
  </w:footnote>
  <w:footnote w:id="2">
    <w:p w:rsidR="00091781" w:rsidRDefault="00091781">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A290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20180122-TP</w:t>
    </w:r>
    <w:bookmarkEnd w:id="15"/>
  </w:p>
  <w:p w:rsidR="00BC402E" w:rsidRDefault="00BC402E">
    <w:pPr>
      <w:pStyle w:val="Header"/>
    </w:pPr>
    <w:r>
      <w:t xml:space="preserve">Date: </w:t>
    </w:r>
    <w:fldSimple w:instr=" REF FilingDate ">
      <w:r w:rsidR="00B20C93">
        <w:t>August 17,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4E" w:rsidRPr="0039693D" w:rsidRDefault="00355A8B" w:rsidP="00220732">
    <w:pPr>
      <w:pStyle w:val="Header"/>
    </w:pPr>
    <w:r w:rsidRPr="0039693D">
      <w:fldChar w:fldCharType="begin"/>
    </w:r>
    <w:r w:rsidRPr="0039693D">
      <w:instrText xml:space="preserve"> REF DocketLabel</w:instrText>
    </w:r>
    <w:r>
      <w:instrText xml:space="preserve"> \* MERGEFORMAT </w:instrText>
    </w:r>
    <w:r w:rsidRPr="0039693D">
      <w:fldChar w:fldCharType="separate"/>
    </w:r>
    <w:r w:rsidR="00B20C93">
      <w:t>Docket No.</w:t>
    </w:r>
    <w:r w:rsidRPr="0039693D">
      <w:fldChar w:fldCharType="end"/>
    </w:r>
    <w:r w:rsidRPr="0039693D">
      <w:t xml:space="preserve"> </w:t>
    </w:r>
    <w:r w:rsidR="00E53BE4">
      <w:fldChar w:fldCharType="begin"/>
    </w:r>
    <w:r w:rsidR="00E53BE4">
      <w:instrText xml:space="preserve"> REF DocketList \* MERGEFORMAT </w:instrText>
    </w:r>
    <w:r w:rsidR="00E53BE4">
      <w:fldChar w:fldCharType="separate"/>
    </w:r>
    <w:r w:rsidR="00B20C93">
      <w:t>20180122-TP</w:t>
    </w:r>
    <w:r w:rsidR="00E53BE4">
      <w:fldChar w:fldCharType="end"/>
    </w:r>
    <w:r w:rsidRPr="0039693D">
      <w:tab/>
      <w:t xml:space="preserve"> </w:t>
    </w:r>
  </w:p>
  <w:p w:rsidR="00355A8B" w:rsidRDefault="00355A8B" w:rsidP="00355A8B">
    <w:pPr>
      <w:pStyle w:val="Header"/>
    </w:pPr>
    <w:r w:rsidRPr="0039693D">
      <w:t xml:space="preserve">Date: </w:t>
    </w:r>
    <w:r w:rsidR="00E53BE4">
      <w:fldChar w:fldCharType="begin"/>
    </w:r>
    <w:r w:rsidR="00E53BE4">
      <w:instrText xml:space="preserve"> REF FilingDate  \* MERGEFORMAT </w:instrText>
    </w:r>
    <w:r w:rsidR="00E53BE4">
      <w:fldChar w:fldCharType="separate"/>
    </w:r>
    <w:r w:rsidR="00B20C93">
      <w:t>August 17, 2018</w:t>
    </w:r>
    <w:r w:rsidR="00E53BE4">
      <w:fldChar w:fldCharType="end"/>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F86E4CF6"/>
    <w:lvl w:ilvl="0">
      <w:start w:val="1"/>
      <w:numFmt w:val="bullet"/>
      <w:lvlText w:val=""/>
      <w:lvlJc w:val="left"/>
      <w:pPr>
        <w:tabs>
          <w:tab w:val="num" w:pos="360"/>
        </w:tabs>
        <w:ind w:left="360" w:hanging="360"/>
      </w:pPr>
      <w:rPr>
        <w:rFonts w:ascii="Symbol" w:hAnsi="Symbol" w:hint="default"/>
        <w:color w:val="FFFFFF" w:themeColor="background1"/>
      </w:rPr>
    </w:lvl>
  </w:abstractNum>
  <w:abstractNum w:abstractNumId="1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5F7972"/>
    <w:multiLevelType w:val="hybridMultilevel"/>
    <w:tmpl w:val="AE1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A290B"/>
    <w:rsid w:val="000043D5"/>
    <w:rsid w:val="00006170"/>
    <w:rsid w:val="00010E37"/>
    <w:rsid w:val="000172DA"/>
    <w:rsid w:val="000247C5"/>
    <w:rsid w:val="000277C2"/>
    <w:rsid w:val="00035B48"/>
    <w:rsid w:val="00036CE2"/>
    <w:rsid w:val="000400E9"/>
    <w:rsid w:val="000437FE"/>
    <w:rsid w:val="000513BE"/>
    <w:rsid w:val="00065A06"/>
    <w:rsid w:val="000666F3"/>
    <w:rsid w:val="00070DCB"/>
    <w:rsid w:val="00073120"/>
    <w:rsid w:val="000764D0"/>
    <w:rsid w:val="000828D3"/>
    <w:rsid w:val="00091781"/>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961EC"/>
    <w:rsid w:val="001A7406"/>
    <w:rsid w:val="001B258C"/>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A0E0A"/>
    <w:rsid w:val="002C6CB3"/>
    <w:rsid w:val="002D226D"/>
    <w:rsid w:val="002F6030"/>
    <w:rsid w:val="003037E1"/>
    <w:rsid w:val="00307E51"/>
    <w:rsid w:val="003103EC"/>
    <w:rsid w:val="003144EF"/>
    <w:rsid w:val="00322F74"/>
    <w:rsid w:val="00340073"/>
    <w:rsid w:val="00355A8B"/>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33F34"/>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1DA5"/>
    <w:rsid w:val="00673BDB"/>
    <w:rsid w:val="00674341"/>
    <w:rsid w:val="006771B8"/>
    <w:rsid w:val="006843B6"/>
    <w:rsid w:val="0068481F"/>
    <w:rsid w:val="006918A0"/>
    <w:rsid w:val="00696F5D"/>
    <w:rsid w:val="00697249"/>
    <w:rsid w:val="006B3947"/>
    <w:rsid w:val="006B4293"/>
    <w:rsid w:val="006B624F"/>
    <w:rsid w:val="006C0C95"/>
    <w:rsid w:val="006C31E3"/>
    <w:rsid w:val="006D18D3"/>
    <w:rsid w:val="006E08CB"/>
    <w:rsid w:val="006E598D"/>
    <w:rsid w:val="0070437D"/>
    <w:rsid w:val="00704CF1"/>
    <w:rsid w:val="00705B04"/>
    <w:rsid w:val="00714E8D"/>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290B"/>
    <w:rsid w:val="007C0528"/>
    <w:rsid w:val="007C3D38"/>
    <w:rsid w:val="007D0F35"/>
    <w:rsid w:val="007D4FEB"/>
    <w:rsid w:val="007D6146"/>
    <w:rsid w:val="007E0CE7"/>
    <w:rsid w:val="007F1193"/>
    <w:rsid w:val="007F417F"/>
    <w:rsid w:val="007F7644"/>
    <w:rsid w:val="008015D9"/>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09D5"/>
    <w:rsid w:val="008B62AE"/>
    <w:rsid w:val="008C04B5"/>
    <w:rsid w:val="008C0A04"/>
    <w:rsid w:val="008C14FA"/>
    <w:rsid w:val="008C4E9D"/>
    <w:rsid w:val="008C7B0B"/>
    <w:rsid w:val="008D4057"/>
    <w:rsid w:val="008D4EA3"/>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1ED9"/>
    <w:rsid w:val="009863B0"/>
    <w:rsid w:val="00987DE1"/>
    <w:rsid w:val="00990571"/>
    <w:rsid w:val="0099673A"/>
    <w:rsid w:val="009A3330"/>
    <w:rsid w:val="009A7C96"/>
    <w:rsid w:val="009B2F73"/>
    <w:rsid w:val="009C3DB9"/>
    <w:rsid w:val="009C6EC5"/>
    <w:rsid w:val="009D46E5"/>
    <w:rsid w:val="009D568A"/>
    <w:rsid w:val="009F04EC"/>
    <w:rsid w:val="009F2A7C"/>
    <w:rsid w:val="009F3B36"/>
    <w:rsid w:val="00A019B9"/>
    <w:rsid w:val="00A07B6A"/>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120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0C93"/>
    <w:rsid w:val="00B21A3C"/>
    <w:rsid w:val="00B223C0"/>
    <w:rsid w:val="00B234ED"/>
    <w:rsid w:val="00B249B2"/>
    <w:rsid w:val="00B25CA3"/>
    <w:rsid w:val="00B2765A"/>
    <w:rsid w:val="00B3109A"/>
    <w:rsid w:val="00B46A50"/>
    <w:rsid w:val="00B516ED"/>
    <w:rsid w:val="00B57A6A"/>
    <w:rsid w:val="00B7441C"/>
    <w:rsid w:val="00B760F1"/>
    <w:rsid w:val="00B7669E"/>
    <w:rsid w:val="00B77DA1"/>
    <w:rsid w:val="00B822A0"/>
    <w:rsid w:val="00B858AE"/>
    <w:rsid w:val="00B85964"/>
    <w:rsid w:val="00B96250"/>
    <w:rsid w:val="00BA0D55"/>
    <w:rsid w:val="00BA37B3"/>
    <w:rsid w:val="00BA4CC6"/>
    <w:rsid w:val="00BB3493"/>
    <w:rsid w:val="00BB539A"/>
    <w:rsid w:val="00BB7468"/>
    <w:rsid w:val="00BC188A"/>
    <w:rsid w:val="00BC402E"/>
    <w:rsid w:val="00BC4D59"/>
    <w:rsid w:val="00BD0F48"/>
    <w:rsid w:val="00BF5010"/>
    <w:rsid w:val="00C03D5F"/>
    <w:rsid w:val="00C13791"/>
    <w:rsid w:val="00C3026C"/>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606"/>
    <w:rsid w:val="00CC4BEC"/>
    <w:rsid w:val="00CE2BF8"/>
    <w:rsid w:val="00CE484E"/>
    <w:rsid w:val="00CE656F"/>
    <w:rsid w:val="00CF0DA8"/>
    <w:rsid w:val="00CF2E25"/>
    <w:rsid w:val="00CF4453"/>
    <w:rsid w:val="00CF5D94"/>
    <w:rsid w:val="00CF7E0F"/>
    <w:rsid w:val="00D034D7"/>
    <w:rsid w:val="00D04BE4"/>
    <w:rsid w:val="00D06FC7"/>
    <w:rsid w:val="00D12565"/>
    <w:rsid w:val="00D14127"/>
    <w:rsid w:val="00D2182E"/>
    <w:rsid w:val="00D275D3"/>
    <w:rsid w:val="00D60B16"/>
    <w:rsid w:val="00D60F02"/>
    <w:rsid w:val="00D66E49"/>
    <w:rsid w:val="00D70D71"/>
    <w:rsid w:val="00D72F74"/>
    <w:rsid w:val="00D81563"/>
    <w:rsid w:val="00D85907"/>
    <w:rsid w:val="00D9073E"/>
    <w:rsid w:val="00D90B33"/>
    <w:rsid w:val="00D9221D"/>
    <w:rsid w:val="00D958DF"/>
    <w:rsid w:val="00D96DA1"/>
    <w:rsid w:val="00DA51E7"/>
    <w:rsid w:val="00DB0260"/>
    <w:rsid w:val="00DB1C78"/>
    <w:rsid w:val="00DB7D96"/>
    <w:rsid w:val="00DC23FE"/>
    <w:rsid w:val="00DC59E6"/>
    <w:rsid w:val="00DC7027"/>
    <w:rsid w:val="00DD150B"/>
    <w:rsid w:val="00DD5025"/>
    <w:rsid w:val="00DD582F"/>
    <w:rsid w:val="00DF1510"/>
    <w:rsid w:val="00E02F1F"/>
    <w:rsid w:val="00E06484"/>
    <w:rsid w:val="00E20A7D"/>
    <w:rsid w:val="00E22CCF"/>
    <w:rsid w:val="00E275D8"/>
    <w:rsid w:val="00E30F6A"/>
    <w:rsid w:val="00E3117C"/>
    <w:rsid w:val="00E375CA"/>
    <w:rsid w:val="00E4373C"/>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23C1"/>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6E5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A290B"/>
    <w:rPr>
      <w:vertAlign w:val="superscript"/>
    </w:rPr>
  </w:style>
  <w:style w:type="character" w:styleId="FollowedHyperlink">
    <w:name w:val="FollowedHyperlink"/>
    <w:basedOn w:val="DefaultParagraphFont"/>
    <w:rsid w:val="007A290B"/>
    <w:rPr>
      <w:color w:val="800080" w:themeColor="followedHyperlink"/>
      <w:u w:val="single"/>
    </w:rPr>
  </w:style>
  <w:style w:type="character" w:styleId="EndnoteReference">
    <w:name w:val="endnote reference"/>
    <w:basedOn w:val="DefaultParagraphFont"/>
    <w:rsid w:val="000917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A290B"/>
    <w:rPr>
      <w:vertAlign w:val="superscript"/>
    </w:rPr>
  </w:style>
  <w:style w:type="character" w:styleId="FollowedHyperlink">
    <w:name w:val="FollowedHyperlink"/>
    <w:basedOn w:val="DefaultParagraphFont"/>
    <w:rsid w:val="007A290B"/>
    <w:rPr>
      <w:color w:val="800080" w:themeColor="followedHyperlink"/>
      <w:u w:val="single"/>
    </w:rPr>
  </w:style>
  <w:style w:type="character" w:styleId="EndnoteReference">
    <w:name w:val="endnote reference"/>
    <w:basedOn w:val="DefaultParagraphFont"/>
    <w:rsid w:val="00091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DC45-B3A5-4CA5-A061-E0EE91D0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1106</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Jacqueline Booksing</cp:lastModifiedBy>
  <cp:revision>2</cp:revision>
  <cp:lastPrinted>2018-08-16T16:52:00Z</cp:lastPrinted>
  <dcterms:created xsi:type="dcterms:W3CDTF">2018-08-17T14:32:00Z</dcterms:created>
  <dcterms:modified xsi:type="dcterms:W3CDTF">2018-08-17T14:32:00Z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20180122-TP</vt:lpwstr>
  </property>
  <property fmtid="{D5CDD505-2E9C-101B-9397-08002B2CF9AE}" pid="3" name="MasterDocument">
    <vt:bool>false</vt:bool>
  </property>
</Properties>
</file>