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36712" w:rsidP="00236712">
      <w:pPr>
        <w:pStyle w:val="OrderHeading"/>
      </w:pPr>
      <w:r>
        <w:t>BEFORE THE FLORIDA PUBLIC SERVICE COMMISSION</w:t>
      </w:r>
    </w:p>
    <w:p w:rsidR="00236712" w:rsidRDefault="00236712" w:rsidP="00236712">
      <w:pPr>
        <w:pStyle w:val="OrderBody"/>
      </w:pPr>
    </w:p>
    <w:p w:rsidR="00236712" w:rsidRDefault="00236712" w:rsidP="0023671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36712" w:rsidRPr="00C63FCF" w:rsidTr="00C63FCF">
        <w:trPr>
          <w:trHeight w:val="828"/>
        </w:trPr>
        <w:tc>
          <w:tcPr>
            <w:tcW w:w="4788" w:type="dxa"/>
            <w:tcBorders>
              <w:bottom w:val="nil"/>
              <w:right w:val="double" w:sz="6" w:space="0" w:color="auto"/>
            </w:tcBorders>
            <w:shd w:val="clear" w:color="auto" w:fill="auto"/>
          </w:tcPr>
          <w:p w:rsidR="00236712" w:rsidRDefault="00236712" w:rsidP="00C63FCF">
            <w:pPr>
              <w:pStyle w:val="OrderBody"/>
              <w:tabs>
                <w:tab w:val="center" w:pos="4320"/>
                <w:tab w:val="right" w:pos="8640"/>
              </w:tabs>
              <w:jc w:val="left"/>
            </w:pPr>
            <w:r>
              <w:t xml:space="preserve">In re: </w:t>
            </w:r>
            <w:bookmarkStart w:id="0" w:name="SMInRe"/>
            <w:bookmarkEnd w:id="0"/>
            <w:r>
              <w:t>Petition by Florida Power &amp; Light Company (FPL) for authority to charge FPL rates to former City of Vero Beach customers and for approval of FPL's accounting treatment for City of Vero Beach transaction.</w:t>
            </w:r>
          </w:p>
          <w:p w:rsidR="00236712" w:rsidRDefault="00236712"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236712" w:rsidRDefault="00236712" w:rsidP="00C63FCF">
            <w:pPr>
              <w:pStyle w:val="OrderBody"/>
              <w:tabs>
                <w:tab w:val="center" w:pos="4320"/>
                <w:tab w:val="right" w:pos="8640"/>
              </w:tabs>
              <w:jc w:val="left"/>
            </w:pPr>
            <w:r>
              <w:t xml:space="preserve">DOCKET NO. </w:t>
            </w:r>
            <w:bookmarkStart w:id="1" w:name="SMDocketNo"/>
            <w:bookmarkEnd w:id="1"/>
            <w:r>
              <w:t>20170235-EI</w:t>
            </w:r>
          </w:p>
        </w:tc>
      </w:tr>
      <w:tr w:rsidR="00236712" w:rsidRPr="00C63FCF" w:rsidTr="00C63FCF">
        <w:trPr>
          <w:trHeight w:val="828"/>
        </w:trPr>
        <w:tc>
          <w:tcPr>
            <w:tcW w:w="4788" w:type="dxa"/>
            <w:tcBorders>
              <w:top w:val="nil"/>
              <w:bottom w:val="single" w:sz="8" w:space="0" w:color="auto"/>
              <w:right w:val="double" w:sz="6" w:space="0" w:color="auto"/>
            </w:tcBorders>
            <w:shd w:val="clear" w:color="auto" w:fill="auto"/>
          </w:tcPr>
          <w:p w:rsidR="00236712" w:rsidRDefault="00236712" w:rsidP="00C63FCF">
            <w:pPr>
              <w:pStyle w:val="OrderBody"/>
              <w:tabs>
                <w:tab w:val="center" w:pos="4320"/>
                <w:tab w:val="right" w:pos="8640"/>
              </w:tabs>
              <w:jc w:val="left"/>
            </w:pPr>
            <w:r>
              <w:t>In re: Joint petition to terminate territorial agreement, by Florida Power &amp; Light and the City of Vero Beach.</w:t>
            </w:r>
          </w:p>
        </w:tc>
        <w:tc>
          <w:tcPr>
            <w:tcW w:w="4788" w:type="dxa"/>
            <w:tcBorders>
              <w:left w:val="double" w:sz="6" w:space="0" w:color="auto"/>
            </w:tcBorders>
            <w:shd w:val="clear" w:color="auto" w:fill="auto"/>
          </w:tcPr>
          <w:p w:rsidR="00236712" w:rsidRDefault="00236712" w:rsidP="00236712">
            <w:pPr>
              <w:pStyle w:val="OrderBody"/>
            </w:pPr>
            <w:r>
              <w:t xml:space="preserve">DOCKET NO. </w:t>
            </w:r>
            <w:bookmarkStart w:id="2" w:name="SMDocketNo2"/>
            <w:bookmarkEnd w:id="2"/>
            <w:r>
              <w:t>20170236-EU</w:t>
            </w:r>
          </w:p>
          <w:p w:rsidR="00236712" w:rsidRDefault="00236712" w:rsidP="00C63FCF">
            <w:pPr>
              <w:pStyle w:val="OrderBody"/>
              <w:tabs>
                <w:tab w:val="center" w:pos="4320"/>
                <w:tab w:val="right" w:pos="8640"/>
              </w:tabs>
              <w:jc w:val="left"/>
            </w:pPr>
            <w:r>
              <w:t xml:space="preserve">ORDER NO. </w:t>
            </w:r>
            <w:bookmarkStart w:id="3" w:name="OrderNo0445"/>
            <w:r w:rsidR="00E10CD1">
              <w:t>PSC-2018-0445-PCO-EU</w:t>
            </w:r>
            <w:bookmarkEnd w:id="3"/>
          </w:p>
          <w:p w:rsidR="00236712" w:rsidRDefault="00236712" w:rsidP="00C63FCF">
            <w:pPr>
              <w:pStyle w:val="OrderBody"/>
              <w:tabs>
                <w:tab w:val="center" w:pos="4320"/>
                <w:tab w:val="right" w:pos="8640"/>
              </w:tabs>
              <w:jc w:val="left"/>
            </w:pPr>
            <w:r>
              <w:t xml:space="preserve">ISSUED: </w:t>
            </w:r>
            <w:r w:rsidR="00E10CD1">
              <w:t>August 31, 2018</w:t>
            </w:r>
          </w:p>
          <w:p w:rsidR="00236712" w:rsidRDefault="00236712" w:rsidP="00C63FCF">
            <w:pPr>
              <w:pStyle w:val="OrderBody"/>
              <w:tabs>
                <w:tab w:val="center" w:pos="4320"/>
                <w:tab w:val="right" w:pos="8640"/>
              </w:tabs>
              <w:jc w:val="left"/>
            </w:pPr>
          </w:p>
        </w:tc>
      </w:tr>
    </w:tbl>
    <w:p w:rsidR="00236712" w:rsidRDefault="00236712" w:rsidP="00236712"/>
    <w:p w:rsidR="00236712" w:rsidRDefault="00236712" w:rsidP="00236712"/>
    <w:p w:rsidR="004E45F2" w:rsidRPr="00AE3596" w:rsidRDefault="00EE1446" w:rsidP="00236712">
      <w:pPr>
        <w:pStyle w:val="CenterUnderline"/>
        <w:rPr>
          <w:u w:val="none"/>
        </w:rPr>
      </w:pPr>
      <w:bookmarkStart w:id="4" w:name="Commissioners"/>
      <w:bookmarkEnd w:id="4"/>
      <w:r w:rsidRPr="00AE3596">
        <w:rPr>
          <w:u w:val="none"/>
        </w:rPr>
        <w:t>SECOND O</w:t>
      </w:r>
      <w:r w:rsidR="008D6043" w:rsidRPr="00AE3596">
        <w:rPr>
          <w:u w:val="none"/>
        </w:rPr>
        <w:t xml:space="preserve">RDER MODIFYING </w:t>
      </w:r>
      <w:r w:rsidR="004E45F2" w:rsidRPr="00AE3596">
        <w:rPr>
          <w:u w:val="none"/>
        </w:rPr>
        <w:t xml:space="preserve">ORDER </w:t>
      </w:r>
      <w:r w:rsidR="00577004" w:rsidRPr="00AE3596">
        <w:rPr>
          <w:u w:val="none"/>
        </w:rPr>
        <w:t>ESTABLISHING</w:t>
      </w:r>
      <w:r w:rsidR="004E45F2" w:rsidRPr="00AE3596">
        <w:rPr>
          <w:u w:val="none"/>
        </w:rPr>
        <w:t xml:space="preserve"> </w:t>
      </w:r>
      <w:r w:rsidR="008D6043" w:rsidRPr="00AE3596">
        <w:rPr>
          <w:u w:val="none"/>
        </w:rPr>
        <w:t xml:space="preserve">PROCEDURE </w:t>
      </w:r>
    </w:p>
    <w:p w:rsidR="00AE748E" w:rsidRDefault="00B20317" w:rsidP="00236712">
      <w:pPr>
        <w:pStyle w:val="CenterUnderline"/>
        <w:rPr>
          <w:u w:val="none"/>
        </w:rPr>
      </w:pPr>
      <w:r>
        <w:rPr>
          <w:u w:val="none"/>
        </w:rPr>
        <w:t>TO</w:t>
      </w:r>
      <w:r w:rsidR="008D6043" w:rsidRPr="00AE3596">
        <w:rPr>
          <w:u w:val="none"/>
        </w:rPr>
        <w:t xml:space="preserve"> ESTABLISH ADDITIONAL ISSUES FOR HEARING</w:t>
      </w:r>
      <w:r w:rsidR="00AE748E">
        <w:rPr>
          <w:u w:val="none"/>
        </w:rPr>
        <w:t xml:space="preserve"> AND </w:t>
      </w:r>
    </w:p>
    <w:p w:rsidR="00AE748E" w:rsidRPr="00AE3596" w:rsidRDefault="00B20317" w:rsidP="00236712">
      <w:pPr>
        <w:pStyle w:val="CenterUnderline"/>
        <w:rPr>
          <w:u w:val="none"/>
        </w:rPr>
      </w:pPr>
      <w:r>
        <w:rPr>
          <w:u w:val="none"/>
        </w:rPr>
        <w:t>TO</w:t>
      </w:r>
      <w:r w:rsidR="00FF4C81">
        <w:rPr>
          <w:u w:val="none"/>
        </w:rPr>
        <w:t xml:space="preserve"> </w:t>
      </w:r>
      <w:r w:rsidR="00AE748E">
        <w:rPr>
          <w:u w:val="none"/>
        </w:rPr>
        <w:t>PROVID</w:t>
      </w:r>
      <w:r>
        <w:rPr>
          <w:u w:val="none"/>
        </w:rPr>
        <w:t>E</w:t>
      </w:r>
      <w:r w:rsidR="00AE748E">
        <w:rPr>
          <w:u w:val="none"/>
        </w:rPr>
        <w:t xml:space="preserve"> FOR SWORN </w:t>
      </w:r>
      <w:r w:rsidR="00577004">
        <w:rPr>
          <w:u w:val="none"/>
        </w:rPr>
        <w:t>PUBLIC</w:t>
      </w:r>
      <w:r w:rsidR="00AE748E">
        <w:rPr>
          <w:u w:val="none"/>
        </w:rPr>
        <w:t xml:space="preserve"> TESTIMONY AT HEARING</w:t>
      </w:r>
    </w:p>
    <w:p w:rsidR="008D6043" w:rsidRDefault="008D6043" w:rsidP="00236712">
      <w:pPr>
        <w:pStyle w:val="CenterUnderline"/>
      </w:pPr>
      <w:r>
        <w:t xml:space="preserve"> </w:t>
      </w:r>
    </w:p>
    <w:p w:rsidR="00261CD7" w:rsidRDefault="00261CD7" w:rsidP="00261CD7">
      <w:pPr>
        <w:pStyle w:val="CenterUnderline"/>
        <w:jc w:val="both"/>
        <w:rPr>
          <w:u w:val="none"/>
        </w:rPr>
      </w:pPr>
    </w:p>
    <w:p w:rsidR="00E836A5" w:rsidRPr="00E836A5" w:rsidRDefault="00F3646B" w:rsidP="00E836A5">
      <w:pPr>
        <w:keepNext/>
        <w:widowControl w:val="0"/>
        <w:overflowPunct w:val="0"/>
        <w:autoSpaceDE w:val="0"/>
        <w:autoSpaceDN w:val="0"/>
        <w:adjustRightInd w:val="0"/>
        <w:spacing w:line="260" w:lineRule="atLeast"/>
        <w:jc w:val="both"/>
        <w:textAlignment w:val="baseline"/>
        <w:rPr>
          <w:noProof/>
          <w:color w:val="000000"/>
        </w:rPr>
      </w:pPr>
      <w:r>
        <w:tab/>
      </w:r>
      <w:r w:rsidRPr="00E836A5">
        <w:t xml:space="preserve">This Order is issued pursuant to Rule 28-106.211, Florida </w:t>
      </w:r>
      <w:r w:rsidR="007F4C13">
        <w:t>A</w:t>
      </w:r>
      <w:r w:rsidRPr="00E836A5">
        <w:t>dministrative Code</w:t>
      </w:r>
      <w:r w:rsidR="00E836A5" w:rsidRPr="00E836A5">
        <w:t>, which authorize</w:t>
      </w:r>
      <w:r w:rsidR="00757463">
        <w:t>s</w:t>
      </w:r>
      <w:r w:rsidR="00E836A5" w:rsidRPr="00E836A5">
        <w:t xml:space="preserve"> the </w:t>
      </w:r>
      <w:r w:rsidR="00E836A5" w:rsidRPr="00E836A5">
        <w:rPr>
          <w:noProof/>
          <w:color w:val="000000"/>
        </w:rPr>
        <w:t>presiding officer to issue any orders necessary to effectuate discovery, to prevent delay, and to promote the just, speedy, and inexpensive determination of all aspects of the case.</w:t>
      </w:r>
    </w:p>
    <w:p w:rsidR="0021110C" w:rsidRDefault="0021110C" w:rsidP="00236712">
      <w:pPr>
        <w:pStyle w:val="CenterUnderline"/>
        <w:jc w:val="left"/>
        <w:rPr>
          <w:i/>
          <w:u w:val="none"/>
        </w:rPr>
      </w:pPr>
    </w:p>
    <w:p w:rsidR="00AE748E" w:rsidRPr="00FF4C81" w:rsidRDefault="00AB4C84" w:rsidP="00236712">
      <w:pPr>
        <w:pStyle w:val="CenterUnderline"/>
        <w:jc w:val="left"/>
        <w:rPr>
          <w:b/>
          <w:i/>
          <w:u w:val="none"/>
        </w:rPr>
      </w:pPr>
      <w:r w:rsidRPr="00FF4C81">
        <w:rPr>
          <w:b/>
          <w:i/>
          <w:u w:val="none"/>
        </w:rPr>
        <w:t>I</w:t>
      </w:r>
      <w:r w:rsidR="0021110C" w:rsidRPr="00FF4C81">
        <w:rPr>
          <w:b/>
          <w:i/>
          <w:u w:val="none"/>
        </w:rPr>
        <w:t>s</w:t>
      </w:r>
      <w:r w:rsidRPr="00FF4C81">
        <w:rPr>
          <w:b/>
          <w:i/>
          <w:u w:val="none"/>
        </w:rPr>
        <w:t xml:space="preserve">sues for Hearing </w:t>
      </w:r>
    </w:p>
    <w:p w:rsidR="00AE748E" w:rsidRDefault="00AE748E" w:rsidP="00236712">
      <w:pPr>
        <w:pStyle w:val="CenterUnderline"/>
        <w:jc w:val="left"/>
        <w:rPr>
          <w:i/>
          <w:u w:val="none"/>
        </w:rPr>
      </w:pPr>
    </w:p>
    <w:p w:rsidR="007C2802" w:rsidRPr="007C2802" w:rsidRDefault="001D5365" w:rsidP="007C2802">
      <w:pPr>
        <w:jc w:val="both"/>
        <w:rPr>
          <w:color w:val="1F497D"/>
        </w:rPr>
      </w:pPr>
      <w:r>
        <w:tab/>
      </w:r>
      <w:r w:rsidR="007C2802">
        <w:t xml:space="preserve">The issues for hearing are set forth in </w:t>
      </w:r>
      <w:r w:rsidR="00DA413F">
        <w:t>A</w:t>
      </w:r>
      <w:r w:rsidR="007C2802">
        <w:t xml:space="preserve">ttachment </w:t>
      </w:r>
      <w:r w:rsidR="002C3EDF">
        <w:t>A</w:t>
      </w:r>
      <w:r w:rsidR="007C2802">
        <w:t xml:space="preserve"> of this Order. There appears to be agreement on the inclusion of all issues except </w:t>
      </w:r>
      <w:r w:rsidR="007C2802" w:rsidRPr="007C2802">
        <w:t>issues 2, 3, 4, 10</w:t>
      </w:r>
      <w:r w:rsidR="007C2802">
        <w:t>,</w:t>
      </w:r>
      <w:r w:rsidR="007C2802" w:rsidRPr="007C2802">
        <w:t xml:space="preserve"> and 14</w:t>
      </w:r>
      <w:r w:rsidR="001A23BF">
        <w:t>,</w:t>
      </w:r>
      <w:r w:rsidR="007C2802">
        <w:t xml:space="preserve"> which are opposed by FPL. Consistent with Section III of the Order Establishing Procedure, the issues will be finalized during the prehearing conference.  </w:t>
      </w:r>
    </w:p>
    <w:p w:rsidR="008B4376" w:rsidRDefault="008B4376" w:rsidP="00236712">
      <w:pPr>
        <w:pStyle w:val="CenterUnderline"/>
        <w:jc w:val="left"/>
        <w:rPr>
          <w:b/>
          <w:i/>
          <w:u w:val="none"/>
        </w:rPr>
      </w:pPr>
    </w:p>
    <w:p w:rsidR="00AB4C84" w:rsidRPr="00FF4C81" w:rsidRDefault="00AB4C84" w:rsidP="00236712">
      <w:pPr>
        <w:pStyle w:val="CenterUnderline"/>
        <w:jc w:val="left"/>
        <w:rPr>
          <w:b/>
          <w:i/>
          <w:u w:val="none"/>
        </w:rPr>
      </w:pPr>
      <w:r w:rsidRPr="00FF4C81">
        <w:rPr>
          <w:b/>
          <w:i/>
          <w:u w:val="none"/>
        </w:rPr>
        <w:t xml:space="preserve">Sworn Public Testimony </w:t>
      </w:r>
    </w:p>
    <w:p w:rsidR="00236712" w:rsidRDefault="00236712" w:rsidP="00236712">
      <w:pPr>
        <w:pStyle w:val="CenterUnderline"/>
        <w:jc w:val="left"/>
        <w:rPr>
          <w:b/>
          <w:u w:val="none"/>
        </w:rPr>
      </w:pPr>
    </w:p>
    <w:p w:rsidR="001D5365" w:rsidRPr="000B2049" w:rsidRDefault="001D5365" w:rsidP="001D5365">
      <w:pPr>
        <w:pStyle w:val="CenterUnderline"/>
        <w:jc w:val="both"/>
        <w:rPr>
          <w:u w:val="none"/>
        </w:rPr>
      </w:pPr>
      <w:r>
        <w:rPr>
          <w:b/>
          <w:u w:val="none"/>
        </w:rPr>
        <w:tab/>
      </w:r>
      <w:r w:rsidRPr="001D5365">
        <w:rPr>
          <w:u w:val="none"/>
        </w:rPr>
        <w:t>In addition to prefiled testimony made by parties to this proceeding,</w:t>
      </w:r>
      <w:r>
        <w:rPr>
          <w:b/>
          <w:u w:val="none"/>
        </w:rPr>
        <w:t xml:space="preserve"> s</w:t>
      </w:r>
      <w:r w:rsidRPr="001D5365">
        <w:rPr>
          <w:u w:val="none"/>
        </w:rPr>
        <w:t xml:space="preserve">worn public </w:t>
      </w:r>
      <w:r>
        <w:rPr>
          <w:u w:val="none"/>
        </w:rPr>
        <w:t xml:space="preserve">testimony </w:t>
      </w:r>
      <w:r w:rsidR="007F31A9">
        <w:rPr>
          <w:u w:val="none"/>
        </w:rPr>
        <w:t xml:space="preserve">by individuals who are not parties </w:t>
      </w:r>
      <w:r>
        <w:rPr>
          <w:u w:val="none"/>
        </w:rPr>
        <w:t>shall be taken at the hearing in these dockets. Th</w:t>
      </w:r>
      <w:r w:rsidR="000B2049">
        <w:rPr>
          <w:u w:val="none"/>
        </w:rPr>
        <w:t xml:space="preserve">ose providing sworn public </w:t>
      </w:r>
      <w:r w:rsidR="006C584B">
        <w:rPr>
          <w:u w:val="none"/>
        </w:rPr>
        <w:t>testimony shall</w:t>
      </w:r>
      <w:r>
        <w:rPr>
          <w:u w:val="none"/>
        </w:rPr>
        <w:t xml:space="preserve"> </w:t>
      </w:r>
      <w:r w:rsidR="00577004">
        <w:rPr>
          <w:u w:val="none"/>
        </w:rPr>
        <w:t>be subject</w:t>
      </w:r>
      <w:r>
        <w:rPr>
          <w:u w:val="none"/>
        </w:rPr>
        <w:t xml:space="preserve"> to cross examination by the parties</w:t>
      </w:r>
      <w:r w:rsidR="001A23BF">
        <w:rPr>
          <w:u w:val="none"/>
        </w:rPr>
        <w:t>,</w:t>
      </w:r>
      <w:r w:rsidR="000B2049">
        <w:rPr>
          <w:u w:val="none"/>
        </w:rPr>
        <w:t xml:space="preserve"> and the testimony offered shall be subject to objections that may be raised by </w:t>
      </w:r>
      <w:r>
        <w:rPr>
          <w:u w:val="none"/>
        </w:rPr>
        <w:t>the parties</w:t>
      </w:r>
      <w:r w:rsidR="000B2049">
        <w:rPr>
          <w:u w:val="none"/>
        </w:rPr>
        <w:t xml:space="preserve">. </w:t>
      </w:r>
      <w:r w:rsidR="00486A6F">
        <w:rPr>
          <w:u w:val="none"/>
        </w:rPr>
        <w:t>The sworn public testimony shall be limited to t</w:t>
      </w:r>
      <w:r w:rsidR="006C584B">
        <w:rPr>
          <w:u w:val="none"/>
        </w:rPr>
        <w:t>wo</w:t>
      </w:r>
      <w:r w:rsidR="00486A6F">
        <w:rPr>
          <w:u w:val="none"/>
        </w:rPr>
        <w:t xml:space="preserve"> minutes per person plus the time required to address any objections and to respond to cross examination by the parties.</w:t>
      </w:r>
      <w:r w:rsidR="00486A6F" w:rsidRPr="000B2049">
        <w:rPr>
          <w:u w:val="none"/>
        </w:rPr>
        <w:t xml:space="preserve"> The general practice at Commission hearings is to not permit friendly cross examination.</w:t>
      </w:r>
      <w:r w:rsidR="006C584B">
        <w:rPr>
          <w:u w:val="none"/>
        </w:rPr>
        <w:t xml:space="preserve"> M</w:t>
      </w:r>
      <w:r>
        <w:rPr>
          <w:u w:val="none"/>
        </w:rPr>
        <w:t xml:space="preserve">embers of the public </w:t>
      </w:r>
      <w:r w:rsidR="006C584B">
        <w:rPr>
          <w:u w:val="none"/>
        </w:rPr>
        <w:t>must</w:t>
      </w:r>
      <w:r>
        <w:rPr>
          <w:u w:val="none"/>
        </w:rPr>
        <w:t xml:space="preserve"> refrain from giving repetitive or </w:t>
      </w:r>
      <w:r w:rsidR="00577004" w:rsidRPr="000B2049">
        <w:rPr>
          <w:u w:val="none"/>
        </w:rPr>
        <w:t>duplicative</w:t>
      </w:r>
      <w:r w:rsidRPr="000B2049">
        <w:rPr>
          <w:u w:val="none"/>
        </w:rPr>
        <w:t xml:space="preserve"> </w:t>
      </w:r>
      <w:r w:rsidR="00577004" w:rsidRPr="000B2049">
        <w:rPr>
          <w:u w:val="none"/>
        </w:rPr>
        <w:t>testimony</w:t>
      </w:r>
      <w:r w:rsidR="006C584B">
        <w:rPr>
          <w:u w:val="none"/>
        </w:rPr>
        <w:t xml:space="preserve"> and must provide testimony that is germane to the issues</w:t>
      </w:r>
      <w:r w:rsidRPr="000B2049">
        <w:rPr>
          <w:u w:val="none"/>
        </w:rPr>
        <w:t xml:space="preserve">.  </w:t>
      </w:r>
    </w:p>
    <w:p w:rsidR="00236712" w:rsidRPr="000B2049" w:rsidRDefault="00236712" w:rsidP="00236712">
      <w:pPr>
        <w:pStyle w:val="ListParagraph"/>
        <w:ind w:left="0"/>
        <w:jc w:val="both"/>
        <w:rPr>
          <w:rFonts w:ascii="Times New Roman" w:hAnsi="Times New Roman"/>
          <w:iCs/>
          <w:color w:val="212121"/>
        </w:rPr>
      </w:pPr>
    </w:p>
    <w:p w:rsidR="007F4C13" w:rsidRDefault="007F4C13" w:rsidP="00236712">
      <w:pPr>
        <w:pStyle w:val="ListParagraph"/>
        <w:ind w:left="0"/>
        <w:jc w:val="both"/>
        <w:rPr>
          <w:rFonts w:ascii="Times New Roman" w:hAnsi="Times New Roman"/>
          <w:iCs/>
          <w:color w:val="212121"/>
        </w:rPr>
      </w:pPr>
    </w:p>
    <w:p w:rsidR="007F4C13" w:rsidRDefault="007F4C13">
      <w:pPr>
        <w:rPr>
          <w:rFonts w:eastAsia="Calibri"/>
          <w:iCs/>
          <w:color w:val="212121"/>
        </w:rPr>
      </w:pPr>
      <w:r>
        <w:rPr>
          <w:iCs/>
          <w:color w:val="212121"/>
        </w:rPr>
        <w:br w:type="page"/>
      </w:r>
    </w:p>
    <w:p w:rsidR="00236712" w:rsidRPr="00F53A12" w:rsidRDefault="00236712" w:rsidP="00F53A12">
      <w:pPr>
        <w:jc w:val="both"/>
        <w:rPr>
          <w:iCs/>
          <w:color w:val="212121"/>
        </w:rPr>
      </w:pPr>
      <w:r w:rsidRPr="00F53A12">
        <w:rPr>
          <w:iCs/>
          <w:color w:val="212121"/>
        </w:rPr>
        <w:lastRenderedPageBreak/>
        <w:t>Therefore, it is</w:t>
      </w:r>
    </w:p>
    <w:p w:rsidR="006C584B" w:rsidRPr="002D2FED" w:rsidRDefault="006C584B" w:rsidP="006C584B">
      <w:pPr>
        <w:pStyle w:val="ListParagraph"/>
        <w:ind w:left="0"/>
        <w:jc w:val="both"/>
        <w:rPr>
          <w:rFonts w:ascii="Times New Roman" w:hAnsi="Times New Roman"/>
          <w:iCs/>
          <w:color w:val="212121"/>
        </w:rPr>
      </w:pPr>
    </w:p>
    <w:p w:rsidR="00261CD7" w:rsidRPr="002D2FED" w:rsidRDefault="00236712" w:rsidP="00082866">
      <w:pPr>
        <w:pStyle w:val="ListParagraph"/>
        <w:ind w:left="0"/>
        <w:jc w:val="both"/>
        <w:rPr>
          <w:rFonts w:ascii="Times New Roman" w:hAnsi="Times New Roman"/>
        </w:rPr>
      </w:pPr>
      <w:r w:rsidRPr="002D2FED">
        <w:rPr>
          <w:rFonts w:ascii="Times New Roman" w:hAnsi="Times New Roman"/>
          <w:iCs/>
          <w:color w:val="212121"/>
        </w:rPr>
        <w:tab/>
      </w:r>
      <w:r w:rsidR="00261CD7" w:rsidRPr="002D2FED">
        <w:rPr>
          <w:rFonts w:ascii="Times New Roman" w:hAnsi="Times New Roman"/>
        </w:rPr>
        <w:t>ORDERED</w:t>
      </w:r>
      <w:r w:rsidR="002D2FED" w:rsidRPr="002D2FED">
        <w:rPr>
          <w:rFonts w:ascii="Times New Roman" w:hAnsi="Times New Roman"/>
        </w:rPr>
        <w:t xml:space="preserve"> </w:t>
      </w:r>
      <w:r w:rsidR="00577004" w:rsidRPr="002D2FED">
        <w:rPr>
          <w:rFonts w:ascii="Times New Roman" w:hAnsi="Times New Roman"/>
        </w:rPr>
        <w:t>that subject</w:t>
      </w:r>
      <w:r w:rsidR="001D5365" w:rsidRPr="002D2FED">
        <w:rPr>
          <w:rFonts w:ascii="Times New Roman" w:hAnsi="Times New Roman"/>
        </w:rPr>
        <w:t xml:space="preserve"> to being finalized at the prehearing conference, the issues for hearing are set forth in Attachment </w:t>
      </w:r>
      <w:r w:rsidR="002C3EDF" w:rsidRPr="002D2FED">
        <w:rPr>
          <w:rFonts w:ascii="Times New Roman" w:hAnsi="Times New Roman"/>
        </w:rPr>
        <w:t>A</w:t>
      </w:r>
      <w:r w:rsidR="001D5365" w:rsidRPr="002D2FED">
        <w:rPr>
          <w:rFonts w:ascii="Times New Roman" w:hAnsi="Times New Roman"/>
        </w:rPr>
        <w:t xml:space="preserve"> of this Order. It is further</w:t>
      </w:r>
    </w:p>
    <w:p w:rsidR="001D5365" w:rsidRPr="002D2FED" w:rsidRDefault="001D5365" w:rsidP="00261CD7">
      <w:pPr>
        <w:pStyle w:val="CenterUnderline"/>
        <w:jc w:val="both"/>
        <w:rPr>
          <w:u w:val="none"/>
        </w:rPr>
      </w:pPr>
    </w:p>
    <w:p w:rsidR="001D5365" w:rsidRPr="006C584B" w:rsidRDefault="001D5365" w:rsidP="00261CD7">
      <w:pPr>
        <w:pStyle w:val="CenterUnderline"/>
        <w:jc w:val="both"/>
        <w:rPr>
          <w:u w:val="none"/>
        </w:rPr>
      </w:pPr>
      <w:r w:rsidRPr="006C584B">
        <w:rPr>
          <w:u w:val="none"/>
        </w:rPr>
        <w:tab/>
        <w:t xml:space="preserve">ORDERED that sworn public testimony shall be taken at the hearing in these dockets. </w:t>
      </w:r>
      <w:r w:rsidR="002C3EDF" w:rsidRPr="006C584B">
        <w:rPr>
          <w:u w:val="none"/>
        </w:rPr>
        <w:t xml:space="preserve">It is further, </w:t>
      </w:r>
    </w:p>
    <w:p w:rsidR="000B2049" w:rsidRDefault="000B2049" w:rsidP="00261CD7">
      <w:pPr>
        <w:pStyle w:val="CenterUnderline"/>
        <w:jc w:val="both"/>
        <w:rPr>
          <w:u w:val="none"/>
        </w:rPr>
      </w:pPr>
    </w:p>
    <w:p w:rsidR="000B2049" w:rsidRDefault="000B2049" w:rsidP="00261CD7">
      <w:pPr>
        <w:pStyle w:val="CenterUnderline"/>
        <w:jc w:val="both"/>
        <w:rPr>
          <w:u w:val="none"/>
        </w:rPr>
      </w:pPr>
      <w:r>
        <w:rPr>
          <w:u w:val="none"/>
        </w:rPr>
        <w:tab/>
        <w:t>ORDERED that, except as set forth in this Order, the Order Establishing Procedure</w:t>
      </w:r>
      <w:r w:rsidR="00E050E9">
        <w:rPr>
          <w:u w:val="none"/>
        </w:rPr>
        <w:t xml:space="preserve">, Order No. PSC-2018-0370-PCO-EU, </w:t>
      </w:r>
      <w:r>
        <w:rPr>
          <w:u w:val="none"/>
        </w:rPr>
        <w:t xml:space="preserve">as </w:t>
      </w:r>
      <w:r w:rsidR="001A23BF">
        <w:rPr>
          <w:u w:val="none"/>
        </w:rPr>
        <w:t>p</w:t>
      </w:r>
      <w:r>
        <w:rPr>
          <w:u w:val="none"/>
        </w:rPr>
        <w:t xml:space="preserve">reviously </w:t>
      </w:r>
      <w:r w:rsidR="001A23BF">
        <w:rPr>
          <w:u w:val="none"/>
        </w:rPr>
        <w:t>m</w:t>
      </w:r>
      <w:r>
        <w:rPr>
          <w:u w:val="none"/>
        </w:rPr>
        <w:t>odified by the First Order Modifying  Order Establishing Procedure</w:t>
      </w:r>
      <w:r w:rsidR="00E050E9">
        <w:rPr>
          <w:u w:val="none"/>
        </w:rPr>
        <w:t>, Order No. PSC-2018-0397-PCO-EU,</w:t>
      </w:r>
      <w:r>
        <w:rPr>
          <w:u w:val="none"/>
        </w:rPr>
        <w:t xml:space="preserve"> is affirmed in every respect. </w:t>
      </w:r>
    </w:p>
    <w:p w:rsidR="00236712" w:rsidRDefault="00236712" w:rsidP="00236712">
      <w:pPr>
        <w:pStyle w:val="ListParagraph"/>
        <w:ind w:left="0"/>
        <w:jc w:val="both"/>
        <w:rPr>
          <w:rFonts w:ascii="Times New Roman" w:hAnsi="Times New Roman"/>
          <w:iCs/>
          <w:color w:val="212121"/>
        </w:rPr>
      </w:pPr>
    </w:p>
    <w:p w:rsidR="00236712" w:rsidRDefault="00236712" w:rsidP="00E10CD1">
      <w:pPr>
        <w:pStyle w:val="ListParagraph"/>
        <w:ind w:left="0"/>
        <w:jc w:val="both"/>
        <w:rPr>
          <w:rFonts w:ascii="Times New Roman" w:hAnsi="Times New Roman"/>
          <w:iCs/>
          <w:color w:val="212121"/>
        </w:rPr>
      </w:pPr>
      <w:r>
        <w:rPr>
          <w:rFonts w:ascii="Times New Roman" w:hAnsi="Times New Roman"/>
          <w:iCs/>
          <w:color w:val="212121"/>
        </w:rPr>
        <w:tab/>
        <w:t xml:space="preserve">By ORDER of Commissioner Gary F. Clark, as Prehearing Officer, this </w:t>
      </w:r>
      <w:bookmarkStart w:id="5" w:name="replaceDate"/>
      <w:bookmarkEnd w:id="5"/>
      <w:r w:rsidR="00E10CD1">
        <w:rPr>
          <w:rFonts w:ascii="Times New Roman" w:hAnsi="Times New Roman"/>
          <w:iCs/>
          <w:color w:val="212121"/>
          <w:u w:val="single"/>
        </w:rPr>
        <w:t>31st</w:t>
      </w:r>
      <w:r w:rsidR="00E10CD1">
        <w:rPr>
          <w:rFonts w:ascii="Times New Roman" w:hAnsi="Times New Roman"/>
          <w:iCs/>
          <w:color w:val="212121"/>
        </w:rPr>
        <w:t xml:space="preserve"> day of </w:t>
      </w:r>
      <w:r w:rsidR="00E10CD1">
        <w:rPr>
          <w:rFonts w:ascii="Times New Roman" w:hAnsi="Times New Roman"/>
          <w:iCs/>
          <w:color w:val="212121"/>
          <w:u w:val="single"/>
        </w:rPr>
        <w:t>August</w:t>
      </w:r>
      <w:r w:rsidR="00E10CD1">
        <w:rPr>
          <w:rFonts w:ascii="Times New Roman" w:hAnsi="Times New Roman"/>
          <w:iCs/>
          <w:color w:val="212121"/>
        </w:rPr>
        <w:t xml:space="preserve">, </w:t>
      </w:r>
      <w:r w:rsidR="00E10CD1">
        <w:rPr>
          <w:rFonts w:ascii="Times New Roman" w:hAnsi="Times New Roman"/>
          <w:iCs/>
          <w:color w:val="212121"/>
          <w:u w:val="single"/>
        </w:rPr>
        <w:t>2018</w:t>
      </w:r>
      <w:r w:rsidR="00E10CD1">
        <w:rPr>
          <w:rFonts w:ascii="Times New Roman" w:hAnsi="Times New Roman"/>
          <w:iCs/>
          <w:color w:val="212121"/>
        </w:rPr>
        <w:t>.</w:t>
      </w:r>
    </w:p>
    <w:p w:rsidR="00E10CD1" w:rsidRPr="00E10CD1" w:rsidRDefault="00E10CD1" w:rsidP="00E10CD1">
      <w:pPr>
        <w:pStyle w:val="ListParagraph"/>
        <w:ind w:left="0"/>
        <w:jc w:val="both"/>
        <w:rPr>
          <w:rFonts w:ascii="Times New Roman" w:hAnsi="Times New Roman"/>
          <w:iCs/>
          <w:color w:val="212121"/>
        </w:rPr>
      </w:pPr>
    </w:p>
    <w:p w:rsidR="00236712" w:rsidRDefault="00236712" w:rsidP="00236712">
      <w:pPr>
        <w:pStyle w:val="ListParagraph"/>
        <w:keepNext/>
        <w:keepLines/>
        <w:ind w:left="0"/>
        <w:jc w:val="both"/>
        <w:rPr>
          <w:rFonts w:ascii="Times New Roman" w:hAnsi="Times New Roman"/>
          <w:iCs/>
          <w:color w:val="212121"/>
        </w:rPr>
      </w:pPr>
    </w:p>
    <w:p w:rsidR="00236712" w:rsidRDefault="00236712" w:rsidP="00236712">
      <w:pPr>
        <w:pStyle w:val="ListParagraph"/>
        <w:keepNext/>
        <w:keepLines/>
        <w:ind w:left="0"/>
        <w:jc w:val="both"/>
        <w:rPr>
          <w:rFonts w:ascii="Times New Roman" w:hAnsi="Times New Roman"/>
          <w:iCs/>
          <w:color w:val="212121"/>
        </w:rPr>
      </w:pPr>
    </w:p>
    <w:p w:rsidR="00236712" w:rsidRDefault="00236712" w:rsidP="00236712">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236712" w:rsidTr="00236712">
        <w:tc>
          <w:tcPr>
            <w:tcW w:w="720" w:type="dxa"/>
            <w:shd w:val="clear" w:color="auto" w:fill="auto"/>
          </w:tcPr>
          <w:p w:rsidR="00236712" w:rsidRDefault="00236712" w:rsidP="00236712">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rsidR="00236712" w:rsidRDefault="00E10CD1" w:rsidP="00236712">
            <w:pPr>
              <w:pStyle w:val="ListParagraph"/>
              <w:keepNext/>
              <w:keepLines/>
              <w:ind w:left="0"/>
              <w:jc w:val="both"/>
              <w:rPr>
                <w:rFonts w:ascii="Times New Roman" w:hAnsi="Times New Roman"/>
                <w:iCs/>
                <w:color w:val="212121"/>
              </w:rPr>
            </w:pPr>
            <w:r>
              <w:rPr>
                <w:rFonts w:ascii="Times New Roman" w:hAnsi="Times New Roman"/>
                <w:iCs/>
                <w:color w:val="212121"/>
              </w:rPr>
              <w:t>/s/ Gary F. Clark</w:t>
            </w:r>
            <w:bookmarkStart w:id="7" w:name="_GoBack"/>
            <w:bookmarkEnd w:id="7"/>
          </w:p>
        </w:tc>
      </w:tr>
      <w:bookmarkEnd w:id="6"/>
      <w:tr w:rsidR="00236712" w:rsidTr="00236712">
        <w:tc>
          <w:tcPr>
            <w:tcW w:w="720" w:type="dxa"/>
            <w:shd w:val="clear" w:color="auto" w:fill="auto"/>
          </w:tcPr>
          <w:p w:rsidR="00236712" w:rsidRDefault="00236712" w:rsidP="00236712">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rsidR="00236712" w:rsidRDefault="00236712" w:rsidP="00236712">
            <w:pPr>
              <w:pStyle w:val="ListParagraph"/>
              <w:keepNext/>
              <w:keepLines/>
              <w:ind w:left="0"/>
              <w:jc w:val="both"/>
              <w:rPr>
                <w:rFonts w:ascii="Times New Roman" w:hAnsi="Times New Roman"/>
                <w:iCs/>
                <w:color w:val="212121"/>
              </w:rPr>
            </w:pPr>
            <w:r>
              <w:rPr>
                <w:rFonts w:ascii="Times New Roman" w:hAnsi="Times New Roman"/>
                <w:iCs/>
                <w:color w:val="212121"/>
              </w:rPr>
              <w:t>GARY F. CLARK</w:t>
            </w:r>
          </w:p>
          <w:p w:rsidR="00236712" w:rsidRDefault="00236712" w:rsidP="00236712">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rsidR="00236712" w:rsidRDefault="00236712" w:rsidP="00236712">
      <w:pPr>
        <w:pStyle w:val="OrderSigInfo"/>
        <w:keepNext/>
        <w:keepLines/>
      </w:pPr>
      <w:r>
        <w:t>Florida Public Service Commission</w:t>
      </w:r>
    </w:p>
    <w:p w:rsidR="00236712" w:rsidRDefault="00236712" w:rsidP="00236712">
      <w:pPr>
        <w:pStyle w:val="OrderSigInfo"/>
        <w:keepNext/>
        <w:keepLines/>
      </w:pPr>
      <w:r>
        <w:t>2540 Shumard Oak Boulevard</w:t>
      </w:r>
    </w:p>
    <w:p w:rsidR="00236712" w:rsidRDefault="00236712" w:rsidP="00236712">
      <w:pPr>
        <w:pStyle w:val="OrderSigInfo"/>
        <w:keepNext/>
        <w:keepLines/>
      </w:pPr>
      <w:r>
        <w:t>Tallahassee, Florida 32399</w:t>
      </w:r>
    </w:p>
    <w:p w:rsidR="00236712" w:rsidRDefault="00236712" w:rsidP="00236712">
      <w:pPr>
        <w:pStyle w:val="OrderSigInfo"/>
        <w:keepNext/>
        <w:keepLines/>
      </w:pPr>
      <w:r>
        <w:t>(850) 413</w:t>
      </w:r>
      <w:r>
        <w:noBreakHyphen/>
        <w:t>6770</w:t>
      </w:r>
    </w:p>
    <w:p w:rsidR="00236712" w:rsidRDefault="00236712" w:rsidP="00236712">
      <w:pPr>
        <w:pStyle w:val="OrderSigInfo"/>
        <w:keepNext/>
        <w:keepLines/>
      </w:pPr>
      <w:r>
        <w:t>www.floridapsc.com</w:t>
      </w:r>
    </w:p>
    <w:p w:rsidR="00236712" w:rsidRDefault="00236712" w:rsidP="00236712">
      <w:pPr>
        <w:pStyle w:val="OrderSigInfo"/>
        <w:keepNext/>
        <w:keepLines/>
      </w:pPr>
    </w:p>
    <w:p w:rsidR="00236712" w:rsidRDefault="00236712" w:rsidP="00236712">
      <w:pPr>
        <w:pStyle w:val="OrderSigInfo"/>
        <w:keepNext/>
        <w:keepLines/>
      </w:pPr>
      <w:r>
        <w:t>Copies furnished:  A copy of this document is provided to the parties of record at the time of issuance and, if applicable, interested persons.</w:t>
      </w:r>
    </w:p>
    <w:p w:rsidR="00236712" w:rsidRDefault="00236712" w:rsidP="00236712">
      <w:pPr>
        <w:pStyle w:val="OrderBody"/>
        <w:keepNext/>
        <w:keepLines/>
      </w:pPr>
    </w:p>
    <w:p w:rsidR="00236712" w:rsidRDefault="00236712" w:rsidP="00236712">
      <w:pPr>
        <w:pStyle w:val="ListParagraph"/>
        <w:keepNext/>
        <w:keepLines/>
        <w:ind w:left="0"/>
        <w:jc w:val="both"/>
        <w:rPr>
          <w:rFonts w:ascii="Times New Roman" w:hAnsi="Times New Roman"/>
          <w:iCs/>
          <w:color w:val="212121"/>
        </w:rPr>
      </w:pPr>
    </w:p>
    <w:p w:rsidR="00236712" w:rsidRDefault="00236712" w:rsidP="00236712">
      <w:pPr>
        <w:pStyle w:val="ListParagraph"/>
        <w:keepNext/>
        <w:keepLines/>
        <w:ind w:left="0"/>
        <w:jc w:val="both"/>
        <w:rPr>
          <w:rFonts w:ascii="Times New Roman" w:hAnsi="Times New Roman"/>
          <w:iCs/>
          <w:color w:val="212121"/>
        </w:rPr>
      </w:pPr>
      <w:r>
        <w:rPr>
          <w:rFonts w:ascii="Times New Roman" w:hAnsi="Times New Roman"/>
          <w:iCs/>
          <w:color w:val="212121"/>
        </w:rPr>
        <w:t>CWM</w:t>
      </w:r>
    </w:p>
    <w:p w:rsidR="00236712" w:rsidRDefault="00236712" w:rsidP="00236712">
      <w:pPr>
        <w:pStyle w:val="ListParagraph"/>
        <w:ind w:left="0"/>
        <w:jc w:val="both"/>
        <w:rPr>
          <w:rFonts w:ascii="Times New Roman" w:hAnsi="Times New Roman"/>
          <w:iCs/>
          <w:color w:val="212121"/>
        </w:rPr>
      </w:pPr>
    </w:p>
    <w:p w:rsidR="00236712" w:rsidRDefault="00236712" w:rsidP="00236712">
      <w:pPr>
        <w:pStyle w:val="ListParagraph"/>
        <w:ind w:left="0"/>
        <w:jc w:val="both"/>
        <w:rPr>
          <w:rFonts w:ascii="Times New Roman" w:hAnsi="Times New Roman"/>
          <w:iCs/>
          <w:color w:val="212121"/>
        </w:rPr>
      </w:pPr>
    </w:p>
    <w:p w:rsidR="00236712" w:rsidRDefault="00236712" w:rsidP="00236712">
      <w:pPr>
        <w:pStyle w:val="CenterUnderline"/>
      </w:pPr>
      <w:r>
        <w:t>NOTICE OF FURTHER PROCEEDINGS OR JUDICIAL REVIEW</w:t>
      </w:r>
    </w:p>
    <w:p w:rsidR="00236712" w:rsidRDefault="00236712" w:rsidP="00236712">
      <w:pPr>
        <w:pStyle w:val="CenterUnderline"/>
      </w:pPr>
    </w:p>
    <w:p w:rsidR="00236712" w:rsidRDefault="00236712" w:rsidP="0023671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36712" w:rsidRDefault="00236712" w:rsidP="00236712">
      <w:pPr>
        <w:pStyle w:val="OrderBody"/>
      </w:pPr>
    </w:p>
    <w:p w:rsidR="00236712" w:rsidRDefault="00236712" w:rsidP="00236712">
      <w:pPr>
        <w:pStyle w:val="OrderBody"/>
      </w:pPr>
      <w:r>
        <w:tab/>
        <w:t>Mediation may be available on a case-by-case basis.  If mediation is conducted, it does not affect a substantially interested person's right to a hearing.</w:t>
      </w:r>
    </w:p>
    <w:p w:rsidR="00236712" w:rsidRDefault="00236712" w:rsidP="00236712">
      <w:pPr>
        <w:pStyle w:val="OrderBody"/>
      </w:pPr>
    </w:p>
    <w:p w:rsidR="00A60256" w:rsidRDefault="00236712" w:rsidP="0023671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D27B9" w:rsidRDefault="001D27B9" w:rsidP="00236712">
      <w:pPr>
        <w:pStyle w:val="OrderBody"/>
      </w:pPr>
    </w:p>
    <w:p w:rsidR="001D27B9" w:rsidRDefault="001D27B9">
      <w:pPr>
        <w:sectPr w:rsidR="001D27B9">
          <w:headerReference w:type="default" r:id="rId9"/>
          <w:footerReference w:type="first" r:id="rId10"/>
          <w:pgSz w:w="12240" w:h="15840" w:code="1"/>
          <w:pgMar w:top="1440" w:right="1440" w:bottom="1440" w:left="1440" w:header="720" w:footer="720" w:gutter="0"/>
          <w:cols w:space="720"/>
          <w:titlePg/>
          <w:docGrid w:linePitch="360"/>
        </w:sectPr>
      </w:pPr>
    </w:p>
    <w:p w:rsidR="00A60256" w:rsidRDefault="00A60256"/>
    <w:p w:rsidR="00A60256" w:rsidRPr="00A60256" w:rsidRDefault="00A60256" w:rsidP="009D4198">
      <w:pPr>
        <w:shd w:val="clear" w:color="auto" w:fill="FFFFFF"/>
        <w:spacing w:after="200" w:line="480" w:lineRule="auto"/>
        <w:contextualSpacing/>
        <w:jc w:val="both"/>
        <w:rPr>
          <w:b/>
        </w:rPr>
      </w:pPr>
      <w:r w:rsidRPr="00A60256">
        <w:rPr>
          <w:b/>
        </w:rPr>
        <w:t>Issues For Hearing</w:t>
      </w:r>
    </w:p>
    <w:p w:rsidR="00A60256" w:rsidRDefault="001D27B9" w:rsidP="001D27B9">
      <w:pPr>
        <w:shd w:val="clear" w:color="auto" w:fill="FFFFFF"/>
        <w:spacing w:after="200"/>
        <w:ind w:left="1526" w:hanging="1440"/>
        <w:contextualSpacing/>
        <w:jc w:val="both"/>
        <w:rPr>
          <w:b/>
          <w:bCs/>
        </w:rPr>
      </w:pPr>
      <w:r>
        <w:t>ISSUE 1:</w:t>
      </w:r>
      <w:r>
        <w:tab/>
      </w:r>
      <w:r w:rsidR="00A60256" w:rsidRPr="00A60256">
        <w:t>What statutory provisions or other legal authority, if any, grant the Commission the authority and jurisdiction to approve the acquisition adjustment requested by FPL in this case?</w:t>
      </w:r>
      <w:r w:rsidR="00A60256" w:rsidRPr="00A60256">
        <w:rPr>
          <w:b/>
          <w:bCs/>
        </w:rPr>
        <w:t xml:space="preserve"> </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2:</w:t>
      </w:r>
      <w:r>
        <w:tab/>
      </w:r>
      <w:r w:rsidR="00A60256" w:rsidRPr="00A60256">
        <w:t xml:space="preserve">How should the Commission weigh any unproven factual assertions in FPL’s Petition? </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3:</w:t>
      </w:r>
      <w:r>
        <w:tab/>
      </w:r>
      <w:r w:rsidR="00A60256" w:rsidRPr="00A60256">
        <w:t xml:space="preserve">Does FPL’s request of a return of, and a return on, the requested acquisition adjustment violate the terms of FPL’s current rate case settlement agreement? </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4:</w:t>
      </w:r>
      <w:r>
        <w:tab/>
      </w:r>
      <w:r w:rsidR="00A60256" w:rsidRPr="00A60256">
        <w:t xml:space="preserve">What legal authority to increase rates, if any, supports FPL’s request for the Commission to consider and approve rate making principles related to acquisition adjustment? </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5:</w:t>
      </w:r>
      <w:r>
        <w:tab/>
      </w:r>
      <w:r w:rsidR="00A60256" w:rsidRPr="00A60256">
        <w:t>Should the Commission grant FPL the authority to charge FPL’s rates and charges to City of Vero Beach’s (“COVB”) customers upon the closing date of the Asset Purchase and Sale Agreement (“PSA”)?</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6:</w:t>
      </w:r>
      <w:r>
        <w:tab/>
      </w:r>
      <w:r w:rsidR="00A60256" w:rsidRPr="00A60256">
        <w:t>Should the Commission approve the joint petitioners’ request to terminate the existing territorial agreement between FPL and COVB upon the closing date of the PSA?</w:t>
      </w:r>
    </w:p>
    <w:p w:rsidR="001D27B9" w:rsidRPr="00A60256"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7:</w:t>
      </w:r>
      <w:r>
        <w:tab/>
      </w:r>
      <w:r w:rsidR="00A60256" w:rsidRPr="00A60256">
        <w:t>What extraordinary circumstances, if any, exist to support the Commission’s consideration of authorizing a positive acquisition adjustment in this case?</w:t>
      </w:r>
    </w:p>
    <w:p w:rsidR="001D27B9"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8:</w:t>
      </w:r>
      <w:r>
        <w:tab/>
      </w:r>
      <w:r w:rsidR="00A60256" w:rsidRPr="00A60256">
        <w:t xml:space="preserve">Should the Commission consider alternatives other than what has been proposed by FPL with respect to the acquisition adjustment?  </w:t>
      </w:r>
    </w:p>
    <w:p w:rsidR="001D27B9" w:rsidRPr="00A60256" w:rsidRDefault="001D27B9" w:rsidP="001D27B9">
      <w:pPr>
        <w:shd w:val="clear" w:color="auto" w:fill="FFFFFF"/>
        <w:spacing w:after="200"/>
        <w:ind w:left="1526" w:hanging="1440"/>
        <w:contextualSpacing/>
        <w:jc w:val="both"/>
        <w:rPr>
          <w:b/>
          <w:bCs/>
        </w:rPr>
      </w:pPr>
    </w:p>
    <w:p w:rsidR="001D27B9" w:rsidRDefault="001D27B9" w:rsidP="001D27B9">
      <w:pPr>
        <w:shd w:val="clear" w:color="auto" w:fill="FFFFFF"/>
        <w:spacing w:after="200"/>
        <w:ind w:left="1526" w:hanging="1440"/>
        <w:contextualSpacing/>
        <w:jc w:val="both"/>
      </w:pPr>
      <w:r>
        <w:t>ISSUE 9:</w:t>
      </w:r>
      <w:r>
        <w:tab/>
      </w:r>
      <w:r w:rsidR="00A60256" w:rsidRPr="00A60256">
        <w:t>Should the Commission approve a positive acquisition adjustment associated with the purchase of the COVB electric utility system?</w:t>
      </w:r>
    </w:p>
    <w:p w:rsidR="00A60256" w:rsidRPr="00A60256" w:rsidRDefault="00A60256" w:rsidP="001D27B9">
      <w:pPr>
        <w:shd w:val="clear" w:color="auto" w:fill="FFFFFF"/>
        <w:spacing w:after="200"/>
        <w:ind w:left="1526" w:hanging="1440"/>
        <w:contextualSpacing/>
        <w:jc w:val="both"/>
        <w:rPr>
          <w:b/>
          <w:bCs/>
        </w:rPr>
      </w:pPr>
      <w:r w:rsidRPr="00A60256">
        <w:rPr>
          <w:b/>
          <w:bCs/>
        </w:rPr>
        <w:t xml:space="preserve"> </w:t>
      </w:r>
    </w:p>
    <w:p w:rsidR="00A60256" w:rsidRDefault="001D27B9" w:rsidP="001D27B9">
      <w:pPr>
        <w:shd w:val="clear" w:color="auto" w:fill="FFFFFF"/>
        <w:spacing w:after="200"/>
        <w:ind w:left="1526" w:hanging="1440"/>
        <w:contextualSpacing/>
        <w:jc w:val="both"/>
      </w:pPr>
      <w:r>
        <w:t>ISSUE 10:</w:t>
      </w:r>
      <w:r>
        <w:tab/>
      </w:r>
      <w:r w:rsidR="00A60256" w:rsidRPr="00A60256">
        <w:t xml:space="preserve">If the Commission should approve a positive acquisition adjustment associated with the purchase of the COVB electric utility system, what is the appropriate economic analysis to determine the amount of the positive acquisition adjustment? </w:t>
      </w:r>
    </w:p>
    <w:p w:rsidR="001D27B9"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11:</w:t>
      </w:r>
      <w:r>
        <w:tab/>
      </w:r>
      <w:r w:rsidR="00A60256" w:rsidRPr="00A60256">
        <w:t>What is the appropriate amount, if any, of a positive acquisition adjustment to be recorded on FPL’s books for the purchase of the COVB electric utility system?</w:t>
      </w:r>
    </w:p>
    <w:p w:rsidR="001D27B9" w:rsidRPr="00A60256" w:rsidRDefault="001D27B9" w:rsidP="001D27B9">
      <w:pPr>
        <w:shd w:val="clear" w:color="auto" w:fill="FFFFFF"/>
        <w:spacing w:after="200"/>
        <w:ind w:left="1526" w:hanging="1440"/>
        <w:contextualSpacing/>
        <w:jc w:val="both"/>
        <w:rPr>
          <w:sz w:val="22"/>
          <w:szCs w:val="22"/>
        </w:rPr>
      </w:pPr>
    </w:p>
    <w:p w:rsidR="00A60256" w:rsidRPr="00A60256" w:rsidRDefault="001D27B9" w:rsidP="001D27B9">
      <w:pPr>
        <w:shd w:val="clear" w:color="auto" w:fill="FFFFFF"/>
        <w:spacing w:after="200"/>
        <w:ind w:left="1526" w:hanging="1440"/>
        <w:contextualSpacing/>
        <w:jc w:val="both"/>
      </w:pPr>
      <w:r>
        <w:t>ISSUE 12:</w:t>
      </w:r>
      <w:r>
        <w:tab/>
      </w:r>
      <w:r w:rsidR="00A60256" w:rsidRPr="00A60256">
        <w:t>If a positive acquisition adjustment is permitted, what is the appropriate accounting treatment for FPL to utilize for recovery and amortization of the acquisition adjustment?</w:t>
      </w:r>
    </w:p>
    <w:p w:rsidR="00A60256" w:rsidRDefault="001D27B9" w:rsidP="001D27B9">
      <w:pPr>
        <w:shd w:val="clear" w:color="auto" w:fill="FFFFFF"/>
        <w:spacing w:after="200"/>
        <w:ind w:left="1526" w:hanging="1440"/>
        <w:contextualSpacing/>
        <w:jc w:val="both"/>
      </w:pPr>
      <w:r>
        <w:lastRenderedPageBreak/>
        <w:t>ISSUE 13:</w:t>
      </w:r>
      <w:r>
        <w:tab/>
      </w:r>
      <w:r w:rsidR="00A60256" w:rsidRPr="00A60256">
        <w:t xml:space="preserve">Should the projected cost savings supporting FPL’s request for a positive acquisition adjustment be subject to review in future FPL rate cases? </w:t>
      </w:r>
    </w:p>
    <w:p w:rsidR="001D27B9"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14:</w:t>
      </w:r>
      <w:r>
        <w:tab/>
      </w:r>
      <w:r w:rsidR="00A60256" w:rsidRPr="00A60256">
        <w:t xml:space="preserve">Are the several contracts [OUC, FMPA] “costs of service” for FPL that are eligible for recovery in customer rates? </w:t>
      </w:r>
    </w:p>
    <w:p w:rsidR="001D27B9"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15:</w:t>
      </w:r>
      <w:r>
        <w:tab/>
      </w:r>
      <w:r w:rsidR="00A60256" w:rsidRPr="00A60256">
        <w:t>Should the Commission approve recovery of costs associated with the short-term power purchase agreement with Orlando Utilities Commission?</w:t>
      </w:r>
    </w:p>
    <w:p w:rsidR="001D27B9" w:rsidRDefault="001D27B9" w:rsidP="001D27B9">
      <w:pPr>
        <w:shd w:val="clear" w:color="auto" w:fill="FFFFFF"/>
        <w:spacing w:after="200"/>
        <w:ind w:left="1526" w:hanging="1440"/>
        <w:contextualSpacing/>
        <w:jc w:val="both"/>
      </w:pPr>
    </w:p>
    <w:p w:rsidR="00A60256" w:rsidRDefault="001D27B9" w:rsidP="001D27B9">
      <w:pPr>
        <w:shd w:val="clear" w:color="auto" w:fill="FFFFFF"/>
        <w:spacing w:after="200"/>
        <w:ind w:left="1526" w:hanging="1440"/>
        <w:contextualSpacing/>
        <w:jc w:val="both"/>
      </w:pPr>
      <w:r>
        <w:t>ISSUE 16:</w:t>
      </w:r>
      <w:r>
        <w:tab/>
      </w:r>
      <w:r w:rsidR="00A60256" w:rsidRPr="00A60256">
        <w:t>Is granting the relief requested by the applicants in the public interest?</w:t>
      </w:r>
    </w:p>
    <w:p w:rsidR="003235E3" w:rsidRDefault="003235E3" w:rsidP="001D27B9">
      <w:pPr>
        <w:shd w:val="clear" w:color="auto" w:fill="FFFFFF"/>
        <w:spacing w:after="200"/>
        <w:ind w:left="1526" w:hanging="1440"/>
        <w:contextualSpacing/>
        <w:jc w:val="both"/>
      </w:pPr>
    </w:p>
    <w:p w:rsidR="00A60256" w:rsidRDefault="003235E3" w:rsidP="001D27B9">
      <w:pPr>
        <w:shd w:val="clear" w:color="auto" w:fill="FFFFFF"/>
        <w:spacing w:after="200"/>
        <w:ind w:left="1526" w:hanging="1440"/>
        <w:contextualSpacing/>
        <w:jc w:val="both"/>
      </w:pPr>
      <w:r>
        <w:t>ISSUE 17:</w:t>
      </w:r>
      <w:r>
        <w:tab/>
      </w:r>
      <w:r w:rsidR="00A60256" w:rsidRPr="00A60256">
        <w:t>Does the Civic Association of Indian River County, Inc. have standing to protest the Commission’s proposed agency action granting FPL’s petition for authority to charge FPL rates to former COVB customers and for approval of accounting treatment for the COVB transaction, and granting the joint petition of FPL and COVB to terminate the territorial agreement (Order No. PSC-2018-0336-PAA-EU)?</w:t>
      </w:r>
    </w:p>
    <w:p w:rsidR="003235E3" w:rsidRDefault="003235E3" w:rsidP="001D27B9">
      <w:pPr>
        <w:shd w:val="clear" w:color="auto" w:fill="FFFFFF"/>
        <w:spacing w:after="200"/>
        <w:ind w:left="1526" w:hanging="1440"/>
        <w:contextualSpacing/>
        <w:jc w:val="both"/>
      </w:pPr>
    </w:p>
    <w:p w:rsidR="00A60256" w:rsidRDefault="003235E3" w:rsidP="003235E3">
      <w:pPr>
        <w:shd w:val="clear" w:color="auto" w:fill="FFFFFF"/>
        <w:spacing w:after="200"/>
        <w:ind w:left="1526" w:hanging="1440"/>
        <w:contextualSpacing/>
        <w:jc w:val="both"/>
      </w:pPr>
      <w:r>
        <w:t>ISSUE 18:</w:t>
      </w:r>
      <w:r>
        <w:tab/>
      </w:r>
      <w:r w:rsidR="00A60256" w:rsidRPr="00A60256">
        <w:t>Does Michael Moran have standing to protest the Commission’s proposed agency action granting FPL’s petition for authority to charge FPL rates to former COVB customers and for approval of accounting treatment for the COVB transaction, and granting the joint petition of FPL and COVB to terminate the territorial agreement (Order No. PSC-2018-0336-PAA-EU)?</w:t>
      </w:r>
    </w:p>
    <w:p w:rsidR="003235E3" w:rsidRDefault="003235E3" w:rsidP="003235E3">
      <w:pPr>
        <w:shd w:val="clear" w:color="auto" w:fill="FFFFFF"/>
        <w:spacing w:after="200"/>
        <w:ind w:left="1526" w:hanging="1440"/>
        <w:contextualSpacing/>
        <w:jc w:val="both"/>
      </w:pPr>
    </w:p>
    <w:p w:rsidR="00A60256" w:rsidRDefault="003235E3" w:rsidP="003235E3">
      <w:pPr>
        <w:shd w:val="clear" w:color="auto" w:fill="FFFFFF"/>
        <w:spacing w:after="200"/>
        <w:ind w:left="1526" w:hanging="1440"/>
        <w:contextualSpacing/>
        <w:jc w:val="both"/>
      </w:pPr>
      <w:r>
        <w:t>ISSUE 19:</w:t>
      </w:r>
      <w:r>
        <w:tab/>
      </w:r>
      <w:r w:rsidR="00A60256" w:rsidRPr="00A60256">
        <w:t>Does Brian Heady have standing to protest the Commission’s proposed agency action granting FPL’s petition for authority to charge FPL rates to former COVB customers and for approval of accounting treatment for the COVB transaction, and granting the joint petition of FPL and COVB to terminate the territorial agreement (Order No. PSC-2018-0336-PAA-EU)?</w:t>
      </w:r>
    </w:p>
    <w:p w:rsidR="003235E3" w:rsidRDefault="003235E3" w:rsidP="003235E3">
      <w:pPr>
        <w:shd w:val="clear" w:color="auto" w:fill="FFFFFF"/>
        <w:spacing w:after="200"/>
        <w:ind w:left="1526" w:hanging="1440"/>
        <w:contextualSpacing/>
        <w:jc w:val="both"/>
      </w:pPr>
    </w:p>
    <w:p w:rsidR="00A60256" w:rsidRPr="00A60256" w:rsidRDefault="003235E3" w:rsidP="003235E3">
      <w:pPr>
        <w:shd w:val="clear" w:color="auto" w:fill="FFFFFF"/>
        <w:spacing w:after="200"/>
        <w:ind w:left="1526" w:hanging="1440"/>
        <w:contextualSpacing/>
        <w:jc w:val="both"/>
        <w:rPr>
          <w:sz w:val="22"/>
          <w:szCs w:val="22"/>
        </w:rPr>
      </w:pPr>
      <w:r>
        <w:t>ISSUE 20:</w:t>
      </w:r>
      <w:r>
        <w:tab/>
      </w:r>
      <w:r w:rsidR="00A60256" w:rsidRPr="00A60256">
        <w:t>Should this docket be closed?</w:t>
      </w:r>
    </w:p>
    <w:p w:rsidR="00236712" w:rsidRPr="00A60256" w:rsidRDefault="00236712" w:rsidP="00236712">
      <w:pPr>
        <w:pStyle w:val="OrderBody"/>
      </w:pPr>
    </w:p>
    <w:sectPr w:rsidR="00236712" w:rsidRPr="00A60256">
      <w:headerReference w:type="default" r:id="rId11"/>
      <w:head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712" w:rsidRDefault="00236712">
      <w:r>
        <w:separator/>
      </w:r>
    </w:p>
  </w:endnote>
  <w:endnote w:type="continuationSeparator" w:id="0">
    <w:p w:rsidR="00236712" w:rsidRDefault="00236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712" w:rsidRDefault="00236712">
      <w:r>
        <w:separator/>
      </w:r>
    </w:p>
  </w:footnote>
  <w:footnote w:type="continuationSeparator" w:id="0">
    <w:p w:rsidR="00236712" w:rsidRDefault="002367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5 ">
      <w:r w:rsidR="00E10CD1">
        <w:t>PSC-2018-0445-PCO-EU</w:t>
      </w:r>
    </w:fldSimple>
  </w:p>
  <w:p w:rsidR="00FA6EFD" w:rsidRDefault="00236712">
    <w:pPr>
      <w:pStyle w:val="OrderHeader"/>
    </w:pPr>
    <w:bookmarkStart w:id="8" w:name="HeaderDocketNo"/>
    <w:bookmarkEnd w:id="8"/>
    <w:r>
      <w:t>DOCKET NOS. 20170235-EI, 20170236-EU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CD1">
      <w:rPr>
        <w:rStyle w:val="PageNumber"/>
        <w:noProof/>
      </w:rPr>
      <w:t>2</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B9" w:rsidRDefault="001D27B9">
    <w:pPr>
      <w:pStyle w:val="OrderHeader"/>
    </w:pPr>
    <w:r>
      <w:t xml:space="preserve">ORDER NO. </w:t>
    </w:r>
    <w:r w:rsidR="00E10CD1">
      <w:t>PSC-2018-0445-PCO-EU</w:t>
    </w:r>
  </w:p>
  <w:p w:rsidR="001D27B9" w:rsidRDefault="001D27B9">
    <w:pPr>
      <w:pStyle w:val="OrderHeader"/>
    </w:pPr>
    <w:r>
      <w:t>DOCKET NOS. 20170235-EI, 20170236-EU</w:t>
    </w:r>
    <w:r>
      <w:tab/>
      <w:t>Attachment A</w:t>
    </w:r>
  </w:p>
  <w:p w:rsidR="001D27B9" w:rsidRDefault="001D27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CD1">
      <w:rPr>
        <w:rStyle w:val="PageNumber"/>
        <w:noProof/>
      </w:rPr>
      <w:t>5</w:t>
    </w:r>
    <w:r>
      <w:rPr>
        <w:rStyle w:val="PageNumber"/>
      </w:rPr>
      <w:fldChar w:fldCharType="end"/>
    </w:r>
    <w:r>
      <w:rPr>
        <w:rStyle w:val="PageNumber"/>
      </w:rPr>
      <w:tab/>
    </w:r>
    <w:r>
      <w:rPr>
        <w:rStyle w:val="PageNumber"/>
      </w:rPr>
      <w:tab/>
      <w:t xml:space="preserve">Page 2 of </w:t>
    </w:r>
    <w:r w:rsidR="009D4198">
      <w:rPr>
        <w:rStyle w:val="PageNumber"/>
      </w:rPr>
      <w:t>2</w:t>
    </w:r>
  </w:p>
  <w:p w:rsidR="001D27B9" w:rsidRDefault="001D27B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7B9" w:rsidRDefault="001D27B9" w:rsidP="001D27B9">
    <w:pPr>
      <w:pStyle w:val="OrderHeader"/>
    </w:pPr>
    <w:r>
      <w:t xml:space="preserve">ORDER NO. </w:t>
    </w:r>
    <w:r w:rsidR="00E10CD1">
      <w:t>PSC-2018-0445-PCO-EU</w:t>
    </w:r>
  </w:p>
  <w:p w:rsidR="001D27B9" w:rsidRDefault="001D27B9" w:rsidP="001D27B9">
    <w:pPr>
      <w:pStyle w:val="OrderHeader"/>
    </w:pPr>
    <w:r>
      <w:t>DOCKET NOS. 20170235-EI, 20170236-EU</w:t>
    </w:r>
    <w:r>
      <w:tab/>
      <w:t>Attachment A</w:t>
    </w:r>
  </w:p>
  <w:p w:rsidR="001D27B9" w:rsidRDefault="001D27B9" w:rsidP="001D27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10CD1">
      <w:rPr>
        <w:rStyle w:val="PageNumber"/>
        <w:noProof/>
      </w:rPr>
      <w:t>4</w:t>
    </w:r>
    <w:r>
      <w:rPr>
        <w:rStyle w:val="PageNumber"/>
      </w:rPr>
      <w:fldChar w:fldCharType="end"/>
    </w:r>
    <w:r w:rsidR="009D4198">
      <w:rPr>
        <w:rStyle w:val="PageNumber"/>
      </w:rPr>
      <w:tab/>
    </w:r>
    <w:r w:rsidR="009D4198">
      <w:rPr>
        <w:rStyle w:val="PageNumber"/>
      </w:rPr>
      <w:tab/>
      <w:t>Page 1 of 2</w:t>
    </w:r>
  </w:p>
  <w:p w:rsidR="001D27B9" w:rsidRDefault="001D27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352F"/>
    <w:multiLevelType w:val="hybridMultilevel"/>
    <w:tmpl w:val="77208A7C"/>
    <w:lvl w:ilvl="0" w:tplc="0409000F">
      <w:start w:val="1"/>
      <w:numFmt w:val="decimal"/>
      <w:lvlText w:val="%1."/>
      <w:lvlJc w:val="left"/>
      <w:pPr>
        <w:ind w:left="180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35-EI, 20170236-EU"/>
  </w:docVars>
  <w:rsids>
    <w:rsidRoot w:val="00236712"/>
    <w:rsid w:val="000022B8"/>
    <w:rsid w:val="00035A8C"/>
    <w:rsid w:val="00051BA4"/>
    <w:rsid w:val="00053AB9"/>
    <w:rsid w:val="00056229"/>
    <w:rsid w:val="00057AF1"/>
    <w:rsid w:val="00065FC2"/>
    <w:rsid w:val="00067685"/>
    <w:rsid w:val="00076E6B"/>
    <w:rsid w:val="0008247D"/>
    <w:rsid w:val="00082866"/>
    <w:rsid w:val="00090AFC"/>
    <w:rsid w:val="000B204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06AE"/>
    <w:rsid w:val="00142A96"/>
    <w:rsid w:val="001513DE"/>
    <w:rsid w:val="00154A71"/>
    <w:rsid w:val="00187E32"/>
    <w:rsid w:val="00194E81"/>
    <w:rsid w:val="001A15E7"/>
    <w:rsid w:val="001A23BF"/>
    <w:rsid w:val="001A33C9"/>
    <w:rsid w:val="001A58F3"/>
    <w:rsid w:val="001C2847"/>
    <w:rsid w:val="001C3F8C"/>
    <w:rsid w:val="001C6097"/>
    <w:rsid w:val="001D008A"/>
    <w:rsid w:val="001D27B9"/>
    <w:rsid w:val="001D5365"/>
    <w:rsid w:val="001E0152"/>
    <w:rsid w:val="001E08B2"/>
    <w:rsid w:val="001E0FF5"/>
    <w:rsid w:val="002002ED"/>
    <w:rsid w:val="00201BD8"/>
    <w:rsid w:val="0021110C"/>
    <w:rsid w:val="002170E5"/>
    <w:rsid w:val="00220D57"/>
    <w:rsid w:val="0022721A"/>
    <w:rsid w:val="00230BB9"/>
    <w:rsid w:val="00236712"/>
    <w:rsid w:val="00241CEF"/>
    <w:rsid w:val="0025124E"/>
    <w:rsid w:val="00252B30"/>
    <w:rsid w:val="002613E4"/>
    <w:rsid w:val="00261CD7"/>
    <w:rsid w:val="0026544B"/>
    <w:rsid w:val="00276CDC"/>
    <w:rsid w:val="00277655"/>
    <w:rsid w:val="002824B7"/>
    <w:rsid w:val="00282AC4"/>
    <w:rsid w:val="002A11AC"/>
    <w:rsid w:val="002A6F30"/>
    <w:rsid w:val="002B3111"/>
    <w:rsid w:val="002C3EDF"/>
    <w:rsid w:val="002C7908"/>
    <w:rsid w:val="002D2FED"/>
    <w:rsid w:val="002D391B"/>
    <w:rsid w:val="002D4B1F"/>
    <w:rsid w:val="002D7D15"/>
    <w:rsid w:val="002E1B2E"/>
    <w:rsid w:val="002E27EB"/>
    <w:rsid w:val="002F0EEB"/>
    <w:rsid w:val="002F2A9D"/>
    <w:rsid w:val="002F31C2"/>
    <w:rsid w:val="00303FDE"/>
    <w:rsid w:val="003140E8"/>
    <w:rsid w:val="003231C7"/>
    <w:rsid w:val="003235E3"/>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86A6F"/>
    <w:rsid w:val="004A25CD"/>
    <w:rsid w:val="004A26CC"/>
    <w:rsid w:val="004B2108"/>
    <w:rsid w:val="004B3A2B"/>
    <w:rsid w:val="004B70D3"/>
    <w:rsid w:val="004C312D"/>
    <w:rsid w:val="004D2D1B"/>
    <w:rsid w:val="004D5067"/>
    <w:rsid w:val="004D6838"/>
    <w:rsid w:val="004D72BC"/>
    <w:rsid w:val="004E45F2"/>
    <w:rsid w:val="004E469D"/>
    <w:rsid w:val="004F2DDE"/>
    <w:rsid w:val="004F7826"/>
    <w:rsid w:val="004F7893"/>
    <w:rsid w:val="0050097F"/>
    <w:rsid w:val="00514B1F"/>
    <w:rsid w:val="00525E93"/>
    <w:rsid w:val="0052671D"/>
    <w:rsid w:val="0055595D"/>
    <w:rsid w:val="00556A10"/>
    <w:rsid w:val="00557F50"/>
    <w:rsid w:val="00571D3D"/>
    <w:rsid w:val="00577004"/>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934B5"/>
    <w:rsid w:val="006A0BF3"/>
    <w:rsid w:val="006A5504"/>
    <w:rsid w:val="006B0DA6"/>
    <w:rsid w:val="006C547E"/>
    <w:rsid w:val="006C584B"/>
    <w:rsid w:val="006D2B51"/>
    <w:rsid w:val="006D5575"/>
    <w:rsid w:val="006E42BE"/>
    <w:rsid w:val="00700ADB"/>
    <w:rsid w:val="00704C5D"/>
    <w:rsid w:val="007072BC"/>
    <w:rsid w:val="0071491B"/>
    <w:rsid w:val="00715275"/>
    <w:rsid w:val="00721B44"/>
    <w:rsid w:val="007232A2"/>
    <w:rsid w:val="00726366"/>
    <w:rsid w:val="00733B6B"/>
    <w:rsid w:val="00740808"/>
    <w:rsid w:val="007467C4"/>
    <w:rsid w:val="00757463"/>
    <w:rsid w:val="0076170F"/>
    <w:rsid w:val="0076669C"/>
    <w:rsid w:val="00766E46"/>
    <w:rsid w:val="00777727"/>
    <w:rsid w:val="00782B79"/>
    <w:rsid w:val="007865E9"/>
    <w:rsid w:val="00792383"/>
    <w:rsid w:val="00794D5A"/>
    <w:rsid w:val="00794DD9"/>
    <w:rsid w:val="007A060F"/>
    <w:rsid w:val="007C0FBC"/>
    <w:rsid w:val="007C2802"/>
    <w:rsid w:val="007C36E3"/>
    <w:rsid w:val="007C7134"/>
    <w:rsid w:val="007D3D20"/>
    <w:rsid w:val="007D742E"/>
    <w:rsid w:val="007E3AFD"/>
    <w:rsid w:val="007F31A9"/>
    <w:rsid w:val="007F4C13"/>
    <w:rsid w:val="00801DAD"/>
    <w:rsid w:val="00803189"/>
    <w:rsid w:val="00804E7A"/>
    <w:rsid w:val="00805FBB"/>
    <w:rsid w:val="008169A4"/>
    <w:rsid w:val="008278FE"/>
    <w:rsid w:val="00832598"/>
    <w:rsid w:val="0083397E"/>
    <w:rsid w:val="0083534B"/>
    <w:rsid w:val="00842602"/>
    <w:rsid w:val="00847B45"/>
    <w:rsid w:val="00855292"/>
    <w:rsid w:val="00863A66"/>
    <w:rsid w:val="008703D7"/>
    <w:rsid w:val="00874429"/>
    <w:rsid w:val="00883D9A"/>
    <w:rsid w:val="008919EF"/>
    <w:rsid w:val="00892B20"/>
    <w:rsid w:val="008A12EC"/>
    <w:rsid w:val="008B4376"/>
    <w:rsid w:val="008C21C8"/>
    <w:rsid w:val="008C6375"/>
    <w:rsid w:val="008C6A5B"/>
    <w:rsid w:val="008D6043"/>
    <w:rsid w:val="008E26A5"/>
    <w:rsid w:val="008E42D2"/>
    <w:rsid w:val="008E6328"/>
    <w:rsid w:val="008E6831"/>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7E79"/>
    <w:rsid w:val="009924CF"/>
    <w:rsid w:val="00994100"/>
    <w:rsid w:val="009A6B17"/>
    <w:rsid w:val="009D4198"/>
    <w:rsid w:val="009D4C29"/>
    <w:rsid w:val="009F6AD2"/>
    <w:rsid w:val="00A00D8D"/>
    <w:rsid w:val="00A01BB6"/>
    <w:rsid w:val="00A323DB"/>
    <w:rsid w:val="00A4303C"/>
    <w:rsid w:val="00A470FD"/>
    <w:rsid w:val="00A60256"/>
    <w:rsid w:val="00A62DAB"/>
    <w:rsid w:val="00A6757A"/>
    <w:rsid w:val="00A726A6"/>
    <w:rsid w:val="00A74842"/>
    <w:rsid w:val="00A97535"/>
    <w:rsid w:val="00AA2BAA"/>
    <w:rsid w:val="00AA73F1"/>
    <w:rsid w:val="00AB0E1A"/>
    <w:rsid w:val="00AB1A30"/>
    <w:rsid w:val="00AB3C36"/>
    <w:rsid w:val="00AB4C84"/>
    <w:rsid w:val="00AD10EB"/>
    <w:rsid w:val="00AD1ED3"/>
    <w:rsid w:val="00AE3596"/>
    <w:rsid w:val="00AE748E"/>
    <w:rsid w:val="00B013C3"/>
    <w:rsid w:val="00B02001"/>
    <w:rsid w:val="00B03C50"/>
    <w:rsid w:val="00B0777D"/>
    <w:rsid w:val="00B11576"/>
    <w:rsid w:val="00B1195F"/>
    <w:rsid w:val="00B14D10"/>
    <w:rsid w:val="00B20317"/>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3127F"/>
    <w:rsid w:val="00C411F3"/>
    <w:rsid w:val="00C44105"/>
    <w:rsid w:val="00C55A33"/>
    <w:rsid w:val="00C66692"/>
    <w:rsid w:val="00C673B5"/>
    <w:rsid w:val="00C7063D"/>
    <w:rsid w:val="00C70E83"/>
    <w:rsid w:val="00C830BC"/>
    <w:rsid w:val="00C8524D"/>
    <w:rsid w:val="00C91123"/>
    <w:rsid w:val="00CA71FF"/>
    <w:rsid w:val="00CB5276"/>
    <w:rsid w:val="00CB5BFC"/>
    <w:rsid w:val="00CB68D7"/>
    <w:rsid w:val="00CC7E68"/>
    <w:rsid w:val="00CD3A6A"/>
    <w:rsid w:val="00CD7132"/>
    <w:rsid w:val="00CE0E6F"/>
    <w:rsid w:val="00CE3B21"/>
    <w:rsid w:val="00CE56FC"/>
    <w:rsid w:val="00CF4CFE"/>
    <w:rsid w:val="00D02E0F"/>
    <w:rsid w:val="00D03EE8"/>
    <w:rsid w:val="00D13535"/>
    <w:rsid w:val="00D17B79"/>
    <w:rsid w:val="00D23FEA"/>
    <w:rsid w:val="00D269CA"/>
    <w:rsid w:val="00D30B48"/>
    <w:rsid w:val="00D3168A"/>
    <w:rsid w:val="00D346C3"/>
    <w:rsid w:val="00D35357"/>
    <w:rsid w:val="00D46FAA"/>
    <w:rsid w:val="00D47A40"/>
    <w:rsid w:val="00D51D33"/>
    <w:rsid w:val="00D57BB2"/>
    <w:rsid w:val="00D57E57"/>
    <w:rsid w:val="00D70752"/>
    <w:rsid w:val="00D70D61"/>
    <w:rsid w:val="00D73B5D"/>
    <w:rsid w:val="00D80E2D"/>
    <w:rsid w:val="00D84D5E"/>
    <w:rsid w:val="00D8560E"/>
    <w:rsid w:val="00D8758F"/>
    <w:rsid w:val="00DA413F"/>
    <w:rsid w:val="00DA4EDD"/>
    <w:rsid w:val="00DA6B78"/>
    <w:rsid w:val="00DC1D94"/>
    <w:rsid w:val="00DC42CF"/>
    <w:rsid w:val="00DE057F"/>
    <w:rsid w:val="00DE2082"/>
    <w:rsid w:val="00DE2289"/>
    <w:rsid w:val="00DF09A7"/>
    <w:rsid w:val="00DF5AB2"/>
    <w:rsid w:val="00E001D6"/>
    <w:rsid w:val="00E03A76"/>
    <w:rsid w:val="00E04410"/>
    <w:rsid w:val="00E050E9"/>
    <w:rsid w:val="00E07484"/>
    <w:rsid w:val="00E10CD1"/>
    <w:rsid w:val="00E11351"/>
    <w:rsid w:val="00E306FF"/>
    <w:rsid w:val="00E4225C"/>
    <w:rsid w:val="00E44879"/>
    <w:rsid w:val="00E4590C"/>
    <w:rsid w:val="00E724BD"/>
    <w:rsid w:val="00E72914"/>
    <w:rsid w:val="00E75AE0"/>
    <w:rsid w:val="00E836A5"/>
    <w:rsid w:val="00E83C1F"/>
    <w:rsid w:val="00EA04B5"/>
    <w:rsid w:val="00EA06CE"/>
    <w:rsid w:val="00EA172C"/>
    <w:rsid w:val="00EA259B"/>
    <w:rsid w:val="00EA35A3"/>
    <w:rsid w:val="00EA3E6A"/>
    <w:rsid w:val="00EB18EF"/>
    <w:rsid w:val="00EB7951"/>
    <w:rsid w:val="00ED6A79"/>
    <w:rsid w:val="00EE1446"/>
    <w:rsid w:val="00EE17DF"/>
    <w:rsid w:val="00EF4621"/>
    <w:rsid w:val="00EF4D52"/>
    <w:rsid w:val="00EF6312"/>
    <w:rsid w:val="00F038B0"/>
    <w:rsid w:val="00F22B27"/>
    <w:rsid w:val="00F234A7"/>
    <w:rsid w:val="00F277B6"/>
    <w:rsid w:val="00F27DA5"/>
    <w:rsid w:val="00F3646B"/>
    <w:rsid w:val="00F37E07"/>
    <w:rsid w:val="00F411BC"/>
    <w:rsid w:val="00F4182A"/>
    <w:rsid w:val="00F53A12"/>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36712"/>
    <w:pPr>
      <w:ind w:left="720"/>
      <w:contextualSpacing/>
    </w:pPr>
    <w:rPr>
      <w:rFonts w:ascii="Calibri" w:eastAsia="Calibri" w:hAnsi="Calibri"/>
    </w:rPr>
  </w:style>
  <w:style w:type="paragraph" w:styleId="BalloonText">
    <w:name w:val="Balloon Text"/>
    <w:basedOn w:val="Normal"/>
    <w:link w:val="BalloonTextChar"/>
    <w:rsid w:val="00D70D61"/>
    <w:rPr>
      <w:rFonts w:ascii="Tahoma" w:hAnsi="Tahoma" w:cs="Tahoma"/>
      <w:sz w:val="16"/>
      <w:szCs w:val="16"/>
    </w:rPr>
  </w:style>
  <w:style w:type="character" w:customStyle="1" w:styleId="BalloonTextChar">
    <w:name w:val="Balloon Text Char"/>
    <w:basedOn w:val="DefaultParagraphFont"/>
    <w:link w:val="BalloonText"/>
    <w:rsid w:val="00D70D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236712"/>
    <w:pPr>
      <w:ind w:left="720"/>
      <w:contextualSpacing/>
    </w:pPr>
    <w:rPr>
      <w:rFonts w:ascii="Calibri" w:eastAsia="Calibri" w:hAnsi="Calibri"/>
    </w:rPr>
  </w:style>
  <w:style w:type="paragraph" w:styleId="BalloonText">
    <w:name w:val="Balloon Text"/>
    <w:basedOn w:val="Normal"/>
    <w:link w:val="BalloonTextChar"/>
    <w:rsid w:val="00D70D61"/>
    <w:rPr>
      <w:rFonts w:ascii="Tahoma" w:hAnsi="Tahoma" w:cs="Tahoma"/>
      <w:sz w:val="16"/>
      <w:szCs w:val="16"/>
    </w:rPr>
  </w:style>
  <w:style w:type="character" w:customStyle="1" w:styleId="BalloonTextChar">
    <w:name w:val="Balloon Text Char"/>
    <w:basedOn w:val="DefaultParagraphFont"/>
    <w:link w:val="BalloonText"/>
    <w:rsid w:val="00D70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659381595">
      <w:bodyDiv w:val="1"/>
      <w:marLeft w:val="0"/>
      <w:marRight w:val="0"/>
      <w:marTop w:val="0"/>
      <w:marBottom w:val="0"/>
      <w:divBdr>
        <w:top w:val="none" w:sz="0" w:space="0" w:color="auto"/>
        <w:left w:val="none" w:sz="0" w:space="0" w:color="auto"/>
        <w:bottom w:val="none" w:sz="0" w:space="0" w:color="auto"/>
        <w:right w:val="none" w:sz="0" w:space="0" w:color="auto"/>
      </w:divBdr>
    </w:div>
    <w:div w:id="1122966520">
      <w:bodyDiv w:val="1"/>
      <w:marLeft w:val="0"/>
      <w:marRight w:val="0"/>
      <w:marTop w:val="0"/>
      <w:marBottom w:val="0"/>
      <w:divBdr>
        <w:top w:val="none" w:sz="0" w:space="0" w:color="auto"/>
        <w:left w:val="none" w:sz="0" w:space="0" w:color="auto"/>
        <w:bottom w:val="none" w:sz="0" w:space="0" w:color="auto"/>
        <w:right w:val="none" w:sz="0" w:space="0" w:color="auto"/>
      </w:divBdr>
    </w:div>
    <w:div w:id="117441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72747-2CFE-46FA-9A16-A43640F9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5</Pages>
  <Words>1273</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2018-08-31T20:44:00Z</dcterms:created>
  <dcterms:modified xsi:type="dcterms:W3CDTF">2018-08-31T20:50:00Z</dcterms:modified>
</cp:coreProperties>
</file>