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9333D" w:rsidP="00B9333D">
      <w:pPr>
        <w:pStyle w:val="OrderHeading"/>
      </w:pPr>
      <w:r>
        <w:t>BEFORE THE FLORIDA PUBLIC SERVICE COMMISSION</w:t>
      </w:r>
    </w:p>
    <w:p w:rsidR="00B9333D" w:rsidRDefault="00B9333D" w:rsidP="00B9333D">
      <w:pPr>
        <w:pStyle w:val="OrderBody"/>
      </w:pPr>
    </w:p>
    <w:p w:rsidR="00B9333D" w:rsidRDefault="00B9333D" w:rsidP="00B933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333D" w:rsidRPr="00C63FCF" w:rsidTr="00C63FCF">
        <w:trPr>
          <w:trHeight w:val="828"/>
        </w:trPr>
        <w:tc>
          <w:tcPr>
            <w:tcW w:w="4788" w:type="dxa"/>
            <w:tcBorders>
              <w:bottom w:val="nil"/>
              <w:right w:val="double" w:sz="6" w:space="0" w:color="auto"/>
            </w:tcBorders>
            <w:shd w:val="clear" w:color="auto" w:fill="auto"/>
          </w:tcPr>
          <w:p w:rsidR="00B9333D" w:rsidRDefault="00B9333D" w:rsidP="00C63FCF">
            <w:pPr>
              <w:pStyle w:val="OrderBody"/>
              <w:tabs>
                <w:tab w:val="center" w:pos="4320"/>
                <w:tab w:val="right" w:pos="8640"/>
              </w:tabs>
              <w:jc w:val="left"/>
            </w:pPr>
            <w:r>
              <w:t xml:space="preserve">In re: </w:t>
            </w:r>
            <w:bookmarkStart w:id="0" w:name="SMInRe"/>
            <w:bookmarkEnd w:id="0"/>
            <w:r>
              <w:t>Petition by Florida Power &amp; Light Company (FPL) for authority to charge FPL rates to former City of Vero Beach customers and for approval of FPL's accounting treatment for City of Vero Beach transaction.</w:t>
            </w:r>
          </w:p>
          <w:p w:rsidR="00B9333D" w:rsidRDefault="00B9333D"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9333D" w:rsidRDefault="00B9333D" w:rsidP="00C63FCF">
            <w:pPr>
              <w:pStyle w:val="OrderBody"/>
              <w:tabs>
                <w:tab w:val="center" w:pos="4320"/>
                <w:tab w:val="right" w:pos="8640"/>
              </w:tabs>
              <w:jc w:val="left"/>
            </w:pPr>
            <w:r>
              <w:t xml:space="preserve">DOCKET NO. </w:t>
            </w:r>
            <w:bookmarkStart w:id="1" w:name="SMDocketNo"/>
            <w:bookmarkEnd w:id="1"/>
            <w:r>
              <w:t>20170235-EI</w:t>
            </w:r>
          </w:p>
        </w:tc>
      </w:tr>
      <w:tr w:rsidR="00B9333D" w:rsidRPr="00C63FCF" w:rsidTr="00C63FCF">
        <w:trPr>
          <w:trHeight w:val="828"/>
        </w:trPr>
        <w:tc>
          <w:tcPr>
            <w:tcW w:w="4788" w:type="dxa"/>
            <w:tcBorders>
              <w:top w:val="nil"/>
              <w:bottom w:val="single" w:sz="8" w:space="0" w:color="auto"/>
              <w:right w:val="double" w:sz="6" w:space="0" w:color="auto"/>
            </w:tcBorders>
            <w:shd w:val="clear" w:color="auto" w:fill="auto"/>
          </w:tcPr>
          <w:p w:rsidR="00B9333D" w:rsidRDefault="00B9333D" w:rsidP="00C63FCF">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B9333D" w:rsidRDefault="00B9333D" w:rsidP="00B9333D">
            <w:pPr>
              <w:pStyle w:val="OrderBody"/>
            </w:pPr>
            <w:r>
              <w:t xml:space="preserve">DOCKET NO. </w:t>
            </w:r>
            <w:bookmarkStart w:id="2" w:name="SMDocketNo2"/>
            <w:bookmarkEnd w:id="2"/>
            <w:r>
              <w:t>20170236-EU</w:t>
            </w:r>
          </w:p>
          <w:p w:rsidR="00B9333D" w:rsidRDefault="00B9333D" w:rsidP="00C63FCF">
            <w:pPr>
              <w:pStyle w:val="OrderBody"/>
              <w:tabs>
                <w:tab w:val="center" w:pos="4320"/>
                <w:tab w:val="right" w:pos="8640"/>
              </w:tabs>
              <w:jc w:val="left"/>
            </w:pPr>
            <w:r>
              <w:t xml:space="preserve">ORDER NO. </w:t>
            </w:r>
            <w:bookmarkStart w:id="3" w:name="OrderNo0499"/>
            <w:r w:rsidR="00C328B3">
              <w:t>PSC-2018-0499-PCO-EU</w:t>
            </w:r>
            <w:bookmarkEnd w:id="3"/>
          </w:p>
          <w:p w:rsidR="00B9333D" w:rsidRDefault="00B9333D" w:rsidP="00C63FCF">
            <w:pPr>
              <w:pStyle w:val="OrderBody"/>
              <w:tabs>
                <w:tab w:val="center" w:pos="4320"/>
                <w:tab w:val="right" w:pos="8640"/>
              </w:tabs>
              <w:jc w:val="left"/>
            </w:pPr>
            <w:r>
              <w:t xml:space="preserve">ISSUED: </w:t>
            </w:r>
            <w:r w:rsidR="00C328B3">
              <w:t>October 16, 2018</w:t>
            </w:r>
          </w:p>
          <w:p w:rsidR="00B9333D" w:rsidRDefault="00B9333D" w:rsidP="00C63FCF">
            <w:pPr>
              <w:pStyle w:val="OrderBody"/>
              <w:tabs>
                <w:tab w:val="center" w:pos="4320"/>
                <w:tab w:val="right" w:pos="8640"/>
              </w:tabs>
              <w:jc w:val="left"/>
            </w:pPr>
          </w:p>
        </w:tc>
      </w:tr>
    </w:tbl>
    <w:p w:rsidR="00B9333D" w:rsidRDefault="00B9333D" w:rsidP="00B9333D"/>
    <w:p w:rsidR="00B9333D" w:rsidRDefault="00B9333D" w:rsidP="00B9333D"/>
    <w:p w:rsidR="00D732C0" w:rsidRDefault="00B9333D" w:rsidP="00B9333D">
      <w:pPr>
        <w:pStyle w:val="CenterUnderline"/>
      </w:pPr>
      <w:bookmarkStart w:id="4" w:name="Commissioners"/>
      <w:bookmarkEnd w:id="4"/>
      <w:r>
        <w:t>ORDER</w:t>
      </w:r>
      <w:bookmarkStart w:id="5" w:name="OrderTitle"/>
      <w:r>
        <w:t xml:space="preserve"> </w:t>
      </w:r>
      <w:r w:rsidR="006F15E4">
        <w:t xml:space="preserve"> DENYING </w:t>
      </w:r>
    </w:p>
    <w:p w:rsidR="007B6D93" w:rsidRDefault="006F15E4" w:rsidP="00B9333D">
      <w:pPr>
        <w:pStyle w:val="CenterUnderline"/>
      </w:pPr>
      <w:r>
        <w:t>CIVIC ASSOCIATION OF INDIAN RIVER COUNTY, INC</w:t>
      </w:r>
      <w:r w:rsidR="00E16C3B">
        <w:t>.</w:t>
      </w:r>
      <w:r>
        <w:t xml:space="preserve">’S </w:t>
      </w:r>
    </w:p>
    <w:p w:rsidR="006F15E4" w:rsidRDefault="006F15E4" w:rsidP="00B9333D">
      <w:pPr>
        <w:pStyle w:val="CenterUnderline"/>
      </w:pPr>
      <w:r>
        <w:t>MOTION FOR RELIEF FROM RESCHEDULING OF PROCEEDING</w:t>
      </w:r>
    </w:p>
    <w:bookmarkEnd w:id="5"/>
    <w:p w:rsidR="00BE700A" w:rsidRDefault="00BE700A" w:rsidP="00B9333D">
      <w:pPr>
        <w:pStyle w:val="CenterUnderline"/>
      </w:pPr>
      <w:r>
        <w:t xml:space="preserve">AND </w:t>
      </w:r>
    </w:p>
    <w:p w:rsidR="00BE700A" w:rsidRDefault="00BE700A" w:rsidP="00B9333D">
      <w:pPr>
        <w:pStyle w:val="CenterUnderline"/>
      </w:pPr>
      <w:r>
        <w:t xml:space="preserve">APPROVING EXCUSAL OF SPECIFIED WITNESSES </w:t>
      </w:r>
    </w:p>
    <w:p w:rsidR="00BE700A" w:rsidRDefault="00BE700A" w:rsidP="00B9333D">
      <w:pPr>
        <w:pStyle w:val="CenterUnderline"/>
      </w:pPr>
    </w:p>
    <w:p w:rsidR="007F4DD5" w:rsidRDefault="006F15E4" w:rsidP="006F15E4">
      <w:pPr>
        <w:pStyle w:val="CenterUnderline"/>
        <w:jc w:val="both"/>
        <w:rPr>
          <w:u w:val="none"/>
        </w:rPr>
      </w:pPr>
      <w:r>
        <w:rPr>
          <w:u w:val="none"/>
        </w:rPr>
        <w:tab/>
      </w:r>
      <w:r w:rsidR="008153C5">
        <w:rPr>
          <w:u w:val="none"/>
        </w:rPr>
        <w:t xml:space="preserve">A hearing before the Florida Public Service Commission (Commission) in the dockets referenced above was scheduled to commence at 9:00 am on October 9, 2018. </w:t>
      </w:r>
      <w:r w:rsidR="007F4DD5">
        <w:rPr>
          <w:u w:val="none"/>
        </w:rPr>
        <w:t>O</w:t>
      </w:r>
      <w:r>
        <w:rPr>
          <w:u w:val="none"/>
        </w:rPr>
        <w:t>n the afternoon of October 7, 2018, by Executive Order Number 18-276, Governor Rick Scott declared a state of emergency in Leon County, Florida</w:t>
      </w:r>
      <w:r w:rsidR="00360B3F">
        <w:rPr>
          <w:u w:val="none"/>
        </w:rPr>
        <w:t xml:space="preserve"> in anticipation of Michael, which was then a tropical storm. In </w:t>
      </w:r>
      <w:r w:rsidR="00B96845">
        <w:rPr>
          <w:u w:val="none"/>
        </w:rPr>
        <w:t>response</w:t>
      </w:r>
      <w:r w:rsidR="00360B3F">
        <w:rPr>
          <w:u w:val="none"/>
        </w:rPr>
        <w:t xml:space="preserve"> to this </w:t>
      </w:r>
      <w:r w:rsidR="00B96845">
        <w:rPr>
          <w:u w:val="none"/>
        </w:rPr>
        <w:t>declared</w:t>
      </w:r>
      <w:r w:rsidR="00360B3F">
        <w:rPr>
          <w:u w:val="none"/>
        </w:rPr>
        <w:t xml:space="preserve"> emergency, by Order No. PSC-2018-0496-PCO-EU, issued on October 8, 2018 </w:t>
      </w:r>
      <w:r w:rsidR="00B37821">
        <w:rPr>
          <w:u w:val="none"/>
        </w:rPr>
        <w:t xml:space="preserve">(Order), </w:t>
      </w:r>
      <w:r w:rsidR="00360B3F">
        <w:rPr>
          <w:u w:val="none"/>
        </w:rPr>
        <w:t xml:space="preserve">I </w:t>
      </w:r>
      <w:r w:rsidR="00B37821">
        <w:rPr>
          <w:u w:val="none"/>
        </w:rPr>
        <w:t xml:space="preserve">continued </w:t>
      </w:r>
      <w:r w:rsidR="00360B3F">
        <w:rPr>
          <w:u w:val="none"/>
        </w:rPr>
        <w:t xml:space="preserve">the controlling dates of this proceeding to move the hearing from October 9-10, to October 18-19. </w:t>
      </w:r>
      <w:r w:rsidR="00B37821">
        <w:rPr>
          <w:u w:val="none"/>
        </w:rPr>
        <w:t xml:space="preserve">On October 8, 2018, </w:t>
      </w:r>
      <w:r w:rsidR="00360B3F">
        <w:rPr>
          <w:u w:val="none"/>
        </w:rPr>
        <w:t>the Civic Association of Indian River County, Inc.</w:t>
      </w:r>
      <w:r w:rsidR="007F4DD5">
        <w:rPr>
          <w:u w:val="none"/>
        </w:rPr>
        <w:t>’s</w:t>
      </w:r>
      <w:r w:rsidR="00360B3F">
        <w:rPr>
          <w:u w:val="none"/>
        </w:rPr>
        <w:t xml:space="preserve"> (CAIRC) </w:t>
      </w:r>
      <w:r w:rsidR="00B37821">
        <w:rPr>
          <w:u w:val="none"/>
        </w:rPr>
        <w:t xml:space="preserve">had filed a </w:t>
      </w:r>
      <w:r w:rsidR="00360B3F">
        <w:rPr>
          <w:u w:val="none"/>
        </w:rPr>
        <w:t>Motion for Stay</w:t>
      </w:r>
      <w:r w:rsidR="007F4DD5">
        <w:rPr>
          <w:u w:val="none"/>
        </w:rPr>
        <w:t xml:space="preserve"> of Proceedings in Light of Hurricane Michael Emergency </w:t>
      </w:r>
      <w:r w:rsidR="00B37821">
        <w:rPr>
          <w:u w:val="none"/>
        </w:rPr>
        <w:t xml:space="preserve">which was </w:t>
      </w:r>
      <w:r w:rsidR="00B36228">
        <w:rPr>
          <w:u w:val="none"/>
        </w:rPr>
        <w:t>rendered</w:t>
      </w:r>
      <w:r w:rsidR="00B37821">
        <w:rPr>
          <w:u w:val="none"/>
        </w:rPr>
        <w:t xml:space="preserve"> moot by my Order</w:t>
      </w:r>
      <w:r w:rsidR="00360B3F">
        <w:rPr>
          <w:u w:val="none"/>
        </w:rPr>
        <w:t xml:space="preserve">. </w:t>
      </w:r>
    </w:p>
    <w:p w:rsidR="007F4DD5" w:rsidRDefault="007F4DD5" w:rsidP="006F15E4">
      <w:pPr>
        <w:pStyle w:val="CenterUnderline"/>
        <w:jc w:val="both"/>
        <w:rPr>
          <w:u w:val="none"/>
        </w:rPr>
      </w:pPr>
    </w:p>
    <w:p w:rsidR="007F4DD5" w:rsidRDefault="007F4DD5" w:rsidP="006F15E4">
      <w:pPr>
        <w:pStyle w:val="CenterUnderline"/>
        <w:jc w:val="both"/>
        <w:rPr>
          <w:u w:val="none"/>
        </w:rPr>
      </w:pPr>
      <w:r>
        <w:rPr>
          <w:u w:val="none"/>
        </w:rPr>
        <w:tab/>
        <w:t xml:space="preserve">On October 12, 2018, CAIRC </w:t>
      </w:r>
      <w:r w:rsidR="00B37821">
        <w:rPr>
          <w:u w:val="none"/>
        </w:rPr>
        <w:t>served</w:t>
      </w:r>
      <w:r>
        <w:rPr>
          <w:u w:val="none"/>
        </w:rPr>
        <w:t xml:space="preserve"> its Motio</w:t>
      </w:r>
      <w:r w:rsidR="00454F87">
        <w:rPr>
          <w:u w:val="none"/>
        </w:rPr>
        <w:t>n</w:t>
      </w:r>
      <w:r>
        <w:rPr>
          <w:u w:val="none"/>
        </w:rPr>
        <w:t xml:space="preserve"> for Relief from Rescheduling of Proceedings in Light of Conflicts with Hearing Dates</w:t>
      </w:r>
      <w:r w:rsidR="00B96845">
        <w:rPr>
          <w:u w:val="none"/>
        </w:rPr>
        <w:t xml:space="preserve"> (Motion)</w:t>
      </w:r>
      <w:r>
        <w:rPr>
          <w:u w:val="none"/>
        </w:rPr>
        <w:t>. CAIRC asserts that its attorney must file an emergency request for a temporary restraining order/injunctive relief related to a</w:t>
      </w:r>
      <w:r w:rsidR="00454F87">
        <w:rPr>
          <w:u w:val="none"/>
        </w:rPr>
        <w:t xml:space="preserve"> separate unrelated </w:t>
      </w:r>
      <w:r>
        <w:rPr>
          <w:u w:val="none"/>
        </w:rPr>
        <w:t xml:space="preserve">arbitration proceeding, that there are problems with </w:t>
      </w:r>
      <w:r w:rsidR="00E0218D">
        <w:rPr>
          <w:u w:val="none"/>
        </w:rPr>
        <w:t xml:space="preserve">CAIRC </w:t>
      </w:r>
      <w:r>
        <w:rPr>
          <w:u w:val="none"/>
        </w:rPr>
        <w:t>witness availability on the rescheduled dates</w:t>
      </w:r>
      <w:r w:rsidR="00F747F1">
        <w:rPr>
          <w:u w:val="none"/>
        </w:rPr>
        <w:t>, and that CAIRC “cannot be effective without their witnesses, experts, and support personnel.</w:t>
      </w:r>
      <w:r w:rsidR="00454F87">
        <w:rPr>
          <w:u w:val="none"/>
        </w:rPr>
        <w:t>”</w:t>
      </w:r>
      <w:r w:rsidR="00F747F1">
        <w:rPr>
          <w:u w:val="none"/>
        </w:rPr>
        <w:t xml:space="preserve"> CAIRC proposes conducting additional discovery in this proceeding</w:t>
      </w:r>
      <w:r w:rsidR="001C4099">
        <w:rPr>
          <w:u w:val="none"/>
        </w:rPr>
        <w:t xml:space="preserve"> and </w:t>
      </w:r>
      <w:r w:rsidR="00F747F1">
        <w:rPr>
          <w:u w:val="none"/>
        </w:rPr>
        <w:t>argues that it is entitled to all rights and relief accorded to any part</w:t>
      </w:r>
      <w:r w:rsidR="00454F87">
        <w:rPr>
          <w:u w:val="none"/>
        </w:rPr>
        <w:t>y</w:t>
      </w:r>
      <w:r w:rsidR="00F747F1">
        <w:rPr>
          <w:u w:val="none"/>
        </w:rPr>
        <w:t xml:space="preserve"> in a PSC matter, including the full evidentiary hearing it requested, with a reasonable opportunity for discovery and to be heard. CAIRC asserts that due process requires reasonable notice</w:t>
      </w:r>
      <w:r>
        <w:rPr>
          <w:u w:val="none"/>
        </w:rPr>
        <w:t xml:space="preserve"> </w:t>
      </w:r>
      <w:r w:rsidR="00F747F1">
        <w:rPr>
          <w:u w:val="none"/>
        </w:rPr>
        <w:t xml:space="preserve">and argues that, in </w:t>
      </w:r>
      <w:r w:rsidR="00B96845">
        <w:rPr>
          <w:u w:val="none"/>
        </w:rPr>
        <w:t>accordance</w:t>
      </w:r>
      <w:r w:rsidR="00F747F1">
        <w:rPr>
          <w:u w:val="none"/>
        </w:rPr>
        <w:t xml:space="preserve"> with Section 120.569, Florida Statutes, it is entitled to not less than 14 days notice before a hearing. CAIRC </w:t>
      </w:r>
      <w:r w:rsidR="00454F87">
        <w:rPr>
          <w:u w:val="none"/>
        </w:rPr>
        <w:t xml:space="preserve">references </w:t>
      </w:r>
      <w:r w:rsidR="00F747F1">
        <w:rPr>
          <w:u w:val="none"/>
        </w:rPr>
        <w:t>Section 120.57(1)(b)</w:t>
      </w:r>
      <w:r w:rsidR="00454F87">
        <w:rPr>
          <w:u w:val="none"/>
        </w:rPr>
        <w:t xml:space="preserve">, Florida Statutes, in asserting its rights to </w:t>
      </w:r>
      <w:r w:rsidR="00B96845">
        <w:rPr>
          <w:u w:val="none"/>
        </w:rPr>
        <w:t>have</w:t>
      </w:r>
      <w:r w:rsidR="00454F87">
        <w:rPr>
          <w:u w:val="none"/>
        </w:rPr>
        <w:t xml:space="preserve"> an opportunity to respond, to present evidence and argument on all issues involved, to conduct cross-examination and submit rebuttal evidence</w:t>
      </w:r>
      <w:r w:rsidR="00E0218D">
        <w:rPr>
          <w:u w:val="none"/>
        </w:rPr>
        <w:t>,</w:t>
      </w:r>
      <w:r w:rsidR="00F747F1">
        <w:rPr>
          <w:u w:val="none"/>
        </w:rPr>
        <w:t xml:space="preserve"> </w:t>
      </w:r>
      <w:r w:rsidR="00454F87">
        <w:rPr>
          <w:u w:val="none"/>
        </w:rPr>
        <w:t>to submit propos</w:t>
      </w:r>
      <w:r w:rsidR="00E0218D">
        <w:rPr>
          <w:u w:val="none"/>
        </w:rPr>
        <w:t>e</w:t>
      </w:r>
      <w:r w:rsidR="00454F87">
        <w:rPr>
          <w:u w:val="none"/>
        </w:rPr>
        <w:t>d findings</w:t>
      </w:r>
      <w:r w:rsidR="00E0218D">
        <w:rPr>
          <w:u w:val="none"/>
        </w:rPr>
        <w:t xml:space="preserve"> of facts and orders</w:t>
      </w:r>
      <w:r w:rsidR="00454F87">
        <w:rPr>
          <w:u w:val="none"/>
        </w:rPr>
        <w:t xml:space="preserve">, </w:t>
      </w:r>
      <w:r w:rsidR="00E0218D">
        <w:rPr>
          <w:u w:val="none"/>
        </w:rPr>
        <w:t xml:space="preserve">to </w:t>
      </w:r>
      <w:r w:rsidR="00454F87">
        <w:rPr>
          <w:u w:val="none"/>
        </w:rPr>
        <w:t>file exceptio</w:t>
      </w:r>
      <w:r w:rsidR="00E0218D">
        <w:rPr>
          <w:u w:val="none"/>
        </w:rPr>
        <w:t>n</w:t>
      </w:r>
      <w:r w:rsidR="00454F87">
        <w:rPr>
          <w:u w:val="none"/>
        </w:rPr>
        <w:t>s to recommended order</w:t>
      </w:r>
      <w:r w:rsidR="00E0218D">
        <w:rPr>
          <w:u w:val="none"/>
        </w:rPr>
        <w:t>s</w:t>
      </w:r>
      <w:r w:rsidR="00454F87">
        <w:rPr>
          <w:u w:val="none"/>
        </w:rPr>
        <w:t xml:space="preserve">, and to be represented by counsel. CAIRC </w:t>
      </w:r>
      <w:r w:rsidR="001C4099">
        <w:rPr>
          <w:u w:val="none"/>
        </w:rPr>
        <w:t xml:space="preserve">contends </w:t>
      </w:r>
      <w:r w:rsidR="00454F87">
        <w:rPr>
          <w:u w:val="none"/>
        </w:rPr>
        <w:t xml:space="preserve">that there </w:t>
      </w:r>
      <w:r w:rsidR="001C4099">
        <w:rPr>
          <w:u w:val="none"/>
        </w:rPr>
        <w:t xml:space="preserve">has been </w:t>
      </w:r>
      <w:r w:rsidR="00454F87">
        <w:rPr>
          <w:u w:val="none"/>
        </w:rPr>
        <w:t xml:space="preserve">an abbreviated timeline in this matter with which it </w:t>
      </w:r>
      <w:r w:rsidR="00454F87">
        <w:rPr>
          <w:u w:val="none"/>
        </w:rPr>
        <w:lastRenderedPageBreak/>
        <w:t xml:space="preserve">has attempted to comply, complains that </w:t>
      </w:r>
      <w:r w:rsidR="001C4099">
        <w:rPr>
          <w:u w:val="none"/>
        </w:rPr>
        <w:t xml:space="preserve">the hearing has been reset to a time that 1) makes it </w:t>
      </w:r>
      <w:r w:rsidR="00454F87">
        <w:rPr>
          <w:u w:val="none"/>
        </w:rPr>
        <w:t xml:space="preserve"> impossible for CAIRC’s participants to attend</w:t>
      </w:r>
      <w:r w:rsidR="001C4099">
        <w:rPr>
          <w:u w:val="none"/>
        </w:rPr>
        <w:t xml:space="preserve">, 2) </w:t>
      </w:r>
      <w:r w:rsidR="00454F87">
        <w:rPr>
          <w:u w:val="none"/>
        </w:rPr>
        <w:t xml:space="preserve">is “oppressively inconvenient for CAIRC’s counsel” and </w:t>
      </w:r>
      <w:r w:rsidR="001C4099">
        <w:rPr>
          <w:u w:val="none"/>
        </w:rPr>
        <w:t xml:space="preserve">3) </w:t>
      </w:r>
      <w:r w:rsidR="00454F87">
        <w:rPr>
          <w:u w:val="none"/>
        </w:rPr>
        <w:t xml:space="preserve">will deny CAIRC due process of law. </w:t>
      </w:r>
      <w:r w:rsidR="00E0218D">
        <w:rPr>
          <w:u w:val="none"/>
        </w:rPr>
        <w:t xml:space="preserve">CAIRC asks that we grant relief from the re-setting of the hearing and order a rescheduling as soon as everyone can get their witnesses and schedules rearranged. </w:t>
      </w:r>
    </w:p>
    <w:p w:rsidR="007F4DD5" w:rsidRDefault="007F4DD5" w:rsidP="006F15E4">
      <w:pPr>
        <w:pStyle w:val="CenterUnderline"/>
        <w:jc w:val="both"/>
        <w:rPr>
          <w:u w:val="none"/>
        </w:rPr>
      </w:pPr>
    </w:p>
    <w:p w:rsidR="007F4DD5" w:rsidRDefault="00E0218D" w:rsidP="006F15E4">
      <w:pPr>
        <w:pStyle w:val="CenterUnderline"/>
        <w:jc w:val="both"/>
        <w:rPr>
          <w:u w:val="none"/>
        </w:rPr>
      </w:pPr>
      <w:r>
        <w:rPr>
          <w:u w:val="none"/>
        </w:rPr>
        <w:tab/>
      </w:r>
      <w:r w:rsidR="007F4DD5">
        <w:rPr>
          <w:u w:val="none"/>
        </w:rPr>
        <w:t xml:space="preserve">On October 15, 2018, Florida Power &amp; Light Company </w:t>
      </w:r>
      <w:r w:rsidR="00387CC3">
        <w:rPr>
          <w:u w:val="none"/>
        </w:rPr>
        <w:t xml:space="preserve">(FPL) </w:t>
      </w:r>
      <w:r w:rsidR="007F4DD5">
        <w:rPr>
          <w:u w:val="none"/>
        </w:rPr>
        <w:t xml:space="preserve">filed its Response </w:t>
      </w:r>
      <w:r w:rsidR="00A66720">
        <w:rPr>
          <w:u w:val="none"/>
        </w:rPr>
        <w:t>i</w:t>
      </w:r>
      <w:r w:rsidR="007F4DD5">
        <w:rPr>
          <w:u w:val="none"/>
        </w:rPr>
        <w:t>n Opposition to</w:t>
      </w:r>
      <w:r w:rsidR="001B2F92">
        <w:rPr>
          <w:u w:val="none"/>
        </w:rPr>
        <w:t xml:space="preserve"> </w:t>
      </w:r>
      <w:r w:rsidR="007F4DD5">
        <w:rPr>
          <w:u w:val="none"/>
        </w:rPr>
        <w:t>CAIRC’s Motion.</w:t>
      </w:r>
      <w:r w:rsidR="00387CC3">
        <w:rPr>
          <w:u w:val="none"/>
        </w:rPr>
        <w:t xml:space="preserve"> FPL </w:t>
      </w:r>
      <w:r w:rsidR="001B2F92">
        <w:rPr>
          <w:u w:val="none"/>
        </w:rPr>
        <w:t xml:space="preserve">argues </w:t>
      </w:r>
      <w:r w:rsidR="00387CC3">
        <w:rPr>
          <w:u w:val="none"/>
        </w:rPr>
        <w:t>that the petitions being considered by the Commission were filed on November 3, 2017 and that CAIRC did not intervene or participate until July 20, 2018</w:t>
      </w:r>
      <w:r w:rsidR="00A66720">
        <w:rPr>
          <w:u w:val="none"/>
        </w:rPr>
        <w:t xml:space="preserve">. </w:t>
      </w:r>
      <w:r w:rsidR="00387CC3">
        <w:rPr>
          <w:u w:val="none"/>
        </w:rPr>
        <w:t xml:space="preserve">FPL </w:t>
      </w:r>
      <w:r w:rsidR="00B65CFD">
        <w:rPr>
          <w:u w:val="none"/>
        </w:rPr>
        <w:t>notes that t</w:t>
      </w:r>
      <w:r w:rsidR="00387CC3">
        <w:rPr>
          <w:u w:val="none"/>
        </w:rPr>
        <w:t>he Commission’s July 25, 2018, Order Establishing Procedure set dates for an evidentiary hearing on October 10 and 11, 2018</w:t>
      </w:r>
      <w:r w:rsidR="00B65CFD">
        <w:rPr>
          <w:u w:val="none"/>
        </w:rPr>
        <w:t xml:space="preserve"> and that these dates were rescheduled to begin on October</w:t>
      </w:r>
      <w:r w:rsidR="00A66720">
        <w:rPr>
          <w:u w:val="none"/>
        </w:rPr>
        <w:t xml:space="preserve"> </w:t>
      </w:r>
      <w:r w:rsidR="00B65CFD">
        <w:rPr>
          <w:u w:val="none"/>
        </w:rPr>
        <w:t xml:space="preserve">9, 2018 at CAIRC’s request. FPL </w:t>
      </w:r>
      <w:r w:rsidR="001B2F92">
        <w:rPr>
          <w:u w:val="none"/>
        </w:rPr>
        <w:t xml:space="preserve">contends that </w:t>
      </w:r>
      <w:r w:rsidR="00B65CFD">
        <w:rPr>
          <w:u w:val="none"/>
        </w:rPr>
        <w:t>no party has questions for CAIRC’s witnesses and that, pending approval by the Commission, all CAIRC witnesses c</w:t>
      </w:r>
      <w:r w:rsidR="00A66720">
        <w:rPr>
          <w:u w:val="none"/>
        </w:rPr>
        <w:t>an</w:t>
      </w:r>
      <w:r w:rsidR="00B65CFD">
        <w:rPr>
          <w:u w:val="none"/>
        </w:rPr>
        <w:t xml:space="preserve"> be stipulated </w:t>
      </w:r>
      <w:r w:rsidR="00A66720">
        <w:rPr>
          <w:u w:val="none"/>
        </w:rPr>
        <w:t xml:space="preserve">so that </w:t>
      </w:r>
      <w:r w:rsidR="00B37821">
        <w:rPr>
          <w:u w:val="none"/>
        </w:rPr>
        <w:t xml:space="preserve">their </w:t>
      </w:r>
      <w:r w:rsidR="00B65CFD">
        <w:rPr>
          <w:u w:val="none"/>
        </w:rPr>
        <w:t xml:space="preserve">attendance at the hearing is not required. FPL </w:t>
      </w:r>
      <w:r w:rsidR="001B2F92">
        <w:rPr>
          <w:u w:val="none"/>
        </w:rPr>
        <w:t xml:space="preserve">argues </w:t>
      </w:r>
      <w:r w:rsidR="00BC16B2">
        <w:rPr>
          <w:u w:val="none"/>
        </w:rPr>
        <w:t>that CAIRC’s</w:t>
      </w:r>
      <w:r w:rsidR="00B65CFD">
        <w:rPr>
          <w:u w:val="none"/>
        </w:rPr>
        <w:t xml:space="preserve"> October 8</w:t>
      </w:r>
      <w:r w:rsidR="002C70D5">
        <w:rPr>
          <w:u w:val="none"/>
        </w:rPr>
        <w:t>,</w:t>
      </w:r>
      <w:r w:rsidR="00B65CFD">
        <w:rPr>
          <w:u w:val="none"/>
        </w:rPr>
        <w:t xml:space="preserve"> 2018 motion to reschedule the hearing was made moot by a Commission Order issued that day and that</w:t>
      </w:r>
      <w:r w:rsidR="00BC16B2">
        <w:rPr>
          <w:u w:val="none"/>
        </w:rPr>
        <w:t xml:space="preserve"> </w:t>
      </w:r>
      <w:r w:rsidR="00B65CFD">
        <w:rPr>
          <w:u w:val="none"/>
        </w:rPr>
        <w:t xml:space="preserve">CAIRC’s instant motion is its third request to reschedule hearing dates in these dockets. </w:t>
      </w:r>
      <w:r w:rsidR="00A66720">
        <w:rPr>
          <w:u w:val="none"/>
        </w:rPr>
        <w:t xml:space="preserve">FPL argues that due process </w:t>
      </w:r>
      <w:r w:rsidR="00B96845">
        <w:rPr>
          <w:u w:val="none"/>
        </w:rPr>
        <w:t>requires</w:t>
      </w:r>
      <w:r w:rsidR="00A66720">
        <w:rPr>
          <w:u w:val="none"/>
        </w:rPr>
        <w:t xml:space="preserve"> reasonable notice and an opportunity to be heard and that CAIRC has had an extra week to prepare, that CAIRC’s testimony can be stipulated and that only counsel for CAIRC need attend the hearing at which </w:t>
      </w:r>
      <w:r w:rsidR="001B2F92">
        <w:rPr>
          <w:u w:val="none"/>
        </w:rPr>
        <w:t xml:space="preserve">time its </w:t>
      </w:r>
      <w:r w:rsidR="00A66720">
        <w:rPr>
          <w:u w:val="none"/>
        </w:rPr>
        <w:t>counsel can cross examine witnesses</w:t>
      </w:r>
      <w:r w:rsidR="001B2F92">
        <w:rPr>
          <w:u w:val="none"/>
        </w:rPr>
        <w:t xml:space="preserve">. </w:t>
      </w:r>
      <w:r w:rsidR="00A66720">
        <w:rPr>
          <w:u w:val="none"/>
        </w:rPr>
        <w:t xml:space="preserve">FPL </w:t>
      </w:r>
      <w:r w:rsidR="001B2F92">
        <w:rPr>
          <w:u w:val="none"/>
        </w:rPr>
        <w:t xml:space="preserve">argues </w:t>
      </w:r>
      <w:r w:rsidR="00A66720">
        <w:rPr>
          <w:u w:val="none"/>
        </w:rPr>
        <w:t xml:space="preserve">that the Order </w:t>
      </w:r>
      <w:r w:rsidR="002C70D5">
        <w:rPr>
          <w:u w:val="none"/>
        </w:rPr>
        <w:t>E</w:t>
      </w:r>
      <w:r w:rsidR="00A66720">
        <w:rPr>
          <w:u w:val="none"/>
        </w:rPr>
        <w:t xml:space="preserve">stablishing </w:t>
      </w:r>
      <w:r w:rsidR="002C70D5">
        <w:rPr>
          <w:u w:val="none"/>
        </w:rPr>
        <w:t>P</w:t>
      </w:r>
      <w:r w:rsidR="00A66720">
        <w:rPr>
          <w:u w:val="none"/>
        </w:rPr>
        <w:t>rocedure in th</w:t>
      </w:r>
      <w:r w:rsidR="001B2F92">
        <w:rPr>
          <w:u w:val="none"/>
        </w:rPr>
        <w:t xml:space="preserve">ese </w:t>
      </w:r>
      <w:r w:rsidR="00B96845">
        <w:rPr>
          <w:u w:val="none"/>
        </w:rPr>
        <w:t>docket</w:t>
      </w:r>
      <w:r w:rsidR="001B2F92">
        <w:rPr>
          <w:u w:val="none"/>
        </w:rPr>
        <w:t>s</w:t>
      </w:r>
      <w:r w:rsidR="00A66720">
        <w:rPr>
          <w:u w:val="none"/>
        </w:rPr>
        <w:t xml:space="preserve"> reflected a discovery cut off of October 2, 2018</w:t>
      </w:r>
      <w:r w:rsidR="001B2F92">
        <w:rPr>
          <w:u w:val="none"/>
        </w:rPr>
        <w:t>,</w:t>
      </w:r>
      <w:r w:rsidR="00A66720">
        <w:rPr>
          <w:u w:val="none"/>
        </w:rPr>
        <w:t xml:space="preserve"> and that during </w:t>
      </w:r>
      <w:r w:rsidR="00B96845">
        <w:rPr>
          <w:u w:val="none"/>
        </w:rPr>
        <w:t>the</w:t>
      </w:r>
      <w:r w:rsidR="00A66720">
        <w:rPr>
          <w:u w:val="none"/>
        </w:rPr>
        <w:t xml:space="preserve"> ten weeks </w:t>
      </w:r>
      <w:r w:rsidR="00B96845">
        <w:rPr>
          <w:u w:val="none"/>
        </w:rPr>
        <w:t>available</w:t>
      </w:r>
      <w:r w:rsidR="00A66720">
        <w:rPr>
          <w:u w:val="none"/>
        </w:rPr>
        <w:t xml:space="preserve"> for discovery “CAIRC did not propound a single interrogatory or request a single document from any party</w:t>
      </w:r>
      <w:r w:rsidR="002C70D5">
        <w:rPr>
          <w:u w:val="none"/>
        </w:rPr>
        <w:t>.</w:t>
      </w:r>
      <w:r w:rsidR="00A66720">
        <w:rPr>
          <w:u w:val="none"/>
        </w:rPr>
        <w:t xml:space="preserve">” </w:t>
      </w:r>
      <w:r w:rsidR="001B2F92">
        <w:rPr>
          <w:u w:val="none"/>
        </w:rPr>
        <w:t xml:space="preserve">FPL avers that </w:t>
      </w:r>
      <w:r w:rsidR="00A66720">
        <w:rPr>
          <w:u w:val="none"/>
        </w:rPr>
        <w:t xml:space="preserve">the only discovery action CAIRC took was to notice </w:t>
      </w:r>
      <w:r w:rsidR="001B2F92">
        <w:rPr>
          <w:u w:val="none"/>
        </w:rPr>
        <w:t xml:space="preserve">the </w:t>
      </w:r>
      <w:r w:rsidR="00A66720">
        <w:rPr>
          <w:u w:val="none"/>
        </w:rPr>
        <w:t xml:space="preserve">deposition of a person who had not filed testimony in the docket. FPL concludes that the presiding officer in this case has discretion </w:t>
      </w:r>
      <w:r w:rsidR="00E747B4">
        <w:rPr>
          <w:u w:val="none"/>
        </w:rPr>
        <w:t xml:space="preserve">in procedural matters of this sort and asks </w:t>
      </w:r>
      <w:r w:rsidR="00B96845">
        <w:rPr>
          <w:u w:val="none"/>
        </w:rPr>
        <w:t>that</w:t>
      </w:r>
      <w:r w:rsidR="00E747B4">
        <w:rPr>
          <w:u w:val="none"/>
        </w:rPr>
        <w:t xml:space="preserve"> the Commission deny the CAIRC motion. </w:t>
      </w:r>
      <w:r w:rsidR="00A66720">
        <w:rPr>
          <w:u w:val="none"/>
        </w:rPr>
        <w:t xml:space="preserve">   </w:t>
      </w:r>
      <w:r w:rsidR="00B65CFD">
        <w:rPr>
          <w:u w:val="none"/>
        </w:rPr>
        <w:t xml:space="preserve"> </w:t>
      </w:r>
    </w:p>
    <w:p w:rsidR="006F15E4" w:rsidRDefault="007F4DD5" w:rsidP="006F15E4">
      <w:pPr>
        <w:pStyle w:val="CenterUnderline"/>
        <w:jc w:val="both"/>
        <w:rPr>
          <w:u w:val="none"/>
        </w:rPr>
      </w:pPr>
      <w:r>
        <w:rPr>
          <w:u w:val="none"/>
        </w:rPr>
        <w:t xml:space="preserve"> </w:t>
      </w:r>
      <w:r w:rsidR="00360B3F">
        <w:rPr>
          <w:u w:val="none"/>
        </w:rPr>
        <w:t xml:space="preserve"> </w:t>
      </w:r>
    </w:p>
    <w:p w:rsidR="00163B9C" w:rsidRDefault="00163B9C" w:rsidP="006F15E4">
      <w:pPr>
        <w:pStyle w:val="CenterUnderline"/>
        <w:jc w:val="both"/>
        <w:rPr>
          <w:u w:val="none"/>
        </w:rPr>
      </w:pPr>
      <w:r>
        <w:rPr>
          <w:u w:val="none"/>
        </w:rPr>
        <w:tab/>
        <w:t xml:space="preserve">Upon review, I note that </w:t>
      </w:r>
      <w:r w:rsidR="00847996">
        <w:rPr>
          <w:u w:val="none"/>
        </w:rPr>
        <w:t>CAIRC asked that the hearing be stayed because of Hurricane Michael</w:t>
      </w:r>
      <w:r w:rsidR="003F1803">
        <w:rPr>
          <w:u w:val="none"/>
        </w:rPr>
        <w:t xml:space="preserve"> and </w:t>
      </w:r>
      <w:r w:rsidR="00784A3E">
        <w:rPr>
          <w:u w:val="none"/>
        </w:rPr>
        <w:t xml:space="preserve">that </w:t>
      </w:r>
      <w:r w:rsidR="003F1803">
        <w:rPr>
          <w:u w:val="none"/>
        </w:rPr>
        <w:t>t</w:t>
      </w:r>
      <w:r w:rsidR="00847996">
        <w:rPr>
          <w:u w:val="none"/>
        </w:rPr>
        <w:t xml:space="preserve">he hearing was continued due to the </w:t>
      </w:r>
      <w:r w:rsidR="003F1803">
        <w:rPr>
          <w:u w:val="none"/>
        </w:rPr>
        <w:t xml:space="preserve">state of </w:t>
      </w:r>
      <w:r w:rsidR="00847996">
        <w:rPr>
          <w:u w:val="none"/>
        </w:rPr>
        <w:t xml:space="preserve">emergency </w:t>
      </w:r>
      <w:r w:rsidR="003F1803">
        <w:rPr>
          <w:u w:val="none"/>
        </w:rPr>
        <w:t xml:space="preserve">in the Florida Panhandle </w:t>
      </w:r>
      <w:r w:rsidR="00847996">
        <w:rPr>
          <w:u w:val="none"/>
        </w:rPr>
        <w:t>created by Hurricane Michael.</w:t>
      </w:r>
      <w:r w:rsidR="003F1803">
        <w:rPr>
          <w:u w:val="none"/>
        </w:rPr>
        <w:t xml:space="preserve"> </w:t>
      </w:r>
      <w:r w:rsidR="00847996">
        <w:rPr>
          <w:u w:val="none"/>
        </w:rPr>
        <w:t xml:space="preserve">Our offices were closed </w:t>
      </w:r>
      <w:r w:rsidR="003F1803">
        <w:rPr>
          <w:u w:val="none"/>
        </w:rPr>
        <w:t xml:space="preserve">on October 9, 2018 </w:t>
      </w:r>
      <w:r w:rsidR="00847996">
        <w:rPr>
          <w:u w:val="none"/>
        </w:rPr>
        <w:t xml:space="preserve">and </w:t>
      </w:r>
      <w:r w:rsidR="003F1803">
        <w:rPr>
          <w:u w:val="none"/>
        </w:rPr>
        <w:t xml:space="preserve">reopened on October 15, 2018. All parties, including </w:t>
      </w:r>
      <w:r w:rsidR="00847996">
        <w:rPr>
          <w:u w:val="none"/>
        </w:rPr>
        <w:t xml:space="preserve">CAIRC, had 14 days notice of the </w:t>
      </w:r>
      <w:r w:rsidR="003F1803">
        <w:rPr>
          <w:u w:val="none"/>
        </w:rPr>
        <w:t>original</w:t>
      </w:r>
      <w:r w:rsidR="00847996">
        <w:rPr>
          <w:u w:val="none"/>
        </w:rPr>
        <w:t xml:space="preserve"> </w:t>
      </w:r>
      <w:r w:rsidR="003F1803">
        <w:rPr>
          <w:u w:val="none"/>
        </w:rPr>
        <w:t xml:space="preserve">October 9, 2018 </w:t>
      </w:r>
      <w:r w:rsidR="00847996">
        <w:rPr>
          <w:u w:val="none"/>
        </w:rPr>
        <w:t>hearing date</w:t>
      </w:r>
      <w:r w:rsidR="003F1803">
        <w:rPr>
          <w:u w:val="none"/>
        </w:rPr>
        <w:t xml:space="preserve">; </w:t>
      </w:r>
      <w:r w:rsidR="00847996">
        <w:rPr>
          <w:u w:val="none"/>
        </w:rPr>
        <w:t>because of the continuance, all parties had an additional 9 days to prepare</w:t>
      </w:r>
      <w:r w:rsidR="003F1803">
        <w:rPr>
          <w:u w:val="none"/>
        </w:rPr>
        <w:t xml:space="preserve"> for the October 18, 2018 hearing</w:t>
      </w:r>
      <w:r w:rsidR="00784A3E">
        <w:rPr>
          <w:u w:val="none"/>
        </w:rPr>
        <w:t>.</w:t>
      </w:r>
      <w:r w:rsidR="003F1803">
        <w:rPr>
          <w:u w:val="none"/>
        </w:rPr>
        <w:t xml:space="preserve"> </w:t>
      </w:r>
      <w:r>
        <w:rPr>
          <w:u w:val="none"/>
        </w:rPr>
        <w:t>CAIRC</w:t>
      </w:r>
      <w:r w:rsidR="003F1803">
        <w:rPr>
          <w:u w:val="none"/>
        </w:rPr>
        <w:t xml:space="preserve"> argues that its </w:t>
      </w:r>
      <w:r>
        <w:rPr>
          <w:u w:val="none"/>
        </w:rPr>
        <w:t xml:space="preserve">attorney is </w:t>
      </w:r>
      <w:r w:rsidR="00B96845">
        <w:rPr>
          <w:u w:val="none"/>
        </w:rPr>
        <w:t>inconvenienced</w:t>
      </w:r>
      <w:r>
        <w:rPr>
          <w:u w:val="none"/>
        </w:rPr>
        <w:t xml:space="preserve"> by the new hearing dates, not that the attorney cannot attend. </w:t>
      </w:r>
      <w:r w:rsidR="001B2F92">
        <w:rPr>
          <w:u w:val="none"/>
        </w:rPr>
        <w:t>Moreover, t</w:t>
      </w:r>
      <w:r>
        <w:rPr>
          <w:u w:val="none"/>
        </w:rPr>
        <w:t xml:space="preserve">his hearing has prefiled testimony and exhibits and all parties have agreed to stipulate to the inclusion in the record of the CAIRC witnesses’ testimony and exhibits without the need for cross examination or attendance at the hearing. Because testimony has been prefiled, there has been, and continues to be, ample time for CAIRC’s counsel to review testimony </w:t>
      </w:r>
      <w:r w:rsidR="00B96845">
        <w:rPr>
          <w:u w:val="none"/>
        </w:rPr>
        <w:t xml:space="preserve">with any needed experts in order to </w:t>
      </w:r>
      <w:r>
        <w:rPr>
          <w:u w:val="none"/>
        </w:rPr>
        <w:t xml:space="preserve">formulate cross examination questions in preparation for hearing. </w:t>
      </w:r>
      <w:r w:rsidR="00B96845">
        <w:rPr>
          <w:u w:val="none"/>
        </w:rPr>
        <w:t>Based upon the foregoing, I shall deny CAIRC’s Motion.</w:t>
      </w:r>
      <w:r>
        <w:rPr>
          <w:u w:val="none"/>
        </w:rPr>
        <w:t xml:space="preserve"> </w:t>
      </w:r>
      <w:r>
        <w:rPr>
          <w:u w:val="none"/>
        </w:rPr>
        <w:tab/>
      </w:r>
    </w:p>
    <w:p w:rsidR="001B2F92" w:rsidRDefault="001B2F92" w:rsidP="006F15E4">
      <w:pPr>
        <w:pStyle w:val="CenterUnderline"/>
        <w:jc w:val="both"/>
        <w:rPr>
          <w:u w:val="none"/>
        </w:rPr>
      </w:pPr>
    </w:p>
    <w:p w:rsidR="001B2F92" w:rsidRDefault="001B2F92" w:rsidP="006F15E4">
      <w:pPr>
        <w:pStyle w:val="CenterUnderline"/>
        <w:jc w:val="both"/>
        <w:rPr>
          <w:u w:val="none"/>
        </w:rPr>
      </w:pPr>
      <w:r>
        <w:rPr>
          <w:u w:val="none"/>
        </w:rPr>
        <w:tab/>
        <w:t xml:space="preserve">By agreement of the parties, the following witnesses are excused from the hearing and their respective testimony shall be inserted into the record as though read and any exhibits attached to the testimony shall similarly be included in the record: </w:t>
      </w:r>
    </w:p>
    <w:p w:rsidR="001B2F92" w:rsidRDefault="001B2F92" w:rsidP="006F15E4">
      <w:pPr>
        <w:pStyle w:val="CenterUnderline"/>
        <w:jc w:val="both"/>
        <w:rPr>
          <w:u w:val="none"/>
        </w:rPr>
      </w:pPr>
    </w:p>
    <w:p w:rsidR="001B2F92" w:rsidRDefault="00BE700A" w:rsidP="006F15E4">
      <w:pPr>
        <w:pStyle w:val="CenterUnderline"/>
        <w:jc w:val="both"/>
        <w:rPr>
          <w:u w:val="none"/>
        </w:rPr>
      </w:pPr>
      <w:r>
        <w:rPr>
          <w:u w:val="none"/>
        </w:rPr>
        <w:lastRenderedPageBreak/>
        <w:tab/>
      </w:r>
      <w:r w:rsidR="001B2F92">
        <w:rPr>
          <w:u w:val="none"/>
        </w:rPr>
        <w:t>CAIRC: White, Whittall, Kramer, Tripson, and Daige</w:t>
      </w:r>
    </w:p>
    <w:p w:rsidR="001B2F92" w:rsidRDefault="00BE700A" w:rsidP="006F15E4">
      <w:pPr>
        <w:pStyle w:val="CenterUnderline"/>
        <w:jc w:val="both"/>
        <w:rPr>
          <w:u w:val="none"/>
        </w:rPr>
      </w:pPr>
      <w:r>
        <w:rPr>
          <w:u w:val="none"/>
        </w:rPr>
        <w:tab/>
      </w:r>
      <w:r w:rsidR="001B2F92">
        <w:rPr>
          <w:u w:val="none"/>
        </w:rPr>
        <w:t>OPC: Kollen</w:t>
      </w:r>
    </w:p>
    <w:p w:rsidR="001B2F92" w:rsidRDefault="00BE700A" w:rsidP="006F15E4">
      <w:pPr>
        <w:pStyle w:val="CenterUnderline"/>
        <w:jc w:val="both"/>
        <w:rPr>
          <w:u w:val="none"/>
        </w:rPr>
      </w:pPr>
      <w:r>
        <w:rPr>
          <w:u w:val="none"/>
        </w:rPr>
        <w:tab/>
      </w:r>
      <w:r w:rsidR="001B2F92">
        <w:rPr>
          <w:u w:val="none"/>
        </w:rPr>
        <w:t>FPL: Cohen, Bores, and Herr</w:t>
      </w:r>
    </w:p>
    <w:p w:rsidR="002C70D5" w:rsidRPr="00B36228" w:rsidRDefault="001B2F92" w:rsidP="00B36228">
      <w:pPr>
        <w:pStyle w:val="CenterUnderline"/>
        <w:jc w:val="both"/>
        <w:rPr>
          <w:u w:val="none"/>
        </w:rPr>
      </w:pPr>
      <w:r w:rsidRPr="00B36228">
        <w:rPr>
          <w:u w:val="none"/>
        </w:rPr>
        <w:t xml:space="preserve"> </w:t>
      </w:r>
      <w:bookmarkStart w:id="6" w:name="OrderText"/>
      <w:bookmarkEnd w:id="6"/>
      <w:r w:rsidR="00B9333D" w:rsidRPr="00B36228">
        <w:rPr>
          <w:u w:val="none"/>
        </w:rPr>
        <w:tab/>
      </w:r>
    </w:p>
    <w:p w:rsidR="00B9333D" w:rsidRDefault="003F1803" w:rsidP="00B9333D">
      <w:pPr>
        <w:pStyle w:val="OrderBody"/>
      </w:pPr>
      <w:r w:rsidRPr="00B36228">
        <w:tab/>
      </w:r>
      <w:r w:rsidR="00B9333D" w:rsidRPr="00B36228">
        <w:t>Th</w:t>
      </w:r>
      <w:r w:rsidR="00B9333D">
        <w:t>erefore, based on the foregoing, it is</w:t>
      </w:r>
      <w:r w:rsidR="008B1887">
        <w:t xml:space="preserve"> </w:t>
      </w:r>
    </w:p>
    <w:p w:rsidR="00B9333D" w:rsidRDefault="00B9333D" w:rsidP="00B9333D">
      <w:pPr>
        <w:pStyle w:val="OrderBody"/>
      </w:pPr>
    </w:p>
    <w:p w:rsidR="00B9333D" w:rsidRDefault="00B9333D" w:rsidP="00B9333D">
      <w:pPr>
        <w:pStyle w:val="OrderBody"/>
      </w:pPr>
      <w:r>
        <w:tab/>
        <w:t>ORDERED by Chairman Art Graham, as Pre</w:t>
      </w:r>
      <w:r w:rsidR="00784A3E">
        <w:t>siding</w:t>
      </w:r>
      <w:r>
        <w:t xml:space="preserve"> Officer, that</w:t>
      </w:r>
      <w:r w:rsidR="00503449">
        <w:t xml:space="preserve"> the </w:t>
      </w:r>
      <w:r w:rsidR="008B1887">
        <w:t xml:space="preserve">Civic Association of Indian River County, Inc.’s </w:t>
      </w:r>
      <w:r w:rsidR="00503449">
        <w:t>Motion</w:t>
      </w:r>
      <w:r w:rsidR="008B1887">
        <w:t xml:space="preserve"> for Relief from Rescheduling of Proceedings in Light of Conflicts with Hearing Dates is </w:t>
      </w:r>
      <w:r w:rsidR="00E16C3B">
        <w:t>denied. It</w:t>
      </w:r>
      <w:r w:rsidR="001B2F92">
        <w:t xml:space="preserve"> is further</w:t>
      </w:r>
    </w:p>
    <w:p w:rsidR="001B2F92" w:rsidRDefault="001B2F92" w:rsidP="00B9333D">
      <w:pPr>
        <w:pStyle w:val="OrderBody"/>
      </w:pPr>
    </w:p>
    <w:p w:rsidR="00503449" w:rsidRDefault="001B2F92" w:rsidP="00B9333D">
      <w:pPr>
        <w:pStyle w:val="OrderBody"/>
      </w:pPr>
      <w:r>
        <w:tab/>
        <w:t xml:space="preserve">ORDERED that the witnesses named in the body of this Order are excused from the hearing with their prefiled testimony </w:t>
      </w:r>
      <w:r w:rsidR="00784A3E">
        <w:t xml:space="preserve">to be </w:t>
      </w:r>
      <w:r>
        <w:t xml:space="preserve">inserted into the record as though read and </w:t>
      </w:r>
      <w:r w:rsidR="00BE700A">
        <w:t xml:space="preserve">exhibits attached thereto similarly included in the record. </w:t>
      </w:r>
    </w:p>
    <w:p w:rsidR="00B9333D" w:rsidRDefault="00B9333D" w:rsidP="00B9333D">
      <w:pPr>
        <w:pStyle w:val="OrderBody"/>
      </w:pPr>
    </w:p>
    <w:p w:rsidR="00B9333D" w:rsidRDefault="00B9333D" w:rsidP="00B9333D">
      <w:pPr>
        <w:pStyle w:val="OrderBody"/>
        <w:keepNext/>
        <w:keepLines/>
      </w:pPr>
      <w:r>
        <w:tab/>
        <w:t xml:space="preserve">By ORDER of Chairman Art Graham, as Prehearing Officer, this </w:t>
      </w:r>
      <w:bookmarkStart w:id="7" w:name="replaceDate"/>
      <w:bookmarkEnd w:id="7"/>
      <w:r w:rsidR="00C328B3">
        <w:rPr>
          <w:u w:val="single"/>
        </w:rPr>
        <w:t>16th</w:t>
      </w:r>
      <w:r w:rsidR="00C328B3">
        <w:t xml:space="preserve"> day of </w:t>
      </w:r>
      <w:r w:rsidR="00C328B3">
        <w:rPr>
          <w:u w:val="single"/>
        </w:rPr>
        <w:t>October</w:t>
      </w:r>
      <w:r w:rsidR="00C328B3">
        <w:t xml:space="preserve">, </w:t>
      </w:r>
      <w:r w:rsidR="00C328B3">
        <w:rPr>
          <w:u w:val="single"/>
        </w:rPr>
        <w:t>2018</w:t>
      </w:r>
      <w:r w:rsidR="00C328B3">
        <w:t>.</w:t>
      </w:r>
    </w:p>
    <w:p w:rsidR="00C328B3" w:rsidRPr="00C328B3" w:rsidRDefault="00C328B3" w:rsidP="00B9333D">
      <w:pPr>
        <w:pStyle w:val="OrderBody"/>
        <w:keepNext/>
        <w:keepLines/>
      </w:pPr>
    </w:p>
    <w:p w:rsidR="00B9333D" w:rsidRDefault="00B9333D" w:rsidP="00B9333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9333D" w:rsidTr="00B9333D">
        <w:tc>
          <w:tcPr>
            <w:tcW w:w="720" w:type="dxa"/>
            <w:shd w:val="clear" w:color="auto" w:fill="auto"/>
          </w:tcPr>
          <w:p w:rsidR="00B9333D" w:rsidRDefault="00B9333D" w:rsidP="00B9333D">
            <w:pPr>
              <w:pStyle w:val="OrderBody"/>
              <w:keepNext/>
              <w:keepLines/>
            </w:pPr>
            <w:bookmarkStart w:id="8" w:name="bkmrkSignature" w:colFirst="0" w:colLast="0"/>
          </w:p>
        </w:tc>
        <w:tc>
          <w:tcPr>
            <w:tcW w:w="4320" w:type="dxa"/>
            <w:tcBorders>
              <w:bottom w:val="single" w:sz="4" w:space="0" w:color="auto"/>
            </w:tcBorders>
            <w:shd w:val="clear" w:color="auto" w:fill="auto"/>
          </w:tcPr>
          <w:p w:rsidR="00B9333D" w:rsidRDefault="00C328B3" w:rsidP="00B9333D">
            <w:pPr>
              <w:pStyle w:val="OrderBody"/>
              <w:keepNext/>
              <w:keepLines/>
            </w:pPr>
            <w:r>
              <w:t>/s/ Art Graham</w:t>
            </w:r>
            <w:bookmarkStart w:id="9" w:name="_GoBack"/>
            <w:bookmarkEnd w:id="9"/>
          </w:p>
        </w:tc>
      </w:tr>
      <w:bookmarkEnd w:id="8"/>
      <w:tr w:rsidR="00B9333D" w:rsidTr="00B9333D">
        <w:tc>
          <w:tcPr>
            <w:tcW w:w="720" w:type="dxa"/>
            <w:shd w:val="clear" w:color="auto" w:fill="auto"/>
          </w:tcPr>
          <w:p w:rsidR="00B9333D" w:rsidRDefault="00B9333D" w:rsidP="00B9333D">
            <w:pPr>
              <w:pStyle w:val="OrderBody"/>
              <w:keepNext/>
              <w:keepLines/>
            </w:pPr>
          </w:p>
        </w:tc>
        <w:tc>
          <w:tcPr>
            <w:tcW w:w="4320" w:type="dxa"/>
            <w:tcBorders>
              <w:top w:val="single" w:sz="4" w:space="0" w:color="auto"/>
            </w:tcBorders>
            <w:shd w:val="clear" w:color="auto" w:fill="auto"/>
          </w:tcPr>
          <w:p w:rsidR="00B9333D" w:rsidRDefault="00B9333D" w:rsidP="00B9333D">
            <w:pPr>
              <w:pStyle w:val="OrderBody"/>
              <w:keepNext/>
              <w:keepLines/>
            </w:pPr>
            <w:r>
              <w:t>ART GRAHAM</w:t>
            </w:r>
          </w:p>
          <w:p w:rsidR="00B9333D" w:rsidRDefault="00B9333D" w:rsidP="00B9333D">
            <w:pPr>
              <w:pStyle w:val="OrderBody"/>
              <w:keepNext/>
              <w:keepLines/>
            </w:pPr>
            <w:r>
              <w:t>Chairman and Prehearing Officer</w:t>
            </w:r>
          </w:p>
        </w:tc>
      </w:tr>
    </w:tbl>
    <w:p w:rsidR="00B9333D" w:rsidRDefault="00B9333D" w:rsidP="00B9333D">
      <w:pPr>
        <w:pStyle w:val="OrderSigInfo"/>
        <w:keepNext/>
        <w:keepLines/>
      </w:pPr>
      <w:r>
        <w:t>Florida Public Service Commission</w:t>
      </w:r>
    </w:p>
    <w:p w:rsidR="00B9333D" w:rsidRDefault="00B9333D" w:rsidP="00B9333D">
      <w:pPr>
        <w:pStyle w:val="OrderSigInfo"/>
        <w:keepNext/>
        <w:keepLines/>
      </w:pPr>
      <w:r>
        <w:t>2540 Shumard Oak Boulevard</w:t>
      </w:r>
    </w:p>
    <w:p w:rsidR="00B9333D" w:rsidRDefault="00B9333D" w:rsidP="00B9333D">
      <w:pPr>
        <w:pStyle w:val="OrderSigInfo"/>
        <w:keepNext/>
        <w:keepLines/>
      </w:pPr>
      <w:r>
        <w:t>Tallahassee, Florida 32399</w:t>
      </w:r>
    </w:p>
    <w:p w:rsidR="00B9333D" w:rsidRDefault="00B9333D" w:rsidP="00B9333D">
      <w:pPr>
        <w:pStyle w:val="OrderSigInfo"/>
        <w:keepNext/>
        <w:keepLines/>
      </w:pPr>
      <w:r>
        <w:t>(850) 413</w:t>
      </w:r>
      <w:r>
        <w:noBreakHyphen/>
        <w:t>6770</w:t>
      </w:r>
    </w:p>
    <w:p w:rsidR="00B9333D" w:rsidRDefault="00B9333D" w:rsidP="00B9333D">
      <w:pPr>
        <w:pStyle w:val="OrderSigInfo"/>
        <w:keepNext/>
        <w:keepLines/>
      </w:pPr>
      <w:r>
        <w:t>www.floridapsc.com</w:t>
      </w:r>
    </w:p>
    <w:p w:rsidR="00B9333D" w:rsidRDefault="00B9333D" w:rsidP="00B9333D">
      <w:pPr>
        <w:pStyle w:val="OrderSigInfo"/>
        <w:keepNext/>
        <w:keepLines/>
      </w:pPr>
    </w:p>
    <w:p w:rsidR="00B9333D" w:rsidRDefault="00B9333D" w:rsidP="00B9333D">
      <w:pPr>
        <w:pStyle w:val="OrderSigInfo"/>
        <w:keepNext/>
        <w:keepLines/>
      </w:pPr>
      <w:r>
        <w:t>Copies furnished:  A copy of this document is provided to the parties of record at the time of issuance and, if applicable, interested persons.</w:t>
      </w:r>
    </w:p>
    <w:p w:rsidR="00B9333D" w:rsidRDefault="00B9333D" w:rsidP="00B9333D">
      <w:pPr>
        <w:pStyle w:val="OrderBody"/>
        <w:keepNext/>
        <w:keepLines/>
      </w:pPr>
    </w:p>
    <w:p w:rsidR="00B9333D" w:rsidRDefault="00B9333D" w:rsidP="00B9333D">
      <w:pPr>
        <w:pStyle w:val="OrderBody"/>
        <w:keepNext/>
        <w:keepLines/>
      </w:pPr>
    </w:p>
    <w:p w:rsidR="00B9333D" w:rsidRDefault="00B9333D" w:rsidP="00B9333D">
      <w:pPr>
        <w:pStyle w:val="OrderBody"/>
        <w:keepNext/>
        <w:keepLines/>
      </w:pPr>
      <w:r>
        <w:t>CWM</w:t>
      </w:r>
    </w:p>
    <w:p w:rsidR="00E61578" w:rsidRDefault="00E61578" w:rsidP="00B9333D">
      <w:pPr>
        <w:pStyle w:val="OrderBody"/>
        <w:keepNext/>
        <w:keepLines/>
      </w:pPr>
    </w:p>
    <w:p w:rsidR="00E61578" w:rsidRDefault="00E61578" w:rsidP="00B9333D">
      <w:pPr>
        <w:pStyle w:val="OrderBody"/>
        <w:keepNext/>
        <w:keepLines/>
      </w:pPr>
    </w:p>
    <w:p w:rsidR="00E61578" w:rsidRDefault="00E61578" w:rsidP="00E61578">
      <w:pPr>
        <w:pStyle w:val="CenterUnderline"/>
      </w:pPr>
      <w:r>
        <w:t>NOTICE OF FURTHER PROCEEDINGS OR JUDICIAL REVIEW</w:t>
      </w:r>
    </w:p>
    <w:p w:rsidR="00B9333D" w:rsidRDefault="00B9333D" w:rsidP="00E61578">
      <w:pPr>
        <w:pStyle w:val="CenterUnderline"/>
      </w:pPr>
    </w:p>
    <w:p w:rsidR="00E61578" w:rsidRDefault="00E61578" w:rsidP="00E6157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1578" w:rsidRDefault="00E61578" w:rsidP="00E61578">
      <w:pPr>
        <w:pStyle w:val="OrderBody"/>
      </w:pPr>
    </w:p>
    <w:p w:rsidR="00E61578" w:rsidRDefault="00E61578" w:rsidP="00E61578">
      <w:pPr>
        <w:pStyle w:val="OrderBody"/>
      </w:pPr>
      <w:r>
        <w:tab/>
        <w:t>Mediation may be available on a case-by-case basis.  If mediation is conducted, it does not affect a substantially interested person's right to a hearing.</w:t>
      </w:r>
    </w:p>
    <w:p w:rsidR="00E61578" w:rsidRDefault="00E61578" w:rsidP="00E61578">
      <w:pPr>
        <w:pStyle w:val="OrderBody"/>
      </w:pPr>
    </w:p>
    <w:p w:rsidR="00E61578" w:rsidRDefault="00E61578" w:rsidP="00E6157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61578" w:rsidRDefault="00E61578" w:rsidP="00E61578">
      <w:pPr>
        <w:pStyle w:val="OrderBody"/>
      </w:pPr>
    </w:p>
    <w:p w:rsidR="00E61578" w:rsidRDefault="00E61578" w:rsidP="00E61578">
      <w:pPr>
        <w:pStyle w:val="OrderBody"/>
      </w:pPr>
    </w:p>
    <w:p w:rsidR="00E61578" w:rsidRDefault="00E61578" w:rsidP="00E61578">
      <w:pPr>
        <w:pStyle w:val="OrderBody"/>
      </w:pPr>
    </w:p>
    <w:sectPr w:rsidR="00E6157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3D" w:rsidRDefault="00B9333D">
      <w:r>
        <w:separator/>
      </w:r>
    </w:p>
  </w:endnote>
  <w:endnote w:type="continuationSeparator" w:id="0">
    <w:p w:rsidR="00B9333D" w:rsidRDefault="00B9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3D" w:rsidRDefault="00B9333D">
      <w:r>
        <w:separator/>
      </w:r>
    </w:p>
  </w:footnote>
  <w:footnote w:type="continuationSeparator" w:id="0">
    <w:p w:rsidR="00B9333D" w:rsidRDefault="00B9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9 ">
      <w:r w:rsidR="00C328B3">
        <w:t>PSC-2018-0499-PCO-EU</w:t>
      </w:r>
    </w:fldSimple>
  </w:p>
  <w:p w:rsidR="00FA6EFD" w:rsidRDefault="00B9333D">
    <w:pPr>
      <w:pStyle w:val="OrderHeader"/>
    </w:pPr>
    <w:bookmarkStart w:id="10" w:name="HeaderDocketNo"/>
    <w:bookmarkEnd w:id="10"/>
    <w:r>
      <w:t>DOCKET NOS. 20170235-EI, 20170236-EU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28B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B9333D"/>
    <w:rsid w:val="000022B8"/>
    <w:rsid w:val="00035A8C"/>
    <w:rsid w:val="00053AB9"/>
    <w:rsid w:val="00056229"/>
    <w:rsid w:val="00057AF1"/>
    <w:rsid w:val="00065FC2"/>
    <w:rsid w:val="00067685"/>
    <w:rsid w:val="00076E6B"/>
    <w:rsid w:val="0008247D"/>
    <w:rsid w:val="00090AFC"/>
    <w:rsid w:val="000B5522"/>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3B9C"/>
    <w:rsid w:val="00187E32"/>
    <w:rsid w:val="00194E81"/>
    <w:rsid w:val="001A15E7"/>
    <w:rsid w:val="001A33C9"/>
    <w:rsid w:val="001A58F3"/>
    <w:rsid w:val="001B2F92"/>
    <w:rsid w:val="001C2847"/>
    <w:rsid w:val="001C3F8C"/>
    <w:rsid w:val="001C4099"/>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0D5"/>
    <w:rsid w:val="002C7908"/>
    <w:rsid w:val="002D391B"/>
    <w:rsid w:val="002D4B1F"/>
    <w:rsid w:val="002D7D15"/>
    <w:rsid w:val="002E1B2E"/>
    <w:rsid w:val="002E27EB"/>
    <w:rsid w:val="002F2A9D"/>
    <w:rsid w:val="002F31C2"/>
    <w:rsid w:val="00303FDE"/>
    <w:rsid w:val="003140E8"/>
    <w:rsid w:val="00322B33"/>
    <w:rsid w:val="003231C7"/>
    <w:rsid w:val="003270C4"/>
    <w:rsid w:val="00331ED0"/>
    <w:rsid w:val="00332B0A"/>
    <w:rsid w:val="00333A41"/>
    <w:rsid w:val="00345434"/>
    <w:rsid w:val="0035495B"/>
    <w:rsid w:val="00355A93"/>
    <w:rsid w:val="00360B3F"/>
    <w:rsid w:val="00361522"/>
    <w:rsid w:val="0037196E"/>
    <w:rsid w:val="003744F5"/>
    <w:rsid w:val="00387BDE"/>
    <w:rsid w:val="00387CC3"/>
    <w:rsid w:val="00390DD8"/>
    <w:rsid w:val="00394DC6"/>
    <w:rsid w:val="00397C3E"/>
    <w:rsid w:val="003B1A09"/>
    <w:rsid w:val="003D4CCA"/>
    <w:rsid w:val="003D52A6"/>
    <w:rsid w:val="003D6416"/>
    <w:rsid w:val="003E1D48"/>
    <w:rsid w:val="003F1803"/>
    <w:rsid w:val="003F1D2B"/>
    <w:rsid w:val="00411DF2"/>
    <w:rsid w:val="00411E8F"/>
    <w:rsid w:val="0042527B"/>
    <w:rsid w:val="00454F87"/>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3449"/>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1CAE"/>
    <w:rsid w:val="00672612"/>
    <w:rsid w:val="00677F18"/>
    <w:rsid w:val="00693483"/>
    <w:rsid w:val="006A0BF3"/>
    <w:rsid w:val="006B0DA6"/>
    <w:rsid w:val="006C547E"/>
    <w:rsid w:val="006D2B51"/>
    <w:rsid w:val="006D5575"/>
    <w:rsid w:val="006E42BE"/>
    <w:rsid w:val="006F15E4"/>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4A3E"/>
    <w:rsid w:val="007865E9"/>
    <w:rsid w:val="00792383"/>
    <w:rsid w:val="00794D5A"/>
    <w:rsid w:val="00794DD9"/>
    <w:rsid w:val="007A060F"/>
    <w:rsid w:val="007B6D93"/>
    <w:rsid w:val="007C0FBC"/>
    <w:rsid w:val="007C36E3"/>
    <w:rsid w:val="007C7134"/>
    <w:rsid w:val="007D3D20"/>
    <w:rsid w:val="007D742E"/>
    <w:rsid w:val="007E3AFD"/>
    <w:rsid w:val="007F4DD5"/>
    <w:rsid w:val="00801DAD"/>
    <w:rsid w:val="00803189"/>
    <w:rsid w:val="00804E7A"/>
    <w:rsid w:val="00805FBB"/>
    <w:rsid w:val="008153C5"/>
    <w:rsid w:val="008169A4"/>
    <w:rsid w:val="008278FE"/>
    <w:rsid w:val="00832598"/>
    <w:rsid w:val="0083397E"/>
    <w:rsid w:val="0083534B"/>
    <w:rsid w:val="00842602"/>
    <w:rsid w:val="00847996"/>
    <w:rsid w:val="00847B45"/>
    <w:rsid w:val="00863A66"/>
    <w:rsid w:val="008703D7"/>
    <w:rsid w:val="00874429"/>
    <w:rsid w:val="00883D9A"/>
    <w:rsid w:val="008919EF"/>
    <w:rsid w:val="00892B20"/>
    <w:rsid w:val="008A12EC"/>
    <w:rsid w:val="008B1887"/>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4F86"/>
    <w:rsid w:val="00966A9D"/>
    <w:rsid w:val="0096742B"/>
    <w:rsid w:val="009924CF"/>
    <w:rsid w:val="00994100"/>
    <w:rsid w:val="009A6B17"/>
    <w:rsid w:val="009D4C29"/>
    <w:rsid w:val="009F6AD2"/>
    <w:rsid w:val="00A00D8D"/>
    <w:rsid w:val="00A01BB6"/>
    <w:rsid w:val="00A4303C"/>
    <w:rsid w:val="00A470FD"/>
    <w:rsid w:val="00A62DAB"/>
    <w:rsid w:val="00A66720"/>
    <w:rsid w:val="00A6757A"/>
    <w:rsid w:val="00A726A6"/>
    <w:rsid w:val="00A739B1"/>
    <w:rsid w:val="00A74842"/>
    <w:rsid w:val="00A97535"/>
    <w:rsid w:val="00AA2BAA"/>
    <w:rsid w:val="00AA73F1"/>
    <w:rsid w:val="00AB0E1A"/>
    <w:rsid w:val="00AB1A30"/>
    <w:rsid w:val="00AB3C36"/>
    <w:rsid w:val="00AD10EB"/>
    <w:rsid w:val="00AD1ED3"/>
    <w:rsid w:val="00AF5437"/>
    <w:rsid w:val="00B01153"/>
    <w:rsid w:val="00B02001"/>
    <w:rsid w:val="00B03C50"/>
    <w:rsid w:val="00B0777D"/>
    <w:rsid w:val="00B11576"/>
    <w:rsid w:val="00B11744"/>
    <w:rsid w:val="00B1195F"/>
    <w:rsid w:val="00B14D10"/>
    <w:rsid w:val="00B209C7"/>
    <w:rsid w:val="00B36228"/>
    <w:rsid w:val="00B3644F"/>
    <w:rsid w:val="00B37821"/>
    <w:rsid w:val="00B4057A"/>
    <w:rsid w:val="00B40894"/>
    <w:rsid w:val="00B41039"/>
    <w:rsid w:val="00B444AE"/>
    <w:rsid w:val="00B45E75"/>
    <w:rsid w:val="00B50876"/>
    <w:rsid w:val="00B51074"/>
    <w:rsid w:val="00B54DAA"/>
    <w:rsid w:val="00B55AB0"/>
    <w:rsid w:val="00B55EE5"/>
    <w:rsid w:val="00B65CFD"/>
    <w:rsid w:val="00B71D1F"/>
    <w:rsid w:val="00B73DE6"/>
    <w:rsid w:val="00B761CD"/>
    <w:rsid w:val="00B86EF0"/>
    <w:rsid w:val="00B9333D"/>
    <w:rsid w:val="00B96845"/>
    <w:rsid w:val="00B96969"/>
    <w:rsid w:val="00B97900"/>
    <w:rsid w:val="00BA1229"/>
    <w:rsid w:val="00BA44A8"/>
    <w:rsid w:val="00BC16B2"/>
    <w:rsid w:val="00BE700A"/>
    <w:rsid w:val="00BF6691"/>
    <w:rsid w:val="00C028FC"/>
    <w:rsid w:val="00C037F2"/>
    <w:rsid w:val="00C0386D"/>
    <w:rsid w:val="00C065A1"/>
    <w:rsid w:val="00C10ED5"/>
    <w:rsid w:val="00C151A6"/>
    <w:rsid w:val="00C24098"/>
    <w:rsid w:val="00C30A4E"/>
    <w:rsid w:val="00C328B3"/>
    <w:rsid w:val="00C411F3"/>
    <w:rsid w:val="00C44105"/>
    <w:rsid w:val="00C55A33"/>
    <w:rsid w:val="00C66692"/>
    <w:rsid w:val="00C673B5"/>
    <w:rsid w:val="00C7063D"/>
    <w:rsid w:val="00C830BC"/>
    <w:rsid w:val="00C8524D"/>
    <w:rsid w:val="00C91123"/>
    <w:rsid w:val="00C91F90"/>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32C0"/>
    <w:rsid w:val="00D80E2D"/>
    <w:rsid w:val="00D84D5E"/>
    <w:rsid w:val="00D8560E"/>
    <w:rsid w:val="00D8758F"/>
    <w:rsid w:val="00DA4EDD"/>
    <w:rsid w:val="00DA6B78"/>
    <w:rsid w:val="00DC1D94"/>
    <w:rsid w:val="00DC42CF"/>
    <w:rsid w:val="00DE057F"/>
    <w:rsid w:val="00DE2082"/>
    <w:rsid w:val="00DE2289"/>
    <w:rsid w:val="00DF09A7"/>
    <w:rsid w:val="00E001D6"/>
    <w:rsid w:val="00E0218D"/>
    <w:rsid w:val="00E03A76"/>
    <w:rsid w:val="00E04410"/>
    <w:rsid w:val="00E07484"/>
    <w:rsid w:val="00E11351"/>
    <w:rsid w:val="00E16C3B"/>
    <w:rsid w:val="00E4225C"/>
    <w:rsid w:val="00E44879"/>
    <w:rsid w:val="00E61578"/>
    <w:rsid w:val="00E72914"/>
    <w:rsid w:val="00E747B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47F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B1887"/>
    <w:rPr>
      <w:rFonts w:ascii="Tahoma" w:hAnsi="Tahoma" w:cs="Tahoma"/>
      <w:sz w:val="16"/>
      <w:szCs w:val="16"/>
    </w:rPr>
  </w:style>
  <w:style w:type="character" w:customStyle="1" w:styleId="BalloonTextChar">
    <w:name w:val="Balloon Text Char"/>
    <w:basedOn w:val="DefaultParagraphFont"/>
    <w:link w:val="BalloonText"/>
    <w:rsid w:val="008B18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B1887"/>
    <w:rPr>
      <w:rFonts w:ascii="Tahoma" w:hAnsi="Tahoma" w:cs="Tahoma"/>
      <w:sz w:val="16"/>
      <w:szCs w:val="16"/>
    </w:rPr>
  </w:style>
  <w:style w:type="character" w:customStyle="1" w:styleId="BalloonTextChar">
    <w:name w:val="Balloon Text Char"/>
    <w:basedOn w:val="DefaultParagraphFont"/>
    <w:link w:val="BalloonText"/>
    <w:rsid w:val="008B1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CF2B-D86F-4CD7-85A4-60153F7A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1419</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2018-10-16T16:29:00Z</dcterms:created>
  <dcterms:modified xsi:type="dcterms:W3CDTF">2018-10-16T18:05:00Z</dcterms:modified>
</cp:coreProperties>
</file>