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6D7894" w:rsidP="006D7894">
      <w:pPr>
        <w:pStyle w:val="OrderHeading"/>
      </w:pPr>
      <w:r>
        <w:t>BEFORE THE FLORIDA PUBLIC SERVICE COMMISSION</w:t>
      </w:r>
    </w:p>
    <w:p w:rsidR="006D7894" w:rsidRDefault="006D7894" w:rsidP="006D7894">
      <w:pPr>
        <w:pStyle w:val="OrderBody"/>
      </w:pPr>
    </w:p>
    <w:p w:rsidR="006D7894" w:rsidRDefault="006D7894" w:rsidP="006D789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6D7894" w:rsidRPr="00C63FCF" w:rsidTr="00C63FCF">
        <w:trPr>
          <w:trHeight w:val="828"/>
        </w:trPr>
        <w:tc>
          <w:tcPr>
            <w:tcW w:w="4788" w:type="dxa"/>
            <w:tcBorders>
              <w:bottom w:val="single" w:sz="8" w:space="0" w:color="auto"/>
              <w:right w:val="double" w:sz="6" w:space="0" w:color="auto"/>
            </w:tcBorders>
            <w:shd w:val="clear" w:color="auto" w:fill="auto"/>
          </w:tcPr>
          <w:p w:rsidR="006D7894" w:rsidRDefault="006D7894" w:rsidP="00C63FCF">
            <w:pPr>
              <w:pStyle w:val="OrderBody"/>
              <w:tabs>
                <w:tab w:val="center" w:pos="4320"/>
                <w:tab w:val="right" w:pos="8640"/>
              </w:tabs>
              <w:jc w:val="left"/>
            </w:pPr>
            <w:r>
              <w:t xml:space="preserve">In re: </w:t>
            </w:r>
            <w:bookmarkStart w:id="0" w:name="SSInRe"/>
            <w:bookmarkEnd w:id="0"/>
            <w:r>
              <w:t>Consideration of the tax impacts associated with Tax Cuts and Jobs Act of 2017 for Peoples Gas System.</w:t>
            </w:r>
          </w:p>
        </w:tc>
        <w:tc>
          <w:tcPr>
            <w:tcW w:w="4788" w:type="dxa"/>
            <w:tcBorders>
              <w:left w:val="double" w:sz="6" w:space="0" w:color="auto"/>
            </w:tcBorders>
            <w:shd w:val="clear" w:color="auto" w:fill="auto"/>
          </w:tcPr>
          <w:p w:rsidR="006D7894" w:rsidRDefault="006D7894" w:rsidP="006D7894">
            <w:pPr>
              <w:pStyle w:val="OrderBody"/>
            </w:pPr>
            <w:r>
              <w:t xml:space="preserve">DOCKET NO. </w:t>
            </w:r>
            <w:bookmarkStart w:id="1" w:name="SSDocketNo"/>
            <w:bookmarkEnd w:id="1"/>
            <w:r>
              <w:t>20180044-GU</w:t>
            </w:r>
          </w:p>
          <w:p w:rsidR="006D7894" w:rsidRDefault="006D7894" w:rsidP="00C63FCF">
            <w:pPr>
              <w:pStyle w:val="OrderBody"/>
              <w:tabs>
                <w:tab w:val="center" w:pos="4320"/>
                <w:tab w:val="right" w:pos="8640"/>
              </w:tabs>
              <w:jc w:val="left"/>
            </w:pPr>
            <w:r>
              <w:t xml:space="preserve">ORDER NO. </w:t>
            </w:r>
            <w:bookmarkStart w:id="2" w:name="OrderNo0501"/>
            <w:r w:rsidR="00A54420">
              <w:t>PSC-2018-0501-</w:t>
            </w:r>
            <w:r w:rsidR="00F45CEF">
              <w:t>S</w:t>
            </w:r>
            <w:r w:rsidR="00A54420">
              <w:t>-GU</w:t>
            </w:r>
            <w:bookmarkEnd w:id="2"/>
          </w:p>
          <w:p w:rsidR="006D7894" w:rsidRDefault="006D7894" w:rsidP="00C63FCF">
            <w:pPr>
              <w:pStyle w:val="OrderBody"/>
              <w:tabs>
                <w:tab w:val="center" w:pos="4320"/>
                <w:tab w:val="right" w:pos="8640"/>
              </w:tabs>
              <w:jc w:val="left"/>
            </w:pPr>
            <w:r>
              <w:t xml:space="preserve">ISSUED: </w:t>
            </w:r>
            <w:r w:rsidR="00A54420">
              <w:t>October 18, 2018</w:t>
            </w:r>
          </w:p>
        </w:tc>
      </w:tr>
    </w:tbl>
    <w:p w:rsidR="006D7894" w:rsidRDefault="006D7894" w:rsidP="006D7894"/>
    <w:p w:rsidR="006D7894" w:rsidRDefault="006D7894" w:rsidP="006D7894"/>
    <w:p w:rsidR="006D7894" w:rsidRDefault="006D7894">
      <w:pPr>
        <w:ind w:firstLine="720"/>
        <w:jc w:val="both"/>
      </w:pPr>
      <w:bookmarkStart w:id="3" w:name="Commissioners"/>
      <w:bookmarkEnd w:id="3"/>
      <w:r>
        <w:t>The following Commissioners participated in the disposition of this matter:</w:t>
      </w:r>
    </w:p>
    <w:p w:rsidR="006D7894" w:rsidRDefault="006D7894"/>
    <w:p w:rsidR="006D7894" w:rsidRDefault="006D7894">
      <w:pPr>
        <w:jc w:val="center"/>
      </w:pPr>
      <w:r>
        <w:t>ART GRAHAM, Chairman</w:t>
      </w:r>
    </w:p>
    <w:p w:rsidR="006D7894" w:rsidRDefault="006D7894">
      <w:pPr>
        <w:jc w:val="center"/>
      </w:pPr>
      <w:r>
        <w:t xml:space="preserve">JULIE I. BROWN </w:t>
      </w:r>
    </w:p>
    <w:p w:rsidR="006D7894" w:rsidRDefault="006D7894">
      <w:pPr>
        <w:jc w:val="center"/>
      </w:pPr>
      <w:r>
        <w:t>DONALD J. POLMANN</w:t>
      </w:r>
    </w:p>
    <w:p w:rsidR="006D7894" w:rsidRDefault="006D7894">
      <w:pPr>
        <w:jc w:val="center"/>
      </w:pPr>
      <w:r>
        <w:t>GARY F. CLARK</w:t>
      </w:r>
    </w:p>
    <w:p w:rsidR="006D7894" w:rsidRDefault="006D7894">
      <w:pPr>
        <w:jc w:val="center"/>
      </w:pPr>
      <w:r>
        <w:t>ANDREW GILES FAY</w:t>
      </w:r>
    </w:p>
    <w:p w:rsidR="006D7894" w:rsidRDefault="006D7894"/>
    <w:p w:rsidR="006D7894" w:rsidRDefault="006D7894"/>
    <w:p w:rsidR="006D7894" w:rsidRDefault="006D7894" w:rsidP="006D7894">
      <w:pPr>
        <w:pStyle w:val="CenterUnderline"/>
      </w:pPr>
      <w:bookmarkStart w:id="4" w:name="OrderTitle"/>
      <w:r>
        <w:t>FINAL ORDER APPROVING STIPULATIONS</w:t>
      </w:r>
    </w:p>
    <w:p w:rsidR="006D7894" w:rsidRDefault="006D7894" w:rsidP="006D7894">
      <w:pPr>
        <w:pStyle w:val="CenterUnderline"/>
      </w:pPr>
      <w:r>
        <w:t>AND GRANTING JOINT MOTION REQUESTING COMMISSION</w:t>
      </w:r>
    </w:p>
    <w:p w:rsidR="006D7894" w:rsidRDefault="006D7894" w:rsidP="006D7894">
      <w:pPr>
        <w:pStyle w:val="CenterUnderline"/>
      </w:pPr>
      <w:r>
        <w:t xml:space="preserve">APPROVAL OF SETTLEMENT AGREEMENT AND TARIFFS  </w:t>
      </w:r>
      <w:bookmarkEnd w:id="4"/>
    </w:p>
    <w:p w:rsidR="006D7894" w:rsidRDefault="006D7894" w:rsidP="006D7894">
      <w:pPr>
        <w:pStyle w:val="CenterUnderline"/>
      </w:pPr>
    </w:p>
    <w:p w:rsidR="006D7894" w:rsidRDefault="006D7894" w:rsidP="006D7894">
      <w:pPr>
        <w:pStyle w:val="OrderBody"/>
      </w:pPr>
      <w:r>
        <w:t>BY THE COMMISSION:</w:t>
      </w:r>
    </w:p>
    <w:p w:rsidR="006D7894" w:rsidRDefault="006D7894" w:rsidP="006D7894">
      <w:pPr>
        <w:pStyle w:val="OrderBody"/>
      </w:pPr>
    </w:p>
    <w:p w:rsidR="006D7894" w:rsidRPr="00913ED7" w:rsidRDefault="006D7894" w:rsidP="006D7894">
      <w:pPr>
        <w:jc w:val="center"/>
      </w:pPr>
      <w:bookmarkStart w:id="5" w:name="OrderText"/>
      <w:bookmarkEnd w:id="5"/>
      <w:r w:rsidRPr="00913ED7">
        <w:rPr>
          <w:u w:val="single"/>
        </w:rPr>
        <w:t>CASE BACKGROUND</w:t>
      </w:r>
    </w:p>
    <w:p w:rsidR="006D7894" w:rsidRPr="00701945" w:rsidRDefault="006D7894" w:rsidP="006D7894">
      <w:pPr>
        <w:jc w:val="both"/>
      </w:pPr>
    </w:p>
    <w:p w:rsidR="005823C8" w:rsidRPr="005823C8" w:rsidRDefault="005823C8" w:rsidP="005823C8">
      <w:pPr>
        <w:ind w:firstLine="720"/>
        <w:jc w:val="both"/>
      </w:pPr>
      <w:r w:rsidRPr="005823C8">
        <w:t xml:space="preserve">On February 21, 2018, the Florida Public Service Commission opened Docket No. 20180044-GU to consider the tax impacts on Peoples Gas System (Peoples Gas) due to the passage of the Tax Cuts and Jobs Act of 2017. By Order No. PSC-2018-0212-PCO-GU, the Order Establishing Procedure, issued April 25, 2018, the schedule and procedure were set. On May 24, 2018, a First Revised Order Establishing Procedure, Order No. PSC-2018-0260-PCO-GU, was issued to revise certain controlling dates. On May 31, 2018, Peoples Gas filed its petition for limited proceeding. The Office of Public Counsel (OPC) and the Florida Industrial Power Users Group (FIPUG) intervened.  </w:t>
      </w:r>
    </w:p>
    <w:p w:rsidR="005823C8" w:rsidRPr="005823C8" w:rsidRDefault="005823C8" w:rsidP="005823C8">
      <w:pPr>
        <w:ind w:firstLine="720"/>
        <w:jc w:val="both"/>
      </w:pPr>
    </w:p>
    <w:p w:rsidR="005823C8" w:rsidRPr="005823C8" w:rsidRDefault="005823C8" w:rsidP="005823C8">
      <w:pPr>
        <w:autoSpaceDE w:val="0"/>
        <w:autoSpaceDN w:val="0"/>
        <w:adjustRightInd w:val="0"/>
        <w:ind w:firstLine="720"/>
        <w:jc w:val="both"/>
      </w:pPr>
      <w:r w:rsidRPr="005823C8">
        <w:t xml:space="preserve">At the Prehearing Conference held on August 6, 2018, the parties indicated </w:t>
      </w:r>
      <w:r w:rsidR="007E6126">
        <w:t xml:space="preserve">that </w:t>
      </w:r>
      <w:r w:rsidRPr="005823C8">
        <w:t xml:space="preserve">they had agreed to the stipulations of Issues 1-5, 8-18, 19 and 21, which are appended to this Order in Attachment A. The parties also indicated that they were working towards a settlement on the remaining four unresolved issues. On August 8, 2018, Peoples Gas, OPC, and FIPUG (the signatories) filed a joint motion seeking Commission approval of their Settlement Agreement proposing resolution of the remaining four issues. The Settlement Agreement also proposed changes to depreciation rates and recording of additional manufacturing gas plant expense that </w:t>
      </w:r>
      <w:r w:rsidR="00FF1B8F">
        <w:t>were</w:t>
      </w:r>
      <w:r w:rsidRPr="005823C8">
        <w:t xml:space="preserve"> outside the scope of this  proceeding. In order to provide those who may be substantially affected by the new matters contained within the Settlement Agreement, the final hearing originally scheduled to begin on August 20, 2018, was postponed. Order No. PSC-2018-0405-PCO-GU, was issued on August 14, 2018, to establish the procedures to be followed to address the matters contained within the Settlement Agreement.</w:t>
      </w:r>
    </w:p>
    <w:p w:rsidR="005823C8" w:rsidRPr="005823C8" w:rsidRDefault="005823C8" w:rsidP="005823C8">
      <w:pPr>
        <w:ind w:firstLine="720"/>
        <w:jc w:val="both"/>
      </w:pPr>
      <w:r w:rsidRPr="005823C8">
        <w:lastRenderedPageBreak/>
        <w:t xml:space="preserve">The final hearing was held on September 12, 2018, at which time the parties agreed that all identified issues were either stipulated as set forth in Exhibit A, or were resolved through a Settlement Agreement (SA), as set forth in Exhibit B. </w:t>
      </w:r>
    </w:p>
    <w:p w:rsidR="005823C8" w:rsidRPr="005823C8" w:rsidRDefault="005823C8" w:rsidP="005823C8">
      <w:pPr>
        <w:jc w:val="both"/>
      </w:pPr>
    </w:p>
    <w:p w:rsidR="005823C8" w:rsidRPr="005823C8" w:rsidRDefault="005823C8" w:rsidP="005823C8">
      <w:pPr>
        <w:jc w:val="both"/>
        <w:rPr>
          <w:b/>
        </w:rPr>
      </w:pPr>
      <w:r w:rsidRPr="005823C8">
        <w:rPr>
          <w:b/>
          <w:u w:val="single"/>
        </w:rPr>
        <w:t>PROPOSED STIPULATIONS</w:t>
      </w:r>
    </w:p>
    <w:p w:rsidR="005823C8" w:rsidRPr="005823C8" w:rsidRDefault="005823C8" w:rsidP="005823C8">
      <w:pPr>
        <w:jc w:val="both"/>
      </w:pPr>
    </w:p>
    <w:p w:rsidR="005823C8" w:rsidRPr="005823C8" w:rsidRDefault="005823C8" w:rsidP="005823C8">
      <w:pPr>
        <w:ind w:firstLine="720"/>
        <w:jc w:val="both"/>
      </w:pPr>
      <w:r w:rsidRPr="005823C8">
        <w:t>The parties have proposed stipulations to Issues 1-5, 8-17, 19, and 21, which are attached as Exhibit A.</w:t>
      </w:r>
    </w:p>
    <w:p w:rsidR="005823C8" w:rsidRPr="005823C8" w:rsidRDefault="005823C8" w:rsidP="005823C8">
      <w:pPr>
        <w:jc w:val="both"/>
      </w:pPr>
    </w:p>
    <w:p w:rsidR="005823C8" w:rsidRPr="005823C8" w:rsidRDefault="005823C8" w:rsidP="005823C8">
      <w:pPr>
        <w:jc w:val="both"/>
      </w:pPr>
      <w:r w:rsidRPr="005823C8">
        <w:rPr>
          <w:b/>
          <w:u w:val="single"/>
        </w:rPr>
        <w:t>SETTLEMENT AGREEMENT TO RESOLVE REMAINING ISSUES</w:t>
      </w:r>
    </w:p>
    <w:p w:rsidR="005823C8" w:rsidRPr="005823C8" w:rsidRDefault="005823C8" w:rsidP="005823C8">
      <w:pPr>
        <w:jc w:val="both"/>
      </w:pPr>
    </w:p>
    <w:p w:rsidR="005823C8" w:rsidRPr="005823C8" w:rsidRDefault="005823C8" w:rsidP="005823C8">
      <w:pPr>
        <w:jc w:val="both"/>
      </w:pPr>
      <w:r w:rsidRPr="005823C8">
        <w:tab/>
        <w:t>The parties proposed a Settlement Agreement (SA) to resolve the remaining issues in the docket and it is attached as Exhibit B. The new tariffs that accompanied the SA are attached as Exhibit C.</w:t>
      </w:r>
      <w:r w:rsidR="00BC6C74">
        <w:t xml:space="preserve"> The new </w:t>
      </w:r>
      <w:r w:rsidR="00BC6C74" w:rsidRPr="005823C8">
        <w:t>depreciation rates</w:t>
      </w:r>
      <w:r w:rsidR="00BC6C74">
        <w:t xml:space="preserve"> can be found at Exhibit D.</w:t>
      </w:r>
    </w:p>
    <w:p w:rsidR="005823C8" w:rsidRPr="005823C8" w:rsidRDefault="005823C8" w:rsidP="005823C8">
      <w:pPr>
        <w:jc w:val="both"/>
      </w:pPr>
    </w:p>
    <w:p w:rsidR="005823C8" w:rsidRPr="005823C8" w:rsidRDefault="005823C8" w:rsidP="005823C8">
      <w:pPr>
        <w:ind w:firstLine="720"/>
        <w:jc w:val="both"/>
      </w:pPr>
      <w:r w:rsidRPr="005823C8">
        <w:t>The following is a summary of the notable terms of the SA:</w:t>
      </w:r>
    </w:p>
    <w:p w:rsidR="005823C8" w:rsidRPr="005823C8" w:rsidRDefault="005823C8" w:rsidP="005823C8">
      <w:pPr>
        <w:ind w:firstLine="720"/>
        <w:jc w:val="both"/>
      </w:pPr>
    </w:p>
    <w:p w:rsidR="005823C8" w:rsidRPr="005823C8" w:rsidRDefault="005823C8" w:rsidP="005823C8">
      <w:pPr>
        <w:widowControl w:val="0"/>
        <w:numPr>
          <w:ilvl w:val="0"/>
          <w:numId w:val="1"/>
        </w:numPr>
        <w:jc w:val="both"/>
        <w:rPr>
          <w:rFonts w:eastAsiaTheme="minorHAnsi"/>
        </w:rPr>
      </w:pPr>
      <w:r w:rsidRPr="005823C8">
        <w:rPr>
          <w:rFonts w:eastAsiaTheme="minorHAnsi"/>
        </w:rPr>
        <w:t>Beginning January 1, 2019, Peoples Gas will reduce base rates by $11,599,038, an amount equal to the amount of the decrease in annual revenue requirement resulting from the benefits of the Tax Cut and Jobs Act.</w:t>
      </w:r>
    </w:p>
    <w:p w:rsidR="005823C8" w:rsidRPr="005823C8" w:rsidRDefault="005823C8" w:rsidP="005823C8">
      <w:pPr>
        <w:widowControl w:val="0"/>
        <w:ind w:left="1440"/>
        <w:jc w:val="both"/>
        <w:rPr>
          <w:rFonts w:eastAsiaTheme="minorHAnsi"/>
        </w:rPr>
      </w:pPr>
    </w:p>
    <w:p w:rsidR="005823C8" w:rsidRPr="005823C8" w:rsidRDefault="005823C8" w:rsidP="005823C8">
      <w:pPr>
        <w:widowControl w:val="0"/>
        <w:numPr>
          <w:ilvl w:val="0"/>
          <w:numId w:val="1"/>
        </w:numPr>
        <w:jc w:val="both"/>
        <w:rPr>
          <w:rFonts w:eastAsiaTheme="minorHAnsi"/>
        </w:rPr>
      </w:pPr>
      <w:r w:rsidRPr="005823C8">
        <w:rPr>
          <w:rFonts w:eastAsiaTheme="minorHAnsi"/>
        </w:rPr>
        <w:t xml:space="preserve">The depreciation rates in Exhibit C (Exhibit B of the SA), will supersede current rates and result in an estimated decrease of $10.3 million to the Utility’s </w:t>
      </w:r>
      <w:r w:rsidR="00FF1B8F">
        <w:rPr>
          <w:rFonts w:eastAsiaTheme="minorHAnsi"/>
        </w:rPr>
        <w:t xml:space="preserve">2019 </w:t>
      </w:r>
      <w:r w:rsidRPr="005823C8">
        <w:rPr>
          <w:rFonts w:eastAsiaTheme="minorHAnsi"/>
        </w:rPr>
        <w:t>depreciation expense</w:t>
      </w:r>
      <w:r w:rsidR="00FF1B8F">
        <w:rPr>
          <w:rFonts w:eastAsiaTheme="minorHAnsi"/>
        </w:rPr>
        <w:t>,</w:t>
      </w:r>
      <w:r w:rsidRPr="005823C8">
        <w:rPr>
          <w:rFonts w:eastAsiaTheme="minorHAnsi"/>
        </w:rPr>
        <w:t xml:space="preserve"> effective January 1, 2019. </w:t>
      </w:r>
    </w:p>
    <w:p w:rsidR="005823C8" w:rsidRPr="005823C8" w:rsidRDefault="005823C8" w:rsidP="005823C8">
      <w:pPr>
        <w:widowControl w:val="0"/>
        <w:rPr>
          <w:rFonts w:eastAsiaTheme="minorHAnsi"/>
        </w:rPr>
      </w:pPr>
    </w:p>
    <w:p w:rsidR="005823C8" w:rsidRPr="005823C8" w:rsidRDefault="005823C8" w:rsidP="005823C8">
      <w:pPr>
        <w:widowControl w:val="0"/>
        <w:numPr>
          <w:ilvl w:val="0"/>
          <w:numId w:val="1"/>
        </w:numPr>
        <w:jc w:val="both"/>
        <w:rPr>
          <w:rFonts w:eastAsiaTheme="minorHAnsi"/>
        </w:rPr>
      </w:pPr>
      <w:r w:rsidRPr="005823C8">
        <w:rPr>
          <w:rFonts w:eastAsiaTheme="minorHAnsi"/>
        </w:rPr>
        <w:t>Peoples Gas shall book unamortized Manufactured Gas Plant expense of $10,947,747 in 2018 and offset this with forecasted 2018 annual revenue requirement reduction of $11,599,038.</w:t>
      </w:r>
    </w:p>
    <w:p w:rsidR="005823C8" w:rsidRPr="005823C8" w:rsidRDefault="005823C8" w:rsidP="005823C8">
      <w:pPr>
        <w:widowControl w:val="0"/>
        <w:ind w:left="1440"/>
        <w:jc w:val="both"/>
        <w:rPr>
          <w:rFonts w:eastAsiaTheme="minorHAnsi"/>
        </w:rPr>
      </w:pPr>
    </w:p>
    <w:p w:rsidR="005823C8" w:rsidRPr="005823C8" w:rsidRDefault="005823C8" w:rsidP="005823C8">
      <w:pPr>
        <w:widowControl w:val="0"/>
        <w:numPr>
          <w:ilvl w:val="0"/>
          <w:numId w:val="1"/>
        </w:numPr>
        <w:jc w:val="both"/>
        <w:rPr>
          <w:rFonts w:eastAsiaTheme="minorHAnsi"/>
        </w:rPr>
      </w:pPr>
      <w:r w:rsidRPr="005823C8">
        <w:rPr>
          <w:rFonts w:eastAsiaTheme="minorHAnsi"/>
        </w:rPr>
        <w:t xml:space="preserve">In 2018, Peoples Gas will request a Private Letter Ruling from the Internal Revenue Service regarding the classification of excess accumulated deferred income taxes. </w:t>
      </w:r>
    </w:p>
    <w:p w:rsidR="005823C8" w:rsidRPr="005823C8" w:rsidRDefault="005823C8" w:rsidP="005823C8">
      <w:pPr>
        <w:widowControl w:val="0"/>
        <w:rPr>
          <w:rFonts w:eastAsiaTheme="minorHAnsi"/>
        </w:rPr>
      </w:pPr>
    </w:p>
    <w:p w:rsidR="005823C8" w:rsidRDefault="005823C8" w:rsidP="005823C8">
      <w:pPr>
        <w:widowControl w:val="0"/>
        <w:numPr>
          <w:ilvl w:val="0"/>
          <w:numId w:val="1"/>
        </w:numPr>
        <w:jc w:val="both"/>
        <w:rPr>
          <w:rFonts w:eastAsiaTheme="minorHAnsi"/>
        </w:rPr>
      </w:pPr>
      <w:r w:rsidRPr="005823C8">
        <w:rPr>
          <w:rFonts w:eastAsiaTheme="minorHAnsi"/>
        </w:rPr>
        <w:t>Peoples Gas shall be permitted to initiate a base rate proceeding in 20</w:t>
      </w:r>
      <w:r w:rsidR="00FF1B8F">
        <w:rPr>
          <w:rFonts w:eastAsiaTheme="minorHAnsi"/>
        </w:rPr>
        <w:t>2</w:t>
      </w:r>
      <w:r w:rsidRPr="005823C8">
        <w:rPr>
          <w:rFonts w:eastAsiaTheme="minorHAnsi"/>
        </w:rPr>
        <w:t xml:space="preserve">0 regardless of earned rate of return, provided new rates do not become effective prior to January 1, 2021. </w:t>
      </w:r>
    </w:p>
    <w:p w:rsidR="007E6126" w:rsidRDefault="007E6126" w:rsidP="007E6126">
      <w:pPr>
        <w:pStyle w:val="ListParagraph"/>
        <w:rPr>
          <w:rFonts w:eastAsiaTheme="minorHAnsi"/>
        </w:rPr>
      </w:pPr>
    </w:p>
    <w:p w:rsidR="005823C8" w:rsidRDefault="005823C8" w:rsidP="005823C8">
      <w:pPr>
        <w:widowControl w:val="0"/>
        <w:numPr>
          <w:ilvl w:val="0"/>
          <w:numId w:val="1"/>
        </w:numPr>
        <w:jc w:val="both"/>
        <w:rPr>
          <w:rFonts w:eastAsiaTheme="minorHAnsi"/>
        </w:rPr>
      </w:pPr>
      <w:r w:rsidRPr="005823C8">
        <w:rPr>
          <w:rFonts w:eastAsiaTheme="minorHAnsi"/>
        </w:rPr>
        <w:t>Except as modified above, the prior S</w:t>
      </w:r>
      <w:r w:rsidR="00FF1B8F">
        <w:rPr>
          <w:rFonts w:eastAsiaTheme="minorHAnsi"/>
        </w:rPr>
        <w:t xml:space="preserve">ettlement </w:t>
      </w:r>
      <w:r w:rsidRPr="005823C8">
        <w:rPr>
          <w:rFonts w:eastAsiaTheme="minorHAnsi"/>
        </w:rPr>
        <w:t>A</w:t>
      </w:r>
      <w:r w:rsidR="00FF1B8F">
        <w:rPr>
          <w:rFonts w:eastAsiaTheme="minorHAnsi"/>
        </w:rPr>
        <w:t>greement</w:t>
      </w:r>
      <w:r w:rsidRPr="005823C8">
        <w:rPr>
          <w:rFonts w:eastAsiaTheme="minorHAnsi"/>
        </w:rPr>
        <w:t xml:space="preserve"> approved in Order No. PSC-17-0066-AS-GU remains in effect.</w:t>
      </w:r>
    </w:p>
    <w:p w:rsidR="005823C8" w:rsidRPr="005823C8" w:rsidRDefault="005823C8" w:rsidP="005823C8">
      <w:pPr>
        <w:widowControl w:val="0"/>
        <w:ind w:left="1440"/>
        <w:jc w:val="both"/>
        <w:rPr>
          <w:rFonts w:eastAsiaTheme="minorHAnsi"/>
        </w:rPr>
      </w:pPr>
    </w:p>
    <w:p w:rsidR="005823C8" w:rsidRPr="005823C8" w:rsidRDefault="005823C8" w:rsidP="005823C8">
      <w:pPr>
        <w:widowControl w:val="0"/>
        <w:numPr>
          <w:ilvl w:val="0"/>
          <w:numId w:val="1"/>
        </w:numPr>
        <w:jc w:val="both"/>
        <w:rPr>
          <w:rFonts w:eastAsiaTheme="minorHAnsi"/>
        </w:rPr>
      </w:pPr>
      <w:r w:rsidRPr="005823C8">
        <w:rPr>
          <w:rFonts w:eastAsiaTheme="minorHAnsi"/>
        </w:rPr>
        <w:t>The SA will take effect the day after it is approved by the Commission.</w:t>
      </w:r>
    </w:p>
    <w:p w:rsidR="005823C8" w:rsidRDefault="005823C8" w:rsidP="005823C8">
      <w:pPr>
        <w:jc w:val="both"/>
      </w:pPr>
    </w:p>
    <w:p w:rsidR="005823C8" w:rsidRDefault="005823C8" w:rsidP="005823C8">
      <w:pPr>
        <w:jc w:val="both"/>
      </w:pPr>
    </w:p>
    <w:p w:rsidR="007E6126" w:rsidRDefault="007E6126" w:rsidP="005823C8">
      <w:pPr>
        <w:jc w:val="both"/>
      </w:pPr>
    </w:p>
    <w:p w:rsidR="005823C8" w:rsidRPr="005823C8" w:rsidRDefault="005823C8" w:rsidP="005823C8">
      <w:pPr>
        <w:jc w:val="both"/>
      </w:pPr>
    </w:p>
    <w:p w:rsidR="005823C8" w:rsidRPr="005823C8" w:rsidRDefault="005823C8" w:rsidP="005823C8">
      <w:pPr>
        <w:jc w:val="center"/>
        <w:rPr>
          <w:u w:val="single"/>
        </w:rPr>
      </w:pPr>
      <w:r w:rsidRPr="005823C8">
        <w:rPr>
          <w:u w:val="single"/>
        </w:rPr>
        <w:lastRenderedPageBreak/>
        <w:t>DECISION</w:t>
      </w:r>
    </w:p>
    <w:p w:rsidR="005823C8" w:rsidRPr="005823C8" w:rsidRDefault="005823C8" w:rsidP="005823C8">
      <w:pPr>
        <w:jc w:val="center"/>
      </w:pPr>
    </w:p>
    <w:p w:rsidR="005823C8" w:rsidRPr="005823C8" w:rsidRDefault="005823C8" w:rsidP="005823C8">
      <w:pPr>
        <w:ind w:firstLine="720"/>
        <w:jc w:val="both"/>
      </w:pPr>
      <w:r w:rsidRPr="005823C8">
        <w:t>The standard for approval of a settlement agreement is whether it is in the public interest.</w:t>
      </w:r>
      <w:r w:rsidRPr="005823C8">
        <w:rPr>
          <w:vertAlign w:val="superscript"/>
        </w:rPr>
        <w:footnoteReference w:id="1"/>
      </w:r>
      <w:r w:rsidRPr="005823C8">
        <w:t xml:space="preserve"> A determination of public interest requires a case-specific analysis based on consideration of the proposed settlement taken as a whole.</w:t>
      </w:r>
      <w:r w:rsidRPr="005823C8">
        <w:rPr>
          <w:vertAlign w:val="superscript"/>
        </w:rPr>
        <w:footnoteReference w:id="2"/>
      </w:r>
      <w:r w:rsidRPr="005823C8">
        <w:t xml:space="preserve"> Section 120.57(4), Florida Statutes (F.S.), permits us to informally dispose of any proceeding by stipulation, agreed settlement, or consent order. Section 120.57(2), F.S., permits this Commission to proceed with hearings not involving disputed issues of material fact. Pursuant to Rule 28-106.302(2), Florida Administrative Code, at the hearing prefiled testimony was entered into the record and we heard argument regarding Peoples Gas’s and Intervenors’ request for approval of the SA.</w:t>
      </w:r>
    </w:p>
    <w:p w:rsidR="005823C8" w:rsidRPr="005823C8" w:rsidRDefault="005823C8" w:rsidP="005823C8">
      <w:pPr>
        <w:ind w:firstLine="720"/>
        <w:jc w:val="both"/>
        <w:rPr>
          <w:highlight w:val="yellow"/>
        </w:rPr>
      </w:pPr>
    </w:p>
    <w:p w:rsidR="005823C8" w:rsidRPr="005823C8" w:rsidRDefault="005823C8" w:rsidP="005823C8">
      <w:pPr>
        <w:ind w:firstLine="720"/>
        <w:jc w:val="both"/>
      </w:pPr>
      <w:r w:rsidRPr="005823C8">
        <w:t xml:space="preserve">Based on our review of the SA, the </w:t>
      </w:r>
      <w:r w:rsidR="00FF1B8F">
        <w:t>prior 2017 Settlement Agreement</w:t>
      </w:r>
      <w:r w:rsidRPr="005823C8">
        <w:t xml:space="preserve">, the exhibits entered into the record, the support of the Parties, the prefiled testimony and the stipulated issues, we find that the SA benefits the Utility’s customers and is in the public interest. We commend the parties for achieving an agreement wherein the customers of Peoples Gas would </w:t>
      </w:r>
      <w:r w:rsidR="00FF1B8F">
        <w:t>receive</w:t>
      </w:r>
      <w:r w:rsidRPr="005823C8">
        <w:t xml:space="preserve"> a base rate reduction of approximately 5 percent beginning January 1</w:t>
      </w:r>
      <w:r w:rsidR="00FF1B8F">
        <w:t>, 2019.</w:t>
      </w:r>
      <w:r w:rsidR="005C4905">
        <w:rPr>
          <w:rStyle w:val="FootnoteReference"/>
        </w:rPr>
        <w:footnoteReference w:id="3"/>
      </w:r>
      <w:r w:rsidR="00634812">
        <w:t xml:space="preserve"> </w:t>
      </w:r>
      <w:r w:rsidRPr="005823C8">
        <w:t xml:space="preserve">Therefore, the SA, to include the new tariffs that reflect the final rates and charges, and the new depreciation rates, are hereby approved. </w:t>
      </w:r>
    </w:p>
    <w:p w:rsidR="005823C8" w:rsidRPr="005823C8" w:rsidRDefault="005823C8" w:rsidP="005823C8">
      <w:pPr>
        <w:jc w:val="both"/>
      </w:pPr>
    </w:p>
    <w:p w:rsidR="005823C8" w:rsidRPr="005823C8" w:rsidRDefault="005823C8" w:rsidP="005823C8">
      <w:pPr>
        <w:jc w:val="both"/>
      </w:pPr>
      <w:r w:rsidRPr="005823C8">
        <w:tab/>
        <w:t>Based on the foregoing, it is</w:t>
      </w:r>
    </w:p>
    <w:p w:rsidR="005823C8" w:rsidRPr="005823C8" w:rsidRDefault="005823C8" w:rsidP="005823C8"/>
    <w:p w:rsidR="005823C8" w:rsidRPr="005823C8" w:rsidRDefault="005823C8" w:rsidP="005823C8">
      <w:r w:rsidRPr="005823C8">
        <w:tab/>
        <w:t>ORDERED by the Florida Public Service Commission that the stipulations, findings, and rulings herein are hereby approved.   It is further</w:t>
      </w:r>
    </w:p>
    <w:p w:rsidR="005823C8" w:rsidRPr="005823C8" w:rsidRDefault="005823C8" w:rsidP="005823C8"/>
    <w:p w:rsidR="005823C8" w:rsidRPr="005823C8" w:rsidRDefault="005823C8" w:rsidP="005823C8">
      <w:r w:rsidRPr="005823C8">
        <w:tab/>
        <w:t>ORDERED that each utility that was a party to this docket shall abide by the stipulations, findings, and rulings herein which are applicable to it.  It is further</w:t>
      </w:r>
    </w:p>
    <w:p w:rsidR="005823C8" w:rsidRPr="005823C8" w:rsidRDefault="005823C8" w:rsidP="005823C8"/>
    <w:p w:rsidR="005823C8" w:rsidRPr="005823C8" w:rsidRDefault="005823C8" w:rsidP="005823C8">
      <w:pPr>
        <w:jc w:val="both"/>
      </w:pPr>
      <w:r w:rsidRPr="005823C8">
        <w:tab/>
        <w:t>ORDERED that all matters contained in the Settlement Agreement and the Exhibits attached to the Agreement, and incorporated by reference, are approved. It is further</w:t>
      </w:r>
    </w:p>
    <w:p w:rsidR="005823C8" w:rsidRPr="005823C8" w:rsidRDefault="005823C8" w:rsidP="005823C8">
      <w:pPr>
        <w:jc w:val="both"/>
      </w:pPr>
    </w:p>
    <w:p w:rsidR="005823C8" w:rsidRPr="005823C8" w:rsidRDefault="005823C8" w:rsidP="005823C8">
      <w:pPr>
        <w:jc w:val="both"/>
      </w:pPr>
      <w:r w:rsidRPr="005823C8">
        <w:lastRenderedPageBreak/>
        <w:tab/>
        <w:t>ORDERED that the new and revised tariff sheets and depreciation sheets implementing the Settlement Agreement and reflecting the approved final rates and charges are approved. It is further</w:t>
      </w:r>
    </w:p>
    <w:p w:rsidR="005823C8" w:rsidRPr="005823C8" w:rsidRDefault="005823C8" w:rsidP="005823C8"/>
    <w:p w:rsidR="005823C8" w:rsidRPr="005823C8" w:rsidRDefault="005823C8" w:rsidP="005823C8">
      <w:pPr>
        <w:keepNext/>
        <w:keepLines/>
        <w:ind w:firstLine="720"/>
        <w:jc w:val="both"/>
      </w:pPr>
      <w:r w:rsidRPr="005823C8">
        <w:t xml:space="preserve">By ORDER of the Florida Public Service Commission this </w:t>
      </w:r>
      <w:r w:rsidR="00A54420" w:rsidRPr="00A54420">
        <w:rPr>
          <w:u w:val="single"/>
        </w:rPr>
        <w:t>18th</w:t>
      </w:r>
      <w:r w:rsidRPr="005823C8">
        <w:t xml:space="preserve"> day of </w:t>
      </w:r>
      <w:r w:rsidR="00A54420" w:rsidRPr="00A54420">
        <w:rPr>
          <w:u w:val="single"/>
        </w:rPr>
        <w:t>October</w:t>
      </w:r>
      <w:r w:rsidRPr="005823C8">
        <w:t xml:space="preserve">, </w:t>
      </w:r>
      <w:r w:rsidR="00A54420" w:rsidRPr="00A54420">
        <w:rPr>
          <w:u w:val="single"/>
        </w:rPr>
        <w:t>2018</w:t>
      </w:r>
      <w:r w:rsidRPr="005823C8">
        <w:t>.</w:t>
      </w:r>
    </w:p>
    <w:p w:rsidR="006D7894" w:rsidRDefault="006D7894" w:rsidP="006D7894">
      <w:pPr>
        <w:keepNext/>
        <w:keepLines/>
      </w:pPr>
    </w:p>
    <w:p w:rsidR="006D7894" w:rsidRDefault="006D7894" w:rsidP="006D7894">
      <w:pPr>
        <w:keepNext/>
        <w:keepLines/>
      </w:pPr>
    </w:p>
    <w:p w:rsidR="006D7894" w:rsidRDefault="006D7894" w:rsidP="006D7894">
      <w:pPr>
        <w:keepNext/>
        <w:keepLines/>
      </w:pPr>
    </w:p>
    <w:p w:rsidR="006D7894" w:rsidRDefault="006D7894" w:rsidP="006D7894">
      <w:pPr>
        <w:keepNext/>
        <w:keepLines/>
      </w:pPr>
    </w:p>
    <w:tbl>
      <w:tblPr>
        <w:tblW w:w="4720" w:type="dxa"/>
        <w:tblInd w:w="3800" w:type="dxa"/>
        <w:tblLayout w:type="fixed"/>
        <w:tblLook w:val="0000" w:firstRow="0" w:lastRow="0" w:firstColumn="0" w:lastColumn="0" w:noHBand="0" w:noVBand="0"/>
      </w:tblPr>
      <w:tblGrid>
        <w:gridCol w:w="686"/>
        <w:gridCol w:w="4034"/>
      </w:tblGrid>
      <w:tr w:rsidR="006D7894" w:rsidTr="003C4287">
        <w:tc>
          <w:tcPr>
            <w:tcW w:w="720" w:type="dxa"/>
            <w:shd w:val="clear" w:color="auto" w:fill="auto"/>
          </w:tcPr>
          <w:p w:rsidR="006D7894" w:rsidRDefault="006D7894" w:rsidP="003C4287">
            <w:pPr>
              <w:keepNext/>
              <w:keepLines/>
            </w:pPr>
            <w:bookmarkStart w:id="6" w:name="bkmrkSignature" w:colFirst="0" w:colLast="0"/>
          </w:p>
        </w:tc>
        <w:tc>
          <w:tcPr>
            <w:tcW w:w="4320" w:type="dxa"/>
            <w:tcBorders>
              <w:bottom w:val="single" w:sz="4" w:space="0" w:color="auto"/>
            </w:tcBorders>
            <w:shd w:val="clear" w:color="auto" w:fill="auto"/>
          </w:tcPr>
          <w:p w:rsidR="006D7894" w:rsidRDefault="00F45CEF" w:rsidP="003C4287">
            <w:pPr>
              <w:keepNext/>
              <w:keepLines/>
            </w:pPr>
            <w:r>
              <w:t>/s/ Carlotta S. Stauffer</w:t>
            </w:r>
            <w:bookmarkStart w:id="7" w:name="_GoBack"/>
            <w:bookmarkEnd w:id="7"/>
          </w:p>
        </w:tc>
      </w:tr>
      <w:bookmarkEnd w:id="6"/>
      <w:tr w:rsidR="006D7894" w:rsidTr="003C4287">
        <w:tc>
          <w:tcPr>
            <w:tcW w:w="720" w:type="dxa"/>
            <w:shd w:val="clear" w:color="auto" w:fill="auto"/>
          </w:tcPr>
          <w:p w:rsidR="006D7894" w:rsidRDefault="006D7894" w:rsidP="003C4287">
            <w:pPr>
              <w:keepNext/>
              <w:keepLines/>
            </w:pPr>
          </w:p>
        </w:tc>
        <w:tc>
          <w:tcPr>
            <w:tcW w:w="4320" w:type="dxa"/>
            <w:tcBorders>
              <w:top w:val="single" w:sz="4" w:space="0" w:color="auto"/>
            </w:tcBorders>
            <w:shd w:val="clear" w:color="auto" w:fill="auto"/>
          </w:tcPr>
          <w:p w:rsidR="006D7894" w:rsidRDefault="006D7894" w:rsidP="003C4287">
            <w:pPr>
              <w:keepNext/>
              <w:keepLines/>
            </w:pPr>
            <w:r>
              <w:t>CARLOTTA S. STAUFFER</w:t>
            </w:r>
          </w:p>
          <w:p w:rsidR="006D7894" w:rsidRDefault="006D7894" w:rsidP="003C4287">
            <w:pPr>
              <w:keepNext/>
              <w:keepLines/>
            </w:pPr>
            <w:r>
              <w:t>Commission Clerk</w:t>
            </w:r>
          </w:p>
        </w:tc>
      </w:tr>
    </w:tbl>
    <w:p w:rsidR="006D7894" w:rsidRDefault="006D7894" w:rsidP="006D7894">
      <w:pPr>
        <w:pStyle w:val="OrderSigInfo"/>
        <w:keepNext/>
        <w:keepLines/>
      </w:pPr>
      <w:r>
        <w:t>Florida Public Service Commission</w:t>
      </w:r>
    </w:p>
    <w:p w:rsidR="006D7894" w:rsidRDefault="006D7894" w:rsidP="006D7894">
      <w:pPr>
        <w:pStyle w:val="OrderSigInfo"/>
        <w:keepNext/>
        <w:keepLines/>
      </w:pPr>
      <w:r>
        <w:t>2540 Shumard Oak Boulevard</w:t>
      </w:r>
    </w:p>
    <w:p w:rsidR="006D7894" w:rsidRDefault="006D7894" w:rsidP="006D7894">
      <w:pPr>
        <w:pStyle w:val="OrderSigInfo"/>
        <w:keepNext/>
        <w:keepLines/>
      </w:pPr>
      <w:r>
        <w:t>Tallahassee, Florida 32399</w:t>
      </w:r>
    </w:p>
    <w:p w:rsidR="006D7894" w:rsidRDefault="006D7894" w:rsidP="006D7894">
      <w:pPr>
        <w:pStyle w:val="OrderSigInfo"/>
        <w:keepNext/>
        <w:keepLines/>
      </w:pPr>
      <w:r>
        <w:t>(850) 413</w:t>
      </w:r>
      <w:r>
        <w:noBreakHyphen/>
        <w:t>6770</w:t>
      </w:r>
    </w:p>
    <w:p w:rsidR="006D7894" w:rsidRDefault="006D7894" w:rsidP="006D7894">
      <w:pPr>
        <w:pStyle w:val="OrderSigInfo"/>
        <w:keepNext/>
        <w:keepLines/>
      </w:pPr>
      <w:r>
        <w:t>www.floridapsc.com</w:t>
      </w:r>
    </w:p>
    <w:p w:rsidR="006D7894" w:rsidRDefault="006D7894" w:rsidP="006D7894">
      <w:pPr>
        <w:pStyle w:val="OrderSigInfo"/>
        <w:keepNext/>
        <w:keepLines/>
      </w:pPr>
    </w:p>
    <w:p w:rsidR="006D7894" w:rsidRDefault="006D7894" w:rsidP="006D7894">
      <w:pPr>
        <w:pStyle w:val="OrderSigInfo"/>
        <w:keepNext/>
        <w:keepLines/>
      </w:pPr>
      <w:r>
        <w:t>Copies furnished:  A copy of this document is provided to the parties of record at the time of issuance and, if applicable, interested persons.</w:t>
      </w:r>
    </w:p>
    <w:p w:rsidR="006D7894" w:rsidRDefault="006D7894" w:rsidP="006D7894">
      <w:pPr>
        <w:keepNext/>
        <w:keepLines/>
      </w:pPr>
      <w:r>
        <w:t>WLT</w:t>
      </w:r>
    </w:p>
    <w:p w:rsidR="006D7894" w:rsidRDefault="006D7894" w:rsidP="006D7894"/>
    <w:p w:rsidR="006D7894" w:rsidRDefault="006D7894" w:rsidP="006D7894">
      <w:pPr>
        <w:pStyle w:val="CenterUnderline"/>
      </w:pPr>
      <w:r>
        <w:t>NOTICE OF FURTHER PROCEEDINGS OR JUDICIAL REVIEW</w:t>
      </w:r>
    </w:p>
    <w:p w:rsidR="006D7894" w:rsidRDefault="006D7894" w:rsidP="006D7894">
      <w:pPr>
        <w:pStyle w:val="CenterUnderline"/>
      </w:pPr>
    </w:p>
    <w:p w:rsidR="006D7894" w:rsidRDefault="006D7894" w:rsidP="006D7894">
      <w:pPr>
        <w:pStyle w:val="OrderBody"/>
      </w:pPr>
    </w:p>
    <w:p w:rsidR="006D7894" w:rsidRDefault="006D7894" w:rsidP="006D789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931B43" w:rsidRDefault="00931B43" w:rsidP="006D7894">
      <w:pPr>
        <w:pStyle w:val="OrderBody"/>
      </w:pPr>
    </w:p>
    <w:p w:rsidR="006D7894" w:rsidRDefault="006D7894" w:rsidP="006D789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6D7894" w:rsidRDefault="006D7894" w:rsidP="006D7894">
      <w:pPr>
        <w:pStyle w:val="OrderBody"/>
      </w:pPr>
    </w:p>
    <w:p w:rsidR="006D7894" w:rsidRDefault="006D7894" w:rsidP="00B41039">
      <w:pPr>
        <w:sectPr w:rsidR="006D7894">
          <w:headerReference w:type="default" r:id="rId9"/>
          <w:footerReference w:type="first" r:id="rId10"/>
          <w:pgSz w:w="12240" w:h="15840" w:code="1"/>
          <w:pgMar w:top="1440" w:right="1440" w:bottom="1440" w:left="1440" w:header="720" w:footer="720" w:gutter="0"/>
          <w:cols w:space="720"/>
          <w:titlePg/>
          <w:docGrid w:linePitch="360"/>
        </w:sectPr>
      </w:pPr>
    </w:p>
    <w:p w:rsidR="006D7894" w:rsidRPr="001D6B41" w:rsidRDefault="006D7894" w:rsidP="006D7894">
      <w:pPr>
        <w:jc w:val="both"/>
      </w:pPr>
      <w:r>
        <w:lastRenderedPageBreak/>
        <w:t>Type 1 Stipulated Issues.</w:t>
      </w:r>
    </w:p>
    <w:p w:rsidR="006D7894" w:rsidRDefault="006D7894" w:rsidP="006D7894">
      <w:pPr>
        <w:jc w:val="center"/>
        <w:rPr>
          <w:u w:val="single"/>
        </w:rPr>
      </w:pPr>
    </w:p>
    <w:p w:rsidR="006D7894" w:rsidRPr="00702ABD" w:rsidRDefault="006D7894" w:rsidP="006D7894">
      <w:pPr>
        <w:ind w:left="1440" w:hanging="1440"/>
        <w:jc w:val="both"/>
        <w:rPr>
          <w:b/>
        </w:rPr>
      </w:pPr>
      <w:r w:rsidRPr="00701945">
        <w:rPr>
          <w:b/>
          <w:bCs/>
          <w:u w:val="single"/>
        </w:rPr>
        <w:t>ISSUE 1</w:t>
      </w:r>
      <w:r w:rsidRPr="00701945">
        <w:rPr>
          <w:b/>
          <w:bCs/>
        </w:rPr>
        <w:t>:</w:t>
      </w:r>
      <w:r>
        <w:rPr>
          <w:b/>
          <w:bCs/>
        </w:rPr>
        <w:tab/>
      </w:r>
      <w:r w:rsidRPr="00702ABD">
        <w:rPr>
          <w:b/>
        </w:rPr>
        <w:t>In the absence of an approved agreement addressing the impact of federal tax</w:t>
      </w:r>
      <w:r>
        <w:rPr>
          <w:b/>
        </w:rPr>
        <w:t xml:space="preserve"> </w:t>
      </w:r>
      <w:r w:rsidRPr="00702ABD">
        <w:rPr>
          <w:b/>
        </w:rPr>
        <w:t>reform, was it reasonable for Peoples Gas to use its 2018</w:t>
      </w:r>
      <w:r>
        <w:rPr>
          <w:b/>
        </w:rPr>
        <w:t xml:space="preserve"> </w:t>
      </w:r>
      <w:r w:rsidRPr="00702ABD">
        <w:rPr>
          <w:b/>
        </w:rPr>
        <w:t>forecasted earnings surveillance report filed on March 15, 2018 to calculate the</w:t>
      </w:r>
      <w:r>
        <w:rPr>
          <w:b/>
        </w:rPr>
        <w:t xml:space="preserve"> </w:t>
      </w:r>
      <w:r w:rsidRPr="00702ABD">
        <w:rPr>
          <w:b/>
        </w:rPr>
        <w:t>impact of the Tax Cuts and Jobs Act of</w:t>
      </w:r>
      <w:r>
        <w:rPr>
          <w:b/>
        </w:rPr>
        <w:t xml:space="preserve"> </w:t>
      </w:r>
      <w:r w:rsidRPr="00702ABD">
        <w:rPr>
          <w:b/>
        </w:rPr>
        <w:t>2017 ("TCJA")?</w:t>
      </w:r>
    </w:p>
    <w:p w:rsidR="006D7894" w:rsidRPr="00702ABD" w:rsidRDefault="006D7894" w:rsidP="006D7894">
      <w:pPr>
        <w:pStyle w:val="NoSpacing"/>
        <w:jc w:val="both"/>
        <w:rPr>
          <w:b/>
        </w:rPr>
      </w:pPr>
    </w:p>
    <w:p w:rsidR="006D7894" w:rsidRDefault="006D7894" w:rsidP="006D7894">
      <w:pPr>
        <w:autoSpaceDE w:val="0"/>
        <w:autoSpaceDN w:val="0"/>
        <w:adjustRightInd w:val="0"/>
        <w:ind w:left="2160" w:hanging="2160"/>
        <w:jc w:val="both"/>
        <w:rPr>
          <w:sz w:val="23"/>
          <w:szCs w:val="23"/>
        </w:rPr>
      </w:pPr>
      <w:r>
        <w:rPr>
          <w:b/>
          <w:bCs/>
        </w:rPr>
        <w:t>STIPULATION</w:t>
      </w:r>
      <w:r w:rsidRPr="005D4B47">
        <w:rPr>
          <w:b/>
          <w:bCs/>
        </w:rPr>
        <w:t>:</w:t>
      </w:r>
      <w:r>
        <w:rPr>
          <w:b/>
          <w:bCs/>
        </w:rPr>
        <w:tab/>
      </w:r>
      <w:r>
        <w:rPr>
          <w:sz w:val="23"/>
          <w:szCs w:val="23"/>
        </w:rPr>
        <w:t xml:space="preserve">Yes. The 2018 Forecasted Earnings Surveillance Report as filed on March 15, 2018 should be used to calculate the annual impact of the TCJA on income tax expense and the Company's revenue requirement. </w:t>
      </w:r>
    </w:p>
    <w:p w:rsidR="006D7894" w:rsidRDefault="006D7894" w:rsidP="006D7894">
      <w:pPr>
        <w:autoSpaceDE w:val="0"/>
        <w:autoSpaceDN w:val="0"/>
        <w:adjustRightInd w:val="0"/>
        <w:jc w:val="both"/>
        <w:rPr>
          <w:b/>
          <w:u w:val="single"/>
        </w:rPr>
      </w:pPr>
    </w:p>
    <w:p w:rsidR="006D7894" w:rsidRPr="0078572B" w:rsidRDefault="006D7894" w:rsidP="006D7894">
      <w:pPr>
        <w:autoSpaceDE w:val="0"/>
        <w:autoSpaceDN w:val="0"/>
        <w:adjustRightInd w:val="0"/>
        <w:ind w:left="1440" w:hanging="1440"/>
        <w:jc w:val="both"/>
        <w:rPr>
          <w:b/>
          <w:sz w:val="23"/>
          <w:szCs w:val="23"/>
        </w:rPr>
      </w:pPr>
      <w:r w:rsidRPr="00691142">
        <w:rPr>
          <w:b/>
          <w:u w:val="single"/>
        </w:rPr>
        <w:t>ISSUE 2</w:t>
      </w:r>
      <w:r w:rsidRPr="00633125">
        <w:rPr>
          <w:b/>
        </w:rPr>
        <w:t>:</w:t>
      </w:r>
      <w:r>
        <w:tab/>
      </w:r>
      <w:r w:rsidRPr="0078572B">
        <w:rPr>
          <w:b/>
          <w:sz w:val="23"/>
          <w:szCs w:val="23"/>
        </w:rPr>
        <w:t>Were "protected excess deferred taxes" for 20</w:t>
      </w:r>
      <w:r>
        <w:rPr>
          <w:b/>
          <w:sz w:val="23"/>
          <w:szCs w:val="23"/>
        </w:rPr>
        <w:t xml:space="preserve">18 using a 21 percent corporate tax </w:t>
      </w:r>
      <w:r w:rsidRPr="0078572B">
        <w:rPr>
          <w:b/>
          <w:sz w:val="23"/>
          <w:szCs w:val="23"/>
        </w:rPr>
        <w:t>rate appropriately calculated and flowed back?</w:t>
      </w:r>
    </w:p>
    <w:p w:rsidR="006D7894" w:rsidRDefault="006D7894" w:rsidP="006D7894">
      <w:pPr>
        <w:jc w:val="both"/>
      </w:pPr>
    </w:p>
    <w:p w:rsidR="006D7894" w:rsidRDefault="006D7894" w:rsidP="006D7894">
      <w:pPr>
        <w:ind w:left="2160" w:hanging="2160"/>
        <w:jc w:val="both"/>
      </w:pPr>
      <w:r>
        <w:rPr>
          <w:b/>
          <w:bCs/>
        </w:rPr>
        <w:t>STIPULATION</w:t>
      </w:r>
      <w:r w:rsidRPr="00FA1AA2">
        <w:rPr>
          <w:b/>
        </w:rPr>
        <w:t>:</w:t>
      </w:r>
      <w:r>
        <w:tab/>
        <w:t xml:space="preserve">Yes. The amount of protected ADIT as of December 31, 2017 is $87.0 million; however, the flow back has yet to occur. Excess protected ADIT amounts were properly reflected in the calculation of 2018 income tax expense using the average rate assumption method in accordance with the Internal Revenue Code. </w:t>
      </w:r>
    </w:p>
    <w:p w:rsidR="006D7894" w:rsidRDefault="006D7894" w:rsidP="006D7894">
      <w:pPr>
        <w:autoSpaceDE w:val="0"/>
        <w:autoSpaceDN w:val="0"/>
        <w:adjustRightInd w:val="0"/>
        <w:ind w:left="1440" w:hanging="1440"/>
        <w:rPr>
          <w:b/>
        </w:rPr>
      </w:pPr>
    </w:p>
    <w:p w:rsidR="006D7894" w:rsidRPr="00633125" w:rsidRDefault="006D7894" w:rsidP="006D7894">
      <w:pPr>
        <w:autoSpaceDE w:val="0"/>
        <w:autoSpaceDN w:val="0"/>
        <w:adjustRightInd w:val="0"/>
        <w:ind w:left="1440" w:hanging="1440"/>
        <w:rPr>
          <w:b/>
          <w:sz w:val="23"/>
          <w:szCs w:val="23"/>
        </w:rPr>
      </w:pPr>
      <w:r w:rsidRPr="00691142">
        <w:rPr>
          <w:b/>
          <w:u w:val="single"/>
        </w:rPr>
        <w:t>ISSUE 3</w:t>
      </w:r>
      <w:r w:rsidRPr="00633125">
        <w:rPr>
          <w:b/>
        </w:rPr>
        <w:t>:</w:t>
      </w:r>
      <w:r w:rsidRPr="00633125">
        <w:rPr>
          <w:b/>
        </w:rPr>
        <w:tab/>
      </w:r>
      <w:r w:rsidRPr="00633125">
        <w:rPr>
          <w:b/>
          <w:sz w:val="23"/>
          <w:szCs w:val="23"/>
        </w:rPr>
        <w:t>Were "unprotected excess deferred taxes" for 2018 using a 21 percent corporate tax</w:t>
      </w:r>
      <w:r>
        <w:rPr>
          <w:b/>
          <w:sz w:val="23"/>
          <w:szCs w:val="23"/>
        </w:rPr>
        <w:t xml:space="preserve"> </w:t>
      </w:r>
      <w:r w:rsidRPr="00633125">
        <w:rPr>
          <w:b/>
          <w:sz w:val="23"/>
          <w:szCs w:val="23"/>
        </w:rPr>
        <w:t>rate appropriately calculated and flowed back?</w:t>
      </w:r>
    </w:p>
    <w:p w:rsidR="006D7894" w:rsidRDefault="006D7894" w:rsidP="006D7894">
      <w:pPr>
        <w:jc w:val="both"/>
      </w:pPr>
    </w:p>
    <w:p w:rsidR="006D7894" w:rsidRDefault="006D7894" w:rsidP="006D7894">
      <w:pPr>
        <w:ind w:left="2160" w:hanging="2160"/>
        <w:jc w:val="both"/>
      </w:pPr>
      <w:r>
        <w:rPr>
          <w:b/>
          <w:bCs/>
        </w:rPr>
        <w:t>STIPULATION</w:t>
      </w:r>
      <w:r w:rsidRPr="001D2859">
        <w:rPr>
          <w:b/>
        </w:rPr>
        <w:t>:</w:t>
      </w:r>
      <w:r>
        <w:tab/>
        <w:t xml:space="preserve">Yes. The amount of unprotected excess ADIT as of December 31, 2017 is an excess tax deficiency of $17.9 million and should be reduced ratably over a ten-year period; however, the flow back has yet to occur. The amount to be reflected in the calculation of income tax expense for 2018 is approximately $1.8 million. </w:t>
      </w:r>
    </w:p>
    <w:p w:rsidR="006D7894" w:rsidRDefault="006D7894" w:rsidP="006D7894">
      <w:pPr>
        <w:jc w:val="both"/>
      </w:pPr>
    </w:p>
    <w:p w:rsidR="006D7894" w:rsidRPr="00633125" w:rsidRDefault="006D7894" w:rsidP="006D7894">
      <w:pPr>
        <w:autoSpaceDE w:val="0"/>
        <w:autoSpaceDN w:val="0"/>
        <w:adjustRightInd w:val="0"/>
        <w:jc w:val="both"/>
        <w:rPr>
          <w:b/>
          <w:sz w:val="23"/>
          <w:szCs w:val="23"/>
        </w:rPr>
      </w:pPr>
      <w:r w:rsidRPr="00691142">
        <w:rPr>
          <w:b/>
          <w:u w:val="single"/>
        </w:rPr>
        <w:t>ISSUE 4</w:t>
      </w:r>
      <w:r w:rsidRPr="00633125">
        <w:rPr>
          <w:b/>
        </w:rPr>
        <w:t>:</w:t>
      </w:r>
      <w:r>
        <w:tab/>
      </w:r>
      <w:r w:rsidRPr="00633125">
        <w:rPr>
          <w:b/>
          <w:sz w:val="23"/>
          <w:szCs w:val="23"/>
        </w:rPr>
        <w:t>Were Accumulated Deferred Income Taxes (ADIT) appropriately calculated?</w:t>
      </w:r>
    </w:p>
    <w:p w:rsidR="006D7894" w:rsidRDefault="006D7894" w:rsidP="006D7894">
      <w:pPr>
        <w:jc w:val="both"/>
      </w:pPr>
    </w:p>
    <w:p w:rsidR="006D7894" w:rsidRDefault="006D7894" w:rsidP="006D7894">
      <w:pPr>
        <w:ind w:left="2160" w:hanging="2160"/>
        <w:jc w:val="both"/>
      </w:pPr>
      <w:r>
        <w:rPr>
          <w:b/>
          <w:bCs/>
        </w:rPr>
        <w:t>STIPULATION</w:t>
      </w:r>
      <w:r>
        <w:t>:</w:t>
      </w:r>
      <w:r>
        <w:tab/>
        <w:t xml:space="preserve">Yes. Peoples Gas identified the book-tax differences that would be impacted by the TCJA, then calculated income tax expense to remeasure ADIT balances at the new applicable corporate rate, 21 percent. All excess deferred taxes, the difference between the new rate and 35 percent, were reclassified as a regulatory asset or liability which will be included in the FPSC adjusted capital structure. </w:t>
      </w:r>
    </w:p>
    <w:p w:rsidR="006D7894" w:rsidRPr="00633125" w:rsidRDefault="006D7894" w:rsidP="006D7894">
      <w:pPr>
        <w:autoSpaceDE w:val="0"/>
        <w:autoSpaceDN w:val="0"/>
        <w:adjustRightInd w:val="0"/>
        <w:spacing w:before="240" w:after="240"/>
        <w:ind w:left="1440" w:hanging="1440"/>
        <w:jc w:val="both"/>
        <w:rPr>
          <w:b/>
          <w:sz w:val="23"/>
          <w:szCs w:val="23"/>
        </w:rPr>
      </w:pPr>
      <w:r w:rsidRPr="00691142">
        <w:rPr>
          <w:b/>
          <w:u w:val="single"/>
        </w:rPr>
        <w:t>ISSUE 5</w:t>
      </w:r>
      <w:r w:rsidRPr="00633125">
        <w:rPr>
          <w:b/>
        </w:rPr>
        <w:t>:</w:t>
      </w:r>
      <w:r w:rsidRPr="00633125">
        <w:rPr>
          <w:b/>
        </w:rPr>
        <w:tab/>
      </w:r>
      <w:r>
        <w:rPr>
          <w:b/>
          <w:sz w:val="23"/>
          <w:szCs w:val="23"/>
        </w:rPr>
        <w:t>Are Peoples Gas’</w:t>
      </w:r>
      <w:r w:rsidRPr="00633125">
        <w:rPr>
          <w:b/>
          <w:sz w:val="23"/>
          <w:szCs w:val="23"/>
        </w:rPr>
        <w:t>s classifications of the</w:t>
      </w:r>
      <w:r>
        <w:rPr>
          <w:b/>
          <w:sz w:val="23"/>
          <w:szCs w:val="23"/>
        </w:rPr>
        <w:t xml:space="preserve"> excess ADIT between "protected” </w:t>
      </w:r>
      <w:r w:rsidRPr="00633125">
        <w:rPr>
          <w:b/>
          <w:sz w:val="23"/>
          <w:szCs w:val="23"/>
        </w:rPr>
        <w:t>and</w:t>
      </w:r>
      <w:r>
        <w:rPr>
          <w:b/>
          <w:sz w:val="23"/>
          <w:szCs w:val="23"/>
        </w:rPr>
        <w:t xml:space="preserve"> "unprotected”</w:t>
      </w:r>
      <w:r w:rsidRPr="00633125">
        <w:rPr>
          <w:b/>
          <w:sz w:val="23"/>
          <w:szCs w:val="23"/>
        </w:rPr>
        <w:t xml:space="preserve"> appropriate?</w:t>
      </w:r>
    </w:p>
    <w:p w:rsidR="006D7894" w:rsidRDefault="006D7894" w:rsidP="006D7894">
      <w:pPr>
        <w:ind w:left="2160" w:hanging="2160"/>
        <w:jc w:val="both"/>
      </w:pPr>
      <w:r>
        <w:rPr>
          <w:b/>
          <w:bCs/>
        </w:rPr>
        <w:t>STIPULATION</w:t>
      </w:r>
      <w:r w:rsidRPr="00FA1AA2">
        <w:rPr>
          <w:b/>
        </w:rPr>
        <w:t xml:space="preserve"> :</w:t>
      </w:r>
      <w:r>
        <w:rPr>
          <w:b/>
        </w:rPr>
        <w:t xml:space="preserve"> </w:t>
      </w:r>
      <w:r>
        <w:rPr>
          <w:b/>
        </w:rPr>
        <w:tab/>
      </w:r>
      <w:r>
        <w:t xml:space="preserve">Yes. As described in witness Felsenthal's testimony, PricewaterhouseCoopers has tested and verified the Company's classification of excess ADIT and its calculation of the impact of the TCJA. </w:t>
      </w:r>
    </w:p>
    <w:p w:rsidR="006D7894" w:rsidRDefault="006D7894" w:rsidP="006D7894"/>
    <w:p w:rsidR="006D7894" w:rsidRPr="00633125" w:rsidRDefault="006D7894" w:rsidP="006D7894">
      <w:pPr>
        <w:ind w:left="1440" w:hanging="1440"/>
        <w:jc w:val="both"/>
        <w:rPr>
          <w:b/>
        </w:rPr>
      </w:pPr>
      <w:r w:rsidRPr="00691142">
        <w:rPr>
          <w:b/>
          <w:u w:val="single"/>
        </w:rPr>
        <w:lastRenderedPageBreak/>
        <w:t>ISSUE 8</w:t>
      </w:r>
      <w:r w:rsidRPr="00633125">
        <w:rPr>
          <w:b/>
        </w:rPr>
        <w:t>:</w:t>
      </w:r>
      <w:r>
        <w:rPr>
          <w:b/>
        </w:rPr>
        <w:tab/>
      </w:r>
      <w:r w:rsidRPr="00633125">
        <w:rPr>
          <w:b/>
        </w:rPr>
        <w:t xml:space="preserve">Were appropriate adjustments made to </w:t>
      </w:r>
      <w:r>
        <w:rPr>
          <w:b/>
          <w:sz w:val="23"/>
          <w:szCs w:val="23"/>
        </w:rPr>
        <w:t>Peoples Gas’</w:t>
      </w:r>
      <w:r w:rsidRPr="00633125">
        <w:rPr>
          <w:b/>
          <w:sz w:val="23"/>
          <w:szCs w:val="23"/>
        </w:rPr>
        <w:t>s</w:t>
      </w:r>
      <w:r w:rsidRPr="00633125">
        <w:rPr>
          <w:b/>
        </w:rPr>
        <w:t xml:space="preserve"> cast iron/bare steel replacement</w:t>
      </w:r>
      <w:r>
        <w:rPr>
          <w:b/>
        </w:rPr>
        <w:t xml:space="preserve"> </w:t>
      </w:r>
      <w:r w:rsidRPr="00633125">
        <w:rPr>
          <w:b/>
        </w:rPr>
        <w:t>rider for the impact of the TCJA for the tax year 2018?</w:t>
      </w:r>
    </w:p>
    <w:p w:rsidR="006D7894" w:rsidRDefault="006D7894" w:rsidP="006D7894">
      <w:pPr>
        <w:jc w:val="both"/>
        <w:rPr>
          <w:b/>
        </w:rPr>
      </w:pPr>
    </w:p>
    <w:p w:rsidR="006D7894" w:rsidRDefault="006D7894" w:rsidP="006D7894">
      <w:pPr>
        <w:ind w:left="2160" w:hanging="2160"/>
        <w:jc w:val="both"/>
      </w:pPr>
      <w:r>
        <w:rPr>
          <w:b/>
          <w:bCs/>
        </w:rPr>
        <w:t>STIPULATION</w:t>
      </w:r>
      <w:r>
        <w:t>:</w:t>
      </w:r>
      <w:r>
        <w:tab/>
        <w:t>Yes. Adjustments to the cast iron/bare steel replacement rider were made to consider the impact of the TCJA for the tax year 2018.</w:t>
      </w:r>
    </w:p>
    <w:p w:rsidR="006D7894" w:rsidRDefault="006D7894" w:rsidP="006D7894">
      <w:pPr>
        <w:autoSpaceDE w:val="0"/>
        <w:autoSpaceDN w:val="0"/>
        <w:adjustRightInd w:val="0"/>
        <w:ind w:left="1440" w:hanging="1440"/>
        <w:rPr>
          <w:b/>
          <w:u w:val="single"/>
        </w:rPr>
      </w:pPr>
    </w:p>
    <w:p w:rsidR="006D7894" w:rsidRPr="002B1B56" w:rsidRDefault="006D7894" w:rsidP="006D7894">
      <w:pPr>
        <w:autoSpaceDE w:val="0"/>
        <w:autoSpaceDN w:val="0"/>
        <w:adjustRightInd w:val="0"/>
        <w:ind w:left="1440" w:hanging="1440"/>
        <w:jc w:val="both"/>
        <w:rPr>
          <w:b/>
        </w:rPr>
      </w:pPr>
      <w:r w:rsidRPr="00691142">
        <w:rPr>
          <w:b/>
          <w:u w:val="single"/>
        </w:rPr>
        <w:t>ISSUE 9</w:t>
      </w:r>
      <w:r w:rsidRPr="002B1B56">
        <w:rPr>
          <w:b/>
        </w:rPr>
        <w:t>:</w:t>
      </w:r>
      <w:r>
        <w:rPr>
          <w:b/>
        </w:rPr>
        <w:tab/>
      </w:r>
      <w:r w:rsidRPr="002B1B56">
        <w:rPr>
          <w:b/>
          <w:sz w:val="23"/>
          <w:szCs w:val="23"/>
        </w:rPr>
        <w:t xml:space="preserve">What is the forecasted tax expense for </w:t>
      </w:r>
      <w:r>
        <w:rPr>
          <w:b/>
          <w:sz w:val="23"/>
          <w:szCs w:val="23"/>
        </w:rPr>
        <w:t>Peoples Gas’</w:t>
      </w:r>
      <w:r w:rsidRPr="00633125">
        <w:rPr>
          <w:b/>
          <w:sz w:val="23"/>
          <w:szCs w:val="23"/>
        </w:rPr>
        <w:t>s</w:t>
      </w:r>
      <w:r w:rsidRPr="002B1B56">
        <w:rPr>
          <w:b/>
          <w:sz w:val="23"/>
          <w:szCs w:val="23"/>
        </w:rPr>
        <w:t xml:space="preserve"> for the tax year 2018 at a</w:t>
      </w:r>
      <w:r>
        <w:rPr>
          <w:b/>
          <w:sz w:val="23"/>
          <w:szCs w:val="23"/>
        </w:rPr>
        <w:t xml:space="preserve"> </w:t>
      </w:r>
      <w:r w:rsidRPr="002B1B56">
        <w:rPr>
          <w:b/>
          <w:sz w:val="23"/>
          <w:szCs w:val="23"/>
        </w:rPr>
        <w:t>21 percent</w:t>
      </w:r>
      <w:r>
        <w:rPr>
          <w:b/>
          <w:sz w:val="23"/>
          <w:szCs w:val="23"/>
        </w:rPr>
        <w:t xml:space="preserve"> </w:t>
      </w:r>
      <w:r w:rsidRPr="002B1B56">
        <w:rPr>
          <w:b/>
          <w:sz w:val="23"/>
          <w:szCs w:val="23"/>
        </w:rPr>
        <w:t>corporate tax rate?</w:t>
      </w:r>
    </w:p>
    <w:p w:rsidR="006D7894" w:rsidRPr="002B1B56" w:rsidRDefault="006D7894" w:rsidP="006D7894">
      <w:pPr>
        <w:jc w:val="both"/>
        <w:rPr>
          <w:b/>
        </w:rPr>
      </w:pPr>
    </w:p>
    <w:p w:rsidR="006D7894" w:rsidRDefault="006D7894" w:rsidP="006D7894">
      <w:pPr>
        <w:ind w:left="2160" w:hanging="2160"/>
        <w:jc w:val="both"/>
      </w:pPr>
      <w:r>
        <w:rPr>
          <w:b/>
          <w:bCs/>
        </w:rPr>
        <w:t>STIPULATION</w:t>
      </w:r>
      <w:r w:rsidRPr="00DE2682">
        <w:rPr>
          <w:b/>
        </w:rPr>
        <w:t>:</w:t>
      </w:r>
      <w:r>
        <w:tab/>
        <w:t xml:space="preserve">The forecasted tax expense under the TCJA, for the tax year 2018 at a corporate tax rate of 21 percent for Peoples Gas is $17.3 million, a reduction in forecasted tax expense of $9.6 million when compared to tax expense without tax reform. </w:t>
      </w:r>
    </w:p>
    <w:p w:rsidR="00B41039" w:rsidRDefault="00B41039" w:rsidP="00B41039"/>
    <w:p w:rsidR="007C59C6" w:rsidRPr="002B1B56" w:rsidRDefault="007C59C6" w:rsidP="007C59C6">
      <w:pPr>
        <w:ind w:left="1440" w:hanging="1440"/>
        <w:jc w:val="both"/>
        <w:rPr>
          <w:b/>
        </w:rPr>
      </w:pPr>
      <w:r w:rsidRPr="00691142">
        <w:rPr>
          <w:b/>
          <w:u w:val="single"/>
        </w:rPr>
        <w:t>ISSUE 10</w:t>
      </w:r>
      <w:r w:rsidRPr="002B1B56">
        <w:rPr>
          <w:b/>
        </w:rPr>
        <w:t>:</w:t>
      </w:r>
      <w:r w:rsidRPr="002B1B56">
        <w:rPr>
          <w:b/>
        </w:rPr>
        <w:tab/>
        <w:t xml:space="preserve">What is the forecasted tax expense for </w:t>
      </w:r>
      <w:r>
        <w:rPr>
          <w:b/>
          <w:sz w:val="23"/>
          <w:szCs w:val="23"/>
        </w:rPr>
        <w:t xml:space="preserve">Peoples Gas </w:t>
      </w:r>
      <w:r w:rsidRPr="002B1B56">
        <w:rPr>
          <w:b/>
        </w:rPr>
        <w:t>for the tax year 2018 at a 35 percent</w:t>
      </w:r>
      <w:r>
        <w:rPr>
          <w:b/>
        </w:rPr>
        <w:t xml:space="preserve"> </w:t>
      </w:r>
      <w:r w:rsidRPr="002B1B56">
        <w:rPr>
          <w:b/>
        </w:rPr>
        <w:t>corporate tax rate?</w:t>
      </w:r>
    </w:p>
    <w:p w:rsidR="007C59C6" w:rsidRPr="002B1B56" w:rsidRDefault="007C59C6" w:rsidP="007C59C6">
      <w:pPr>
        <w:jc w:val="both"/>
        <w:rPr>
          <w:b/>
        </w:rPr>
      </w:pPr>
    </w:p>
    <w:p w:rsidR="007C59C6" w:rsidRDefault="007C59C6" w:rsidP="007C59C6">
      <w:pPr>
        <w:ind w:left="2160" w:hanging="2160"/>
        <w:jc w:val="both"/>
      </w:pPr>
      <w:r>
        <w:rPr>
          <w:b/>
          <w:bCs/>
        </w:rPr>
        <w:t>STIPULATION</w:t>
      </w:r>
      <w:r w:rsidRPr="00DE2682">
        <w:rPr>
          <w:b/>
        </w:rPr>
        <w:t>:</w:t>
      </w:r>
      <w:r>
        <w:tab/>
        <w:t xml:space="preserve">The forecasted tax expense without tax reform for the tax year 2018 at a corporate tax rate of 35 percent for Peoples Gas is $26.9 million. </w:t>
      </w:r>
    </w:p>
    <w:p w:rsidR="007C59C6" w:rsidRDefault="007C59C6" w:rsidP="007C59C6">
      <w:pPr>
        <w:ind w:left="720" w:firstLine="720"/>
        <w:jc w:val="both"/>
      </w:pPr>
    </w:p>
    <w:p w:rsidR="007C59C6" w:rsidRPr="002B1B56" w:rsidRDefault="007C59C6" w:rsidP="007C59C6">
      <w:pPr>
        <w:ind w:left="1440" w:hanging="1440"/>
        <w:jc w:val="both"/>
        <w:rPr>
          <w:b/>
        </w:rPr>
      </w:pPr>
      <w:r w:rsidRPr="00691142">
        <w:rPr>
          <w:b/>
          <w:u w:val="single"/>
        </w:rPr>
        <w:t>ISSUE 11</w:t>
      </w:r>
      <w:r w:rsidRPr="002B1B56">
        <w:rPr>
          <w:b/>
        </w:rPr>
        <w:t>:</w:t>
      </w:r>
      <w:r>
        <w:rPr>
          <w:b/>
        </w:rPr>
        <w:tab/>
      </w:r>
      <w:r w:rsidRPr="002B1B56">
        <w:rPr>
          <w:b/>
          <w:sz w:val="23"/>
          <w:szCs w:val="23"/>
        </w:rPr>
        <w:t>What is the forecasted NOI for the tax year 2018 at a 21 percent corporate tax rate?</w:t>
      </w:r>
    </w:p>
    <w:p w:rsidR="007C59C6" w:rsidRPr="002B1B56" w:rsidRDefault="007C59C6" w:rsidP="007C59C6">
      <w:pPr>
        <w:jc w:val="both"/>
        <w:rPr>
          <w:b/>
        </w:rPr>
      </w:pPr>
    </w:p>
    <w:p w:rsidR="007C59C6" w:rsidRDefault="007C59C6" w:rsidP="007C59C6">
      <w:pPr>
        <w:ind w:left="2160" w:hanging="2160"/>
        <w:jc w:val="both"/>
      </w:pPr>
      <w:r>
        <w:rPr>
          <w:b/>
          <w:bCs/>
        </w:rPr>
        <w:t>STIPULATION</w:t>
      </w:r>
      <w:r w:rsidRPr="00DE2682">
        <w:rPr>
          <w:b/>
        </w:rPr>
        <w:t>:</w:t>
      </w:r>
      <w:r>
        <w:tab/>
        <w:t xml:space="preserve">The forecasted FPSC adjusted 13-month average NOI for 2018 adjusted for the effects of the TCJA (21 percent tax rate) is $61.9 million. </w:t>
      </w:r>
    </w:p>
    <w:p w:rsidR="007C59C6" w:rsidRDefault="007C59C6" w:rsidP="007C59C6">
      <w:pPr>
        <w:autoSpaceDE w:val="0"/>
        <w:autoSpaceDN w:val="0"/>
        <w:adjustRightInd w:val="0"/>
        <w:rPr>
          <w:b/>
        </w:rPr>
      </w:pPr>
    </w:p>
    <w:p w:rsidR="007C59C6" w:rsidRPr="002B1B56" w:rsidRDefault="007C59C6" w:rsidP="007C59C6">
      <w:pPr>
        <w:ind w:left="1440" w:hanging="1440"/>
        <w:jc w:val="both"/>
        <w:rPr>
          <w:b/>
        </w:rPr>
      </w:pPr>
      <w:r w:rsidRPr="00691142">
        <w:rPr>
          <w:b/>
          <w:u w:val="single"/>
        </w:rPr>
        <w:t>ISSUE 12</w:t>
      </w:r>
      <w:r w:rsidRPr="002B1B56">
        <w:rPr>
          <w:b/>
        </w:rPr>
        <w:t>:</w:t>
      </w:r>
      <w:r>
        <w:rPr>
          <w:b/>
        </w:rPr>
        <w:tab/>
      </w:r>
      <w:r w:rsidRPr="002B1B56">
        <w:rPr>
          <w:b/>
          <w:sz w:val="23"/>
          <w:szCs w:val="23"/>
        </w:rPr>
        <w:t>What is the forecasted NOI for the tax year 2018 at a 35 percent corporate tax rate?</w:t>
      </w:r>
    </w:p>
    <w:p w:rsidR="007C59C6" w:rsidRPr="002B1B56" w:rsidRDefault="007C59C6" w:rsidP="007C59C6">
      <w:pPr>
        <w:jc w:val="both"/>
        <w:rPr>
          <w:b/>
        </w:rPr>
      </w:pPr>
    </w:p>
    <w:p w:rsidR="007C59C6" w:rsidRDefault="007C59C6" w:rsidP="007C59C6">
      <w:pPr>
        <w:ind w:left="2160" w:hanging="2160"/>
        <w:jc w:val="both"/>
      </w:pPr>
      <w:r>
        <w:rPr>
          <w:b/>
          <w:bCs/>
        </w:rPr>
        <w:t>STIPULATION</w:t>
      </w:r>
      <w:r w:rsidRPr="00DE2682">
        <w:rPr>
          <w:b/>
        </w:rPr>
        <w:t>:</w:t>
      </w:r>
      <w:r>
        <w:tab/>
        <w:t xml:space="preserve">The forecasted FPSC adjusted 13-month average NOI for 2018 using the normal budget process on a pre-TCJA basis (35 percent tax rate) is $53.0 million. </w:t>
      </w:r>
    </w:p>
    <w:p w:rsidR="007C59C6" w:rsidRDefault="007C59C6" w:rsidP="007C59C6">
      <w:pPr>
        <w:jc w:val="both"/>
      </w:pPr>
    </w:p>
    <w:p w:rsidR="007C59C6" w:rsidRPr="002B1B56" w:rsidRDefault="007C59C6" w:rsidP="007C59C6">
      <w:pPr>
        <w:jc w:val="both"/>
        <w:rPr>
          <w:b/>
        </w:rPr>
      </w:pPr>
      <w:r w:rsidRPr="00691142">
        <w:rPr>
          <w:b/>
          <w:u w:val="single"/>
        </w:rPr>
        <w:t>ISSUE 13</w:t>
      </w:r>
      <w:r w:rsidRPr="002B1B56">
        <w:rPr>
          <w:b/>
        </w:rPr>
        <w:t>:</w:t>
      </w:r>
      <w:r>
        <w:rPr>
          <w:b/>
        </w:rPr>
        <w:tab/>
      </w:r>
      <w:r w:rsidRPr="002B1B56">
        <w:rPr>
          <w:b/>
        </w:rPr>
        <w:t>What is the forecasted capital structure for the tax year 2018 at a 21 percent</w:t>
      </w:r>
    </w:p>
    <w:p w:rsidR="007C59C6" w:rsidRPr="002B1B56" w:rsidRDefault="007C59C6" w:rsidP="007C59C6">
      <w:pPr>
        <w:ind w:left="720" w:firstLine="720"/>
        <w:jc w:val="both"/>
        <w:rPr>
          <w:b/>
        </w:rPr>
      </w:pPr>
      <w:r w:rsidRPr="002B1B56">
        <w:rPr>
          <w:b/>
        </w:rPr>
        <w:t>corporate tax rate?</w:t>
      </w:r>
    </w:p>
    <w:p w:rsidR="007C59C6" w:rsidRDefault="007C59C6" w:rsidP="007C59C6">
      <w:pPr>
        <w:spacing w:before="240" w:after="240"/>
        <w:ind w:left="2160" w:hanging="2160"/>
        <w:jc w:val="both"/>
      </w:pPr>
      <w:r>
        <w:rPr>
          <w:b/>
          <w:bCs/>
        </w:rPr>
        <w:t>STIPULATION</w:t>
      </w:r>
      <w:r w:rsidRPr="00DE2682">
        <w:rPr>
          <w:b/>
        </w:rPr>
        <w:t>:</w:t>
      </w:r>
      <w:r>
        <w:tab/>
        <w:t>The average, mid-range,  forecasted capital structure for the tax year 2018, under the TCJA at a 21 percent corporate tax rate on an FPSC adjusted basis is as follows:</w:t>
      </w:r>
    </w:p>
    <w:p w:rsidR="007C59C6" w:rsidRPr="004C0C33" w:rsidRDefault="007C59C6" w:rsidP="007C59C6">
      <w:pPr>
        <w:kinsoku w:val="0"/>
        <w:overflowPunct w:val="0"/>
        <w:autoSpaceDE w:val="0"/>
        <w:autoSpaceDN w:val="0"/>
        <w:adjustRightInd w:val="0"/>
        <w:spacing w:before="2"/>
        <w:rPr>
          <w:sz w:val="7"/>
          <w:szCs w:val="7"/>
        </w:rPr>
      </w:pPr>
    </w:p>
    <w:tbl>
      <w:tblPr>
        <w:tblW w:w="0" w:type="auto"/>
        <w:tblInd w:w="1352" w:type="dxa"/>
        <w:tblLayout w:type="fixed"/>
        <w:tblCellMar>
          <w:left w:w="0" w:type="dxa"/>
          <w:right w:w="0" w:type="dxa"/>
        </w:tblCellMar>
        <w:tblLook w:val="0000" w:firstRow="0" w:lastRow="0" w:firstColumn="0" w:lastColumn="0" w:noHBand="0" w:noVBand="0"/>
      </w:tblPr>
      <w:tblGrid>
        <w:gridCol w:w="2286"/>
        <w:gridCol w:w="1581"/>
        <w:gridCol w:w="1014"/>
        <w:gridCol w:w="1069"/>
        <w:gridCol w:w="1519"/>
      </w:tblGrid>
      <w:tr w:rsidR="007C59C6" w:rsidRPr="004C0C33" w:rsidTr="003C4287">
        <w:trPr>
          <w:trHeight w:hRule="exact" w:val="335"/>
        </w:trPr>
        <w:tc>
          <w:tcPr>
            <w:tcW w:w="2286" w:type="dxa"/>
            <w:vMerge w:val="restart"/>
            <w:tcBorders>
              <w:top w:val="nil"/>
              <w:left w:val="nil"/>
              <w:bottom w:val="nil"/>
              <w:right w:val="nil"/>
            </w:tcBorders>
          </w:tcPr>
          <w:p w:rsidR="007C59C6" w:rsidRPr="004C0C33" w:rsidRDefault="007C59C6" w:rsidP="003C4287">
            <w:pPr>
              <w:autoSpaceDE w:val="0"/>
              <w:autoSpaceDN w:val="0"/>
              <w:adjustRightInd w:val="0"/>
            </w:pP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75"/>
              <w:ind w:left="109"/>
            </w:pPr>
            <w:r w:rsidRPr="004C0C33">
              <w:rPr>
                <w:rFonts w:ascii="Arial" w:hAnsi="Arial" w:cs="Arial"/>
                <w:w w:val="105"/>
                <w:sz w:val="19"/>
                <w:szCs w:val="19"/>
              </w:rPr>
              <w:t>Adjusted</w:t>
            </w:r>
            <w:r w:rsidRPr="004C0C33">
              <w:rPr>
                <w:rFonts w:ascii="Arial" w:hAnsi="Arial" w:cs="Arial"/>
                <w:spacing w:val="5"/>
                <w:w w:val="105"/>
                <w:sz w:val="19"/>
                <w:szCs w:val="19"/>
              </w:rPr>
              <w:t xml:space="preserve"> </w:t>
            </w:r>
            <w:r w:rsidRPr="004C0C33">
              <w:rPr>
                <w:rFonts w:ascii="Arial" w:hAnsi="Arial" w:cs="Arial"/>
                <w:w w:val="105"/>
                <w:sz w:val="19"/>
                <w:szCs w:val="19"/>
              </w:rPr>
              <w:t>Retail</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75"/>
              <w:ind w:left="112"/>
            </w:pPr>
            <w:r w:rsidRPr="004C0C33">
              <w:rPr>
                <w:rFonts w:ascii="Arial" w:hAnsi="Arial" w:cs="Arial"/>
                <w:spacing w:val="-2"/>
                <w:sz w:val="19"/>
                <w:szCs w:val="19"/>
              </w:rPr>
              <w:t>Ratio</w:t>
            </w:r>
            <w:r w:rsidRPr="004C0C33">
              <w:rPr>
                <w:rFonts w:ascii="Arial" w:hAnsi="Arial" w:cs="Arial"/>
                <w:spacing w:val="8"/>
                <w:sz w:val="19"/>
                <w:szCs w:val="19"/>
              </w:rPr>
              <w:t xml:space="preserve"> </w:t>
            </w:r>
            <w:r w:rsidRPr="004C0C33">
              <w:rPr>
                <w:rFonts w:ascii="Arial" w:hAnsi="Arial" w:cs="Arial"/>
                <w:sz w:val="19"/>
                <w:szCs w:val="19"/>
              </w:rPr>
              <w:t>(%)</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80"/>
              <w:ind w:left="106"/>
            </w:pPr>
            <w:r w:rsidRPr="004C0C33">
              <w:rPr>
                <w:rFonts w:ascii="Arial" w:hAnsi="Arial" w:cs="Arial"/>
                <w:sz w:val="19"/>
                <w:szCs w:val="19"/>
              </w:rPr>
              <w:t>Cost</w:t>
            </w:r>
            <w:r w:rsidRPr="004C0C33">
              <w:rPr>
                <w:rFonts w:ascii="Arial" w:hAnsi="Arial" w:cs="Arial"/>
                <w:spacing w:val="7"/>
                <w:sz w:val="19"/>
                <w:szCs w:val="19"/>
              </w:rPr>
              <w:t xml:space="preserve"> </w:t>
            </w:r>
            <w:r w:rsidRPr="004C0C33">
              <w:rPr>
                <w:rFonts w:ascii="Arial" w:hAnsi="Arial" w:cs="Arial"/>
                <w:sz w:val="19"/>
                <w:szCs w:val="19"/>
              </w:rPr>
              <w:t>Rate</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80"/>
              <w:ind w:left="102"/>
            </w:pPr>
            <w:r w:rsidRPr="004C0C33">
              <w:rPr>
                <w:rFonts w:ascii="Arial" w:hAnsi="Arial" w:cs="Arial"/>
                <w:w w:val="105"/>
                <w:sz w:val="19"/>
                <w:szCs w:val="19"/>
              </w:rPr>
              <w:t>Weighted</w:t>
            </w:r>
            <w:r w:rsidRPr="004C0C33">
              <w:rPr>
                <w:rFonts w:ascii="Arial" w:hAnsi="Arial" w:cs="Arial"/>
                <w:spacing w:val="-22"/>
                <w:w w:val="105"/>
                <w:sz w:val="19"/>
                <w:szCs w:val="19"/>
              </w:rPr>
              <w:t xml:space="preserve"> </w:t>
            </w:r>
            <w:r w:rsidRPr="004C0C33">
              <w:rPr>
                <w:rFonts w:ascii="Arial" w:hAnsi="Arial" w:cs="Arial"/>
                <w:w w:val="105"/>
                <w:sz w:val="19"/>
                <w:szCs w:val="19"/>
              </w:rPr>
              <w:t>Cost</w:t>
            </w:r>
          </w:p>
        </w:tc>
      </w:tr>
      <w:tr w:rsidR="007C59C6" w:rsidRPr="004C0C33" w:rsidTr="003C4287">
        <w:trPr>
          <w:trHeight w:hRule="exact" w:val="299"/>
        </w:trPr>
        <w:tc>
          <w:tcPr>
            <w:tcW w:w="2286" w:type="dxa"/>
            <w:vMerge/>
            <w:tcBorders>
              <w:top w:val="nil"/>
              <w:left w:val="nil"/>
              <w:bottom w:val="nil"/>
              <w:right w:val="nil"/>
            </w:tcBorders>
          </w:tcPr>
          <w:p w:rsidR="007C59C6" w:rsidRPr="004C0C33" w:rsidRDefault="007C59C6" w:rsidP="003C4287">
            <w:pPr>
              <w:kinsoku w:val="0"/>
              <w:overflowPunct w:val="0"/>
              <w:autoSpaceDE w:val="0"/>
              <w:autoSpaceDN w:val="0"/>
              <w:adjustRightInd w:val="0"/>
              <w:spacing w:before="80"/>
              <w:ind w:left="102"/>
            </w:pP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1"/>
              <w:ind w:left="507"/>
            </w:pPr>
            <w:r w:rsidRPr="004C0C33">
              <w:rPr>
                <w:sz w:val="22"/>
                <w:szCs w:val="22"/>
              </w:rPr>
              <w:t>($000)</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34"/>
              <w:ind w:right="1"/>
              <w:jc w:val="center"/>
            </w:pPr>
            <w:r w:rsidRPr="004C0C33">
              <w:rPr>
                <w:rFonts w:ascii="Arial" w:hAnsi="Arial" w:cs="Arial"/>
                <w:sz w:val="19"/>
                <w:szCs w:val="19"/>
              </w:rPr>
              <w:t>(%)</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34"/>
              <w:ind w:right="1"/>
              <w:jc w:val="center"/>
            </w:pPr>
            <w:r w:rsidRPr="004C0C33">
              <w:rPr>
                <w:rFonts w:ascii="Arial" w:hAnsi="Arial" w:cs="Arial"/>
                <w:sz w:val="19"/>
                <w:szCs w:val="19"/>
              </w:rPr>
              <w:t>(%)</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34"/>
              <w:jc w:val="center"/>
            </w:pPr>
            <w:r w:rsidRPr="004C0C33">
              <w:rPr>
                <w:rFonts w:ascii="Arial" w:hAnsi="Arial" w:cs="Arial"/>
                <w:sz w:val="19"/>
                <w:szCs w:val="19"/>
              </w:rPr>
              <w:t>(%)</w:t>
            </w:r>
          </w:p>
        </w:tc>
      </w:tr>
      <w:tr w:rsidR="007C59C6" w:rsidRPr="004C0C33" w:rsidTr="003C4287">
        <w:trPr>
          <w:trHeight w:hRule="exact" w:val="305"/>
        </w:trPr>
        <w:tc>
          <w:tcPr>
            <w:tcW w:w="2286"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37"/>
              <w:ind w:left="129"/>
            </w:pPr>
            <w:r w:rsidRPr="004C0C33">
              <w:rPr>
                <w:rFonts w:ascii="Arial" w:hAnsi="Arial" w:cs="Arial"/>
                <w:w w:val="105"/>
                <w:sz w:val="19"/>
                <w:szCs w:val="19"/>
              </w:rPr>
              <w:t>Long</w:t>
            </w:r>
            <w:r w:rsidRPr="004C0C33">
              <w:rPr>
                <w:rFonts w:ascii="Arial" w:hAnsi="Arial" w:cs="Arial"/>
                <w:spacing w:val="-30"/>
                <w:w w:val="105"/>
                <w:sz w:val="19"/>
                <w:szCs w:val="19"/>
              </w:rPr>
              <w:t xml:space="preserve"> </w:t>
            </w:r>
            <w:r w:rsidRPr="004C0C33">
              <w:rPr>
                <w:rFonts w:ascii="Arial" w:hAnsi="Arial" w:cs="Arial"/>
                <w:w w:val="105"/>
                <w:sz w:val="19"/>
                <w:szCs w:val="19"/>
              </w:rPr>
              <w:t>Term</w:t>
            </w:r>
            <w:r w:rsidRPr="004C0C33">
              <w:rPr>
                <w:rFonts w:ascii="Arial" w:hAnsi="Arial" w:cs="Arial"/>
                <w:spacing w:val="-1"/>
                <w:w w:val="105"/>
                <w:sz w:val="19"/>
                <w:szCs w:val="19"/>
              </w:rPr>
              <w:t xml:space="preserve"> </w:t>
            </w:r>
            <w:r w:rsidRPr="004C0C33">
              <w:rPr>
                <w:rFonts w:ascii="Arial" w:hAnsi="Arial" w:cs="Arial"/>
                <w:w w:val="105"/>
                <w:sz w:val="19"/>
                <w:szCs w:val="19"/>
              </w:rPr>
              <w:t>Debt</w:t>
            </w: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5"/>
              <w:ind w:left="430"/>
            </w:pPr>
            <w:r w:rsidRPr="004C0C33">
              <w:rPr>
                <w:spacing w:val="-7"/>
                <w:w w:val="105"/>
                <w:sz w:val="22"/>
                <w:szCs w:val="22"/>
              </w:rPr>
              <w:t>241</w:t>
            </w:r>
            <w:r w:rsidRPr="004C0C33">
              <w:rPr>
                <w:spacing w:val="-6"/>
                <w:w w:val="105"/>
                <w:sz w:val="22"/>
                <w:szCs w:val="22"/>
              </w:rPr>
              <w:t>,61</w:t>
            </w:r>
            <w:r w:rsidRPr="004C0C33">
              <w:rPr>
                <w:spacing w:val="-7"/>
                <w:w w:val="105"/>
                <w:sz w:val="22"/>
                <w:szCs w:val="22"/>
              </w:rPr>
              <w:t>2</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256"/>
            </w:pPr>
            <w:r w:rsidRPr="004C0C33">
              <w:rPr>
                <w:spacing w:val="-4"/>
                <w:w w:val="105"/>
                <w:sz w:val="22"/>
                <w:szCs w:val="22"/>
              </w:rPr>
              <w:t>27.1</w:t>
            </w:r>
            <w:r w:rsidRPr="004C0C33">
              <w:rPr>
                <w:spacing w:val="-3"/>
                <w:w w:val="105"/>
                <w:sz w:val="22"/>
                <w:szCs w:val="22"/>
              </w:rPr>
              <w:t>0</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5"/>
              <w:ind w:left="336"/>
            </w:pPr>
            <w:r w:rsidRPr="004C0C33">
              <w:rPr>
                <w:w w:val="105"/>
                <w:sz w:val="22"/>
                <w:szCs w:val="22"/>
              </w:rPr>
              <w:t>5.03</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5"/>
              <w:ind w:left="23"/>
              <w:jc w:val="center"/>
            </w:pPr>
            <w:r w:rsidRPr="004C0C33">
              <w:rPr>
                <w:w w:val="105"/>
                <w:sz w:val="22"/>
                <w:szCs w:val="22"/>
              </w:rPr>
              <w:t>1.36</w:t>
            </w:r>
          </w:p>
        </w:tc>
      </w:tr>
      <w:tr w:rsidR="007C59C6" w:rsidRPr="004C0C33" w:rsidTr="003C4287">
        <w:trPr>
          <w:trHeight w:hRule="exact" w:val="302"/>
        </w:trPr>
        <w:tc>
          <w:tcPr>
            <w:tcW w:w="2286"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40"/>
              <w:ind w:left="115"/>
            </w:pPr>
            <w:r w:rsidRPr="004C0C33">
              <w:rPr>
                <w:rFonts w:ascii="Arial" w:hAnsi="Arial" w:cs="Arial"/>
                <w:w w:val="105"/>
                <w:sz w:val="19"/>
                <w:szCs w:val="19"/>
              </w:rPr>
              <w:t>Short</w:t>
            </w:r>
            <w:r w:rsidRPr="004C0C33">
              <w:rPr>
                <w:rFonts w:ascii="Arial" w:hAnsi="Arial" w:cs="Arial"/>
                <w:spacing w:val="-6"/>
                <w:w w:val="105"/>
                <w:sz w:val="19"/>
                <w:szCs w:val="19"/>
              </w:rPr>
              <w:t xml:space="preserve"> </w:t>
            </w:r>
            <w:r w:rsidRPr="004C0C33">
              <w:rPr>
                <w:rFonts w:ascii="Arial" w:hAnsi="Arial" w:cs="Arial"/>
                <w:w w:val="105"/>
                <w:sz w:val="19"/>
                <w:szCs w:val="19"/>
              </w:rPr>
              <w:t>Term</w:t>
            </w:r>
            <w:r w:rsidRPr="004C0C33">
              <w:rPr>
                <w:rFonts w:ascii="Arial" w:hAnsi="Arial" w:cs="Arial"/>
                <w:spacing w:val="9"/>
                <w:w w:val="105"/>
                <w:sz w:val="19"/>
                <w:szCs w:val="19"/>
              </w:rPr>
              <w:t xml:space="preserve"> </w:t>
            </w:r>
            <w:r w:rsidRPr="004C0C33">
              <w:rPr>
                <w:rFonts w:ascii="Arial" w:hAnsi="Arial" w:cs="Arial"/>
                <w:w w:val="105"/>
                <w:sz w:val="19"/>
                <w:szCs w:val="19"/>
              </w:rPr>
              <w:t>Debt</w:t>
            </w: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488"/>
            </w:pPr>
            <w:r w:rsidRPr="004C0C33">
              <w:rPr>
                <w:sz w:val="22"/>
                <w:szCs w:val="22"/>
              </w:rPr>
              <w:t>59,859</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304"/>
            </w:pPr>
            <w:r w:rsidRPr="004C0C33">
              <w:rPr>
                <w:w w:val="105"/>
                <w:sz w:val="22"/>
                <w:szCs w:val="22"/>
              </w:rPr>
              <w:t>6.71</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336"/>
            </w:pPr>
            <w:r w:rsidRPr="004C0C33">
              <w:rPr>
                <w:sz w:val="22"/>
                <w:szCs w:val="22"/>
              </w:rPr>
              <w:t>2.36</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558"/>
            </w:pPr>
            <w:r w:rsidRPr="004C0C33">
              <w:rPr>
                <w:w w:val="115"/>
                <w:sz w:val="22"/>
                <w:szCs w:val="22"/>
              </w:rPr>
              <w:t>0</w:t>
            </w:r>
            <w:r w:rsidRPr="004C0C33">
              <w:rPr>
                <w:spacing w:val="1"/>
                <w:w w:val="115"/>
                <w:sz w:val="22"/>
                <w:szCs w:val="22"/>
              </w:rPr>
              <w:t>.</w:t>
            </w:r>
            <w:r w:rsidRPr="004C0C33">
              <w:rPr>
                <w:spacing w:val="-49"/>
                <w:w w:val="115"/>
                <w:sz w:val="22"/>
                <w:szCs w:val="22"/>
              </w:rPr>
              <w:t>1</w:t>
            </w:r>
            <w:r w:rsidRPr="004C0C33">
              <w:rPr>
                <w:w w:val="115"/>
                <w:sz w:val="22"/>
                <w:szCs w:val="22"/>
              </w:rPr>
              <w:t>6</w:t>
            </w:r>
          </w:p>
        </w:tc>
      </w:tr>
      <w:tr w:rsidR="007C59C6" w:rsidRPr="004C0C33" w:rsidTr="003C4287">
        <w:trPr>
          <w:trHeight w:hRule="exact" w:val="300"/>
        </w:trPr>
        <w:tc>
          <w:tcPr>
            <w:tcW w:w="2286"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40"/>
              <w:ind w:left="129"/>
            </w:pPr>
            <w:r w:rsidRPr="004C0C33">
              <w:rPr>
                <w:rFonts w:ascii="Arial" w:hAnsi="Arial" w:cs="Arial"/>
                <w:spacing w:val="-3"/>
                <w:w w:val="105"/>
                <w:sz w:val="19"/>
                <w:szCs w:val="19"/>
              </w:rPr>
              <w:t>Resi</w:t>
            </w:r>
            <w:r w:rsidRPr="004C0C33">
              <w:rPr>
                <w:rFonts w:ascii="Arial" w:hAnsi="Arial" w:cs="Arial"/>
                <w:spacing w:val="-2"/>
                <w:w w:val="105"/>
                <w:sz w:val="19"/>
                <w:szCs w:val="19"/>
              </w:rPr>
              <w:t>dential</w:t>
            </w:r>
            <w:r w:rsidRPr="004C0C33">
              <w:rPr>
                <w:rFonts w:ascii="Arial" w:hAnsi="Arial" w:cs="Arial"/>
                <w:spacing w:val="8"/>
                <w:w w:val="105"/>
                <w:sz w:val="19"/>
                <w:szCs w:val="19"/>
              </w:rPr>
              <w:t xml:space="preserve"> </w:t>
            </w:r>
            <w:r w:rsidRPr="004C0C33">
              <w:rPr>
                <w:rFonts w:ascii="Arial" w:hAnsi="Arial" w:cs="Arial"/>
                <w:spacing w:val="-3"/>
                <w:w w:val="105"/>
                <w:sz w:val="19"/>
                <w:szCs w:val="19"/>
              </w:rPr>
              <w:t>Deposi</w:t>
            </w:r>
            <w:r w:rsidRPr="004C0C33">
              <w:rPr>
                <w:rFonts w:ascii="Arial" w:hAnsi="Arial" w:cs="Arial"/>
                <w:spacing w:val="-2"/>
                <w:w w:val="105"/>
                <w:sz w:val="19"/>
                <w:szCs w:val="19"/>
              </w:rPr>
              <w:t>ts</w:t>
            </w: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1"/>
              <w:jc w:val="center"/>
            </w:pPr>
            <w:r w:rsidRPr="004C0C33">
              <w:rPr>
                <w:sz w:val="22"/>
                <w:szCs w:val="22"/>
              </w:rPr>
              <w:t>6,555</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304"/>
            </w:pPr>
            <w:r w:rsidRPr="004C0C33">
              <w:rPr>
                <w:spacing w:val="-3"/>
                <w:w w:val="105"/>
                <w:sz w:val="22"/>
                <w:szCs w:val="22"/>
              </w:rPr>
              <w:t>0.</w:t>
            </w:r>
            <w:r w:rsidRPr="004C0C33">
              <w:rPr>
                <w:spacing w:val="-4"/>
                <w:w w:val="105"/>
                <w:sz w:val="22"/>
                <w:szCs w:val="22"/>
              </w:rPr>
              <w:t>74</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336"/>
            </w:pPr>
            <w:r w:rsidRPr="004C0C33">
              <w:rPr>
                <w:sz w:val="22"/>
                <w:szCs w:val="22"/>
              </w:rPr>
              <w:t>2.00</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6"/>
              <w:jc w:val="center"/>
            </w:pPr>
            <w:r w:rsidRPr="004C0C33">
              <w:rPr>
                <w:w w:val="105"/>
                <w:sz w:val="22"/>
                <w:szCs w:val="22"/>
              </w:rPr>
              <w:t>0.01</w:t>
            </w:r>
          </w:p>
        </w:tc>
      </w:tr>
      <w:tr w:rsidR="007C59C6" w:rsidRPr="004C0C33" w:rsidTr="003C4287">
        <w:trPr>
          <w:trHeight w:hRule="exact" w:val="295"/>
        </w:trPr>
        <w:tc>
          <w:tcPr>
            <w:tcW w:w="2286"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37"/>
              <w:ind w:left="120"/>
            </w:pPr>
            <w:r w:rsidRPr="004C0C33">
              <w:rPr>
                <w:rFonts w:ascii="Arial" w:hAnsi="Arial" w:cs="Arial"/>
                <w:w w:val="105"/>
                <w:sz w:val="19"/>
                <w:szCs w:val="19"/>
              </w:rPr>
              <w:lastRenderedPageBreak/>
              <w:t>Commercial</w:t>
            </w:r>
            <w:r w:rsidRPr="004C0C33">
              <w:rPr>
                <w:rFonts w:ascii="Arial" w:hAnsi="Arial" w:cs="Arial"/>
                <w:spacing w:val="5"/>
                <w:w w:val="105"/>
                <w:sz w:val="19"/>
                <w:szCs w:val="19"/>
              </w:rPr>
              <w:t xml:space="preserve"> </w:t>
            </w:r>
            <w:r w:rsidRPr="004C0C33">
              <w:rPr>
                <w:rFonts w:ascii="Arial" w:hAnsi="Arial" w:cs="Arial"/>
                <w:spacing w:val="-2"/>
                <w:w w:val="105"/>
                <w:sz w:val="19"/>
                <w:szCs w:val="19"/>
              </w:rPr>
              <w:t>Deposits</w:t>
            </w: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493"/>
            </w:pPr>
            <w:r w:rsidRPr="004C0C33">
              <w:rPr>
                <w:spacing w:val="-51"/>
                <w:w w:val="120"/>
                <w:sz w:val="22"/>
                <w:szCs w:val="22"/>
              </w:rPr>
              <w:t>1</w:t>
            </w:r>
            <w:r w:rsidRPr="004C0C33">
              <w:rPr>
                <w:spacing w:val="-26"/>
                <w:w w:val="120"/>
                <w:sz w:val="22"/>
                <w:szCs w:val="22"/>
              </w:rPr>
              <w:t>8</w:t>
            </w:r>
            <w:r w:rsidRPr="004C0C33">
              <w:rPr>
                <w:w w:val="120"/>
                <w:sz w:val="22"/>
                <w:szCs w:val="22"/>
              </w:rPr>
              <w:t>,</w:t>
            </w:r>
            <w:r w:rsidRPr="004C0C33">
              <w:rPr>
                <w:spacing w:val="-31"/>
                <w:w w:val="120"/>
                <w:sz w:val="22"/>
                <w:szCs w:val="22"/>
              </w:rPr>
              <w:t>1</w:t>
            </w:r>
            <w:r w:rsidRPr="004C0C33">
              <w:rPr>
                <w:w w:val="120"/>
                <w:sz w:val="22"/>
                <w:szCs w:val="22"/>
              </w:rPr>
              <w:t>50</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309"/>
            </w:pPr>
            <w:r w:rsidRPr="004C0C33">
              <w:rPr>
                <w:spacing w:val="-4"/>
                <w:w w:val="105"/>
                <w:sz w:val="22"/>
                <w:szCs w:val="22"/>
              </w:rPr>
              <w:t>2.</w:t>
            </w:r>
            <w:r w:rsidRPr="004C0C33">
              <w:rPr>
                <w:spacing w:val="-3"/>
                <w:w w:val="105"/>
                <w:sz w:val="22"/>
                <w:szCs w:val="22"/>
              </w:rPr>
              <w:t>04</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336"/>
            </w:pPr>
            <w:r w:rsidRPr="004C0C33">
              <w:rPr>
                <w:sz w:val="22"/>
                <w:szCs w:val="22"/>
              </w:rPr>
              <w:t>3.00</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right="6"/>
              <w:jc w:val="center"/>
            </w:pPr>
            <w:r w:rsidRPr="004C0C33">
              <w:rPr>
                <w:sz w:val="22"/>
                <w:szCs w:val="22"/>
              </w:rPr>
              <w:t>0.06</w:t>
            </w:r>
          </w:p>
        </w:tc>
      </w:tr>
      <w:tr w:rsidR="007C59C6" w:rsidRPr="004C0C33" w:rsidTr="003C4287">
        <w:trPr>
          <w:trHeight w:hRule="exact" w:val="300"/>
        </w:trPr>
        <w:tc>
          <w:tcPr>
            <w:tcW w:w="2286"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40"/>
              <w:ind w:left="129"/>
            </w:pPr>
            <w:r w:rsidRPr="004C0C33">
              <w:rPr>
                <w:rFonts w:ascii="Arial" w:hAnsi="Arial" w:cs="Arial"/>
                <w:spacing w:val="-26"/>
                <w:w w:val="110"/>
                <w:sz w:val="19"/>
                <w:szCs w:val="19"/>
              </w:rPr>
              <w:t>I</w:t>
            </w:r>
            <w:r w:rsidRPr="004C0C33">
              <w:rPr>
                <w:rFonts w:ascii="Arial" w:hAnsi="Arial" w:cs="Arial"/>
                <w:w w:val="110"/>
                <w:sz w:val="19"/>
                <w:szCs w:val="19"/>
              </w:rPr>
              <w:t>nact</w:t>
            </w:r>
            <w:r w:rsidRPr="004C0C33">
              <w:rPr>
                <w:rFonts w:ascii="Arial" w:hAnsi="Arial" w:cs="Arial"/>
                <w:spacing w:val="-18"/>
                <w:w w:val="110"/>
                <w:sz w:val="19"/>
                <w:szCs w:val="19"/>
              </w:rPr>
              <w:t>i</w:t>
            </w:r>
            <w:r w:rsidRPr="004C0C33">
              <w:rPr>
                <w:rFonts w:ascii="Arial" w:hAnsi="Arial" w:cs="Arial"/>
                <w:w w:val="110"/>
                <w:sz w:val="19"/>
                <w:szCs w:val="19"/>
              </w:rPr>
              <w:t>ve</w:t>
            </w:r>
            <w:r w:rsidRPr="004C0C33">
              <w:rPr>
                <w:rFonts w:ascii="Arial" w:hAnsi="Arial" w:cs="Arial"/>
                <w:spacing w:val="-29"/>
                <w:w w:val="110"/>
                <w:sz w:val="19"/>
                <w:szCs w:val="19"/>
              </w:rPr>
              <w:t xml:space="preserve"> </w:t>
            </w:r>
            <w:r w:rsidRPr="004C0C33">
              <w:rPr>
                <w:rFonts w:ascii="Arial" w:hAnsi="Arial" w:cs="Arial"/>
                <w:w w:val="110"/>
                <w:sz w:val="19"/>
                <w:szCs w:val="19"/>
              </w:rPr>
              <w:t>Depos</w:t>
            </w:r>
            <w:r w:rsidRPr="004C0C33">
              <w:rPr>
                <w:rFonts w:ascii="Arial" w:hAnsi="Arial" w:cs="Arial"/>
                <w:spacing w:val="-10"/>
                <w:w w:val="110"/>
                <w:sz w:val="19"/>
                <w:szCs w:val="19"/>
              </w:rPr>
              <w:t>i</w:t>
            </w:r>
            <w:r w:rsidRPr="004C0C33">
              <w:rPr>
                <w:rFonts w:ascii="Arial" w:hAnsi="Arial" w:cs="Arial"/>
                <w:w w:val="110"/>
                <w:sz w:val="19"/>
                <w:szCs w:val="19"/>
              </w:rPr>
              <w:t>ts</w:t>
            </w: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3"/>
              <w:ind w:left="7"/>
              <w:jc w:val="center"/>
            </w:pPr>
            <w:r w:rsidRPr="004C0C33">
              <w:rPr>
                <w:sz w:val="22"/>
                <w:szCs w:val="22"/>
              </w:rPr>
              <w:t>375</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8"/>
              <w:ind w:left="304"/>
            </w:pPr>
            <w:r w:rsidRPr="004C0C33">
              <w:rPr>
                <w:sz w:val="22"/>
                <w:szCs w:val="22"/>
              </w:rPr>
              <w:t>0.04</w:t>
            </w:r>
          </w:p>
        </w:tc>
        <w:tc>
          <w:tcPr>
            <w:tcW w:w="1069" w:type="dxa"/>
            <w:tcBorders>
              <w:top w:val="nil"/>
              <w:left w:val="nil"/>
              <w:bottom w:val="nil"/>
              <w:right w:val="nil"/>
            </w:tcBorders>
          </w:tcPr>
          <w:p w:rsidR="007C59C6" w:rsidRPr="004C0C33" w:rsidRDefault="007C59C6" w:rsidP="003C4287">
            <w:pPr>
              <w:autoSpaceDE w:val="0"/>
              <w:autoSpaceDN w:val="0"/>
              <w:adjustRightInd w:val="0"/>
            </w:pPr>
          </w:p>
        </w:tc>
        <w:tc>
          <w:tcPr>
            <w:tcW w:w="1519" w:type="dxa"/>
            <w:tcBorders>
              <w:top w:val="nil"/>
              <w:left w:val="nil"/>
              <w:bottom w:val="nil"/>
              <w:right w:val="nil"/>
            </w:tcBorders>
          </w:tcPr>
          <w:p w:rsidR="007C59C6" w:rsidRPr="004C0C33" w:rsidRDefault="007C59C6" w:rsidP="003C4287">
            <w:pPr>
              <w:autoSpaceDE w:val="0"/>
              <w:autoSpaceDN w:val="0"/>
              <w:adjustRightInd w:val="0"/>
            </w:pPr>
          </w:p>
        </w:tc>
      </w:tr>
      <w:tr w:rsidR="007C59C6" w:rsidRPr="004C0C33" w:rsidTr="003C4287">
        <w:trPr>
          <w:trHeight w:hRule="exact" w:val="300"/>
        </w:trPr>
        <w:tc>
          <w:tcPr>
            <w:tcW w:w="2286"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37"/>
              <w:ind w:left="120"/>
            </w:pPr>
            <w:r w:rsidRPr="004C0C33">
              <w:rPr>
                <w:rFonts w:ascii="Arial" w:hAnsi="Arial" w:cs="Arial"/>
                <w:w w:val="105"/>
                <w:sz w:val="19"/>
                <w:szCs w:val="19"/>
              </w:rPr>
              <w:t>Common</w:t>
            </w:r>
            <w:r w:rsidRPr="004C0C33">
              <w:rPr>
                <w:rFonts w:ascii="Arial" w:hAnsi="Arial" w:cs="Arial"/>
                <w:spacing w:val="15"/>
                <w:w w:val="105"/>
                <w:sz w:val="19"/>
                <w:szCs w:val="19"/>
              </w:rPr>
              <w:t xml:space="preserve"> </w:t>
            </w:r>
            <w:r w:rsidRPr="004C0C33">
              <w:rPr>
                <w:rFonts w:ascii="Arial" w:hAnsi="Arial" w:cs="Arial"/>
                <w:spacing w:val="-4"/>
                <w:w w:val="105"/>
                <w:sz w:val="19"/>
                <w:szCs w:val="19"/>
              </w:rPr>
              <w:t>Equi</w:t>
            </w:r>
            <w:r w:rsidRPr="004C0C33">
              <w:rPr>
                <w:rFonts w:ascii="Arial" w:hAnsi="Arial" w:cs="Arial"/>
                <w:spacing w:val="-3"/>
                <w:w w:val="105"/>
                <w:sz w:val="19"/>
                <w:szCs w:val="19"/>
              </w:rPr>
              <w:t>ty</w:t>
            </w:r>
          </w:p>
        </w:tc>
        <w:tc>
          <w:tcPr>
            <w:tcW w:w="1581"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430"/>
            </w:pPr>
            <w:r w:rsidRPr="004C0C33">
              <w:rPr>
                <w:spacing w:val="-2"/>
                <w:sz w:val="22"/>
                <w:szCs w:val="22"/>
              </w:rPr>
              <w:t>373,494</w:t>
            </w:r>
          </w:p>
        </w:tc>
        <w:tc>
          <w:tcPr>
            <w:tcW w:w="1014"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246"/>
            </w:pPr>
            <w:r w:rsidRPr="004C0C33">
              <w:rPr>
                <w:spacing w:val="-3"/>
                <w:w w:val="105"/>
                <w:sz w:val="22"/>
                <w:szCs w:val="22"/>
              </w:rPr>
              <w:t>41</w:t>
            </w:r>
            <w:r w:rsidRPr="004C0C33">
              <w:rPr>
                <w:spacing w:val="-4"/>
                <w:w w:val="105"/>
                <w:sz w:val="22"/>
                <w:szCs w:val="22"/>
              </w:rPr>
              <w:t>.89</w:t>
            </w:r>
          </w:p>
        </w:tc>
        <w:tc>
          <w:tcPr>
            <w:tcW w:w="106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left="288"/>
            </w:pPr>
            <w:r w:rsidRPr="004C0C33">
              <w:rPr>
                <w:spacing w:val="-53"/>
                <w:w w:val="115"/>
                <w:sz w:val="22"/>
                <w:szCs w:val="22"/>
              </w:rPr>
              <w:t>1</w:t>
            </w:r>
            <w:r w:rsidRPr="004C0C33">
              <w:rPr>
                <w:w w:val="115"/>
                <w:sz w:val="22"/>
                <w:szCs w:val="22"/>
              </w:rPr>
              <w:t>0</w:t>
            </w:r>
            <w:r w:rsidRPr="004C0C33">
              <w:rPr>
                <w:spacing w:val="-10"/>
                <w:w w:val="115"/>
                <w:sz w:val="22"/>
                <w:szCs w:val="22"/>
              </w:rPr>
              <w:t>.</w:t>
            </w:r>
            <w:r w:rsidRPr="004C0C33">
              <w:rPr>
                <w:w w:val="115"/>
                <w:sz w:val="22"/>
                <w:szCs w:val="22"/>
              </w:rPr>
              <w:t>75</w:t>
            </w:r>
          </w:p>
        </w:tc>
        <w:tc>
          <w:tcPr>
            <w:tcW w:w="1519" w:type="dxa"/>
            <w:tcBorders>
              <w:top w:val="nil"/>
              <w:left w:val="nil"/>
              <w:bottom w:val="nil"/>
              <w:right w:val="nil"/>
            </w:tcBorders>
          </w:tcPr>
          <w:p w:rsidR="007C59C6" w:rsidRPr="004C0C33" w:rsidRDefault="007C59C6" w:rsidP="003C4287">
            <w:pPr>
              <w:kinsoku w:val="0"/>
              <w:overflowPunct w:val="0"/>
              <w:autoSpaceDE w:val="0"/>
              <w:autoSpaceDN w:val="0"/>
              <w:adjustRightInd w:val="0"/>
              <w:spacing w:before="10"/>
              <w:ind w:right="16"/>
              <w:jc w:val="center"/>
            </w:pPr>
            <w:r w:rsidRPr="004C0C33">
              <w:rPr>
                <w:sz w:val="22"/>
                <w:szCs w:val="22"/>
              </w:rPr>
              <w:t>4.50</w:t>
            </w:r>
          </w:p>
        </w:tc>
      </w:tr>
      <w:tr w:rsidR="007C59C6" w:rsidRPr="004C0C33" w:rsidTr="003C4287">
        <w:trPr>
          <w:trHeight w:hRule="exact" w:val="290"/>
        </w:trPr>
        <w:tc>
          <w:tcPr>
            <w:tcW w:w="2286" w:type="dxa"/>
            <w:tcBorders>
              <w:top w:val="nil"/>
              <w:left w:val="nil"/>
              <w:bottom w:val="single" w:sz="9" w:space="0" w:color="000000"/>
              <w:right w:val="nil"/>
            </w:tcBorders>
          </w:tcPr>
          <w:p w:rsidR="007C59C6" w:rsidRPr="004C0C33" w:rsidRDefault="007C59C6" w:rsidP="003C4287">
            <w:pPr>
              <w:kinsoku w:val="0"/>
              <w:overflowPunct w:val="0"/>
              <w:autoSpaceDE w:val="0"/>
              <w:autoSpaceDN w:val="0"/>
              <w:adjustRightInd w:val="0"/>
              <w:spacing w:before="35"/>
              <w:ind w:left="129"/>
            </w:pPr>
            <w:r w:rsidRPr="004C0C33">
              <w:rPr>
                <w:rFonts w:ascii="Arial" w:hAnsi="Arial" w:cs="Arial"/>
                <w:w w:val="105"/>
                <w:sz w:val="19"/>
                <w:szCs w:val="19"/>
              </w:rPr>
              <w:t>Deferred</w:t>
            </w:r>
            <w:r w:rsidRPr="004C0C33">
              <w:rPr>
                <w:rFonts w:ascii="Arial" w:hAnsi="Arial" w:cs="Arial"/>
                <w:spacing w:val="-10"/>
                <w:w w:val="105"/>
                <w:sz w:val="19"/>
                <w:szCs w:val="19"/>
              </w:rPr>
              <w:t xml:space="preserve"> </w:t>
            </w:r>
            <w:r w:rsidRPr="004C0C33">
              <w:rPr>
                <w:rFonts w:ascii="Arial" w:hAnsi="Arial" w:cs="Arial"/>
                <w:spacing w:val="-23"/>
                <w:w w:val="105"/>
                <w:sz w:val="19"/>
                <w:szCs w:val="19"/>
              </w:rPr>
              <w:t>I</w:t>
            </w:r>
            <w:r w:rsidRPr="004C0C33">
              <w:rPr>
                <w:rFonts w:ascii="Arial" w:hAnsi="Arial" w:cs="Arial"/>
                <w:w w:val="105"/>
                <w:sz w:val="19"/>
                <w:szCs w:val="19"/>
              </w:rPr>
              <w:t>ncome</w:t>
            </w:r>
            <w:r w:rsidRPr="004C0C33">
              <w:rPr>
                <w:rFonts w:ascii="Arial" w:hAnsi="Arial" w:cs="Arial"/>
                <w:spacing w:val="-19"/>
                <w:w w:val="105"/>
                <w:sz w:val="19"/>
                <w:szCs w:val="19"/>
              </w:rPr>
              <w:t xml:space="preserve"> </w:t>
            </w:r>
            <w:r w:rsidRPr="004C0C33">
              <w:rPr>
                <w:rFonts w:ascii="Arial" w:hAnsi="Arial" w:cs="Arial"/>
                <w:w w:val="105"/>
                <w:sz w:val="19"/>
                <w:szCs w:val="19"/>
              </w:rPr>
              <w:t>Taxes</w:t>
            </w:r>
          </w:p>
        </w:tc>
        <w:tc>
          <w:tcPr>
            <w:tcW w:w="1581" w:type="dxa"/>
            <w:tcBorders>
              <w:top w:val="nil"/>
              <w:left w:val="nil"/>
              <w:bottom w:val="single" w:sz="9" w:space="0" w:color="000000"/>
              <w:right w:val="nil"/>
            </w:tcBorders>
          </w:tcPr>
          <w:p w:rsidR="007C59C6" w:rsidRPr="004C0C33" w:rsidRDefault="007C59C6" w:rsidP="003C4287">
            <w:pPr>
              <w:kinsoku w:val="0"/>
              <w:overflowPunct w:val="0"/>
              <w:autoSpaceDE w:val="0"/>
              <w:autoSpaceDN w:val="0"/>
              <w:adjustRightInd w:val="0"/>
              <w:spacing w:before="13"/>
              <w:ind w:left="435"/>
            </w:pPr>
            <w:r w:rsidRPr="004C0C33">
              <w:rPr>
                <w:spacing w:val="-51"/>
                <w:w w:val="120"/>
                <w:sz w:val="22"/>
                <w:szCs w:val="22"/>
              </w:rPr>
              <w:t>1</w:t>
            </w:r>
            <w:r w:rsidRPr="004C0C33">
              <w:rPr>
                <w:w w:val="120"/>
                <w:sz w:val="22"/>
                <w:szCs w:val="22"/>
              </w:rPr>
              <w:t>9</w:t>
            </w:r>
            <w:r w:rsidRPr="004C0C33">
              <w:rPr>
                <w:spacing w:val="-29"/>
                <w:w w:val="120"/>
                <w:sz w:val="22"/>
                <w:szCs w:val="22"/>
              </w:rPr>
              <w:t>1</w:t>
            </w:r>
            <w:r w:rsidRPr="004C0C33">
              <w:rPr>
                <w:w w:val="120"/>
                <w:sz w:val="22"/>
                <w:szCs w:val="22"/>
              </w:rPr>
              <w:t>,</w:t>
            </w:r>
            <w:r w:rsidRPr="004C0C33">
              <w:rPr>
                <w:spacing w:val="-9"/>
                <w:w w:val="120"/>
                <w:sz w:val="22"/>
                <w:szCs w:val="22"/>
              </w:rPr>
              <w:t>5</w:t>
            </w:r>
            <w:r w:rsidRPr="004C0C33">
              <w:rPr>
                <w:spacing w:val="-51"/>
                <w:w w:val="120"/>
                <w:sz w:val="22"/>
                <w:szCs w:val="22"/>
              </w:rPr>
              <w:t>1</w:t>
            </w:r>
            <w:r w:rsidRPr="004C0C33">
              <w:rPr>
                <w:w w:val="120"/>
                <w:sz w:val="22"/>
                <w:szCs w:val="22"/>
              </w:rPr>
              <w:t>2</w:t>
            </w:r>
          </w:p>
        </w:tc>
        <w:tc>
          <w:tcPr>
            <w:tcW w:w="1014" w:type="dxa"/>
            <w:tcBorders>
              <w:top w:val="nil"/>
              <w:left w:val="nil"/>
              <w:bottom w:val="single" w:sz="9" w:space="0" w:color="000000"/>
              <w:right w:val="nil"/>
            </w:tcBorders>
          </w:tcPr>
          <w:p w:rsidR="007C59C6" w:rsidRPr="004C0C33" w:rsidRDefault="007C59C6" w:rsidP="003C4287">
            <w:pPr>
              <w:kinsoku w:val="0"/>
              <w:overflowPunct w:val="0"/>
              <w:autoSpaceDE w:val="0"/>
              <w:autoSpaceDN w:val="0"/>
              <w:adjustRightInd w:val="0"/>
              <w:spacing w:before="13"/>
              <w:ind w:left="251"/>
            </w:pPr>
            <w:r w:rsidRPr="004C0C33">
              <w:rPr>
                <w:spacing w:val="-2"/>
                <w:w w:val="105"/>
                <w:sz w:val="22"/>
                <w:szCs w:val="22"/>
              </w:rPr>
              <w:t>21.48</w:t>
            </w:r>
          </w:p>
        </w:tc>
        <w:tc>
          <w:tcPr>
            <w:tcW w:w="1069" w:type="dxa"/>
            <w:tcBorders>
              <w:top w:val="nil"/>
              <w:left w:val="nil"/>
              <w:bottom w:val="single" w:sz="9" w:space="0" w:color="000000"/>
              <w:right w:val="nil"/>
            </w:tcBorders>
          </w:tcPr>
          <w:p w:rsidR="007C59C6" w:rsidRPr="004C0C33" w:rsidRDefault="007C59C6" w:rsidP="003C4287">
            <w:pPr>
              <w:autoSpaceDE w:val="0"/>
              <w:autoSpaceDN w:val="0"/>
              <w:adjustRightInd w:val="0"/>
            </w:pPr>
          </w:p>
        </w:tc>
        <w:tc>
          <w:tcPr>
            <w:tcW w:w="1519" w:type="dxa"/>
            <w:tcBorders>
              <w:top w:val="nil"/>
              <w:left w:val="nil"/>
              <w:bottom w:val="single" w:sz="9" w:space="0" w:color="000000"/>
              <w:right w:val="nil"/>
            </w:tcBorders>
          </w:tcPr>
          <w:p w:rsidR="007C59C6" w:rsidRPr="004C0C33" w:rsidRDefault="007C59C6" w:rsidP="003C4287">
            <w:pPr>
              <w:autoSpaceDE w:val="0"/>
              <w:autoSpaceDN w:val="0"/>
              <w:adjustRightInd w:val="0"/>
            </w:pPr>
          </w:p>
        </w:tc>
      </w:tr>
      <w:tr w:rsidR="007C59C6" w:rsidRPr="004C0C33" w:rsidTr="003C4287">
        <w:trPr>
          <w:trHeight w:hRule="exact" w:val="383"/>
        </w:trPr>
        <w:tc>
          <w:tcPr>
            <w:tcW w:w="2286" w:type="dxa"/>
            <w:tcBorders>
              <w:top w:val="single" w:sz="9" w:space="0" w:color="000000"/>
              <w:left w:val="nil"/>
              <w:bottom w:val="nil"/>
              <w:right w:val="nil"/>
            </w:tcBorders>
          </w:tcPr>
          <w:p w:rsidR="007C59C6" w:rsidRPr="004C0C33" w:rsidRDefault="007C59C6" w:rsidP="003C4287">
            <w:pPr>
              <w:kinsoku w:val="0"/>
              <w:overflowPunct w:val="0"/>
              <w:autoSpaceDE w:val="0"/>
              <w:autoSpaceDN w:val="0"/>
              <w:adjustRightInd w:val="0"/>
              <w:spacing w:before="57"/>
              <w:ind w:left="360"/>
            </w:pPr>
            <w:r w:rsidRPr="004C0C33">
              <w:rPr>
                <w:rFonts w:ascii="Arial" w:hAnsi="Arial" w:cs="Arial"/>
                <w:w w:val="105"/>
                <w:sz w:val="19"/>
                <w:szCs w:val="19"/>
              </w:rPr>
              <w:t>Total</w:t>
            </w:r>
          </w:p>
        </w:tc>
        <w:tc>
          <w:tcPr>
            <w:tcW w:w="1581" w:type="dxa"/>
            <w:tcBorders>
              <w:top w:val="single" w:sz="9" w:space="0" w:color="000000"/>
              <w:left w:val="nil"/>
              <w:bottom w:val="nil"/>
              <w:right w:val="nil"/>
            </w:tcBorders>
          </w:tcPr>
          <w:p w:rsidR="007C59C6" w:rsidRPr="004C0C33" w:rsidRDefault="007C59C6" w:rsidP="003C4287">
            <w:pPr>
              <w:kinsoku w:val="0"/>
              <w:overflowPunct w:val="0"/>
              <w:autoSpaceDE w:val="0"/>
              <w:autoSpaceDN w:val="0"/>
              <w:adjustRightInd w:val="0"/>
              <w:spacing w:before="34"/>
              <w:ind w:left="425"/>
            </w:pPr>
            <w:r w:rsidRPr="004C0C33">
              <w:rPr>
                <w:w w:val="105"/>
                <w:sz w:val="22"/>
                <w:szCs w:val="22"/>
              </w:rPr>
              <w:t>89</w:t>
            </w:r>
            <w:r w:rsidRPr="004C0C33">
              <w:rPr>
                <w:spacing w:val="-33"/>
                <w:w w:val="105"/>
                <w:sz w:val="22"/>
                <w:szCs w:val="22"/>
              </w:rPr>
              <w:t>1</w:t>
            </w:r>
            <w:r w:rsidRPr="004C0C33">
              <w:rPr>
                <w:w w:val="105"/>
                <w:sz w:val="22"/>
                <w:szCs w:val="22"/>
              </w:rPr>
              <w:t>,557</w:t>
            </w:r>
          </w:p>
        </w:tc>
        <w:tc>
          <w:tcPr>
            <w:tcW w:w="1014" w:type="dxa"/>
            <w:tcBorders>
              <w:top w:val="single" w:sz="9" w:space="0" w:color="000000"/>
              <w:left w:val="nil"/>
              <w:bottom w:val="nil"/>
              <w:right w:val="nil"/>
            </w:tcBorders>
          </w:tcPr>
          <w:p w:rsidR="007C59C6" w:rsidRPr="004C0C33" w:rsidRDefault="007C59C6" w:rsidP="003C4287">
            <w:pPr>
              <w:kinsoku w:val="0"/>
              <w:overflowPunct w:val="0"/>
              <w:autoSpaceDE w:val="0"/>
              <w:autoSpaceDN w:val="0"/>
              <w:adjustRightInd w:val="0"/>
              <w:spacing w:before="34"/>
              <w:ind w:left="198"/>
            </w:pPr>
            <w:r w:rsidRPr="004C0C33">
              <w:rPr>
                <w:spacing w:val="-47"/>
                <w:w w:val="110"/>
                <w:sz w:val="22"/>
                <w:szCs w:val="22"/>
              </w:rPr>
              <w:t>1</w:t>
            </w:r>
            <w:r w:rsidRPr="004C0C33">
              <w:rPr>
                <w:w w:val="110"/>
                <w:sz w:val="22"/>
                <w:szCs w:val="22"/>
              </w:rPr>
              <w:t>00.00</w:t>
            </w:r>
          </w:p>
        </w:tc>
        <w:tc>
          <w:tcPr>
            <w:tcW w:w="1069" w:type="dxa"/>
            <w:tcBorders>
              <w:top w:val="single" w:sz="9" w:space="0" w:color="000000"/>
              <w:left w:val="nil"/>
              <w:bottom w:val="nil"/>
              <w:right w:val="nil"/>
            </w:tcBorders>
          </w:tcPr>
          <w:p w:rsidR="007C59C6" w:rsidRPr="004C0C33" w:rsidRDefault="007C59C6" w:rsidP="003C4287">
            <w:pPr>
              <w:autoSpaceDE w:val="0"/>
              <w:autoSpaceDN w:val="0"/>
              <w:adjustRightInd w:val="0"/>
            </w:pPr>
          </w:p>
        </w:tc>
        <w:tc>
          <w:tcPr>
            <w:tcW w:w="1519" w:type="dxa"/>
            <w:tcBorders>
              <w:top w:val="single" w:sz="9" w:space="0" w:color="000000"/>
              <w:left w:val="nil"/>
              <w:bottom w:val="nil"/>
              <w:right w:val="nil"/>
            </w:tcBorders>
          </w:tcPr>
          <w:p w:rsidR="007C59C6" w:rsidRPr="004C0C33" w:rsidRDefault="007C59C6" w:rsidP="003C4287">
            <w:pPr>
              <w:kinsoku w:val="0"/>
              <w:overflowPunct w:val="0"/>
              <w:autoSpaceDE w:val="0"/>
              <w:autoSpaceDN w:val="0"/>
              <w:adjustRightInd w:val="0"/>
              <w:spacing w:before="34"/>
              <w:ind w:right="4"/>
              <w:jc w:val="center"/>
            </w:pPr>
            <w:r w:rsidRPr="004C0C33">
              <w:rPr>
                <w:sz w:val="22"/>
                <w:szCs w:val="22"/>
              </w:rPr>
              <w:t>6.09</w:t>
            </w:r>
          </w:p>
        </w:tc>
      </w:tr>
    </w:tbl>
    <w:p w:rsidR="007C59C6" w:rsidRDefault="007C59C6" w:rsidP="007C59C6">
      <w:pPr>
        <w:ind w:left="1440" w:hanging="1440"/>
        <w:jc w:val="both"/>
        <w:rPr>
          <w:b/>
          <w:u w:val="single"/>
        </w:rPr>
      </w:pPr>
    </w:p>
    <w:p w:rsidR="007C59C6" w:rsidRDefault="007C59C6" w:rsidP="007C59C6">
      <w:pPr>
        <w:ind w:left="1440" w:hanging="1440"/>
        <w:jc w:val="both"/>
        <w:rPr>
          <w:b/>
        </w:rPr>
      </w:pPr>
      <w:r w:rsidRPr="00691142">
        <w:rPr>
          <w:b/>
          <w:u w:val="single"/>
        </w:rPr>
        <w:t>ISSUE 14</w:t>
      </w:r>
      <w:r>
        <w:t>:</w:t>
      </w:r>
      <w:r>
        <w:tab/>
      </w:r>
      <w:r w:rsidRPr="002B1B56">
        <w:rPr>
          <w:b/>
        </w:rPr>
        <w:t>What is the annual forecasted capital structure for the tax year 2018 at a 35 percent corporate tax rate</w:t>
      </w:r>
      <w:r>
        <w:rPr>
          <w:b/>
        </w:rPr>
        <w:t>.</w:t>
      </w:r>
    </w:p>
    <w:p w:rsidR="007C59C6" w:rsidRDefault="007C59C6" w:rsidP="007C59C6">
      <w:pPr>
        <w:ind w:left="2160" w:hanging="2160"/>
        <w:jc w:val="both"/>
      </w:pPr>
      <w:r>
        <w:rPr>
          <w:b/>
          <w:bCs/>
        </w:rPr>
        <w:t>STIPULATION</w:t>
      </w:r>
      <w:r w:rsidRPr="00DE2682">
        <w:rPr>
          <w:b/>
        </w:rPr>
        <w:t>:</w:t>
      </w:r>
      <w:r>
        <w:tab/>
        <w:t>The average, mid-range, forecasted capital structure for the tax year 2018, under the TCJA at a 35 percent corporate tax rate on an FPSC adjusted basis is as follows:</w:t>
      </w:r>
    </w:p>
    <w:p w:rsidR="007C59C6" w:rsidRPr="0080142E" w:rsidRDefault="007C59C6" w:rsidP="007C59C6">
      <w:pPr>
        <w:pStyle w:val="BodyText"/>
        <w:kinsoku w:val="0"/>
        <w:overflowPunct w:val="0"/>
        <w:rPr>
          <w:sz w:val="20"/>
          <w:szCs w:val="20"/>
        </w:rPr>
      </w:pPr>
      <w:r>
        <w:tab/>
      </w:r>
      <w:r w:rsidR="00997770">
        <w:rPr>
          <w:noProof/>
        </w:rPr>
        <mc:AlternateContent>
          <mc:Choice Requires="wps">
            <w:drawing>
              <wp:inline distT="0" distB="0" distL="0" distR="0">
                <wp:extent cx="5734050" cy="2114550"/>
                <wp:effectExtent l="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11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464" w:type="dxa"/>
                              <w:tblInd w:w="1350" w:type="dxa"/>
                              <w:tblLayout w:type="fixed"/>
                              <w:tblCellMar>
                                <w:left w:w="0" w:type="dxa"/>
                                <w:right w:w="0" w:type="dxa"/>
                              </w:tblCellMar>
                              <w:tblLook w:val="0000" w:firstRow="0" w:lastRow="0" w:firstColumn="0" w:lastColumn="0" w:noHBand="0" w:noVBand="0"/>
                            </w:tblPr>
                            <w:tblGrid>
                              <w:gridCol w:w="2291"/>
                              <w:gridCol w:w="1576"/>
                              <w:gridCol w:w="1016"/>
                              <w:gridCol w:w="1065"/>
                              <w:gridCol w:w="1516"/>
                            </w:tblGrid>
                            <w:tr w:rsidR="007C59C6" w:rsidTr="009E3F7B">
                              <w:trPr>
                                <w:trHeight w:hRule="exact" w:val="633"/>
                              </w:trPr>
                              <w:tc>
                                <w:tcPr>
                                  <w:tcW w:w="2291" w:type="dxa"/>
                                  <w:tcBorders>
                                    <w:top w:val="nil"/>
                                    <w:left w:val="nil"/>
                                    <w:bottom w:val="nil"/>
                                    <w:right w:val="nil"/>
                                  </w:tcBorders>
                                </w:tcPr>
                                <w:p w:rsidR="007C59C6" w:rsidRDefault="007C59C6"/>
                              </w:tc>
                              <w:tc>
                                <w:tcPr>
                                  <w:tcW w:w="1576" w:type="dxa"/>
                                  <w:tcBorders>
                                    <w:top w:val="nil"/>
                                    <w:left w:val="nil"/>
                                    <w:bottom w:val="nil"/>
                                    <w:right w:val="nil"/>
                                  </w:tcBorders>
                                </w:tcPr>
                                <w:p w:rsidR="007C59C6" w:rsidRDefault="007C59C6">
                                  <w:pPr>
                                    <w:pStyle w:val="BodyText"/>
                                    <w:kinsoku w:val="0"/>
                                    <w:overflowPunct w:val="0"/>
                                    <w:spacing w:before="80"/>
                                    <w:ind w:left="1"/>
                                    <w:jc w:val="center"/>
                                    <w:rPr>
                                      <w:rFonts w:ascii="Arial" w:hAnsi="Arial" w:cs="Arial"/>
                                      <w:sz w:val="19"/>
                                      <w:szCs w:val="19"/>
                                    </w:rPr>
                                  </w:pPr>
                                  <w:r>
                                    <w:rPr>
                                      <w:rFonts w:ascii="Arial" w:hAnsi="Arial" w:cs="Arial"/>
                                      <w:w w:val="105"/>
                                      <w:sz w:val="19"/>
                                      <w:szCs w:val="19"/>
                                    </w:rPr>
                                    <w:t>Adjusted</w:t>
                                  </w:r>
                                  <w:r>
                                    <w:rPr>
                                      <w:rFonts w:ascii="Arial" w:hAnsi="Arial" w:cs="Arial"/>
                                      <w:spacing w:val="5"/>
                                      <w:w w:val="105"/>
                                      <w:sz w:val="19"/>
                                      <w:szCs w:val="19"/>
                                    </w:rPr>
                                    <w:t xml:space="preserve"> </w:t>
                                  </w:r>
                                  <w:r>
                                    <w:rPr>
                                      <w:rFonts w:ascii="Arial" w:hAnsi="Arial" w:cs="Arial"/>
                                      <w:w w:val="105"/>
                                      <w:sz w:val="19"/>
                                      <w:szCs w:val="19"/>
                                    </w:rPr>
                                    <w:t>Retail</w:t>
                                  </w:r>
                                </w:p>
                                <w:p w:rsidR="007C59C6" w:rsidRDefault="007C59C6">
                                  <w:pPr>
                                    <w:pStyle w:val="BodyText"/>
                                    <w:kinsoku w:val="0"/>
                                    <w:overflowPunct w:val="0"/>
                                    <w:spacing w:before="47"/>
                                    <w:ind w:right="5"/>
                                    <w:jc w:val="center"/>
                                  </w:pPr>
                                  <w:r>
                                    <w:rPr>
                                      <w:sz w:val="22"/>
                                      <w:szCs w:val="22"/>
                                    </w:rPr>
                                    <w:t>($000)</w:t>
                                  </w:r>
                                </w:p>
                              </w:tc>
                              <w:tc>
                                <w:tcPr>
                                  <w:tcW w:w="1016" w:type="dxa"/>
                                  <w:tcBorders>
                                    <w:top w:val="nil"/>
                                    <w:left w:val="nil"/>
                                    <w:bottom w:val="nil"/>
                                    <w:right w:val="nil"/>
                                  </w:tcBorders>
                                </w:tcPr>
                                <w:p w:rsidR="007C59C6" w:rsidRDefault="007C59C6">
                                  <w:pPr>
                                    <w:pStyle w:val="BodyText"/>
                                    <w:kinsoku w:val="0"/>
                                    <w:overflowPunct w:val="0"/>
                                    <w:spacing w:before="75" w:line="321" w:lineRule="auto"/>
                                    <w:ind w:left="357" w:right="106" w:hanging="250"/>
                                  </w:pPr>
                                  <w:r>
                                    <w:rPr>
                                      <w:rFonts w:ascii="Arial" w:hAnsi="Arial" w:cs="Arial"/>
                                      <w:spacing w:val="-2"/>
                                      <w:sz w:val="19"/>
                                      <w:szCs w:val="19"/>
                                    </w:rPr>
                                    <w:t>Ratio</w:t>
                                  </w:r>
                                  <w:r>
                                    <w:rPr>
                                      <w:rFonts w:ascii="Arial" w:hAnsi="Arial" w:cs="Arial"/>
                                      <w:spacing w:val="14"/>
                                      <w:sz w:val="19"/>
                                      <w:szCs w:val="19"/>
                                    </w:rPr>
                                    <w:t xml:space="preserve"> </w:t>
                                  </w:r>
                                  <w:r>
                                    <w:rPr>
                                      <w:rFonts w:ascii="Arial" w:hAnsi="Arial" w:cs="Arial"/>
                                      <w:sz w:val="19"/>
                                      <w:szCs w:val="19"/>
                                    </w:rPr>
                                    <w:t>(%)</w:t>
                                  </w:r>
                                  <w:r>
                                    <w:rPr>
                                      <w:rFonts w:ascii="Arial" w:hAnsi="Arial" w:cs="Arial"/>
                                      <w:spacing w:val="21"/>
                                      <w:w w:val="97"/>
                                      <w:sz w:val="19"/>
                                      <w:szCs w:val="19"/>
                                    </w:rPr>
                                    <w:t xml:space="preserve"> </w:t>
                                  </w:r>
                                  <w:r>
                                    <w:rPr>
                                      <w:rFonts w:ascii="Arial" w:hAnsi="Arial" w:cs="Arial"/>
                                      <w:sz w:val="19"/>
                                      <w:szCs w:val="19"/>
                                    </w:rPr>
                                    <w:t>(%)</w:t>
                                  </w:r>
                                </w:p>
                              </w:tc>
                              <w:tc>
                                <w:tcPr>
                                  <w:tcW w:w="1065" w:type="dxa"/>
                                  <w:tcBorders>
                                    <w:top w:val="nil"/>
                                    <w:left w:val="nil"/>
                                    <w:bottom w:val="nil"/>
                                    <w:right w:val="nil"/>
                                  </w:tcBorders>
                                </w:tcPr>
                                <w:p w:rsidR="007C59C6" w:rsidRDefault="007C59C6">
                                  <w:pPr>
                                    <w:pStyle w:val="BodyText"/>
                                    <w:kinsoku w:val="0"/>
                                    <w:overflowPunct w:val="0"/>
                                    <w:spacing w:before="75" w:line="321" w:lineRule="auto"/>
                                    <w:ind w:left="387" w:right="102" w:hanging="279"/>
                                  </w:pPr>
                                  <w:r>
                                    <w:rPr>
                                      <w:rFonts w:ascii="Arial" w:hAnsi="Arial" w:cs="Arial"/>
                                      <w:sz w:val="19"/>
                                      <w:szCs w:val="19"/>
                                    </w:rPr>
                                    <w:t>Cost</w:t>
                                  </w:r>
                                  <w:r>
                                    <w:rPr>
                                      <w:rFonts w:ascii="Arial" w:hAnsi="Arial" w:cs="Arial"/>
                                      <w:spacing w:val="-2"/>
                                      <w:sz w:val="19"/>
                                      <w:szCs w:val="19"/>
                                    </w:rPr>
                                    <w:t xml:space="preserve"> </w:t>
                                  </w:r>
                                  <w:r>
                                    <w:rPr>
                                      <w:rFonts w:ascii="Arial" w:hAnsi="Arial" w:cs="Arial"/>
                                      <w:sz w:val="19"/>
                                      <w:szCs w:val="19"/>
                                    </w:rPr>
                                    <w:t>Rate (%)</w:t>
                                  </w:r>
                                </w:p>
                              </w:tc>
                              <w:tc>
                                <w:tcPr>
                                  <w:tcW w:w="1516" w:type="dxa"/>
                                  <w:tcBorders>
                                    <w:top w:val="nil"/>
                                    <w:left w:val="nil"/>
                                    <w:bottom w:val="nil"/>
                                    <w:right w:val="nil"/>
                                  </w:tcBorders>
                                </w:tcPr>
                                <w:p w:rsidR="007C59C6" w:rsidRDefault="007C59C6">
                                  <w:pPr>
                                    <w:pStyle w:val="BodyText"/>
                                    <w:kinsoku w:val="0"/>
                                    <w:overflowPunct w:val="0"/>
                                    <w:spacing w:before="75" w:line="316" w:lineRule="auto"/>
                                    <w:ind w:left="618" w:right="104" w:hanging="514"/>
                                  </w:pPr>
                                  <w:r>
                                    <w:rPr>
                                      <w:rFonts w:ascii="Arial" w:hAnsi="Arial" w:cs="Arial"/>
                                      <w:w w:val="105"/>
                                      <w:sz w:val="19"/>
                                      <w:szCs w:val="19"/>
                                    </w:rPr>
                                    <w:t>Weighted</w:t>
                                  </w:r>
                                  <w:r>
                                    <w:rPr>
                                      <w:rFonts w:ascii="Arial" w:hAnsi="Arial" w:cs="Arial"/>
                                      <w:spacing w:val="-16"/>
                                      <w:w w:val="105"/>
                                      <w:sz w:val="19"/>
                                      <w:szCs w:val="19"/>
                                    </w:rPr>
                                    <w:t xml:space="preserve"> </w:t>
                                  </w:r>
                                  <w:r>
                                    <w:rPr>
                                      <w:rFonts w:ascii="Arial" w:hAnsi="Arial" w:cs="Arial"/>
                                      <w:w w:val="105"/>
                                      <w:sz w:val="19"/>
                                      <w:szCs w:val="19"/>
                                    </w:rPr>
                                    <w:t>Cost</w:t>
                                  </w:r>
                                  <w:r>
                                    <w:rPr>
                                      <w:rFonts w:ascii="Arial" w:hAnsi="Arial" w:cs="Arial"/>
                                      <w:w w:val="97"/>
                                      <w:sz w:val="19"/>
                                      <w:szCs w:val="19"/>
                                    </w:rPr>
                                    <w:t xml:space="preserve"> </w:t>
                                  </w:r>
                                  <w:r>
                                    <w:rPr>
                                      <w:rFonts w:ascii="Arial" w:hAnsi="Arial" w:cs="Arial"/>
                                      <w:w w:val="105"/>
                                      <w:sz w:val="19"/>
                                      <w:szCs w:val="19"/>
                                    </w:rPr>
                                    <w:t>(%)</w:t>
                                  </w:r>
                                </w:p>
                              </w:tc>
                            </w:tr>
                            <w:tr w:rsidR="007C59C6" w:rsidTr="009E3F7B">
                              <w:trPr>
                                <w:trHeight w:hRule="exact" w:val="300"/>
                              </w:trPr>
                              <w:tc>
                                <w:tcPr>
                                  <w:tcW w:w="2291" w:type="dxa"/>
                                  <w:tcBorders>
                                    <w:top w:val="nil"/>
                                    <w:left w:val="nil"/>
                                    <w:bottom w:val="nil"/>
                                    <w:right w:val="nil"/>
                                  </w:tcBorders>
                                </w:tcPr>
                                <w:p w:rsidR="007C59C6" w:rsidRDefault="007C59C6">
                                  <w:pPr>
                                    <w:pStyle w:val="BodyText"/>
                                    <w:kinsoku w:val="0"/>
                                    <w:overflowPunct w:val="0"/>
                                    <w:spacing w:before="42"/>
                                    <w:ind w:left="124"/>
                                  </w:pPr>
                                  <w:r>
                                    <w:rPr>
                                      <w:rFonts w:ascii="Arial" w:hAnsi="Arial" w:cs="Arial"/>
                                      <w:w w:val="105"/>
                                      <w:sz w:val="19"/>
                                      <w:szCs w:val="19"/>
                                    </w:rPr>
                                    <w:t>Long</w:t>
                                  </w:r>
                                  <w:r>
                                    <w:rPr>
                                      <w:rFonts w:ascii="Arial" w:hAnsi="Arial" w:cs="Arial"/>
                                      <w:spacing w:val="-27"/>
                                      <w:w w:val="105"/>
                                      <w:sz w:val="19"/>
                                      <w:szCs w:val="19"/>
                                    </w:rPr>
                                    <w:t xml:space="preserve"> </w:t>
                                  </w:r>
                                  <w:r>
                                    <w:rPr>
                                      <w:rFonts w:ascii="Arial" w:hAnsi="Arial" w:cs="Arial"/>
                                      <w:w w:val="105"/>
                                      <w:sz w:val="19"/>
                                      <w:szCs w:val="19"/>
                                    </w:rPr>
                                    <w:t>Term Debt</w:t>
                                  </w:r>
                                </w:p>
                              </w:tc>
                              <w:tc>
                                <w:tcPr>
                                  <w:tcW w:w="1576" w:type="dxa"/>
                                  <w:tcBorders>
                                    <w:top w:val="nil"/>
                                    <w:left w:val="nil"/>
                                    <w:bottom w:val="nil"/>
                                    <w:right w:val="nil"/>
                                  </w:tcBorders>
                                </w:tcPr>
                                <w:p w:rsidR="007C59C6" w:rsidRDefault="007C59C6">
                                  <w:pPr>
                                    <w:pStyle w:val="BodyText"/>
                                    <w:kinsoku w:val="0"/>
                                    <w:overflowPunct w:val="0"/>
                                    <w:spacing w:before="15"/>
                                    <w:ind w:left="425"/>
                                  </w:pPr>
                                  <w:r>
                                    <w:rPr>
                                      <w:spacing w:val="-3"/>
                                      <w:w w:val="105"/>
                                      <w:sz w:val="22"/>
                                      <w:szCs w:val="22"/>
                                    </w:rPr>
                                    <w:t>241</w:t>
                                  </w:r>
                                  <w:r>
                                    <w:rPr>
                                      <w:spacing w:val="-4"/>
                                      <w:w w:val="105"/>
                                      <w:sz w:val="22"/>
                                      <w:szCs w:val="22"/>
                                    </w:rPr>
                                    <w:t>,237</w:t>
                                  </w:r>
                                </w:p>
                              </w:tc>
                              <w:tc>
                                <w:tcPr>
                                  <w:tcW w:w="1016" w:type="dxa"/>
                                  <w:tcBorders>
                                    <w:top w:val="nil"/>
                                    <w:left w:val="nil"/>
                                    <w:bottom w:val="nil"/>
                                    <w:right w:val="nil"/>
                                  </w:tcBorders>
                                </w:tcPr>
                                <w:p w:rsidR="007C59C6" w:rsidRDefault="007C59C6">
                                  <w:pPr>
                                    <w:pStyle w:val="BodyText"/>
                                    <w:kinsoku w:val="0"/>
                                    <w:overflowPunct w:val="0"/>
                                    <w:spacing w:before="10"/>
                                    <w:ind w:left="251"/>
                                  </w:pPr>
                                  <w:r>
                                    <w:rPr>
                                      <w:sz w:val="22"/>
                                      <w:szCs w:val="22"/>
                                    </w:rPr>
                                    <w:t>27.00</w:t>
                                  </w:r>
                                </w:p>
                              </w:tc>
                              <w:tc>
                                <w:tcPr>
                                  <w:tcW w:w="1065" w:type="dxa"/>
                                  <w:tcBorders>
                                    <w:top w:val="nil"/>
                                    <w:left w:val="nil"/>
                                    <w:bottom w:val="nil"/>
                                    <w:right w:val="nil"/>
                                  </w:tcBorders>
                                </w:tcPr>
                                <w:p w:rsidR="007C59C6" w:rsidRDefault="007C59C6">
                                  <w:pPr>
                                    <w:pStyle w:val="BodyText"/>
                                    <w:kinsoku w:val="0"/>
                                    <w:overflowPunct w:val="0"/>
                                    <w:spacing w:before="10"/>
                                    <w:ind w:left="334"/>
                                  </w:pPr>
                                  <w:r>
                                    <w:rPr>
                                      <w:spacing w:val="-6"/>
                                      <w:w w:val="110"/>
                                      <w:sz w:val="22"/>
                                      <w:szCs w:val="22"/>
                                    </w:rPr>
                                    <w:t>5.03</w:t>
                                  </w:r>
                                </w:p>
                              </w:tc>
                              <w:tc>
                                <w:tcPr>
                                  <w:tcW w:w="1516" w:type="dxa"/>
                                  <w:tcBorders>
                                    <w:top w:val="nil"/>
                                    <w:left w:val="nil"/>
                                    <w:bottom w:val="nil"/>
                                    <w:right w:val="nil"/>
                                  </w:tcBorders>
                                </w:tcPr>
                                <w:p w:rsidR="007C59C6" w:rsidRDefault="007C59C6">
                                  <w:pPr>
                                    <w:pStyle w:val="BodyText"/>
                                    <w:kinsoku w:val="0"/>
                                    <w:overflowPunct w:val="0"/>
                                    <w:spacing w:before="10"/>
                                    <w:ind w:left="28"/>
                                    <w:jc w:val="center"/>
                                  </w:pPr>
                                  <w:r>
                                    <w:rPr>
                                      <w:w w:val="105"/>
                                      <w:sz w:val="22"/>
                                      <w:szCs w:val="22"/>
                                    </w:rPr>
                                    <w:t>1.36</w:t>
                                  </w:r>
                                </w:p>
                              </w:tc>
                            </w:tr>
                            <w:tr w:rsidR="007C59C6" w:rsidTr="009E3F7B">
                              <w:trPr>
                                <w:trHeight w:hRule="exact" w:val="305"/>
                              </w:trPr>
                              <w:tc>
                                <w:tcPr>
                                  <w:tcW w:w="2291" w:type="dxa"/>
                                  <w:tcBorders>
                                    <w:top w:val="nil"/>
                                    <w:left w:val="nil"/>
                                    <w:bottom w:val="nil"/>
                                    <w:right w:val="nil"/>
                                  </w:tcBorders>
                                </w:tcPr>
                                <w:p w:rsidR="007C59C6" w:rsidRDefault="007C59C6">
                                  <w:pPr>
                                    <w:pStyle w:val="BodyText"/>
                                    <w:kinsoku w:val="0"/>
                                    <w:overflowPunct w:val="0"/>
                                    <w:spacing w:before="45"/>
                                    <w:ind w:left="115"/>
                                  </w:pPr>
                                  <w:r>
                                    <w:rPr>
                                      <w:rFonts w:ascii="Arial" w:hAnsi="Arial" w:cs="Arial"/>
                                      <w:w w:val="105"/>
                                      <w:sz w:val="19"/>
                                      <w:szCs w:val="19"/>
                                    </w:rPr>
                                    <w:t>Short</w:t>
                                  </w:r>
                                  <w:r>
                                    <w:rPr>
                                      <w:rFonts w:ascii="Arial" w:hAnsi="Arial" w:cs="Arial"/>
                                      <w:spacing w:val="-9"/>
                                      <w:w w:val="105"/>
                                      <w:sz w:val="19"/>
                                      <w:szCs w:val="19"/>
                                    </w:rPr>
                                    <w:t xml:space="preserve"> </w:t>
                                  </w:r>
                                  <w:r>
                                    <w:rPr>
                                      <w:rFonts w:ascii="Arial" w:hAnsi="Arial" w:cs="Arial"/>
                                      <w:w w:val="105"/>
                                      <w:sz w:val="19"/>
                                      <w:szCs w:val="19"/>
                                    </w:rPr>
                                    <w:t>Term</w:t>
                                  </w:r>
                                  <w:r>
                                    <w:rPr>
                                      <w:rFonts w:ascii="Arial" w:hAnsi="Arial" w:cs="Arial"/>
                                      <w:spacing w:val="8"/>
                                      <w:w w:val="105"/>
                                      <w:sz w:val="19"/>
                                      <w:szCs w:val="19"/>
                                    </w:rPr>
                                    <w:t xml:space="preserve"> </w:t>
                                  </w:r>
                                  <w:r>
                                    <w:rPr>
                                      <w:rFonts w:ascii="Arial" w:hAnsi="Arial" w:cs="Arial"/>
                                      <w:w w:val="105"/>
                                      <w:sz w:val="19"/>
                                      <w:szCs w:val="19"/>
                                    </w:rPr>
                                    <w:t>Debt</w:t>
                                  </w:r>
                                </w:p>
                              </w:tc>
                              <w:tc>
                                <w:tcPr>
                                  <w:tcW w:w="1576" w:type="dxa"/>
                                  <w:tcBorders>
                                    <w:top w:val="nil"/>
                                    <w:left w:val="nil"/>
                                    <w:bottom w:val="nil"/>
                                    <w:right w:val="nil"/>
                                  </w:tcBorders>
                                </w:tcPr>
                                <w:p w:rsidR="007C59C6" w:rsidRDefault="007C59C6">
                                  <w:pPr>
                                    <w:pStyle w:val="BodyText"/>
                                    <w:kinsoku w:val="0"/>
                                    <w:overflowPunct w:val="0"/>
                                    <w:spacing w:before="17"/>
                                    <w:ind w:left="483"/>
                                  </w:pPr>
                                  <w:r>
                                    <w:rPr>
                                      <w:sz w:val="22"/>
                                      <w:szCs w:val="22"/>
                                    </w:rPr>
                                    <w:t>55,041</w:t>
                                  </w:r>
                                </w:p>
                              </w:tc>
                              <w:tc>
                                <w:tcPr>
                                  <w:tcW w:w="1016" w:type="dxa"/>
                                  <w:tcBorders>
                                    <w:top w:val="nil"/>
                                    <w:left w:val="nil"/>
                                    <w:bottom w:val="nil"/>
                                    <w:right w:val="nil"/>
                                  </w:tcBorders>
                                </w:tcPr>
                                <w:p w:rsidR="007C59C6" w:rsidRDefault="007C59C6">
                                  <w:pPr>
                                    <w:pStyle w:val="BodyText"/>
                                    <w:kinsoku w:val="0"/>
                                    <w:overflowPunct w:val="0"/>
                                    <w:spacing w:before="13"/>
                                    <w:ind w:left="309"/>
                                  </w:pPr>
                                  <w:r>
                                    <w:rPr>
                                      <w:w w:val="115"/>
                                      <w:sz w:val="22"/>
                                      <w:szCs w:val="22"/>
                                    </w:rPr>
                                    <w:t>6</w:t>
                                  </w:r>
                                  <w:r>
                                    <w:rPr>
                                      <w:spacing w:val="1"/>
                                      <w:w w:val="115"/>
                                      <w:sz w:val="22"/>
                                      <w:szCs w:val="22"/>
                                    </w:rPr>
                                    <w:t>.</w:t>
                                  </w:r>
                                  <w:r>
                                    <w:rPr>
                                      <w:spacing w:val="-46"/>
                                      <w:w w:val="115"/>
                                      <w:sz w:val="22"/>
                                      <w:szCs w:val="22"/>
                                    </w:rPr>
                                    <w:t>1</w:t>
                                  </w:r>
                                  <w:r>
                                    <w:rPr>
                                      <w:w w:val="115"/>
                                      <w:sz w:val="22"/>
                                      <w:szCs w:val="22"/>
                                    </w:rPr>
                                    <w:t>6</w:t>
                                  </w:r>
                                </w:p>
                              </w:tc>
                              <w:tc>
                                <w:tcPr>
                                  <w:tcW w:w="1065" w:type="dxa"/>
                                  <w:tcBorders>
                                    <w:top w:val="nil"/>
                                    <w:left w:val="nil"/>
                                    <w:bottom w:val="nil"/>
                                    <w:right w:val="nil"/>
                                  </w:tcBorders>
                                </w:tcPr>
                                <w:p w:rsidR="007C59C6" w:rsidRDefault="007C59C6">
                                  <w:pPr>
                                    <w:pStyle w:val="BodyText"/>
                                    <w:kinsoku w:val="0"/>
                                    <w:overflowPunct w:val="0"/>
                                    <w:spacing w:before="13"/>
                                    <w:ind w:left="334"/>
                                  </w:pPr>
                                  <w:r>
                                    <w:rPr>
                                      <w:spacing w:val="-1"/>
                                      <w:w w:val="105"/>
                                      <w:sz w:val="22"/>
                                      <w:szCs w:val="22"/>
                                    </w:rPr>
                                    <w:t>2.36</w:t>
                                  </w:r>
                                </w:p>
                              </w:tc>
                              <w:tc>
                                <w:tcPr>
                                  <w:tcW w:w="1516" w:type="dxa"/>
                                  <w:tcBorders>
                                    <w:top w:val="nil"/>
                                    <w:left w:val="nil"/>
                                    <w:bottom w:val="nil"/>
                                    <w:right w:val="nil"/>
                                  </w:tcBorders>
                                </w:tcPr>
                                <w:p w:rsidR="007C59C6" w:rsidRDefault="007C59C6">
                                  <w:pPr>
                                    <w:pStyle w:val="BodyText"/>
                                    <w:kinsoku w:val="0"/>
                                    <w:overflowPunct w:val="0"/>
                                    <w:spacing w:before="8"/>
                                    <w:ind w:left="560"/>
                                  </w:pPr>
                                  <w:r>
                                    <w:rPr>
                                      <w:w w:val="120"/>
                                      <w:sz w:val="22"/>
                                      <w:szCs w:val="22"/>
                                    </w:rPr>
                                    <w:t>0.</w:t>
                                  </w:r>
                                  <w:r>
                                    <w:rPr>
                                      <w:spacing w:val="-47"/>
                                      <w:w w:val="120"/>
                                      <w:sz w:val="22"/>
                                      <w:szCs w:val="22"/>
                                    </w:rPr>
                                    <w:t>1</w:t>
                                  </w:r>
                                  <w:r>
                                    <w:rPr>
                                      <w:w w:val="120"/>
                                      <w:sz w:val="22"/>
                                      <w:szCs w:val="22"/>
                                    </w:rPr>
                                    <w:t>5</w:t>
                                  </w:r>
                                </w:p>
                              </w:tc>
                            </w:tr>
                            <w:tr w:rsidR="007C59C6" w:rsidTr="009E3F7B">
                              <w:trPr>
                                <w:trHeight w:hRule="exact" w:val="300"/>
                              </w:trPr>
                              <w:tc>
                                <w:tcPr>
                                  <w:tcW w:w="2291" w:type="dxa"/>
                                  <w:tcBorders>
                                    <w:top w:val="nil"/>
                                    <w:left w:val="nil"/>
                                    <w:bottom w:val="nil"/>
                                    <w:right w:val="nil"/>
                                  </w:tcBorders>
                                </w:tcPr>
                                <w:p w:rsidR="007C59C6" w:rsidRDefault="007C59C6">
                                  <w:pPr>
                                    <w:pStyle w:val="BodyText"/>
                                    <w:kinsoku w:val="0"/>
                                    <w:overflowPunct w:val="0"/>
                                    <w:spacing w:before="42"/>
                                    <w:ind w:left="124"/>
                                  </w:pPr>
                                  <w:r>
                                    <w:rPr>
                                      <w:rFonts w:ascii="Arial" w:hAnsi="Arial" w:cs="Arial"/>
                                      <w:spacing w:val="-2"/>
                                      <w:w w:val="105"/>
                                      <w:sz w:val="19"/>
                                      <w:szCs w:val="19"/>
                                    </w:rPr>
                                    <w:t>Resi</w:t>
                                  </w:r>
                                  <w:r>
                                    <w:rPr>
                                      <w:rFonts w:ascii="Arial" w:hAnsi="Arial" w:cs="Arial"/>
                                      <w:spacing w:val="-1"/>
                                      <w:w w:val="105"/>
                                      <w:sz w:val="19"/>
                                      <w:szCs w:val="19"/>
                                    </w:rPr>
                                    <w:t>dential</w:t>
                                  </w:r>
                                  <w:r>
                                    <w:rPr>
                                      <w:rFonts w:ascii="Arial" w:hAnsi="Arial" w:cs="Arial"/>
                                      <w:spacing w:val="11"/>
                                      <w:w w:val="105"/>
                                      <w:sz w:val="19"/>
                                      <w:szCs w:val="19"/>
                                    </w:rPr>
                                    <w:t xml:space="preserve"> </w:t>
                                  </w:r>
                                  <w:r>
                                    <w:rPr>
                                      <w:rFonts w:ascii="Arial" w:hAnsi="Arial" w:cs="Arial"/>
                                      <w:spacing w:val="-2"/>
                                      <w:w w:val="105"/>
                                      <w:sz w:val="19"/>
                                      <w:szCs w:val="19"/>
                                    </w:rPr>
                                    <w:t>Deposits</w:t>
                                  </w:r>
                                </w:p>
                              </w:tc>
                              <w:tc>
                                <w:tcPr>
                                  <w:tcW w:w="1576" w:type="dxa"/>
                                  <w:tcBorders>
                                    <w:top w:val="nil"/>
                                    <w:left w:val="nil"/>
                                    <w:bottom w:val="nil"/>
                                    <w:right w:val="nil"/>
                                  </w:tcBorders>
                                </w:tcPr>
                                <w:p w:rsidR="007C59C6" w:rsidRDefault="007C59C6">
                                  <w:pPr>
                                    <w:pStyle w:val="BodyText"/>
                                    <w:kinsoku w:val="0"/>
                                    <w:overflowPunct w:val="0"/>
                                    <w:spacing w:before="15"/>
                                    <w:ind w:left="1"/>
                                    <w:jc w:val="center"/>
                                  </w:pPr>
                                  <w:r>
                                    <w:rPr>
                                      <w:sz w:val="22"/>
                                      <w:szCs w:val="22"/>
                                    </w:rPr>
                                    <w:t>6,555</w:t>
                                  </w:r>
                                </w:p>
                              </w:tc>
                              <w:tc>
                                <w:tcPr>
                                  <w:tcW w:w="1016" w:type="dxa"/>
                                  <w:tcBorders>
                                    <w:top w:val="nil"/>
                                    <w:left w:val="nil"/>
                                    <w:bottom w:val="nil"/>
                                    <w:right w:val="nil"/>
                                  </w:tcBorders>
                                </w:tcPr>
                                <w:p w:rsidR="007C59C6" w:rsidRDefault="007C59C6">
                                  <w:pPr>
                                    <w:pStyle w:val="BodyText"/>
                                    <w:kinsoku w:val="0"/>
                                    <w:overflowPunct w:val="0"/>
                                    <w:spacing w:before="10"/>
                                    <w:ind w:left="299"/>
                                  </w:pPr>
                                  <w:r>
                                    <w:rPr>
                                      <w:spacing w:val="-3"/>
                                      <w:w w:val="110"/>
                                      <w:sz w:val="22"/>
                                      <w:szCs w:val="22"/>
                                    </w:rPr>
                                    <w:t>0.</w:t>
                                  </w:r>
                                  <w:r>
                                    <w:rPr>
                                      <w:spacing w:val="-4"/>
                                      <w:w w:val="110"/>
                                      <w:sz w:val="22"/>
                                      <w:szCs w:val="22"/>
                                    </w:rPr>
                                    <w:t>73</w:t>
                                  </w:r>
                                </w:p>
                              </w:tc>
                              <w:tc>
                                <w:tcPr>
                                  <w:tcW w:w="1065" w:type="dxa"/>
                                  <w:tcBorders>
                                    <w:top w:val="nil"/>
                                    <w:left w:val="nil"/>
                                    <w:bottom w:val="nil"/>
                                    <w:right w:val="nil"/>
                                  </w:tcBorders>
                                </w:tcPr>
                                <w:p w:rsidR="007C59C6" w:rsidRDefault="007C59C6">
                                  <w:pPr>
                                    <w:pStyle w:val="BodyText"/>
                                    <w:kinsoku w:val="0"/>
                                    <w:overflowPunct w:val="0"/>
                                    <w:spacing w:before="10"/>
                                    <w:ind w:left="334"/>
                                  </w:pPr>
                                  <w:r>
                                    <w:rPr>
                                      <w:spacing w:val="-3"/>
                                      <w:w w:val="105"/>
                                      <w:sz w:val="22"/>
                                      <w:szCs w:val="22"/>
                                    </w:rPr>
                                    <w:t>2.00</w:t>
                                  </w:r>
                                </w:p>
                              </w:tc>
                              <w:tc>
                                <w:tcPr>
                                  <w:tcW w:w="1516" w:type="dxa"/>
                                  <w:tcBorders>
                                    <w:top w:val="nil"/>
                                    <w:left w:val="nil"/>
                                    <w:bottom w:val="nil"/>
                                    <w:right w:val="nil"/>
                                  </w:tcBorders>
                                </w:tcPr>
                                <w:p w:rsidR="007C59C6" w:rsidRDefault="007C59C6">
                                  <w:pPr>
                                    <w:pStyle w:val="BodyText"/>
                                    <w:kinsoku w:val="0"/>
                                    <w:overflowPunct w:val="0"/>
                                    <w:spacing w:before="10"/>
                                    <w:ind w:left="19"/>
                                    <w:jc w:val="center"/>
                                  </w:pPr>
                                  <w:r>
                                    <w:rPr>
                                      <w:spacing w:val="-4"/>
                                      <w:w w:val="110"/>
                                      <w:sz w:val="22"/>
                                      <w:szCs w:val="22"/>
                                    </w:rPr>
                                    <w:t>0.01</w:t>
                                  </w:r>
                                </w:p>
                              </w:tc>
                            </w:tr>
                            <w:tr w:rsidR="007C59C6" w:rsidTr="009E3F7B">
                              <w:trPr>
                                <w:trHeight w:hRule="exact" w:val="298"/>
                              </w:trPr>
                              <w:tc>
                                <w:tcPr>
                                  <w:tcW w:w="2291" w:type="dxa"/>
                                  <w:tcBorders>
                                    <w:top w:val="nil"/>
                                    <w:left w:val="nil"/>
                                    <w:bottom w:val="nil"/>
                                    <w:right w:val="nil"/>
                                  </w:tcBorders>
                                </w:tcPr>
                                <w:p w:rsidR="007C59C6" w:rsidRDefault="007C59C6">
                                  <w:pPr>
                                    <w:pStyle w:val="BodyText"/>
                                    <w:kinsoku w:val="0"/>
                                    <w:overflowPunct w:val="0"/>
                                    <w:spacing w:before="40"/>
                                    <w:ind w:left="120"/>
                                  </w:pPr>
                                  <w:r>
                                    <w:rPr>
                                      <w:rFonts w:ascii="Arial" w:hAnsi="Arial" w:cs="Arial"/>
                                      <w:w w:val="105"/>
                                      <w:sz w:val="19"/>
                                      <w:szCs w:val="19"/>
                                    </w:rPr>
                                    <w:t>Commercial</w:t>
                                  </w:r>
                                  <w:r>
                                    <w:rPr>
                                      <w:rFonts w:ascii="Arial" w:hAnsi="Arial" w:cs="Arial"/>
                                      <w:spacing w:val="-15"/>
                                      <w:w w:val="105"/>
                                      <w:sz w:val="19"/>
                                      <w:szCs w:val="19"/>
                                    </w:rPr>
                                    <w:t xml:space="preserve"> </w:t>
                                  </w:r>
                                  <w:r>
                                    <w:rPr>
                                      <w:rFonts w:ascii="Arial" w:hAnsi="Arial" w:cs="Arial"/>
                                      <w:w w:val="105"/>
                                      <w:sz w:val="19"/>
                                      <w:szCs w:val="19"/>
                                    </w:rPr>
                                    <w:t>Deposits</w:t>
                                  </w:r>
                                </w:p>
                              </w:tc>
                              <w:tc>
                                <w:tcPr>
                                  <w:tcW w:w="1576" w:type="dxa"/>
                                  <w:tcBorders>
                                    <w:top w:val="nil"/>
                                    <w:left w:val="nil"/>
                                    <w:bottom w:val="nil"/>
                                    <w:right w:val="nil"/>
                                  </w:tcBorders>
                                </w:tcPr>
                                <w:p w:rsidR="007C59C6" w:rsidRDefault="007C59C6">
                                  <w:pPr>
                                    <w:pStyle w:val="BodyText"/>
                                    <w:kinsoku w:val="0"/>
                                    <w:overflowPunct w:val="0"/>
                                    <w:spacing w:before="13"/>
                                    <w:ind w:left="493"/>
                                  </w:pPr>
                                  <w:r>
                                    <w:rPr>
                                      <w:spacing w:val="-49"/>
                                      <w:w w:val="115"/>
                                      <w:sz w:val="22"/>
                                      <w:szCs w:val="22"/>
                                    </w:rPr>
                                    <w:t>1</w:t>
                                  </w:r>
                                  <w:r>
                                    <w:rPr>
                                      <w:w w:val="115"/>
                                      <w:sz w:val="22"/>
                                      <w:szCs w:val="22"/>
                                    </w:rPr>
                                    <w:t>8</w:t>
                                  </w:r>
                                  <w:r>
                                    <w:rPr>
                                      <w:spacing w:val="-5"/>
                                      <w:w w:val="115"/>
                                      <w:sz w:val="22"/>
                                      <w:szCs w:val="22"/>
                                    </w:rPr>
                                    <w:t>,</w:t>
                                  </w:r>
                                  <w:r>
                                    <w:rPr>
                                      <w:spacing w:val="-46"/>
                                      <w:w w:val="115"/>
                                      <w:sz w:val="22"/>
                                      <w:szCs w:val="22"/>
                                    </w:rPr>
                                    <w:t>1</w:t>
                                  </w:r>
                                  <w:r>
                                    <w:rPr>
                                      <w:w w:val="115"/>
                                      <w:sz w:val="22"/>
                                      <w:szCs w:val="22"/>
                                    </w:rPr>
                                    <w:t>50</w:t>
                                  </w:r>
                                </w:p>
                              </w:tc>
                              <w:tc>
                                <w:tcPr>
                                  <w:tcW w:w="1016" w:type="dxa"/>
                                  <w:tcBorders>
                                    <w:top w:val="nil"/>
                                    <w:left w:val="nil"/>
                                    <w:bottom w:val="nil"/>
                                    <w:right w:val="nil"/>
                                  </w:tcBorders>
                                </w:tcPr>
                                <w:p w:rsidR="007C59C6" w:rsidRDefault="007C59C6">
                                  <w:pPr>
                                    <w:pStyle w:val="BodyText"/>
                                    <w:kinsoku w:val="0"/>
                                    <w:overflowPunct w:val="0"/>
                                    <w:spacing w:before="8"/>
                                    <w:ind w:left="309"/>
                                  </w:pPr>
                                  <w:r>
                                    <w:rPr>
                                      <w:sz w:val="22"/>
                                      <w:szCs w:val="22"/>
                                    </w:rPr>
                                    <w:t>2.03</w:t>
                                  </w:r>
                                </w:p>
                              </w:tc>
                              <w:tc>
                                <w:tcPr>
                                  <w:tcW w:w="1065" w:type="dxa"/>
                                  <w:tcBorders>
                                    <w:top w:val="nil"/>
                                    <w:left w:val="nil"/>
                                    <w:bottom w:val="nil"/>
                                    <w:right w:val="nil"/>
                                  </w:tcBorders>
                                </w:tcPr>
                                <w:p w:rsidR="007C59C6" w:rsidRDefault="007C59C6">
                                  <w:pPr>
                                    <w:pStyle w:val="BodyText"/>
                                    <w:kinsoku w:val="0"/>
                                    <w:overflowPunct w:val="0"/>
                                    <w:spacing w:before="8"/>
                                    <w:ind w:left="334"/>
                                  </w:pPr>
                                  <w:r>
                                    <w:rPr>
                                      <w:spacing w:val="-4"/>
                                      <w:w w:val="105"/>
                                      <w:sz w:val="22"/>
                                      <w:szCs w:val="22"/>
                                    </w:rPr>
                                    <w:t>3.00</w:t>
                                  </w:r>
                                </w:p>
                              </w:tc>
                              <w:tc>
                                <w:tcPr>
                                  <w:tcW w:w="1516" w:type="dxa"/>
                                  <w:tcBorders>
                                    <w:top w:val="nil"/>
                                    <w:left w:val="nil"/>
                                    <w:bottom w:val="nil"/>
                                    <w:right w:val="nil"/>
                                  </w:tcBorders>
                                </w:tcPr>
                                <w:p w:rsidR="007C59C6" w:rsidRDefault="007C59C6">
                                  <w:pPr>
                                    <w:pStyle w:val="BodyText"/>
                                    <w:kinsoku w:val="0"/>
                                    <w:overflowPunct w:val="0"/>
                                    <w:spacing w:before="8"/>
                                    <w:ind w:left="8"/>
                                    <w:jc w:val="center"/>
                                  </w:pPr>
                                  <w:r>
                                    <w:rPr>
                                      <w:spacing w:val="-4"/>
                                      <w:w w:val="110"/>
                                      <w:sz w:val="22"/>
                                      <w:szCs w:val="22"/>
                                    </w:rPr>
                                    <w:t>0.</w:t>
                                  </w:r>
                                  <w:r>
                                    <w:rPr>
                                      <w:spacing w:val="-5"/>
                                      <w:w w:val="110"/>
                                      <w:sz w:val="22"/>
                                      <w:szCs w:val="22"/>
                                    </w:rPr>
                                    <w:t>06</w:t>
                                  </w:r>
                                </w:p>
                              </w:tc>
                            </w:tr>
                            <w:tr w:rsidR="007C59C6" w:rsidTr="009E3F7B">
                              <w:trPr>
                                <w:trHeight w:hRule="exact" w:val="300"/>
                              </w:trPr>
                              <w:tc>
                                <w:tcPr>
                                  <w:tcW w:w="2291" w:type="dxa"/>
                                  <w:tcBorders>
                                    <w:top w:val="nil"/>
                                    <w:left w:val="nil"/>
                                    <w:bottom w:val="nil"/>
                                    <w:right w:val="nil"/>
                                  </w:tcBorders>
                                </w:tcPr>
                                <w:p w:rsidR="007C59C6" w:rsidRDefault="007C59C6">
                                  <w:pPr>
                                    <w:pStyle w:val="BodyText"/>
                                    <w:kinsoku w:val="0"/>
                                    <w:overflowPunct w:val="0"/>
                                    <w:spacing w:before="40"/>
                                    <w:ind w:left="124"/>
                                  </w:pPr>
                                  <w:r>
                                    <w:rPr>
                                      <w:rFonts w:ascii="Arial" w:hAnsi="Arial" w:cs="Arial"/>
                                      <w:spacing w:val="-23"/>
                                      <w:w w:val="105"/>
                                      <w:sz w:val="19"/>
                                      <w:szCs w:val="19"/>
                                    </w:rPr>
                                    <w:t>I</w:t>
                                  </w:r>
                                  <w:r>
                                    <w:rPr>
                                      <w:rFonts w:ascii="Arial" w:hAnsi="Arial" w:cs="Arial"/>
                                      <w:w w:val="105"/>
                                      <w:sz w:val="19"/>
                                      <w:szCs w:val="19"/>
                                    </w:rPr>
                                    <w:t>nact</w:t>
                                  </w:r>
                                  <w:r>
                                    <w:rPr>
                                      <w:rFonts w:ascii="Arial" w:hAnsi="Arial" w:cs="Arial"/>
                                      <w:spacing w:val="-6"/>
                                      <w:w w:val="105"/>
                                      <w:sz w:val="19"/>
                                      <w:szCs w:val="19"/>
                                    </w:rPr>
                                    <w:t>i</w:t>
                                  </w:r>
                                  <w:r>
                                    <w:rPr>
                                      <w:rFonts w:ascii="Arial" w:hAnsi="Arial" w:cs="Arial"/>
                                      <w:w w:val="105"/>
                                      <w:sz w:val="19"/>
                                      <w:szCs w:val="19"/>
                                    </w:rPr>
                                    <w:t>ve</w:t>
                                  </w:r>
                                  <w:r>
                                    <w:rPr>
                                      <w:rFonts w:ascii="Arial" w:hAnsi="Arial" w:cs="Arial"/>
                                      <w:spacing w:val="27"/>
                                      <w:w w:val="105"/>
                                      <w:sz w:val="19"/>
                                      <w:szCs w:val="19"/>
                                    </w:rPr>
                                    <w:t xml:space="preserve"> </w:t>
                                  </w:r>
                                  <w:r>
                                    <w:rPr>
                                      <w:rFonts w:ascii="Arial" w:hAnsi="Arial" w:cs="Arial"/>
                                      <w:w w:val="105"/>
                                      <w:sz w:val="19"/>
                                      <w:szCs w:val="19"/>
                                    </w:rPr>
                                    <w:t>Depos</w:t>
                                  </w:r>
                                  <w:r>
                                    <w:rPr>
                                      <w:rFonts w:ascii="Arial" w:hAnsi="Arial" w:cs="Arial"/>
                                      <w:spacing w:val="-6"/>
                                      <w:w w:val="105"/>
                                      <w:sz w:val="19"/>
                                      <w:szCs w:val="19"/>
                                    </w:rPr>
                                    <w:t>i</w:t>
                                  </w:r>
                                  <w:r>
                                    <w:rPr>
                                      <w:rFonts w:ascii="Arial" w:hAnsi="Arial" w:cs="Arial"/>
                                      <w:w w:val="105"/>
                                      <w:sz w:val="19"/>
                                      <w:szCs w:val="19"/>
                                    </w:rPr>
                                    <w:t>ts</w:t>
                                  </w:r>
                                </w:p>
                              </w:tc>
                              <w:tc>
                                <w:tcPr>
                                  <w:tcW w:w="1576" w:type="dxa"/>
                                  <w:tcBorders>
                                    <w:top w:val="nil"/>
                                    <w:left w:val="nil"/>
                                    <w:bottom w:val="nil"/>
                                    <w:right w:val="nil"/>
                                  </w:tcBorders>
                                </w:tcPr>
                                <w:p w:rsidR="007C59C6" w:rsidRDefault="007C59C6">
                                  <w:pPr>
                                    <w:pStyle w:val="BodyText"/>
                                    <w:kinsoku w:val="0"/>
                                    <w:overflowPunct w:val="0"/>
                                    <w:spacing w:before="17"/>
                                    <w:ind w:left="2"/>
                                    <w:jc w:val="center"/>
                                  </w:pPr>
                                  <w:r>
                                    <w:rPr>
                                      <w:sz w:val="22"/>
                                      <w:szCs w:val="22"/>
                                    </w:rPr>
                                    <w:t>375</w:t>
                                  </w:r>
                                </w:p>
                              </w:tc>
                              <w:tc>
                                <w:tcPr>
                                  <w:tcW w:w="1016" w:type="dxa"/>
                                  <w:tcBorders>
                                    <w:top w:val="nil"/>
                                    <w:left w:val="nil"/>
                                    <w:bottom w:val="nil"/>
                                    <w:right w:val="nil"/>
                                  </w:tcBorders>
                                </w:tcPr>
                                <w:p w:rsidR="007C59C6" w:rsidRDefault="007C59C6">
                                  <w:pPr>
                                    <w:pStyle w:val="BodyText"/>
                                    <w:kinsoku w:val="0"/>
                                    <w:overflowPunct w:val="0"/>
                                    <w:spacing w:before="8"/>
                                    <w:ind w:left="299"/>
                                  </w:pPr>
                                  <w:r>
                                    <w:rPr>
                                      <w:w w:val="105"/>
                                      <w:sz w:val="22"/>
                                      <w:szCs w:val="22"/>
                                    </w:rPr>
                                    <w:t>0.04</w:t>
                                  </w:r>
                                </w:p>
                              </w:tc>
                              <w:tc>
                                <w:tcPr>
                                  <w:tcW w:w="1065" w:type="dxa"/>
                                  <w:tcBorders>
                                    <w:top w:val="nil"/>
                                    <w:left w:val="nil"/>
                                    <w:bottom w:val="nil"/>
                                    <w:right w:val="nil"/>
                                  </w:tcBorders>
                                </w:tcPr>
                                <w:p w:rsidR="007C59C6" w:rsidRDefault="007C59C6"/>
                              </w:tc>
                              <w:tc>
                                <w:tcPr>
                                  <w:tcW w:w="1516" w:type="dxa"/>
                                  <w:tcBorders>
                                    <w:top w:val="nil"/>
                                    <w:left w:val="nil"/>
                                    <w:bottom w:val="nil"/>
                                    <w:right w:val="nil"/>
                                  </w:tcBorders>
                                </w:tcPr>
                                <w:p w:rsidR="007C59C6" w:rsidRDefault="007C59C6"/>
                              </w:tc>
                            </w:tr>
                            <w:tr w:rsidR="007C59C6" w:rsidTr="009E3F7B">
                              <w:trPr>
                                <w:trHeight w:hRule="exact" w:val="298"/>
                              </w:trPr>
                              <w:tc>
                                <w:tcPr>
                                  <w:tcW w:w="2291" w:type="dxa"/>
                                  <w:tcBorders>
                                    <w:top w:val="nil"/>
                                    <w:left w:val="nil"/>
                                    <w:bottom w:val="nil"/>
                                    <w:right w:val="nil"/>
                                  </w:tcBorders>
                                </w:tcPr>
                                <w:p w:rsidR="007C59C6" w:rsidRDefault="007C59C6">
                                  <w:pPr>
                                    <w:pStyle w:val="BodyText"/>
                                    <w:kinsoku w:val="0"/>
                                    <w:overflowPunct w:val="0"/>
                                    <w:spacing w:before="37"/>
                                    <w:ind w:left="120"/>
                                  </w:pPr>
                                  <w:r>
                                    <w:rPr>
                                      <w:rFonts w:ascii="Arial" w:hAnsi="Arial" w:cs="Arial"/>
                                      <w:w w:val="105"/>
                                      <w:sz w:val="19"/>
                                      <w:szCs w:val="19"/>
                                    </w:rPr>
                                    <w:t>Common</w:t>
                                  </w:r>
                                  <w:r>
                                    <w:rPr>
                                      <w:rFonts w:ascii="Arial" w:hAnsi="Arial" w:cs="Arial"/>
                                      <w:spacing w:val="20"/>
                                      <w:w w:val="105"/>
                                      <w:sz w:val="19"/>
                                      <w:szCs w:val="19"/>
                                    </w:rPr>
                                    <w:t xml:space="preserve"> </w:t>
                                  </w:r>
                                  <w:r>
                                    <w:rPr>
                                      <w:rFonts w:ascii="Arial" w:hAnsi="Arial" w:cs="Arial"/>
                                      <w:spacing w:val="-4"/>
                                      <w:w w:val="105"/>
                                      <w:sz w:val="19"/>
                                      <w:szCs w:val="19"/>
                                    </w:rPr>
                                    <w:t>Equi</w:t>
                                  </w:r>
                                  <w:r>
                                    <w:rPr>
                                      <w:rFonts w:ascii="Arial" w:hAnsi="Arial" w:cs="Arial"/>
                                      <w:spacing w:val="-3"/>
                                      <w:w w:val="105"/>
                                      <w:sz w:val="19"/>
                                      <w:szCs w:val="19"/>
                                    </w:rPr>
                                    <w:t>ty</w:t>
                                  </w:r>
                                </w:p>
                              </w:tc>
                              <w:tc>
                                <w:tcPr>
                                  <w:tcW w:w="1576" w:type="dxa"/>
                                  <w:tcBorders>
                                    <w:top w:val="nil"/>
                                    <w:left w:val="nil"/>
                                    <w:bottom w:val="nil"/>
                                    <w:right w:val="nil"/>
                                  </w:tcBorders>
                                </w:tcPr>
                                <w:p w:rsidR="007C59C6" w:rsidRDefault="007C59C6">
                                  <w:pPr>
                                    <w:pStyle w:val="BodyText"/>
                                    <w:kinsoku w:val="0"/>
                                    <w:overflowPunct w:val="0"/>
                                    <w:spacing w:before="10"/>
                                    <w:ind w:left="425"/>
                                  </w:pPr>
                                  <w:r>
                                    <w:rPr>
                                      <w:spacing w:val="-4"/>
                                      <w:w w:val="105"/>
                                      <w:sz w:val="22"/>
                                      <w:szCs w:val="22"/>
                                    </w:rPr>
                                    <w:t>371</w:t>
                                  </w:r>
                                  <w:r>
                                    <w:rPr>
                                      <w:spacing w:val="-5"/>
                                      <w:w w:val="105"/>
                                      <w:sz w:val="22"/>
                                      <w:szCs w:val="22"/>
                                    </w:rPr>
                                    <w:t>,490</w:t>
                                  </w:r>
                                </w:p>
                              </w:tc>
                              <w:tc>
                                <w:tcPr>
                                  <w:tcW w:w="1016" w:type="dxa"/>
                                  <w:tcBorders>
                                    <w:top w:val="nil"/>
                                    <w:left w:val="nil"/>
                                    <w:bottom w:val="nil"/>
                                    <w:right w:val="nil"/>
                                  </w:tcBorders>
                                </w:tcPr>
                                <w:p w:rsidR="007C59C6" w:rsidRDefault="007C59C6">
                                  <w:pPr>
                                    <w:pStyle w:val="BodyText"/>
                                    <w:kinsoku w:val="0"/>
                                    <w:overflowPunct w:val="0"/>
                                    <w:spacing w:before="5"/>
                                    <w:ind w:left="246"/>
                                  </w:pPr>
                                  <w:r>
                                    <w:rPr>
                                      <w:sz w:val="22"/>
                                      <w:szCs w:val="22"/>
                                    </w:rPr>
                                    <w:t>41.58</w:t>
                                  </w:r>
                                </w:p>
                              </w:tc>
                              <w:tc>
                                <w:tcPr>
                                  <w:tcW w:w="1065" w:type="dxa"/>
                                  <w:tcBorders>
                                    <w:top w:val="nil"/>
                                    <w:left w:val="nil"/>
                                    <w:bottom w:val="nil"/>
                                    <w:right w:val="nil"/>
                                  </w:tcBorders>
                                </w:tcPr>
                                <w:p w:rsidR="007C59C6" w:rsidRDefault="007C59C6">
                                  <w:pPr>
                                    <w:pStyle w:val="BodyText"/>
                                    <w:kinsoku w:val="0"/>
                                    <w:overflowPunct w:val="0"/>
                                    <w:spacing w:before="5"/>
                                    <w:ind w:left="291"/>
                                  </w:pPr>
                                  <w:r>
                                    <w:rPr>
                                      <w:spacing w:val="-50"/>
                                      <w:w w:val="110"/>
                                      <w:sz w:val="22"/>
                                      <w:szCs w:val="22"/>
                                    </w:rPr>
                                    <w:t>1</w:t>
                                  </w:r>
                                  <w:r>
                                    <w:rPr>
                                      <w:w w:val="110"/>
                                      <w:sz w:val="22"/>
                                      <w:szCs w:val="22"/>
                                    </w:rPr>
                                    <w:t>0</w:t>
                                  </w:r>
                                  <w:r>
                                    <w:rPr>
                                      <w:spacing w:val="-9"/>
                                      <w:w w:val="110"/>
                                      <w:sz w:val="22"/>
                                      <w:szCs w:val="22"/>
                                    </w:rPr>
                                    <w:t>.</w:t>
                                  </w:r>
                                  <w:r>
                                    <w:rPr>
                                      <w:w w:val="110"/>
                                      <w:sz w:val="22"/>
                                      <w:szCs w:val="22"/>
                                    </w:rPr>
                                    <w:t>75</w:t>
                                  </w:r>
                                </w:p>
                              </w:tc>
                              <w:tc>
                                <w:tcPr>
                                  <w:tcW w:w="1516" w:type="dxa"/>
                                  <w:tcBorders>
                                    <w:top w:val="nil"/>
                                    <w:left w:val="nil"/>
                                    <w:bottom w:val="nil"/>
                                    <w:right w:val="nil"/>
                                  </w:tcBorders>
                                </w:tcPr>
                                <w:p w:rsidR="007C59C6" w:rsidRDefault="007C59C6">
                                  <w:pPr>
                                    <w:pStyle w:val="BodyText"/>
                                    <w:kinsoku w:val="0"/>
                                    <w:overflowPunct w:val="0"/>
                                    <w:spacing w:before="5"/>
                                    <w:ind w:right="3"/>
                                    <w:jc w:val="center"/>
                                  </w:pPr>
                                  <w:r>
                                    <w:rPr>
                                      <w:sz w:val="22"/>
                                      <w:szCs w:val="22"/>
                                    </w:rPr>
                                    <w:t>4.47</w:t>
                                  </w:r>
                                </w:p>
                              </w:tc>
                            </w:tr>
                            <w:tr w:rsidR="007C59C6" w:rsidTr="009E3F7B">
                              <w:trPr>
                                <w:trHeight w:hRule="exact" w:val="285"/>
                              </w:trPr>
                              <w:tc>
                                <w:tcPr>
                                  <w:tcW w:w="2291" w:type="dxa"/>
                                  <w:tcBorders>
                                    <w:top w:val="nil"/>
                                    <w:left w:val="nil"/>
                                    <w:bottom w:val="single" w:sz="9" w:space="0" w:color="000000"/>
                                    <w:right w:val="nil"/>
                                  </w:tcBorders>
                                </w:tcPr>
                                <w:p w:rsidR="007C59C6" w:rsidRDefault="007C59C6">
                                  <w:pPr>
                                    <w:pStyle w:val="BodyText"/>
                                    <w:kinsoku w:val="0"/>
                                    <w:overflowPunct w:val="0"/>
                                    <w:spacing w:before="42"/>
                                    <w:ind w:left="129"/>
                                  </w:pPr>
                                  <w:r>
                                    <w:rPr>
                                      <w:rFonts w:ascii="Arial" w:hAnsi="Arial" w:cs="Arial"/>
                                      <w:w w:val="105"/>
                                      <w:sz w:val="19"/>
                                      <w:szCs w:val="19"/>
                                    </w:rPr>
                                    <w:t>Deferred</w:t>
                                  </w:r>
                                  <w:r>
                                    <w:rPr>
                                      <w:rFonts w:ascii="Arial" w:hAnsi="Arial" w:cs="Arial"/>
                                      <w:spacing w:val="-6"/>
                                      <w:w w:val="105"/>
                                      <w:sz w:val="19"/>
                                      <w:szCs w:val="19"/>
                                    </w:rPr>
                                    <w:t xml:space="preserve"> </w:t>
                                  </w:r>
                                  <w:r>
                                    <w:rPr>
                                      <w:rFonts w:ascii="Arial" w:hAnsi="Arial" w:cs="Arial"/>
                                      <w:spacing w:val="-26"/>
                                      <w:w w:val="105"/>
                                      <w:sz w:val="19"/>
                                      <w:szCs w:val="19"/>
                                    </w:rPr>
                                    <w:t>I</w:t>
                                  </w:r>
                                  <w:r>
                                    <w:rPr>
                                      <w:rFonts w:ascii="Arial" w:hAnsi="Arial" w:cs="Arial"/>
                                      <w:w w:val="105"/>
                                      <w:sz w:val="19"/>
                                      <w:szCs w:val="19"/>
                                    </w:rPr>
                                    <w:t>ncome</w:t>
                                  </w:r>
                                  <w:r>
                                    <w:rPr>
                                      <w:rFonts w:ascii="Arial" w:hAnsi="Arial" w:cs="Arial"/>
                                      <w:spacing w:val="-15"/>
                                      <w:w w:val="105"/>
                                      <w:sz w:val="19"/>
                                      <w:szCs w:val="19"/>
                                    </w:rPr>
                                    <w:t xml:space="preserve"> </w:t>
                                  </w:r>
                                  <w:r>
                                    <w:rPr>
                                      <w:rFonts w:ascii="Arial" w:hAnsi="Arial" w:cs="Arial"/>
                                      <w:w w:val="105"/>
                                      <w:sz w:val="19"/>
                                      <w:szCs w:val="19"/>
                                    </w:rPr>
                                    <w:t>Taxes</w:t>
                                  </w:r>
                                </w:p>
                              </w:tc>
                              <w:tc>
                                <w:tcPr>
                                  <w:tcW w:w="1576" w:type="dxa"/>
                                  <w:tcBorders>
                                    <w:top w:val="nil"/>
                                    <w:left w:val="nil"/>
                                    <w:bottom w:val="single" w:sz="9" w:space="0" w:color="000000"/>
                                    <w:right w:val="nil"/>
                                  </w:tcBorders>
                                </w:tcPr>
                                <w:p w:rsidR="007C59C6" w:rsidRDefault="007C59C6">
                                  <w:pPr>
                                    <w:pStyle w:val="BodyText"/>
                                    <w:kinsoku w:val="0"/>
                                    <w:overflowPunct w:val="0"/>
                                    <w:spacing w:before="10" w:line="251" w:lineRule="exact"/>
                                    <w:ind w:left="425"/>
                                  </w:pPr>
                                  <w:r>
                                    <w:rPr>
                                      <w:w w:val="105"/>
                                      <w:sz w:val="22"/>
                                      <w:szCs w:val="22"/>
                                    </w:rPr>
                                    <w:t>200,5</w:t>
                                  </w:r>
                                  <w:r>
                                    <w:rPr>
                                      <w:spacing w:val="14"/>
                                      <w:w w:val="105"/>
                                      <w:sz w:val="22"/>
                                      <w:szCs w:val="22"/>
                                    </w:rPr>
                                    <w:t>8</w:t>
                                  </w:r>
                                  <w:r>
                                    <w:rPr>
                                      <w:w w:val="105"/>
                                      <w:sz w:val="22"/>
                                      <w:szCs w:val="22"/>
                                    </w:rPr>
                                    <w:t>1</w:t>
                                  </w:r>
                                </w:p>
                              </w:tc>
                              <w:tc>
                                <w:tcPr>
                                  <w:tcW w:w="1016" w:type="dxa"/>
                                  <w:tcBorders>
                                    <w:top w:val="nil"/>
                                    <w:left w:val="nil"/>
                                    <w:bottom w:val="single" w:sz="9" w:space="0" w:color="000000"/>
                                    <w:right w:val="nil"/>
                                  </w:tcBorders>
                                </w:tcPr>
                                <w:p w:rsidR="007C59C6" w:rsidRDefault="007C59C6">
                                  <w:pPr>
                                    <w:pStyle w:val="BodyText"/>
                                    <w:kinsoku w:val="0"/>
                                    <w:overflowPunct w:val="0"/>
                                    <w:spacing w:before="10" w:line="251" w:lineRule="exact"/>
                                    <w:ind w:left="251"/>
                                  </w:pPr>
                                  <w:r>
                                    <w:rPr>
                                      <w:sz w:val="22"/>
                                      <w:szCs w:val="22"/>
                                    </w:rPr>
                                    <w:t>22.45</w:t>
                                  </w:r>
                                </w:p>
                              </w:tc>
                              <w:tc>
                                <w:tcPr>
                                  <w:tcW w:w="1065" w:type="dxa"/>
                                  <w:tcBorders>
                                    <w:top w:val="nil"/>
                                    <w:left w:val="nil"/>
                                    <w:bottom w:val="single" w:sz="9" w:space="0" w:color="000000"/>
                                    <w:right w:val="nil"/>
                                  </w:tcBorders>
                                </w:tcPr>
                                <w:p w:rsidR="007C59C6" w:rsidRDefault="007C59C6"/>
                              </w:tc>
                              <w:tc>
                                <w:tcPr>
                                  <w:tcW w:w="1516" w:type="dxa"/>
                                  <w:tcBorders>
                                    <w:top w:val="nil"/>
                                    <w:left w:val="nil"/>
                                    <w:bottom w:val="single" w:sz="9" w:space="0" w:color="000000"/>
                                    <w:right w:val="nil"/>
                                  </w:tcBorders>
                                </w:tcPr>
                                <w:p w:rsidR="007C59C6" w:rsidRDefault="007C59C6"/>
                              </w:tc>
                            </w:tr>
                            <w:tr w:rsidR="007C59C6" w:rsidTr="009E3F7B">
                              <w:trPr>
                                <w:trHeight w:hRule="exact" w:val="390"/>
                              </w:trPr>
                              <w:tc>
                                <w:tcPr>
                                  <w:tcW w:w="2291" w:type="dxa"/>
                                  <w:tcBorders>
                                    <w:top w:val="single" w:sz="9" w:space="0" w:color="000000"/>
                                    <w:left w:val="nil"/>
                                    <w:bottom w:val="nil"/>
                                    <w:right w:val="nil"/>
                                  </w:tcBorders>
                                </w:tcPr>
                                <w:p w:rsidR="007C59C6" w:rsidRDefault="007C59C6">
                                  <w:pPr>
                                    <w:pStyle w:val="BodyText"/>
                                    <w:kinsoku w:val="0"/>
                                    <w:overflowPunct w:val="0"/>
                                    <w:spacing w:before="69"/>
                                    <w:ind w:left="8"/>
                                    <w:jc w:val="center"/>
                                  </w:pPr>
                                  <w:r>
                                    <w:rPr>
                                      <w:rFonts w:ascii="Arial" w:hAnsi="Arial" w:cs="Arial"/>
                                      <w:w w:val="105"/>
                                      <w:sz w:val="19"/>
                                      <w:szCs w:val="19"/>
                                    </w:rPr>
                                    <w:t>Total</w:t>
                                  </w:r>
                                </w:p>
                              </w:tc>
                              <w:tc>
                                <w:tcPr>
                                  <w:tcW w:w="1576" w:type="dxa"/>
                                  <w:tcBorders>
                                    <w:top w:val="single" w:sz="9" w:space="0" w:color="000000"/>
                                    <w:left w:val="nil"/>
                                    <w:bottom w:val="nil"/>
                                    <w:right w:val="nil"/>
                                  </w:tcBorders>
                                </w:tcPr>
                                <w:p w:rsidR="007C59C6" w:rsidRDefault="007C59C6">
                                  <w:pPr>
                                    <w:pStyle w:val="BodyText"/>
                                    <w:kinsoku w:val="0"/>
                                    <w:overflowPunct w:val="0"/>
                                    <w:spacing w:before="42"/>
                                    <w:ind w:left="425"/>
                                  </w:pPr>
                                  <w:r>
                                    <w:rPr>
                                      <w:spacing w:val="-3"/>
                                      <w:w w:val="105"/>
                                      <w:sz w:val="22"/>
                                      <w:szCs w:val="22"/>
                                    </w:rPr>
                                    <w:t>893</w:t>
                                  </w:r>
                                  <w:r>
                                    <w:rPr>
                                      <w:spacing w:val="-4"/>
                                      <w:w w:val="105"/>
                                      <w:sz w:val="22"/>
                                      <w:szCs w:val="22"/>
                                    </w:rPr>
                                    <w:t>,429</w:t>
                                  </w:r>
                                </w:p>
                              </w:tc>
                              <w:tc>
                                <w:tcPr>
                                  <w:tcW w:w="1016" w:type="dxa"/>
                                  <w:tcBorders>
                                    <w:top w:val="single" w:sz="9" w:space="0" w:color="000000"/>
                                    <w:left w:val="nil"/>
                                    <w:bottom w:val="nil"/>
                                    <w:right w:val="nil"/>
                                  </w:tcBorders>
                                </w:tcPr>
                                <w:p w:rsidR="007C59C6" w:rsidRDefault="007C59C6">
                                  <w:pPr>
                                    <w:pStyle w:val="BodyText"/>
                                    <w:kinsoku w:val="0"/>
                                    <w:overflowPunct w:val="0"/>
                                    <w:spacing w:before="37"/>
                                    <w:ind w:left="208"/>
                                  </w:pPr>
                                  <w:r>
                                    <w:rPr>
                                      <w:spacing w:val="-50"/>
                                      <w:w w:val="110"/>
                                      <w:sz w:val="22"/>
                                      <w:szCs w:val="22"/>
                                    </w:rPr>
                                    <w:t>1</w:t>
                                  </w:r>
                                  <w:r>
                                    <w:rPr>
                                      <w:w w:val="110"/>
                                      <w:sz w:val="22"/>
                                      <w:szCs w:val="22"/>
                                    </w:rPr>
                                    <w:t>00</w:t>
                                  </w:r>
                                  <w:r>
                                    <w:rPr>
                                      <w:spacing w:val="-12"/>
                                      <w:w w:val="110"/>
                                      <w:sz w:val="22"/>
                                      <w:szCs w:val="22"/>
                                    </w:rPr>
                                    <w:t>.</w:t>
                                  </w:r>
                                  <w:r>
                                    <w:rPr>
                                      <w:w w:val="110"/>
                                      <w:sz w:val="22"/>
                                      <w:szCs w:val="22"/>
                                    </w:rPr>
                                    <w:t>00</w:t>
                                  </w:r>
                                </w:p>
                              </w:tc>
                              <w:tc>
                                <w:tcPr>
                                  <w:tcW w:w="1065" w:type="dxa"/>
                                  <w:tcBorders>
                                    <w:top w:val="single" w:sz="9" w:space="0" w:color="000000"/>
                                    <w:left w:val="nil"/>
                                    <w:bottom w:val="nil"/>
                                    <w:right w:val="nil"/>
                                  </w:tcBorders>
                                </w:tcPr>
                                <w:p w:rsidR="007C59C6" w:rsidRDefault="007C59C6"/>
                              </w:tc>
                              <w:tc>
                                <w:tcPr>
                                  <w:tcW w:w="1516" w:type="dxa"/>
                                  <w:tcBorders>
                                    <w:top w:val="single" w:sz="9" w:space="0" w:color="000000"/>
                                    <w:left w:val="nil"/>
                                    <w:bottom w:val="nil"/>
                                    <w:right w:val="nil"/>
                                  </w:tcBorders>
                                </w:tcPr>
                                <w:p w:rsidR="007C59C6" w:rsidRDefault="007C59C6">
                                  <w:pPr>
                                    <w:pStyle w:val="BodyText"/>
                                    <w:kinsoku w:val="0"/>
                                    <w:overflowPunct w:val="0"/>
                                    <w:spacing w:before="32"/>
                                    <w:ind w:left="18"/>
                                    <w:jc w:val="center"/>
                                  </w:pPr>
                                  <w:r>
                                    <w:rPr>
                                      <w:spacing w:val="-5"/>
                                      <w:w w:val="105"/>
                                      <w:sz w:val="22"/>
                                      <w:szCs w:val="22"/>
                                    </w:rPr>
                                    <w:t>6.</w:t>
                                  </w:r>
                                  <w:r>
                                    <w:rPr>
                                      <w:spacing w:val="-4"/>
                                      <w:w w:val="105"/>
                                      <w:sz w:val="22"/>
                                      <w:szCs w:val="22"/>
                                    </w:rPr>
                                    <w:t>05</w:t>
                                  </w:r>
                                </w:p>
                              </w:tc>
                            </w:tr>
                          </w:tbl>
                          <w:p w:rsidR="007C59C6" w:rsidRDefault="007C59C6" w:rsidP="007C59C6">
                            <w:pPr>
                              <w:pStyle w:val="BodyText"/>
                              <w:kinsoku w:val="0"/>
                              <w:overflowPunct w:val="0"/>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51.5pt;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" filled="f" stroked="f">
                <v:textbox inset="0,0,0,0">
                  <w:txbxContent>
                    <w:tbl>
                      <w:tblPr>
                        <w:tblW w:w="7464" w:type="dxa"/>
                        <w:tblInd w:w="1350" w:type="dxa"/>
                        <w:tblLayout w:type="fixed"/>
                        <w:tblCellMar>
                          <w:left w:w="0" w:type="dxa"/>
                          <w:right w:w="0" w:type="dxa"/>
                        </w:tblCellMar>
                        <w:tblLook w:val="0000" w:firstRow="0" w:lastRow="0" w:firstColumn="0" w:lastColumn="0" w:noHBand="0" w:noVBand="0"/>
                      </w:tblPr>
                      <w:tblGrid>
                        <w:gridCol w:w="2291"/>
                        <w:gridCol w:w="1576"/>
                        <w:gridCol w:w="1016"/>
                        <w:gridCol w:w="1065"/>
                        <w:gridCol w:w="1516"/>
                      </w:tblGrid>
                      <w:tr w:rsidR="007C59C6" w:rsidTr="009E3F7B">
                        <w:trPr>
                          <w:trHeight w:hRule="exact" w:val="633"/>
                        </w:trPr>
                        <w:tc>
                          <w:tcPr>
                            <w:tcW w:w="2291" w:type="dxa"/>
                            <w:tcBorders>
                              <w:top w:val="nil"/>
                              <w:left w:val="nil"/>
                              <w:bottom w:val="nil"/>
                              <w:right w:val="nil"/>
                            </w:tcBorders>
                          </w:tcPr>
                          <w:p w:rsidR="007C59C6" w:rsidRDefault="007C59C6"/>
                        </w:tc>
                        <w:tc>
                          <w:tcPr>
                            <w:tcW w:w="1576" w:type="dxa"/>
                            <w:tcBorders>
                              <w:top w:val="nil"/>
                              <w:left w:val="nil"/>
                              <w:bottom w:val="nil"/>
                              <w:right w:val="nil"/>
                            </w:tcBorders>
                          </w:tcPr>
                          <w:p w:rsidR="007C59C6" w:rsidRDefault="007C59C6">
                            <w:pPr>
                              <w:pStyle w:val="BodyText"/>
                              <w:kinsoku w:val="0"/>
                              <w:overflowPunct w:val="0"/>
                              <w:spacing w:before="80"/>
                              <w:ind w:left="1"/>
                              <w:jc w:val="center"/>
                              <w:rPr>
                                <w:rFonts w:ascii="Arial" w:hAnsi="Arial" w:cs="Arial"/>
                                <w:sz w:val="19"/>
                                <w:szCs w:val="19"/>
                              </w:rPr>
                            </w:pPr>
                            <w:r>
                              <w:rPr>
                                <w:rFonts w:ascii="Arial" w:hAnsi="Arial" w:cs="Arial"/>
                                <w:w w:val="105"/>
                                <w:sz w:val="19"/>
                                <w:szCs w:val="19"/>
                              </w:rPr>
                              <w:t>Adjusted</w:t>
                            </w:r>
                            <w:r>
                              <w:rPr>
                                <w:rFonts w:ascii="Arial" w:hAnsi="Arial" w:cs="Arial"/>
                                <w:spacing w:val="5"/>
                                <w:w w:val="105"/>
                                <w:sz w:val="19"/>
                                <w:szCs w:val="19"/>
                              </w:rPr>
                              <w:t xml:space="preserve"> </w:t>
                            </w:r>
                            <w:r>
                              <w:rPr>
                                <w:rFonts w:ascii="Arial" w:hAnsi="Arial" w:cs="Arial"/>
                                <w:w w:val="105"/>
                                <w:sz w:val="19"/>
                                <w:szCs w:val="19"/>
                              </w:rPr>
                              <w:t>Retail</w:t>
                            </w:r>
                          </w:p>
                          <w:p w:rsidR="007C59C6" w:rsidRDefault="007C59C6">
                            <w:pPr>
                              <w:pStyle w:val="BodyText"/>
                              <w:kinsoku w:val="0"/>
                              <w:overflowPunct w:val="0"/>
                              <w:spacing w:before="47"/>
                              <w:ind w:right="5"/>
                              <w:jc w:val="center"/>
                            </w:pPr>
                            <w:r>
                              <w:rPr>
                                <w:sz w:val="22"/>
                                <w:szCs w:val="22"/>
                              </w:rPr>
                              <w:t>($000)</w:t>
                            </w:r>
                          </w:p>
                        </w:tc>
                        <w:tc>
                          <w:tcPr>
                            <w:tcW w:w="1016" w:type="dxa"/>
                            <w:tcBorders>
                              <w:top w:val="nil"/>
                              <w:left w:val="nil"/>
                              <w:bottom w:val="nil"/>
                              <w:right w:val="nil"/>
                            </w:tcBorders>
                          </w:tcPr>
                          <w:p w:rsidR="007C59C6" w:rsidRDefault="007C59C6">
                            <w:pPr>
                              <w:pStyle w:val="BodyText"/>
                              <w:kinsoku w:val="0"/>
                              <w:overflowPunct w:val="0"/>
                              <w:spacing w:before="75" w:line="321" w:lineRule="auto"/>
                              <w:ind w:left="357" w:right="106" w:hanging="250"/>
                            </w:pPr>
                            <w:r>
                              <w:rPr>
                                <w:rFonts w:ascii="Arial" w:hAnsi="Arial" w:cs="Arial"/>
                                <w:spacing w:val="-2"/>
                                <w:sz w:val="19"/>
                                <w:szCs w:val="19"/>
                              </w:rPr>
                              <w:t>Ratio</w:t>
                            </w:r>
                            <w:r>
                              <w:rPr>
                                <w:rFonts w:ascii="Arial" w:hAnsi="Arial" w:cs="Arial"/>
                                <w:spacing w:val="14"/>
                                <w:sz w:val="19"/>
                                <w:szCs w:val="19"/>
                              </w:rPr>
                              <w:t xml:space="preserve"> </w:t>
                            </w:r>
                            <w:r>
                              <w:rPr>
                                <w:rFonts w:ascii="Arial" w:hAnsi="Arial" w:cs="Arial"/>
                                <w:sz w:val="19"/>
                                <w:szCs w:val="19"/>
                              </w:rPr>
                              <w:t>(%)</w:t>
                            </w:r>
                            <w:r>
                              <w:rPr>
                                <w:rFonts w:ascii="Arial" w:hAnsi="Arial" w:cs="Arial"/>
                                <w:spacing w:val="21"/>
                                <w:w w:val="97"/>
                                <w:sz w:val="19"/>
                                <w:szCs w:val="19"/>
                              </w:rPr>
                              <w:t xml:space="preserve"> </w:t>
                            </w:r>
                            <w:r>
                              <w:rPr>
                                <w:rFonts w:ascii="Arial" w:hAnsi="Arial" w:cs="Arial"/>
                                <w:sz w:val="19"/>
                                <w:szCs w:val="19"/>
                              </w:rPr>
                              <w:t>(%)</w:t>
                            </w:r>
                          </w:p>
                        </w:tc>
                        <w:tc>
                          <w:tcPr>
                            <w:tcW w:w="1065" w:type="dxa"/>
                            <w:tcBorders>
                              <w:top w:val="nil"/>
                              <w:left w:val="nil"/>
                              <w:bottom w:val="nil"/>
                              <w:right w:val="nil"/>
                            </w:tcBorders>
                          </w:tcPr>
                          <w:p w:rsidR="007C59C6" w:rsidRDefault="007C59C6">
                            <w:pPr>
                              <w:pStyle w:val="BodyText"/>
                              <w:kinsoku w:val="0"/>
                              <w:overflowPunct w:val="0"/>
                              <w:spacing w:before="75" w:line="321" w:lineRule="auto"/>
                              <w:ind w:left="387" w:right="102" w:hanging="279"/>
                            </w:pPr>
                            <w:r>
                              <w:rPr>
                                <w:rFonts w:ascii="Arial" w:hAnsi="Arial" w:cs="Arial"/>
                                <w:sz w:val="19"/>
                                <w:szCs w:val="19"/>
                              </w:rPr>
                              <w:t>Cost</w:t>
                            </w:r>
                            <w:r>
                              <w:rPr>
                                <w:rFonts w:ascii="Arial" w:hAnsi="Arial" w:cs="Arial"/>
                                <w:spacing w:val="-2"/>
                                <w:sz w:val="19"/>
                                <w:szCs w:val="19"/>
                              </w:rPr>
                              <w:t xml:space="preserve"> </w:t>
                            </w:r>
                            <w:r>
                              <w:rPr>
                                <w:rFonts w:ascii="Arial" w:hAnsi="Arial" w:cs="Arial"/>
                                <w:sz w:val="19"/>
                                <w:szCs w:val="19"/>
                              </w:rPr>
                              <w:t>Rate (%)</w:t>
                            </w:r>
                          </w:p>
                        </w:tc>
                        <w:tc>
                          <w:tcPr>
                            <w:tcW w:w="1516" w:type="dxa"/>
                            <w:tcBorders>
                              <w:top w:val="nil"/>
                              <w:left w:val="nil"/>
                              <w:bottom w:val="nil"/>
                              <w:right w:val="nil"/>
                            </w:tcBorders>
                          </w:tcPr>
                          <w:p w:rsidR="007C59C6" w:rsidRDefault="007C59C6">
                            <w:pPr>
                              <w:pStyle w:val="BodyText"/>
                              <w:kinsoku w:val="0"/>
                              <w:overflowPunct w:val="0"/>
                              <w:spacing w:before="75" w:line="316" w:lineRule="auto"/>
                              <w:ind w:left="618" w:right="104" w:hanging="514"/>
                            </w:pPr>
                            <w:r>
                              <w:rPr>
                                <w:rFonts w:ascii="Arial" w:hAnsi="Arial" w:cs="Arial"/>
                                <w:w w:val="105"/>
                                <w:sz w:val="19"/>
                                <w:szCs w:val="19"/>
                              </w:rPr>
                              <w:t>Weighted</w:t>
                            </w:r>
                            <w:r>
                              <w:rPr>
                                <w:rFonts w:ascii="Arial" w:hAnsi="Arial" w:cs="Arial"/>
                                <w:spacing w:val="-16"/>
                                <w:w w:val="105"/>
                                <w:sz w:val="19"/>
                                <w:szCs w:val="19"/>
                              </w:rPr>
                              <w:t xml:space="preserve"> </w:t>
                            </w:r>
                            <w:r>
                              <w:rPr>
                                <w:rFonts w:ascii="Arial" w:hAnsi="Arial" w:cs="Arial"/>
                                <w:w w:val="105"/>
                                <w:sz w:val="19"/>
                                <w:szCs w:val="19"/>
                              </w:rPr>
                              <w:t>Cost</w:t>
                            </w:r>
                            <w:r>
                              <w:rPr>
                                <w:rFonts w:ascii="Arial" w:hAnsi="Arial" w:cs="Arial"/>
                                <w:w w:val="97"/>
                                <w:sz w:val="19"/>
                                <w:szCs w:val="19"/>
                              </w:rPr>
                              <w:t xml:space="preserve"> </w:t>
                            </w:r>
                            <w:r>
                              <w:rPr>
                                <w:rFonts w:ascii="Arial" w:hAnsi="Arial" w:cs="Arial"/>
                                <w:w w:val="105"/>
                                <w:sz w:val="19"/>
                                <w:szCs w:val="19"/>
                              </w:rPr>
                              <w:t>(%)</w:t>
                            </w:r>
                          </w:p>
                        </w:tc>
                      </w:tr>
                      <w:tr w:rsidR="007C59C6" w:rsidTr="009E3F7B">
                        <w:trPr>
                          <w:trHeight w:hRule="exact" w:val="300"/>
                        </w:trPr>
                        <w:tc>
                          <w:tcPr>
                            <w:tcW w:w="2291" w:type="dxa"/>
                            <w:tcBorders>
                              <w:top w:val="nil"/>
                              <w:left w:val="nil"/>
                              <w:bottom w:val="nil"/>
                              <w:right w:val="nil"/>
                            </w:tcBorders>
                          </w:tcPr>
                          <w:p w:rsidR="007C59C6" w:rsidRDefault="007C59C6">
                            <w:pPr>
                              <w:pStyle w:val="BodyText"/>
                              <w:kinsoku w:val="0"/>
                              <w:overflowPunct w:val="0"/>
                              <w:spacing w:before="42"/>
                              <w:ind w:left="124"/>
                            </w:pPr>
                            <w:r>
                              <w:rPr>
                                <w:rFonts w:ascii="Arial" w:hAnsi="Arial" w:cs="Arial"/>
                                <w:w w:val="105"/>
                                <w:sz w:val="19"/>
                                <w:szCs w:val="19"/>
                              </w:rPr>
                              <w:t>Long</w:t>
                            </w:r>
                            <w:r>
                              <w:rPr>
                                <w:rFonts w:ascii="Arial" w:hAnsi="Arial" w:cs="Arial"/>
                                <w:spacing w:val="-27"/>
                                <w:w w:val="105"/>
                                <w:sz w:val="19"/>
                                <w:szCs w:val="19"/>
                              </w:rPr>
                              <w:t xml:space="preserve"> </w:t>
                            </w:r>
                            <w:r>
                              <w:rPr>
                                <w:rFonts w:ascii="Arial" w:hAnsi="Arial" w:cs="Arial"/>
                                <w:w w:val="105"/>
                                <w:sz w:val="19"/>
                                <w:szCs w:val="19"/>
                              </w:rPr>
                              <w:t>Term Debt</w:t>
                            </w:r>
                          </w:p>
                        </w:tc>
                        <w:tc>
                          <w:tcPr>
                            <w:tcW w:w="1576" w:type="dxa"/>
                            <w:tcBorders>
                              <w:top w:val="nil"/>
                              <w:left w:val="nil"/>
                              <w:bottom w:val="nil"/>
                              <w:right w:val="nil"/>
                            </w:tcBorders>
                          </w:tcPr>
                          <w:p w:rsidR="007C59C6" w:rsidRDefault="007C59C6">
                            <w:pPr>
                              <w:pStyle w:val="BodyText"/>
                              <w:kinsoku w:val="0"/>
                              <w:overflowPunct w:val="0"/>
                              <w:spacing w:before="15"/>
                              <w:ind w:left="425"/>
                            </w:pPr>
                            <w:r>
                              <w:rPr>
                                <w:spacing w:val="-3"/>
                                <w:w w:val="105"/>
                                <w:sz w:val="22"/>
                                <w:szCs w:val="22"/>
                              </w:rPr>
                              <w:t>241</w:t>
                            </w:r>
                            <w:r>
                              <w:rPr>
                                <w:spacing w:val="-4"/>
                                <w:w w:val="105"/>
                                <w:sz w:val="22"/>
                                <w:szCs w:val="22"/>
                              </w:rPr>
                              <w:t>,237</w:t>
                            </w:r>
                          </w:p>
                        </w:tc>
                        <w:tc>
                          <w:tcPr>
                            <w:tcW w:w="1016" w:type="dxa"/>
                            <w:tcBorders>
                              <w:top w:val="nil"/>
                              <w:left w:val="nil"/>
                              <w:bottom w:val="nil"/>
                              <w:right w:val="nil"/>
                            </w:tcBorders>
                          </w:tcPr>
                          <w:p w:rsidR="007C59C6" w:rsidRDefault="007C59C6">
                            <w:pPr>
                              <w:pStyle w:val="BodyText"/>
                              <w:kinsoku w:val="0"/>
                              <w:overflowPunct w:val="0"/>
                              <w:spacing w:before="10"/>
                              <w:ind w:left="251"/>
                            </w:pPr>
                            <w:r>
                              <w:rPr>
                                <w:sz w:val="22"/>
                                <w:szCs w:val="22"/>
                              </w:rPr>
                              <w:t>27.00</w:t>
                            </w:r>
                          </w:p>
                        </w:tc>
                        <w:tc>
                          <w:tcPr>
                            <w:tcW w:w="1065" w:type="dxa"/>
                            <w:tcBorders>
                              <w:top w:val="nil"/>
                              <w:left w:val="nil"/>
                              <w:bottom w:val="nil"/>
                              <w:right w:val="nil"/>
                            </w:tcBorders>
                          </w:tcPr>
                          <w:p w:rsidR="007C59C6" w:rsidRDefault="007C59C6">
                            <w:pPr>
                              <w:pStyle w:val="BodyText"/>
                              <w:kinsoku w:val="0"/>
                              <w:overflowPunct w:val="0"/>
                              <w:spacing w:before="10"/>
                              <w:ind w:left="334"/>
                            </w:pPr>
                            <w:r>
                              <w:rPr>
                                <w:spacing w:val="-6"/>
                                <w:w w:val="110"/>
                                <w:sz w:val="22"/>
                                <w:szCs w:val="22"/>
                              </w:rPr>
                              <w:t>5.03</w:t>
                            </w:r>
                          </w:p>
                        </w:tc>
                        <w:tc>
                          <w:tcPr>
                            <w:tcW w:w="1516" w:type="dxa"/>
                            <w:tcBorders>
                              <w:top w:val="nil"/>
                              <w:left w:val="nil"/>
                              <w:bottom w:val="nil"/>
                              <w:right w:val="nil"/>
                            </w:tcBorders>
                          </w:tcPr>
                          <w:p w:rsidR="007C59C6" w:rsidRDefault="007C59C6">
                            <w:pPr>
                              <w:pStyle w:val="BodyText"/>
                              <w:kinsoku w:val="0"/>
                              <w:overflowPunct w:val="0"/>
                              <w:spacing w:before="10"/>
                              <w:ind w:left="28"/>
                              <w:jc w:val="center"/>
                            </w:pPr>
                            <w:r>
                              <w:rPr>
                                <w:w w:val="105"/>
                                <w:sz w:val="22"/>
                                <w:szCs w:val="22"/>
                              </w:rPr>
                              <w:t>1.36</w:t>
                            </w:r>
                          </w:p>
                        </w:tc>
                      </w:tr>
                      <w:tr w:rsidR="007C59C6" w:rsidTr="009E3F7B">
                        <w:trPr>
                          <w:trHeight w:hRule="exact" w:val="305"/>
                        </w:trPr>
                        <w:tc>
                          <w:tcPr>
                            <w:tcW w:w="2291" w:type="dxa"/>
                            <w:tcBorders>
                              <w:top w:val="nil"/>
                              <w:left w:val="nil"/>
                              <w:bottom w:val="nil"/>
                              <w:right w:val="nil"/>
                            </w:tcBorders>
                          </w:tcPr>
                          <w:p w:rsidR="007C59C6" w:rsidRDefault="007C59C6">
                            <w:pPr>
                              <w:pStyle w:val="BodyText"/>
                              <w:kinsoku w:val="0"/>
                              <w:overflowPunct w:val="0"/>
                              <w:spacing w:before="45"/>
                              <w:ind w:left="115"/>
                            </w:pPr>
                            <w:r>
                              <w:rPr>
                                <w:rFonts w:ascii="Arial" w:hAnsi="Arial" w:cs="Arial"/>
                                <w:w w:val="105"/>
                                <w:sz w:val="19"/>
                                <w:szCs w:val="19"/>
                              </w:rPr>
                              <w:t>Short</w:t>
                            </w:r>
                            <w:r>
                              <w:rPr>
                                <w:rFonts w:ascii="Arial" w:hAnsi="Arial" w:cs="Arial"/>
                                <w:spacing w:val="-9"/>
                                <w:w w:val="105"/>
                                <w:sz w:val="19"/>
                                <w:szCs w:val="19"/>
                              </w:rPr>
                              <w:t xml:space="preserve"> </w:t>
                            </w:r>
                            <w:r>
                              <w:rPr>
                                <w:rFonts w:ascii="Arial" w:hAnsi="Arial" w:cs="Arial"/>
                                <w:w w:val="105"/>
                                <w:sz w:val="19"/>
                                <w:szCs w:val="19"/>
                              </w:rPr>
                              <w:t>Term</w:t>
                            </w:r>
                            <w:r>
                              <w:rPr>
                                <w:rFonts w:ascii="Arial" w:hAnsi="Arial" w:cs="Arial"/>
                                <w:spacing w:val="8"/>
                                <w:w w:val="105"/>
                                <w:sz w:val="19"/>
                                <w:szCs w:val="19"/>
                              </w:rPr>
                              <w:t xml:space="preserve"> </w:t>
                            </w:r>
                            <w:r>
                              <w:rPr>
                                <w:rFonts w:ascii="Arial" w:hAnsi="Arial" w:cs="Arial"/>
                                <w:w w:val="105"/>
                                <w:sz w:val="19"/>
                                <w:szCs w:val="19"/>
                              </w:rPr>
                              <w:t>Debt</w:t>
                            </w:r>
                          </w:p>
                        </w:tc>
                        <w:tc>
                          <w:tcPr>
                            <w:tcW w:w="1576" w:type="dxa"/>
                            <w:tcBorders>
                              <w:top w:val="nil"/>
                              <w:left w:val="nil"/>
                              <w:bottom w:val="nil"/>
                              <w:right w:val="nil"/>
                            </w:tcBorders>
                          </w:tcPr>
                          <w:p w:rsidR="007C59C6" w:rsidRDefault="007C59C6">
                            <w:pPr>
                              <w:pStyle w:val="BodyText"/>
                              <w:kinsoku w:val="0"/>
                              <w:overflowPunct w:val="0"/>
                              <w:spacing w:before="17"/>
                              <w:ind w:left="483"/>
                            </w:pPr>
                            <w:r>
                              <w:rPr>
                                <w:sz w:val="22"/>
                                <w:szCs w:val="22"/>
                              </w:rPr>
                              <w:t>55,041</w:t>
                            </w:r>
                          </w:p>
                        </w:tc>
                        <w:tc>
                          <w:tcPr>
                            <w:tcW w:w="1016" w:type="dxa"/>
                            <w:tcBorders>
                              <w:top w:val="nil"/>
                              <w:left w:val="nil"/>
                              <w:bottom w:val="nil"/>
                              <w:right w:val="nil"/>
                            </w:tcBorders>
                          </w:tcPr>
                          <w:p w:rsidR="007C59C6" w:rsidRDefault="007C59C6">
                            <w:pPr>
                              <w:pStyle w:val="BodyText"/>
                              <w:kinsoku w:val="0"/>
                              <w:overflowPunct w:val="0"/>
                              <w:spacing w:before="13"/>
                              <w:ind w:left="309"/>
                            </w:pPr>
                            <w:r>
                              <w:rPr>
                                <w:w w:val="115"/>
                                <w:sz w:val="22"/>
                                <w:szCs w:val="22"/>
                              </w:rPr>
                              <w:t>6</w:t>
                            </w:r>
                            <w:r>
                              <w:rPr>
                                <w:spacing w:val="1"/>
                                <w:w w:val="115"/>
                                <w:sz w:val="22"/>
                                <w:szCs w:val="22"/>
                              </w:rPr>
                              <w:t>.</w:t>
                            </w:r>
                            <w:r>
                              <w:rPr>
                                <w:spacing w:val="-46"/>
                                <w:w w:val="115"/>
                                <w:sz w:val="22"/>
                                <w:szCs w:val="22"/>
                              </w:rPr>
                              <w:t>1</w:t>
                            </w:r>
                            <w:r>
                              <w:rPr>
                                <w:w w:val="115"/>
                                <w:sz w:val="22"/>
                                <w:szCs w:val="22"/>
                              </w:rPr>
                              <w:t>6</w:t>
                            </w:r>
                          </w:p>
                        </w:tc>
                        <w:tc>
                          <w:tcPr>
                            <w:tcW w:w="1065" w:type="dxa"/>
                            <w:tcBorders>
                              <w:top w:val="nil"/>
                              <w:left w:val="nil"/>
                              <w:bottom w:val="nil"/>
                              <w:right w:val="nil"/>
                            </w:tcBorders>
                          </w:tcPr>
                          <w:p w:rsidR="007C59C6" w:rsidRDefault="007C59C6">
                            <w:pPr>
                              <w:pStyle w:val="BodyText"/>
                              <w:kinsoku w:val="0"/>
                              <w:overflowPunct w:val="0"/>
                              <w:spacing w:before="13"/>
                              <w:ind w:left="334"/>
                            </w:pPr>
                            <w:r>
                              <w:rPr>
                                <w:spacing w:val="-1"/>
                                <w:w w:val="105"/>
                                <w:sz w:val="22"/>
                                <w:szCs w:val="22"/>
                              </w:rPr>
                              <w:t>2.36</w:t>
                            </w:r>
                          </w:p>
                        </w:tc>
                        <w:tc>
                          <w:tcPr>
                            <w:tcW w:w="1516" w:type="dxa"/>
                            <w:tcBorders>
                              <w:top w:val="nil"/>
                              <w:left w:val="nil"/>
                              <w:bottom w:val="nil"/>
                              <w:right w:val="nil"/>
                            </w:tcBorders>
                          </w:tcPr>
                          <w:p w:rsidR="007C59C6" w:rsidRDefault="007C59C6">
                            <w:pPr>
                              <w:pStyle w:val="BodyText"/>
                              <w:kinsoku w:val="0"/>
                              <w:overflowPunct w:val="0"/>
                              <w:spacing w:before="8"/>
                              <w:ind w:left="560"/>
                            </w:pPr>
                            <w:r>
                              <w:rPr>
                                <w:w w:val="120"/>
                                <w:sz w:val="22"/>
                                <w:szCs w:val="22"/>
                              </w:rPr>
                              <w:t>0.</w:t>
                            </w:r>
                            <w:r>
                              <w:rPr>
                                <w:spacing w:val="-47"/>
                                <w:w w:val="120"/>
                                <w:sz w:val="22"/>
                                <w:szCs w:val="22"/>
                              </w:rPr>
                              <w:t>1</w:t>
                            </w:r>
                            <w:r>
                              <w:rPr>
                                <w:w w:val="120"/>
                                <w:sz w:val="22"/>
                                <w:szCs w:val="22"/>
                              </w:rPr>
                              <w:t>5</w:t>
                            </w:r>
                          </w:p>
                        </w:tc>
                      </w:tr>
                      <w:tr w:rsidR="007C59C6" w:rsidTr="009E3F7B">
                        <w:trPr>
                          <w:trHeight w:hRule="exact" w:val="300"/>
                        </w:trPr>
                        <w:tc>
                          <w:tcPr>
                            <w:tcW w:w="2291" w:type="dxa"/>
                            <w:tcBorders>
                              <w:top w:val="nil"/>
                              <w:left w:val="nil"/>
                              <w:bottom w:val="nil"/>
                              <w:right w:val="nil"/>
                            </w:tcBorders>
                          </w:tcPr>
                          <w:p w:rsidR="007C59C6" w:rsidRDefault="007C59C6">
                            <w:pPr>
                              <w:pStyle w:val="BodyText"/>
                              <w:kinsoku w:val="0"/>
                              <w:overflowPunct w:val="0"/>
                              <w:spacing w:before="42"/>
                              <w:ind w:left="124"/>
                            </w:pPr>
                            <w:r>
                              <w:rPr>
                                <w:rFonts w:ascii="Arial" w:hAnsi="Arial" w:cs="Arial"/>
                                <w:spacing w:val="-2"/>
                                <w:w w:val="105"/>
                                <w:sz w:val="19"/>
                                <w:szCs w:val="19"/>
                              </w:rPr>
                              <w:t>Resi</w:t>
                            </w:r>
                            <w:r>
                              <w:rPr>
                                <w:rFonts w:ascii="Arial" w:hAnsi="Arial" w:cs="Arial"/>
                                <w:spacing w:val="-1"/>
                                <w:w w:val="105"/>
                                <w:sz w:val="19"/>
                                <w:szCs w:val="19"/>
                              </w:rPr>
                              <w:t>dential</w:t>
                            </w:r>
                            <w:r>
                              <w:rPr>
                                <w:rFonts w:ascii="Arial" w:hAnsi="Arial" w:cs="Arial"/>
                                <w:spacing w:val="11"/>
                                <w:w w:val="105"/>
                                <w:sz w:val="19"/>
                                <w:szCs w:val="19"/>
                              </w:rPr>
                              <w:t xml:space="preserve"> </w:t>
                            </w:r>
                            <w:r>
                              <w:rPr>
                                <w:rFonts w:ascii="Arial" w:hAnsi="Arial" w:cs="Arial"/>
                                <w:spacing w:val="-2"/>
                                <w:w w:val="105"/>
                                <w:sz w:val="19"/>
                                <w:szCs w:val="19"/>
                              </w:rPr>
                              <w:t>Deposits</w:t>
                            </w:r>
                          </w:p>
                        </w:tc>
                        <w:tc>
                          <w:tcPr>
                            <w:tcW w:w="1576" w:type="dxa"/>
                            <w:tcBorders>
                              <w:top w:val="nil"/>
                              <w:left w:val="nil"/>
                              <w:bottom w:val="nil"/>
                              <w:right w:val="nil"/>
                            </w:tcBorders>
                          </w:tcPr>
                          <w:p w:rsidR="007C59C6" w:rsidRDefault="007C59C6">
                            <w:pPr>
                              <w:pStyle w:val="BodyText"/>
                              <w:kinsoku w:val="0"/>
                              <w:overflowPunct w:val="0"/>
                              <w:spacing w:before="15"/>
                              <w:ind w:left="1"/>
                              <w:jc w:val="center"/>
                            </w:pPr>
                            <w:r>
                              <w:rPr>
                                <w:sz w:val="22"/>
                                <w:szCs w:val="22"/>
                              </w:rPr>
                              <w:t>6,555</w:t>
                            </w:r>
                          </w:p>
                        </w:tc>
                        <w:tc>
                          <w:tcPr>
                            <w:tcW w:w="1016" w:type="dxa"/>
                            <w:tcBorders>
                              <w:top w:val="nil"/>
                              <w:left w:val="nil"/>
                              <w:bottom w:val="nil"/>
                              <w:right w:val="nil"/>
                            </w:tcBorders>
                          </w:tcPr>
                          <w:p w:rsidR="007C59C6" w:rsidRDefault="007C59C6">
                            <w:pPr>
                              <w:pStyle w:val="BodyText"/>
                              <w:kinsoku w:val="0"/>
                              <w:overflowPunct w:val="0"/>
                              <w:spacing w:before="10"/>
                              <w:ind w:left="299"/>
                            </w:pPr>
                            <w:r>
                              <w:rPr>
                                <w:spacing w:val="-3"/>
                                <w:w w:val="110"/>
                                <w:sz w:val="22"/>
                                <w:szCs w:val="22"/>
                              </w:rPr>
                              <w:t>0.</w:t>
                            </w:r>
                            <w:r>
                              <w:rPr>
                                <w:spacing w:val="-4"/>
                                <w:w w:val="110"/>
                                <w:sz w:val="22"/>
                                <w:szCs w:val="22"/>
                              </w:rPr>
                              <w:t>73</w:t>
                            </w:r>
                          </w:p>
                        </w:tc>
                        <w:tc>
                          <w:tcPr>
                            <w:tcW w:w="1065" w:type="dxa"/>
                            <w:tcBorders>
                              <w:top w:val="nil"/>
                              <w:left w:val="nil"/>
                              <w:bottom w:val="nil"/>
                              <w:right w:val="nil"/>
                            </w:tcBorders>
                          </w:tcPr>
                          <w:p w:rsidR="007C59C6" w:rsidRDefault="007C59C6">
                            <w:pPr>
                              <w:pStyle w:val="BodyText"/>
                              <w:kinsoku w:val="0"/>
                              <w:overflowPunct w:val="0"/>
                              <w:spacing w:before="10"/>
                              <w:ind w:left="334"/>
                            </w:pPr>
                            <w:r>
                              <w:rPr>
                                <w:spacing w:val="-3"/>
                                <w:w w:val="105"/>
                                <w:sz w:val="22"/>
                                <w:szCs w:val="22"/>
                              </w:rPr>
                              <w:t>2.00</w:t>
                            </w:r>
                          </w:p>
                        </w:tc>
                        <w:tc>
                          <w:tcPr>
                            <w:tcW w:w="1516" w:type="dxa"/>
                            <w:tcBorders>
                              <w:top w:val="nil"/>
                              <w:left w:val="nil"/>
                              <w:bottom w:val="nil"/>
                              <w:right w:val="nil"/>
                            </w:tcBorders>
                          </w:tcPr>
                          <w:p w:rsidR="007C59C6" w:rsidRDefault="007C59C6">
                            <w:pPr>
                              <w:pStyle w:val="BodyText"/>
                              <w:kinsoku w:val="0"/>
                              <w:overflowPunct w:val="0"/>
                              <w:spacing w:before="10"/>
                              <w:ind w:left="19"/>
                              <w:jc w:val="center"/>
                            </w:pPr>
                            <w:r>
                              <w:rPr>
                                <w:spacing w:val="-4"/>
                                <w:w w:val="110"/>
                                <w:sz w:val="22"/>
                                <w:szCs w:val="22"/>
                              </w:rPr>
                              <w:t>0.01</w:t>
                            </w:r>
                          </w:p>
                        </w:tc>
                      </w:tr>
                      <w:tr w:rsidR="007C59C6" w:rsidTr="009E3F7B">
                        <w:trPr>
                          <w:trHeight w:hRule="exact" w:val="298"/>
                        </w:trPr>
                        <w:tc>
                          <w:tcPr>
                            <w:tcW w:w="2291" w:type="dxa"/>
                            <w:tcBorders>
                              <w:top w:val="nil"/>
                              <w:left w:val="nil"/>
                              <w:bottom w:val="nil"/>
                              <w:right w:val="nil"/>
                            </w:tcBorders>
                          </w:tcPr>
                          <w:p w:rsidR="007C59C6" w:rsidRDefault="007C59C6">
                            <w:pPr>
                              <w:pStyle w:val="BodyText"/>
                              <w:kinsoku w:val="0"/>
                              <w:overflowPunct w:val="0"/>
                              <w:spacing w:before="40"/>
                              <w:ind w:left="120"/>
                            </w:pPr>
                            <w:r>
                              <w:rPr>
                                <w:rFonts w:ascii="Arial" w:hAnsi="Arial" w:cs="Arial"/>
                                <w:w w:val="105"/>
                                <w:sz w:val="19"/>
                                <w:szCs w:val="19"/>
                              </w:rPr>
                              <w:t>Commercial</w:t>
                            </w:r>
                            <w:r>
                              <w:rPr>
                                <w:rFonts w:ascii="Arial" w:hAnsi="Arial" w:cs="Arial"/>
                                <w:spacing w:val="-15"/>
                                <w:w w:val="105"/>
                                <w:sz w:val="19"/>
                                <w:szCs w:val="19"/>
                              </w:rPr>
                              <w:t xml:space="preserve"> </w:t>
                            </w:r>
                            <w:r>
                              <w:rPr>
                                <w:rFonts w:ascii="Arial" w:hAnsi="Arial" w:cs="Arial"/>
                                <w:w w:val="105"/>
                                <w:sz w:val="19"/>
                                <w:szCs w:val="19"/>
                              </w:rPr>
                              <w:t>Deposits</w:t>
                            </w:r>
                          </w:p>
                        </w:tc>
                        <w:tc>
                          <w:tcPr>
                            <w:tcW w:w="1576" w:type="dxa"/>
                            <w:tcBorders>
                              <w:top w:val="nil"/>
                              <w:left w:val="nil"/>
                              <w:bottom w:val="nil"/>
                              <w:right w:val="nil"/>
                            </w:tcBorders>
                          </w:tcPr>
                          <w:p w:rsidR="007C59C6" w:rsidRDefault="007C59C6">
                            <w:pPr>
                              <w:pStyle w:val="BodyText"/>
                              <w:kinsoku w:val="0"/>
                              <w:overflowPunct w:val="0"/>
                              <w:spacing w:before="13"/>
                              <w:ind w:left="493"/>
                            </w:pPr>
                            <w:r>
                              <w:rPr>
                                <w:spacing w:val="-49"/>
                                <w:w w:val="115"/>
                                <w:sz w:val="22"/>
                                <w:szCs w:val="22"/>
                              </w:rPr>
                              <w:t>1</w:t>
                            </w:r>
                            <w:r>
                              <w:rPr>
                                <w:w w:val="115"/>
                                <w:sz w:val="22"/>
                                <w:szCs w:val="22"/>
                              </w:rPr>
                              <w:t>8</w:t>
                            </w:r>
                            <w:r>
                              <w:rPr>
                                <w:spacing w:val="-5"/>
                                <w:w w:val="115"/>
                                <w:sz w:val="22"/>
                                <w:szCs w:val="22"/>
                              </w:rPr>
                              <w:t>,</w:t>
                            </w:r>
                            <w:r>
                              <w:rPr>
                                <w:spacing w:val="-46"/>
                                <w:w w:val="115"/>
                                <w:sz w:val="22"/>
                                <w:szCs w:val="22"/>
                              </w:rPr>
                              <w:t>1</w:t>
                            </w:r>
                            <w:r>
                              <w:rPr>
                                <w:w w:val="115"/>
                                <w:sz w:val="22"/>
                                <w:szCs w:val="22"/>
                              </w:rPr>
                              <w:t>50</w:t>
                            </w:r>
                          </w:p>
                        </w:tc>
                        <w:tc>
                          <w:tcPr>
                            <w:tcW w:w="1016" w:type="dxa"/>
                            <w:tcBorders>
                              <w:top w:val="nil"/>
                              <w:left w:val="nil"/>
                              <w:bottom w:val="nil"/>
                              <w:right w:val="nil"/>
                            </w:tcBorders>
                          </w:tcPr>
                          <w:p w:rsidR="007C59C6" w:rsidRDefault="007C59C6">
                            <w:pPr>
                              <w:pStyle w:val="BodyText"/>
                              <w:kinsoku w:val="0"/>
                              <w:overflowPunct w:val="0"/>
                              <w:spacing w:before="8"/>
                              <w:ind w:left="309"/>
                            </w:pPr>
                            <w:r>
                              <w:rPr>
                                <w:sz w:val="22"/>
                                <w:szCs w:val="22"/>
                              </w:rPr>
                              <w:t>2.03</w:t>
                            </w:r>
                          </w:p>
                        </w:tc>
                        <w:tc>
                          <w:tcPr>
                            <w:tcW w:w="1065" w:type="dxa"/>
                            <w:tcBorders>
                              <w:top w:val="nil"/>
                              <w:left w:val="nil"/>
                              <w:bottom w:val="nil"/>
                              <w:right w:val="nil"/>
                            </w:tcBorders>
                          </w:tcPr>
                          <w:p w:rsidR="007C59C6" w:rsidRDefault="007C59C6">
                            <w:pPr>
                              <w:pStyle w:val="BodyText"/>
                              <w:kinsoku w:val="0"/>
                              <w:overflowPunct w:val="0"/>
                              <w:spacing w:before="8"/>
                              <w:ind w:left="334"/>
                            </w:pPr>
                            <w:r>
                              <w:rPr>
                                <w:spacing w:val="-4"/>
                                <w:w w:val="105"/>
                                <w:sz w:val="22"/>
                                <w:szCs w:val="22"/>
                              </w:rPr>
                              <w:t>3.00</w:t>
                            </w:r>
                          </w:p>
                        </w:tc>
                        <w:tc>
                          <w:tcPr>
                            <w:tcW w:w="1516" w:type="dxa"/>
                            <w:tcBorders>
                              <w:top w:val="nil"/>
                              <w:left w:val="nil"/>
                              <w:bottom w:val="nil"/>
                              <w:right w:val="nil"/>
                            </w:tcBorders>
                          </w:tcPr>
                          <w:p w:rsidR="007C59C6" w:rsidRDefault="007C59C6">
                            <w:pPr>
                              <w:pStyle w:val="BodyText"/>
                              <w:kinsoku w:val="0"/>
                              <w:overflowPunct w:val="0"/>
                              <w:spacing w:before="8"/>
                              <w:ind w:left="8"/>
                              <w:jc w:val="center"/>
                            </w:pPr>
                            <w:r>
                              <w:rPr>
                                <w:spacing w:val="-4"/>
                                <w:w w:val="110"/>
                                <w:sz w:val="22"/>
                                <w:szCs w:val="22"/>
                              </w:rPr>
                              <w:t>0.</w:t>
                            </w:r>
                            <w:r>
                              <w:rPr>
                                <w:spacing w:val="-5"/>
                                <w:w w:val="110"/>
                                <w:sz w:val="22"/>
                                <w:szCs w:val="22"/>
                              </w:rPr>
                              <w:t>06</w:t>
                            </w:r>
                          </w:p>
                        </w:tc>
                      </w:tr>
                      <w:tr w:rsidR="007C59C6" w:rsidTr="009E3F7B">
                        <w:trPr>
                          <w:trHeight w:hRule="exact" w:val="300"/>
                        </w:trPr>
                        <w:tc>
                          <w:tcPr>
                            <w:tcW w:w="2291" w:type="dxa"/>
                            <w:tcBorders>
                              <w:top w:val="nil"/>
                              <w:left w:val="nil"/>
                              <w:bottom w:val="nil"/>
                              <w:right w:val="nil"/>
                            </w:tcBorders>
                          </w:tcPr>
                          <w:p w:rsidR="007C59C6" w:rsidRDefault="007C59C6">
                            <w:pPr>
                              <w:pStyle w:val="BodyText"/>
                              <w:kinsoku w:val="0"/>
                              <w:overflowPunct w:val="0"/>
                              <w:spacing w:before="40"/>
                              <w:ind w:left="124"/>
                            </w:pPr>
                            <w:r>
                              <w:rPr>
                                <w:rFonts w:ascii="Arial" w:hAnsi="Arial" w:cs="Arial"/>
                                <w:spacing w:val="-23"/>
                                <w:w w:val="105"/>
                                <w:sz w:val="19"/>
                                <w:szCs w:val="19"/>
                              </w:rPr>
                              <w:t>I</w:t>
                            </w:r>
                            <w:r>
                              <w:rPr>
                                <w:rFonts w:ascii="Arial" w:hAnsi="Arial" w:cs="Arial"/>
                                <w:w w:val="105"/>
                                <w:sz w:val="19"/>
                                <w:szCs w:val="19"/>
                              </w:rPr>
                              <w:t>nact</w:t>
                            </w:r>
                            <w:r>
                              <w:rPr>
                                <w:rFonts w:ascii="Arial" w:hAnsi="Arial" w:cs="Arial"/>
                                <w:spacing w:val="-6"/>
                                <w:w w:val="105"/>
                                <w:sz w:val="19"/>
                                <w:szCs w:val="19"/>
                              </w:rPr>
                              <w:t>i</w:t>
                            </w:r>
                            <w:r>
                              <w:rPr>
                                <w:rFonts w:ascii="Arial" w:hAnsi="Arial" w:cs="Arial"/>
                                <w:w w:val="105"/>
                                <w:sz w:val="19"/>
                                <w:szCs w:val="19"/>
                              </w:rPr>
                              <w:t>ve</w:t>
                            </w:r>
                            <w:r>
                              <w:rPr>
                                <w:rFonts w:ascii="Arial" w:hAnsi="Arial" w:cs="Arial"/>
                                <w:spacing w:val="27"/>
                                <w:w w:val="105"/>
                                <w:sz w:val="19"/>
                                <w:szCs w:val="19"/>
                              </w:rPr>
                              <w:t xml:space="preserve"> </w:t>
                            </w:r>
                            <w:r>
                              <w:rPr>
                                <w:rFonts w:ascii="Arial" w:hAnsi="Arial" w:cs="Arial"/>
                                <w:w w:val="105"/>
                                <w:sz w:val="19"/>
                                <w:szCs w:val="19"/>
                              </w:rPr>
                              <w:t>Depos</w:t>
                            </w:r>
                            <w:r>
                              <w:rPr>
                                <w:rFonts w:ascii="Arial" w:hAnsi="Arial" w:cs="Arial"/>
                                <w:spacing w:val="-6"/>
                                <w:w w:val="105"/>
                                <w:sz w:val="19"/>
                                <w:szCs w:val="19"/>
                              </w:rPr>
                              <w:t>i</w:t>
                            </w:r>
                            <w:r>
                              <w:rPr>
                                <w:rFonts w:ascii="Arial" w:hAnsi="Arial" w:cs="Arial"/>
                                <w:w w:val="105"/>
                                <w:sz w:val="19"/>
                                <w:szCs w:val="19"/>
                              </w:rPr>
                              <w:t>ts</w:t>
                            </w:r>
                          </w:p>
                        </w:tc>
                        <w:tc>
                          <w:tcPr>
                            <w:tcW w:w="1576" w:type="dxa"/>
                            <w:tcBorders>
                              <w:top w:val="nil"/>
                              <w:left w:val="nil"/>
                              <w:bottom w:val="nil"/>
                              <w:right w:val="nil"/>
                            </w:tcBorders>
                          </w:tcPr>
                          <w:p w:rsidR="007C59C6" w:rsidRDefault="007C59C6">
                            <w:pPr>
                              <w:pStyle w:val="BodyText"/>
                              <w:kinsoku w:val="0"/>
                              <w:overflowPunct w:val="0"/>
                              <w:spacing w:before="17"/>
                              <w:ind w:left="2"/>
                              <w:jc w:val="center"/>
                            </w:pPr>
                            <w:r>
                              <w:rPr>
                                <w:sz w:val="22"/>
                                <w:szCs w:val="22"/>
                              </w:rPr>
                              <w:t>375</w:t>
                            </w:r>
                          </w:p>
                        </w:tc>
                        <w:tc>
                          <w:tcPr>
                            <w:tcW w:w="1016" w:type="dxa"/>
                            <w:tcBorders>
                              <w:top w:val="nil"/>
                              <w:left w:val="nil"/>
                              <w:bottom w:val="nil"/>
                              <w:right w:val="nil"/>
                            </w:tcBorders>
                          </w:tcPr>
                          <w:p w:rsidR="007C59C6" w:rsidRDefault="007C59C6">
                            <w:pPr>
                              <w:pStyle w:val="BodyText"/>
                              <w:kinsoku w:val="0"/>
                              <w:overflowPunct w:val="0"/>
                              <w:spacing w:before="8"/>
                              <w:ind w:left="299"/>
                            </w:pPr>
                            <w:r>
                              <w:rPr>
                                <w:w w:val="105"/>
                                <w:sz w:val="22"/>
                                <w:szCs w:val="22"/>
                              </w:rPr>
                              <w:t>0.04</w:t>
                            </w:r>
                          </w:p>
                        </w:tc>
                        <w:tc>
                          <w:tcPr>
                            <w:tcW w:w="1065" w:type="dxa"/>
                            <w:tcBorders>
                              <w:top w:val="nil"/>
                              <w:left w:val="nil"/>
                              <w:bottom w:val="nil"/>
                              <w:right w:val="nil"/>
                            </w:tcBorders>
                          </w:tcPr>
                          <w:p w:rsidR="007C59C6" w:rsidRDefault="007C59C6"/>
                        </w:tc>
                        <w:tc>
                          <w:tcPr>
                            <w:tcW w:w="1516" w:type="dxa"/>
                            <w:tcBorders>
                              <w:top w:val="nil"/>
                              <w:left w:val="nil"/>
                              <w:bottom w:val="nil"/>
                              <w:right w:val="nil"/>
                            </w:tcBorders>
                          </w:tcPr>
                          <w:p w:rsidR="007C59C6" w:rsidRDefault="007C59C6"/>
                        </w:tc>
                      </w:tr>
                      <w:tr w:rsidR="007C59C6" w:rsidTr="009E3F7B">
                        <w:trPr>
                          <w:trHeight w:hRule="exact" w:val="298"/>
                        </w:trPr>
                        <w:tc>
                          <w:tcPr>
                            <w:tcW w:w="2291" w:type="dxa"/>
                            <w:tcBorders>
                              <w:top w:val="nil"/>
                              <w:left w:val="nil"/>
                              <w:bottom w:val="nil"/>
                              <w:right w:val="nil"/>
                            </w:tcBorders>
                          </w:tcPr>
                          <w:p w:rsidR="007C59C6" w:rsidRDefault="007C59C6">
                            <w:pPr>
                              <w:pStyle w:val="BodyText"/>
                              <w:kinsoku w:val="0"/>
                              <w:overflowPunct w:val="0"/>
                              <w:spacing w:before="37"/>
                              <w:ind w:left="120"/>
                            </w:pPr>
                            <w:r>
                              <w:rPr>
                                <w:rFonts w:ascii="Arial" w:hAnsi="Arial" w:cs="Arial"/>
                                <w:w w:val="105"/>
                                <w:sz w:val="19"/>
                                <w:szCs w:val="19"/>
                              </w:rPr>
                              <w:t>Common</w:t>
                            </w:r>
                            <w:r>
                              <w:rPr>
                                <w:rFonts w:ascii="Arial" w:hAnsi="Arial" w:cs="Arial"/>
                                <w:spacing w:val="20"/>
                                <w:w w:val="105"/>
                                <w:sz w:val="19"/>
                                <w:szCs w:val="19"/>
                              </w:rPr>
                              <w:t xml:space="preserve"> </w:t>
                            </w:r>
                            <w:r>
                              <w:rPr>
                                <w:rFonts w:ascii="Arial" w:hAnsi="Arial" w:cs="Arial"/>
                                <w:spacing w:val="-4"/>
                                <w:w w:val="105"/>
                                <w:sz w:val="19"/>
                                <w:szCs w:val="19"/>
                              </w:rPr>
                              <w:t>Equi</w:t>
                            </w:r>
                            <w:r>
                              <w:rPr>
                                <w:rFonts w:ascii="Arial" w:hAnsi="Arial" w:cs="Arial"/>
                                <w:spacing w:val="-3"/>
                                <w:w w:val="105"/>
                                <w:sz w:val="19"/>
                                <w:szCs w:val="19"/>
                              </w:rPr>
                              <w:t>ty</w:t>
                            </w:r>
                          </w:p>
                        </w:tc>
                        <w:tc>
                          <w:tcPr>
                            <w:tcW w:w="1576" w:type="dxa"/>
                            <w:tcBorders>
                              <w:top w:val="nil"/>
                              <w:left w:val="nil"/>
                              <w:bottom w:val="nil"/>
                              <w:right w:val="nil"/>
                            </w:tcBorders>
                          </w:tcPr>
                          <w:p w:rsidR="007C59C6" w:rsidRDefault="007C59C6">
                            <w:pPr>
                              <w:pStyle w:val="BodyText"/>
                              <w:kinsoku w:val="0"/>
                              <w:overflowPunct w:val="0"/>
                              <w:spacing w:before="10"/>
                              <w:ind w:left="425"/>
                            </w:pPr>
                            <w:r>
                              <w:rPr>
                                <w:spacing w:val="-4"/>
                                <w:w w:val="105"/>
                                <w:sz w:val="22"/>
                                <w:szCs w:val="22"/>
                              </w:rPr>
                              <w:t>371</w:t>
                            </w:r>
                            <w:r>
                              <w:rPr>
                                <w:spacing w:val="-5"/>
                                <w:w w:val="105"/>
                                <w:sz w:val="22"/>
                                <w:szCs w:val="22"/>
                              </w:rPr>
                              <w:t>,490</w:t>
                            </w:r>
                          </w:p>
                        </w:tc>
                        <w:tc>
                          <w:tcPr>
                            <w:tcW w:w="1016" w:type="dxa"/>
                            <w:tcBorders>
                              <w:top w:val="nil"/>
                              <w:left w:val="nil"/>
                              <w:bottom w:val="nil"/>
                              <w:right w:val="nil"/>
                            </w:tcBorders>
                          </w:tcPr>
                          <w:p w:rsidR="007C59C6" w:rsidRDefault="007C59C6">
                            <w:pPr>
                              <w:pStyle w:val="BodyText"/>
                              <w:kinsoku w:val="0"/>
                              <w:overflowPunct w:val="0"/>
                              <w:spacing w:before="5"/>
                              <w:ind w:left="246"/>
                            </w:pPr>
                            <w:r>
                              <w:rPr>
                                <w:sz w:val="22"/>
                                <w:szCs w:val="22"/>
                              </w:rPr>
                              <w:t>41.58</w:t>
                            </w:r>
                          </w:p>
                        </w:tc>
                        <w:tc>
                          <w:tcPr>
                            <w:tcW w:w="1065" w:type="dxa"/>
                            <w:tcBorders>
                              <w:top w:val="nil"/>
                              <w:left w:val="nil"/>
                              <w:bottom w:val="nil"/>
                              <w:right w:val="nil"/>
                            </w:tcBorders>
                          </w:tcPr>
                          <w:p w:rsidR="007C59C6" w:rsidRDefault="007C59C6">
                            <w:pPr>
                              <w:pStyle w:val="BodyText"/>
                              <w:kinsoku w:val="0"/>
                              <w:overflowPunct w:val="0"/>
                              <w:spacing w:before="5"/>
                              <w:ind w:left="291"/>
                            </w:pPr>
                            <w:r>
                              <w:rPr>
                                <w:spacing w:val="-50"/>
                                <w:w w:val="110"/>
                                <w:sz w:val="22"/>
                                <w:szCs w:val="22"/>
                              </w:rPr>
                              <w:t>1</w:t>
                            </w:r>
                            <w:r>
                              <w:rPr>
                                <w:w w:val="110"/>
                                <w:sz w:val="22"/>
                                <w:szCs w:val="22"/>
                              </w:rPr>
                              <w:t>0</w:t>
                            </w:r>
                            <w:r>
                              <w:rPr>
                                <w:spacing w:val="-9"/>
                                <w:w w:val="110"/>
                                <w:sz w:val="22"/>
                                <w:szCs w:val="22"/>
                              </w:rPr>
                              <w:t>.</w:t>
                            </w:r>
                            <w:r>
                              <w:rPr>
                                <w:w w:val="110"/>
                                <w:sz w:val="22"/>
                                <w:szCs w:val="22"/>
                              </w:rPr>
                              <w:t>75</w:t>
                            </w:r>
                          </w:p>
                        </w:tc>
                        <w:tc>
                          <w:tcPr>
                            <w:tcW w:w="1516" w:type="dxa"/>
                            <w:tcBorders>
                              <w:top w:val="nil"/>
                              <w:left w:val="nil"/>
                              <w:bottom w:val="nil"/>
                              <w:right w:val="nil"/>
                            </w:tcBorders>
                          </w:tcPr>
                          <w:p w:rsidR="007C59C6" w:rsidRDefault="007C59C6">
                            <w:pPr>
                              <w:pStyle w:val="BodyText"/>
                              <w:kinsoku w:val="0"/>
                              <w:overflowPunct w:val="0"/>
                              <w:spacing w:before="5"/>
                              <w:ind w:right="3"/>
                              <w:jc w:val="center"/>
                            </w:pPr>
                            <w:r>
                              <w:rPr>
                                <w:sz w:val="22"/>
                                <w:szCs w:val="22"/>
                              </w:rPr>
                              <w:t>4.47</w:t>
                            </w:r>
                          </w:p>
                        </w:tc>
                      </w:tr>
                      <w:tr w:rsidR="007C59C6" w:rsidTr="009E3F7B">
                        <w:trPr>
                          <w:trHeight w:hRule="exact" w:val="285"/>
                        </w:trPr>
                        <w:tc>
                          <w:tcPr>
                            <w:tcW w:w="2291" w:type="dxa"/>
                            <w:tcBorders>
                              <w:top w:val="nil"/>
                              <w:left w:val="nil"/>
                              <w:bottom w:val="single" w:sz="9" w:space="0" w:color="000000"/>
                              <w:right w:val="nil"/>
                            </w:tcBorders>
                          </w:tcPr>
                          <w:p w:rsidR="007C59C6" w:rsidRDefault="007C59C6">
                            <w:pPr>
                              <w:pStyle w:val="BodyText"/>
                              <w:kinsoku w:val="0"/>
                              <w:overflowPunct w:val="0"/>
                              <w:spacing w:before="42"/>
                              <w:ind w:left="129"/>
                            </w:pPr>
                            <w:r>
                              <w:rPr>
                                <w:rFonts w:ascii="Arial" w:hAnsi="Arial" w:cs="Arial"/>
                                <w:w w:val="105"/>
                                <w:sz w:val="19"/>
                                <w:szCs w:val="19"/>
                              </w:rPr>
                              <w:t>Deferred</w:t>
                            </w:r>
                            <w:r>
                              <w:rPr>
                                <w:rFonts w:ascii="Arial" w:hAnsi="Arial" w:cs="Arial"/>
                                <w:spacing w:val="-6"/>
                                <w:w w:val="105"/>
                                <w:sz w:val="19"/>
                                <w:szCs w:val="19"/>
                              </w:rPr>
                              <w:t xml:space="preserve"> </w:t>
                            </w:r>
                            <w:r>
                              <w:rPr>
                                <w:rFonts w:ascii="Arial" w:hAnsi="Arial" w:cs="Arial"/>
                                <w:spacing w:val="-26"/>
                                <w:w w:val="105"/>
                                <w:sz w:val="19"/>
                                <w:szCs w:val="19"/>
                              </w:rPr>
                              <w:t>I</w:t>
                            </w:r>
                            <w:r>
                              <w:rPr>
                                <w:rFonts w:ascii="Arial" w:hAnsi="Arial" w:cs="Arial"/>
                                <w:w w:val="105"/>
                                <w:sz w:val="19"/>
                                <w:szCs w:val="19"/>
                              </w:rPr>
                              <w:t>ncome</w:t>
                            </w:r>
                            <w:r>
                              <w:rPr>
                                <w:rFonts w:ascii="Arial" w:hAnsi="Arial" w:cs="Arial"/>
                                <w:spacing w:val="-15"/>
                                <w:w w:val="105"/>
                                <w:sz w:val="19"/>
                                <w:szCs w:val="19"/>
                              </w:rPr>
                              <w:t xml:space="preserve"> </w:t>
                            </w:r>
                            <w:r>
                              <w:rPr>
                                <w:rFonts w:ascii="Arial" w:hAnsi="Arial" w:cs="Arial"/>
                                <w:w w:val="105"/>
                                <w:sz w:val="19"/>
                                <w:szCs w:val="19"/>
                              </w:rPr>
                              <w:t>Taxes</w:t>
                            </w:r>
                          </w:p>
                        </w:tc>
                        <w:tc>
                          <w:tcPr>
                            <w:tcW w:w="1576" w:type="dxa"/>
                            <w:tcBorders>
                              <w:top w:val="nil"/>
                              <w:left w:val="nil"/>
                              <w:bottom w:val="single" w:sz="9" w:space="0" w:color="000000"/>
                              <w:right w:val="nil"/>
                            </w:tcBorders>
                          </w:tcPr>
                          <w:p w:rsidR="007C59C6" w:rsidRDefault="007C59C6">
                            <w:pPr>
                              <w:pStyle w:val="BodyText"/>
                              <w:kinsoku w:val="0"/>
                              <w:overflowPunct w:val="0"/>
                              <w:spacing w:before="10" w:line="251" w:lineRule="exact"/>
                              <w:ind w:left="425"/>
                            </w:pPr>
                            <w:r>
                              <w:rPr>
                                <w:w w:val="105"/>
                                <w:sz w:val="22"/>
                                <w:szCs w:val="22"/>
                              </w:rPr>
                              <w:t>200,5</w:t>
                            </w:r>
                            <w:r>
                              <w:rPr>
                                <w:spacing w:val="14"/>
                                <w:w w:val="105"/>
                                <w:sz w:val="22"/>
                                <w:szCs w:val="22"/>
                              </w:rPr>
                              <w:t>8</w:t>
                            </w:r>
                            <w:r>
                              <w:rPr>
                                <w:w w:val="105"/>
                                <w:sz w:val="22"/>
                                <w:szCs w:val="22"/>
                              </w:rPr>
                              <w:t>1</w:t>
                            </w:r>
                          </w:p>
                        </w:tc>
                        <w:tc>
                          <w:tcPr>
                            <w:tcW w:w="1016" w:type="dxa"/>
                            <w:tcBorders>
                              <w:top w:val="nil"/>
                              <w:left w:val="nil"/>
                              <w:bottom w:val="single" w:sz="9" w:space="0" w:color="000000"/>
                              <w:right w:val="nil"/>
                            </w:tcBorders>
                          </w:tcPr>
                          <w:p w:rsidR="007C59C6" w:rsidRDefault="007C59C6">
                            <w:pPr>
                              <w:pStyle w:val="BodyText"/>
                              <w:kinsoku w:val="0"/>
                              <w:overflowPunct w:val="0"/>
                              <w:spacing w:before="10" w:line="251" w:lineRule="exact"/>
                              <w:ind w:left="251"/>
                            </w:pPr>
                            <w:r>
                              <w:rPr>
                                <w:sz w:val="22"/>
                                <w:szCs w:val="22"/>
                              </w:rPr>
                              <w:t>22.45</w:t>
                            </w:r>
                          </w:p>
                        </w:tc>
                        <w:tc>
                          <w:tcPr>
                            <w:tcW w:w="1065" w:type="dxa"/>
                            <w:tcBorders>
                              <w:top w:val="nil"/>
                              <w:left w:val="nil"/>
                              <w:bottom w:val="single" w:sz="9" w:space="0" w:color="000000"/>
                              <w:right w:val="nil"/>
                            </w:tcBorders>
                          </w:tcPr>
                          <w:p w:rsidR="007C59C6" w:rsidRDefault="007C59C6"/>
                        </w:tc>
                        <w:tc>
                          <w:tcPr>
                            <w:tcW w:w="1516" w:type="dxa"/>
                            <w:tcBorders>
                              <w:top w:val="nil"/>
                              <w:left w:val="nil"/>
                              <w:bottom w:val="single" w:sz="9" w:space="0" w:color="000000"/>
                              <w:right w:val="nil"/>
                            </w:tcBorders>
                          </w:tcPr>
                          <w:p w:rsidR="007C59C6" w:rsidRDefault="007C59C6"/>
                        </w:tc>
                      </w:tr>
                      <w:tr w:rsidR="007C59C6" w:rsidTr="009E3F7B">
                        <w:trPr>
                          <w:trHeight w:hRule="exact" w:val="390"/>
                        </w:trPr>
                        <w:tc>
                          <w:tcPr>
                            <w:tcW w:w="2291" w:type="dxa"/>
                            <w:tcBorders>
                              <w:top w:val="single" w:sz="9" w:space="0" w:color="000000"/>
                              <w:left w:val="nil"/>
                              <w:bottom w:val="nil"/>
                              <w:right w:val="nil"/>
                            </w:tcBorders>
                          </w:tcPr>
                          <w:p w:rsidR="007C59C6" w:rsidRDefault="007C59C6">
                            <w:pPr>
                              <w:pStyle w:val="BodyText"/>
                              <w:kinsoku w:val="0"/>
                              <w:overflowPunct w:val="0"/>
                              <w:spacing w:before="69"/>
                              <w:ind w:left="8"/>
                              <w:jc w:val="center"/>
                            </w:pPr>
                            <w:r>
                              <w:rPr>
                                <w:rFonts w:ascii="Arial" w:hAnsi="Arial" w:cs="Arial"/>
                                <w:w w:val="105"/>
                                <w:sz w:val="19"/>
                                <w:szCs w:val="19"/>
                              </w:rPr>
                              <w:t>Total</w:t>
                            </w:r>
                          </w:p>
                        </w:tc>
                        <w:tc>
                          <w:tcPr>
                            <w:tcW w:w="1576" w:type="dxa"/>
                            <w:tcBorders>
                              <w:top w:val="single" w:sz="9" w:space="0" w:color="000000"/>
                              <w:left w:val="nil"/>
                              <w:bottom w:val="nil"/>
                              <w:right w:val="nil"/>
                            </w:tcBorders>
                          </w:tcPr>
                          <w:p w:rsidR="007C59C6" w:rsidRDefault="007C59C6">
                            <w:pPr>
                              <w:pStyle w:val="BodyText"/>
                              <w:kinsoku w:val="0"/>
                              <w:overflowPunct w:val="0"/>
                              <w:spacing w:before="42"/>
                              <w:ind w:left="425"/>
                            </w:pPr>
                            <w:r>
                              <w:rPr>
                                <w:spacing w:val="-3"/>
                                <w:w w:val="105"/>
                                <w:sz w:val="22"/>
                                <w:szCs w:val="22"/>
                              </w:rPr>
                              <w:t>893</w:t>
                            </w:r>
                            <w:r>
                              <w:rPr>
                                <w:spacing w:val="-4"/>
                                <w:w w:val="105"/>
                                <w:sz w:val="22"/>
                                <w:szCs w:val="22"/>
                              </w:rPr>
                              <w:t>,429</w:t>
                            </w:r>
                          </w:p>
                        </w:tc>
                        <w:tc>
                          <w:tcPr>
                            <w:tcW w:w="1016" w:type="dxa"/>
                            <w:tcBorders>
                              <w:top w:val="single" w:sz="9" w:space="0" w:color="000000"/>
                              <w:left w:val="nil"/>
                              <w:bottom w:val="nil"/>
                              <w:right w:val="nil"/>
                            </w:tcBorders>
                          </w:tcPr>
                          <w:p w:rsidR="007C59C6" w:rsidRDefault="007C59C6">
                            <w:pPr>
                              <w:pStyle w:val="BodyText"/>
                              <w:kinsoku w:val="0"/>
                              <w:overflowPunct w:val="0"/>
                              <w:spacing w:before="37"/>
                              <w:ind w:left="208"/>
                            </w:pPr>
                            <w:r>
                              <w:rPr>
                                <w:spacing w:val="-50"/>
                                <w:w w:val="110"/>
                                <w:sz w:val="22"/>
                                <w:szCs w:val="22"/>
                              </w:rPr>
                              <w:t>1</w:t>
                            </w:r>
                            <w:r>
                              <w:rPr>
                                <w:w w:val="110"/>
                                <w:sz w:val="22"/>
                                <w:szCs w:val="22"/>
                              </w:rPr>
                              <w:t>00</w:t>
                            </w:r>
                            <w:r>
                              <w:rPr>
                                <w:spacing w:val="-12"/>
                                <w:w w:val="110"/>
                                <w:sz w:val="22"/>
                                <w:szCs w:val="22"/>
                              </w:rPr>
                              <w:t>.</w:t>
                            </w:r>
                            <w:r>
                              <w:rPr>
                                <w:w w:val="110"/>
                                <w:sz w:val="22"/>
                                <w:szCs w:val="22"/>
                              </w:rPr>
                              <w:t>00</w:t>
                            </w:r>
                          </w:p>
                        </w:tc>
                        <w:tc>
                          <w:tcPr>
                            <w:tcW w:w="1065" w:type="dxa"/>
                            <w:tcBorders>
                              <w:top w:val="single" w:sz="9" w:space="0" w:color="000000"/>
                              <w:left w:val="nil"/>
                              <w:bottom w:val="nil"/>
                              <w:right w:val="nil"/>
                            </w:tcBorders>
                          </w:tcPr>
                          <w:p w:rsidR="007C59C6" w:rsidRDefault="007C59C6"/>
                        </w:tc>
                        <w:tc>
                          <w:tcPr>
                            <w:tcW w:w="1516" w:type="dxa"/>
                            <w:tcBorders>
                              <w:top w:val="single" w:sz="9" w:space="0" w:color="000000"/>
                              <w:left w:val="nil"/>
                              <w:bottom w:val="nil"/>
                              <w:right w:val="nil"/>
                            </w:tcBorders>
                          </w:tcPr>
                          <w:p w:rsidR="007C59C6" w:rsidRDefault="007C59C6">
                            <w:pPr>
                              <w:pStyle w:val="BodyText"/>
                              <w:kinsoku w:val="0"/>
                              <w:overflowPunct w:val="0"/>
                              <w:spacing w:before="32"/>
                              <w:ind w:left="18"/>
                              <w:jc w:val="center"/>
                            </w:pPr>
                            <w:r>
                              <w:rPr>
                                <w:spacing w:val="-5"/>
                                <w:w w:val="105"/>
                                <w:sz w:val="22"/>
                                <w:szCs w:val="22"/>
                              </w:rPr>
                              <w:t>6.</w:t>
                            </w:r>
                            <w:r>
                              <w:rPr>
                                <w:spacing w:val="-4"/>
                                <w:w w:val="105"/>
                                <w:sz w:val="22"/>
                                <w:szCs w:val="22"/>
                              </w:rPr>
                              <w:t>05</w:t>
                            </w:r>
                          </w:p>
                        </w:tc>
                      </w:tr>
                    </w:tbl>
                    <w:p w:rsidR="007C59C6" w:rsidRDefault="007C59C6" w:rsidP="007C59C6">
                      <w:pPr>
                        <w:pStyle w:val="BodyText"/>
                        <w:kinsoku w:val="0"/>
                        <w:overflowPunct w:val="0"/>
                      </w:pPr>
                    </w:p>
                  </w:txbxContent>
                </v:textbox>
                <w10:anchorlock/>
              </v:shape>
            </w:pict>
          </mc:Fallback>
        </mc:AlternateContent>
      </w:r>
    </w:p>
    <w:p w:rsidR="007C59C6" w:rsidRDefault="007C59C6" w:rsidP="007C59C6">
      <w:pPr>
        <w:jc w:val="both"/>
        <w:rPr>
          <w:b/>
          <w:u w:val="single"/>
        </w:rPr>
      </w:pPr>
    </w:p>
    <w:p w:rsidR="007C59C6" w:rsidRPr="002B1B56" w:rsidRDefault="007C59C6" w:rsidP="007C59C6">
      <w:pPr>
        <w:ind w:left="1440" w:hanging="1440"/>
        <w:jc w:val="both"/>
        <w:rPr>
          <w:b/>
        </w:rPr>
      </w:pPr>
      <w:r w:rsidRPr="00691142">
        <w:rPr>
          <w:b/>
          <w:u w:val="single"/>
        </w:rPr>
        <w:t>ISSUE 15</w:t>
      </w:r>
      <w:r w:rsidRPr="002B1B56">
        <w:rPr>
          <w:b/>
        </w:rPr>
        <w:t>:</w:t>
      </w:r>
      <w:r>
        <w:rPr>
          <w:b/>
        </w:rPr>
        <w:tab/>
      </w:r>
      <w:r w:rsidRPr="002B1B56">
        <w:rPr>
          <w:b/>
        </w:rPr>
        <w:t xml:space="preserve">What is the forecasted annual revenue requirement for </w:t>
      </w:r>
      <w:r>
        <w:rPr>
          <w:b/>
          <w:sz w:val="23"/>
          <w:szCs w:val="23"/>
        </w:rPr>
        <w:t>Peoples Gas</w:t>
      </w:r>
      <w:r w:rsidRPr="002B1B56">
        <w:rPr>
          <w:b/>
        </w:rPr>
        <w:t xml:space="preserve"> for the tax year 2018</w:t>
      </w:r>
      <w:r>
        <w:rPr>
          <w:b/>
        </w:rPr>
        <w:t xml:space="preserve"> </w:t>
      </w:r>
      <w:r w:rsidRPr="002B1B56">
        <w:rPr>
          <w:b/>
        </w:rPr>
        <w:t>using a 21 percent corporate tax rate?</w:t>
      </w:r>
    </w:p>
    <w:p w:rsidR="007C59C6" w:rsidRDefault="007C59C6" w:rsidP="007C59C6">
      <w:pPr>
        <w:jc w:val="both"/>
      </w:pPr>
    </w:p>
    <w:p w:rsidR="007C59C6" w:rsidRDefault="007C59C6" w:rsidP="007C59C6">
      <w:pPr>
        <w:ind w:left="2160" w:hanging="2160"/>
        <w:jc w:val="both"/>
      </w:pPr>
      <w:r>
        <w:rPr>
          <w:b/>
          <w:bCs/>
        </w:rPr>
        <w:t>STIPULATION</w:t>
      </w:r>
      <w:r w:rsidRPr="0080142E">
        <w:rPr>
          <w:b/>
        </w:rPr>
        <w:t>:</w:t>
      </w:r>
      <w:r>
        <w:tab/>
        <w:t xml:space="preserve">The forecasted 13-month average NOI for </w:t>
      </w:r>
      <w:r w:rsidRPr="00A24929">
        <w:rPr>
          <w:sz w:val="23"/>
          <w:szCs w:val="23"/>
        </w:rPr>
        <w:t>Peoples Gas</w:t>
      </w:r>
      <w:r>
        <w:t xml:space="preserve">  for the tax year 2018 using a 21 percent corporate tax rate is $61.9 million, and the application of the 0.74655 tax gross-up factor results in a revenue requirement of $82.9 million. </w:t>
      </w:r>
    </w:p>
    <w:p w:rsidR="007C59C6" w:rsidRDefault="007C59C6" w:rsidP="007C59C6">
      <w:pPr>
        <w:jc w:val="both"/>
      </w:pPr>
    </w:p>
    <w:p w:rsidR="007C59C6" w:rsidRPr="002B1B56" w:rsidRDefault="007C59C6" w:rsidP="007C59C6">
      <w:pPr>
        <w:ind w:left="1440" w:hanging="1440"/>
        <w:jc w:val="both"/>
        <w:rPr>
          <w:b/>
        </w:rPr>
      </w:pPr>
      <w:r w:rsidRPr="00691142">
        <w:rPr>
          <w:b/>
          <w:u w:val="single"/>
        </w:rPr>
        <w:t>ISSUE 16</w:t>
      </w:r>
      <w:r w:rsidRPr="002B1B56">
        <w:rPr>
          <w:b/>
        </w:rPr>
        <w:t>:</w:t>
      </w:r>
      <w:r>
        <w:rPr>
          <w:b/>
        </w:rPr>
        <w:tab/>
      </w:r>
      <w:r w:rsidRPr="00FA1AA2">
        <w:rPr>
          <w:b/>
        </w:rPr>
        <w:t xml:space="preserve">What is the forecasted annual revenue requirement for </w:t>
      </w:r>
      <w:r>
        <w:rPr>
          <w:b/>
          <w:sz w:val="23"/>
          <w:szCs w:val="23"/>
        </w:rPr>
        <w:t>Peoples Gas</w:t>
      </w:r>
      <w:r w:rsidRPr="00FA1AA2">
        <w:rPr>
          <w:b/>
        </w:rPr>
        <w:t xml:space="preserve"> for the tax year 2018</w:t>
      </w:r>
      <w:r>
        <w:rPr>
          <w:b/>
        </w:rPr>
        <w:t xml:space="preserve"> </w:t>
      </w:r>
      <w:r w:rsidRPr="00FA1AA2">
        <w:rPr>
          <w:b/>
        </w:rPr>
        <w:t>using a 35 percent corporate tax rate?</w:t>
      </w:r>
    </w:p>
    <w:p w:rsidR="007C59C6" w:rsidRDefault="007C59C6" w:rsidP="007C59C6">
      <w:pPr>
        <w:jc w:val="both"/>
      </w:pPr>
    </w:p>
    <w:p w:rsidR="007C59C6" w:rsidRDefault="007C59C6" w:rsidP="007C59C6">
      <w:pPr>
        <w:ind w:left="2160" w:hanging="2160"/>
        <w:jc w:val="both"/>
      </w:pPr>
      <w:r>
        <w:rPr>
          <w:b/>
          <w:bCs/>
        </w:rPr>
        <w:t>STIPULATION</w:t>
      </w:r>
      <w:r w:rsidRPr="0080142E">
        <w:rPr>
          <w:b/>
        </w:rPr>
        <w:t>:</w:t>
      </w:r>
      <w:r>
        <w:tab/>
        <w:t xml:space="preserve">The forecasted 13-month average NOI for </w:t>
      </w:r>
      <w:r w:rsidRPr="00A24929">
        <w:rPr>
          <w:sz w:val="23"/>
          <w:szCs w:val="23"/>
        </w:rPr>
        <w:t>Peoples Gas</w:t>
      </w:r>
      <w:r>
        <w:t xml:space="preserve"> for the tax year 2018 using a 35 percent corporate tax rate is $53.0 million, and the application of the 0.74655 tax gross-up factor results in a revenue requirement of $70.9 million. </w:t>
      </w:r>
    </w:p>
    <w:p w:rsidR="007C59C6" w:rsidRDefault="007C59C6" w:rsidP="007C59C6">
      <w:pPr>
        <w:ind w:left="1440" w:hanging="1440"/>
        <w:jc w:val="both"/>
        <w:rPr>
          <w:b/>
        </w:rPr>
      </w:pPr>
    </w:p>
    <w:p w:rsidR="007C59C6" w:rsidRPr="002B1B56" w:rsidRDefault="007C59C6" w:rsidP="007C59C6">
      <w:pPr>
        <w:ind w:left="1440" w:hanging="1440"/>
        <w:jc w:val="both"/>
        <w:rPr>
          <w:b/>
        </w:rPr>
      </w:pPr>
      <w:r w:rsidRPr="00691142">
        <w:rPr>
          <w:b/>
          <w:u w:val="single"/>
        </w:rPr>
        <w:t>ISSUE 17</w:t>
      </w:r>
      <w:r w:rsidRPr="002B1B56">
        <w:rPr>
          <w:b/>
        </w:rPr>
        <w:t>:</w:t>
      </w:r>
      <w:r>
        <w:rPr>
          <w:b/>
        </w:rPr>
        <w:tab/>
      </w:r>
      <w:r w:rsidRPr="00FA1AA2">
        <w:rPr>
          <w:b/>
        </w:rPr>
        <w:t>What is the forecasted annual revenue requirement decrease attributable to the TCJA for 2018?</w:t>
      </w:r>
    </w:p>
    <w:p w:rsidR="007C59C6" w:rsidRDefault="007C59C6" w:rsidP="007C59C6">
      <w:pPr>
        <w:jc w:val="both"/>
      </w:pPr>
    </w:p>
    <w:p w:rsidR="007C59C6" w:rsidRDefault="007C59C6" w:rsidP="007C59C6">
      <w:pPr>
        <w:ind w:left="2160" w:hanging="2160"/>
        <w:jc w:val="both"/>
      </w:pPr>
      <w:r>
        <w:rPr>
          <w:b/>
          <w:bCs/>
        </w:rPr>
        <w:lastRenderedPageBreak/>
        <w:t>STIPULATION</w:t>
      </w:r>
      <w:r w:rsidRPr="0080142E">
        <w:rPr>
          <w:b/>
        </w:rPr>
        <w:t>:</w:t>
      </w:r>
      <w:r>
        <w:tab/>
        <w:t>The full year annual revenue requirement decrease attributable to the TCJA for 2018, net of the rate base and overall rate of return impact is $11,599,038.</w:t>
      </w:r>
    </w:p>
    <w:p w:rsidR="007C59C6" w:rsidRDefault="007C59C6" w:rsidP="007C59C6">
      <w:pPr>
        <w:ind w:left="1440" w:hanging="1440"/>
        <w:jc w:val="both"/>
        <w:rPr>
          <w:b/>
          <w:u w:val="single"/>
        </w:rPr>
      </w:pPr>
    </w:p>
    <w:p w:rsidR="007C59C6" w:rsidRPr="002B1B56" w:rsidRDefault="007C59C6" w:rsidP="007C59C6">
      <w:pPr>
        <w:ind w:left="1440" w:hanging="1440"/>
        <w:jc w:val="both"/>
        <w:rPr>
          <w:b/>
        </w:rPr>
      </w:pPr>
      <w:r w:rsidRPr="00691142">
        <w:rPr>
          <w:b/>
          <w:u w:val="single"/>
        </w:rPr>
        <w:t>ISSUE 19</w:t>
      </w:r>
      <w:r w:rsidRPr="002B1B56">
        <w:rPr>
          <w:b/>
        </w:rPr>
        <w:t>:</w:t>
      </w:r>
      <w:r>
        <w:rPr>
          <w:b/>
        </w:rPr>
        <w:tab/>
      </w:r>
      <w:r w:rsidRPr="00FA1AA2">
        <w:rPr>
          <w:b/>
        </w:rPr>
        <w:t>What process should the Commission use to approve the revised tariffs necessary</w:t>
      </w:r>
      <w:r>
        <w:rPr>
          <w:b/>
        </w:rPr>
        <w:t xml:space="preserve"> </w:t>
      </w:r>
      <w:r w:rsidRPr="00FA1AA2">
        <w:rPr>
          <w:b/>
        </w:rPr>
        <w:t>to make the permanent base rate adjustment specified above?</w:t>
      </w:r>
    </w:p>
    <w:p w:rsidR="007C59C6" w:rsidRDefault="007C59C6" w:rsidP="007C59C6">
      <w:pPr>
        <w:jc w:val="both"/>
      </w:pPr>
    </w:p>
    <w:p w:rsidR="007C59C6" w:rsidRPr="00FD7AA0" w:rsidRDefault="007C59C6" w:rsidP="007C59C6">
      <w:pPr>
        <w:ind w:left="2160" w:hanging="2160"/>
        <w:jc w:val="both"/>
      </w:pPr>
      <w:r>
        <w:rPr>
          <w:b/>
          <w:bCs/>
        </w:rPr>
        <w:t>STIPULATION</w:t>
      </w:r>
      <w:r w:rsidRPr="000F2465">
        <w:rPr>
          <w:b/>
        </w:rPr>
        <w:t>:</w:t>
      </w:r>
      <w:r w:rsidRPr="000F2465">
        <w:rPr>
          <w:b/>
        </w:rPr>
        <w:tab/>
      </w:r>
      <w:r w:rsidRPr="00FD7AA0">
        <w:t>The Commission should direct Peoples Gas to submit proposed 2019 revised tariff sheets reflecting the approved revenue requirement decrease for administrative approval by Staff.</w:t>
      </w:r>
    </w:p>
    <w:p w:rsidR="007C59C6" w:rsidRDefault="007C59C6" w:rsidP="007C59C6">
      <w:pPr>
        <w:jc w:val="both"/>
        <w:rPr>
          <w:b/>
        </w:rPr>
      </w:pPr>
    </w:p>
    <w:p w:rsidR="007C59C6" w:rsidRPr="000F2465" w:rsidRDefault="007C59C6" w:rsidP="007C59C6">
      <w:pPr>
        <w:jc w:val="both"/>
        <w:rPr>
          <w:b/>
        </w:rPr>
      </w:pPr>
      <w:r w:rsidRPr="00691142">
        <w:rPr>
          <w:b/>
          <w:u w:val="single"/>
        </w:rPr>
        <w:t>ISSUE 21</w:t>
      </w:r>
      <w:r w:rsidRPr="000F2465">
        <w:rPr>
          <w:b/>
        </w:rPr>
        <w:t>:</w:t>
      </w:r>
      <w:r>
        <w:tab/>
      </w:r>
      <w:r w:rsidRPr="000F2465">
        <w:rPr>
          <w:b/>
        </w:rPr>
        <w:t>Should this docket be closed?</w:t>
      </w:r>
    </w:p>
    <w:p w:rsidR="007C59C6" w:rsidRPr="000F2465" w:rsidRDefault="007C59C6" w:rsidP="007C59C6">
      <w:pPr>
        <w:jc w:val="both"/>
        <w:rPr>
          <w:b/>
        </w:rPr>
      </w:pPr>
    </w:p>
    <w:p w:rsidR="007C59C6" w:rsidRDefault="007C59C6" w:rsidP="007C59C6">
      <w:pPr>
        <w:ind w:left="2160" w:hanging="2160"/>
        <w:jc w:val="both"/>
      </w:pPr>
      <w:r>
        <w:rPr>
          <w:b/>
          <w:bCs/>
        </w:rPr>
        <w:t>STIPULATION</w:t>
      </w:r>
      <w:r w:rsidRPr="000F2465">
        <w:rPr>
          <w:b/>
        </w:rPr>
        <w:t>:</w:t>
      </w:r>
      <w:r>
        <w:tab/>
        <w:t>The docket should remain open to consider feedback from the IRS through the PLR to ensure that the determination as to the treatment of certain excess deferred tax balances is proper.</w:t>
      </w:r>
    </w:p>
    <w:p w:rsidR="007C59C6" w:rsidRDefault="007C59C6" w:rsidP="007C59C6">
      <w:pPr>
        <w:pStyle w:val="OrderBody"/>
      </w:pPr>
    </w:p>
    <w:p w:rsidR="007C59C6" w:rsidRDefault="007C59C6" w:rsidP="00B41039">
      <w:pPr>
        <w:sectPr w:rsidR="007C59C6" w:rsidSect="006D7894">
          <w:headerReference w:type="default" r:id="rId11"/>
          <w:headerReference w:type="first" r:id="rId12"/>
          <w:pgSz w:w="12240" w:h="15840" w:code="1"/>
          <w:pgMar w:top="1440" w:right="1440" w:bottom="1440" w:left="1440" w:header="720" w:footer="720" w:gutter="0"/>
          <w:cols w:space="720"/>
          <w:docGrid w:linePitch="360"/>
        </w:sectPr>
      </w:pPr>
    </w:p>
    <w:p w:rsidR="00BE62AD" w:rsidRDefault="00997770" w:rsidP="00B41039">
      <w:r>
        <w:rPr>
          <w:noProof/>
        </w:rPr>
        <w:lastRenderedPageBreak/>
        <w:drawing>
          <wp:inline distT="0" distB="0" distL="0" distR="0">
            <wp:extent cx="5934075" cy="7686675"/>
            <wp:effectExtent l="0" t="0" r="9525" b="9525"/>
            <wp:docPr id="3" name="Picture 3" descr="I:\Lisa\201800044-GU.ATTACHMENT B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isa\201800044-GU.ATTACHMENT B_PAGE_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4" name="Picture 4" descr="I:\Lisa\201800044-GU.ATTACHMENT B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isa\201800044-GU.ATTACHMENT B_PAGE_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5" name="Picture 5" descr="I:\Lisa\201800044-GU.ATTACHMENT B_PAG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isa\201800044-GU.ATTACHMENT B_PAGE_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6" name="Picture 6" descr="I:\Lisa\201800044-GU.ATTACHMENT B_PA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isa\201800044-GU.ATTACHMENT B_PAGE_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7" name="Picture 7" descr="I:\Lisa\201800044-GU.ATTACHMENT B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isa\201800044-GU.ATTACHMENT B_PAGE_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8" name="Picture 8" descr="I:\Lisa\201800044-GU.ATTACHMENT B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isa\201800044-GU.ATTACHMENT B_PAGE_0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9" name="Picture 9" descr="I:\Lisa\201800044-GU.ATTACHMENT B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isa\201800044-GU.ATTACHMENT B_PAGE_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29525"/>
            <wp:effectExtent l="0" t="0" r="9525" b="9525"/>
            <wp:docPr id="10" name="Picture 10" descr="I:\Lisa\201800044-GU.ATTACHMENT B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isa\201800044-GU.ATTACHMENT B_PAGE_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7629525"/>
                    </a:xfrm>
                    <a:prstGeom prst="rect">
                      <a:avLst/>
                    </a:prstGeom>
                    <a:noFill/>
                    <a:ln>
                      <a:noFill/>
                    </a:ln>
                  </pic:spPr>
                </pic:pic>
              </a:graphicData>
            </a:graphic>
          </wp:inline>
        </w:drawing>
      </w:r>
    </w:p>
    <w:p w:rsidR="00BE62AD" w:rsidRDefault="00BE62AD" w:rsidP="00B41039">
      <w:r>
        <w:br w:type="page"/>
      </w:r>
      <w:r w:rsidR="00997770">
        <w:rPr>
          <w:noProof/>
        </w:rPr>
        <w:lastRenderedPageBreak/>
        <w:drawing>
          <wp:inline distT="0" distB="0" distL="0" distR="0">
            <wp:extent cx="5934075" cy="7686675"/>
            <wp:effectExtent l="0" t="0" r="9525" b="9525"/>
            <wp:docPr id="11" name="Picture 11" descr="I:\Lisa\201800044-GU.ATTACHMENT B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isa\201800044-GU.ATTACHMENT B_PAGE_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997770" w:rsidRDefault="00997770" w:rsidP="00B41039">
      <w:pPr>
        <w:sectPr w:rsidR="00997770" w:rsidSect="006D7894">
          <w:headerReference w:type="default" r:id="rId22"/>
          <w:pgSz w:w="12240" w:h="15840" w:code="1"/>
          <w:pgMar w:top="1440" w:right="1440" w:bottom="1440" w:left="1440" w:header="720" w:footer="720" w:gutter="0"/>
          <w:cols w:space="720"/>
          <w:docGrid w:linePitch="360"/>
        </w:sectPr>
      </w:pPr>
    </w:p>
    <w:p w:rsidR="00BE62AD" w:rsidRDefault="00997770" w:rsidP="00B41039">
      <w:r>
        <w:rPr>
          <w:noProof/>
        </w:rPr>
        <w:lastRenderedPageBreak/>
        <w:drawing>
          <wp:inline distT="0" distB="0" distL="0" distR="0">
            <wp:extent cx="5934075" cy="7686675"/>
            <wp:effectExtent l="0" t="0" r="9525" b="9525"/>
            <wp:docPr id="12" name="Picture 12" descr="I:\Lisa\201800044-GU.ATTACHMENT B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Lisa\201800044-GU.ATTACHMENT B_PAGE_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0903D4" w:rsidRDefault="000903D4" w:rsidP="00997770">
      <w:pPr>
        <w:sectPr w:rsidR="000903D4" w:rsidSect="006D7894">
          <w:headerReference w:type="default" r:id="rId24"/>
          <w:pgSz w:w="12240" w:h="15840" w:code="1"/>
          <w:pgMar w:top="1440" w:right="1440" w:bottom="1440" w:left="1440" w:header="720" w:footer="720" w:gutter="0"/>
          <w:cols w:space="720"/>
          <w:docGrid w:linePitch="360"/>
        </w:sectPr>
      </w:pPr>
    </w:p>
    <w:p w:rsidR="000903D4" w:rsidRDefault="000903D4" w:rsidP="00997770">
      <w:r>
        <w:rPr>
          <w:noProof/>
        </w:rPr>
        <w:lastRenderedPageBreak/>
        <w:drawing>
          <wp:inline distT="0" distB="0" distL="0" distR="0">
            <wp:extent cx="5943600" cy="7691755"/>
            <wp:effectExtent l="0" t="0" r="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7691755"/>
                    </a:xfrm>
                    <a:prstGeom prst="rect">
                      <a:avLst/>
                    </a:prstGeom>
                  </pic:spPr>
                </pic:pic>
              </a:graphicData>
            </a:graphic>
          </wp:inline>
        </w:drawing>
      </w:r>
    </w:p>
    <w:p w:rsidR="000903D4" w:rsidRDefault="000903D4">
      <w:r>
        <w:br w:type="page"/>
      </w:r>
    </w:p>
    <w:p w:rsidR="000903D4" w:rsidRDefault="000903D4" w:rsidP="00997770">
      <w:r>
        <w:rPr>
          <w:noProof/>
        </w:rPr>
        <w:lastRenderedPageBreak/>
        <w:drawing>
          <wp:inline distT="0" distB="0" distL="0" distR="0">
            <wp:extent cx="5943600" cy="7691755"/>
            <wp:effectExtent l="0" t="0" r="0" b="4445"/>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7691755"/>
                    </a:xfrm>
                    <a:prstGeom prst="rect">
                      <a:avLst/>
                    </a:prstGeom>
                  </pic:spPr>
                </pic:pic>
              </a:graphicData>
            </a:graphic>
          </wp:inline>
        </w:drawing>
      </w:r>
    </w:p>
    <w:p w:rsidR="000903D4" w:rsidRDefault="000903D4">
      <w:r>
        <w:br w:type="page"/>
      </w:r>
    </w:p>
    <w:p w:rsidR="00997770" w:rsidRDefault="000903D4" w:rsidP="00997770">
      <w:r>
        <w:rPr>
          <w:noProof/>
        </w:rPr>
        <w:lastRenderedPageBreak/>
        <w:drawing>
          <wp:inline distT="0" distB="0" distL="0" distR="0">
            <wp:extent cx="5943600" cy="7691755"/>
            <wp:effectExtent l="0" t="0" r="0" b="4445"/>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691755"/>
                    </a:xfrm>
                    <a:prstGeom prst="rect">
                      <a:avLst/>
                    </a:prstGeom>
                  </pic:spPr>
                </pic:pic>
              </a:graphicData>
            </a:graphic>
          </wp:inline>
        </w:drawing>
      </w:r>
    </w:p>
    <w:p w:rsidR="00DF2E3C" w:rsidRDefault="00DF2E3C" w:rsidP="00997770">
      <w:pPr>
        <w:sectPr w:rsidR="00DF2E3C" w:rsidSect="006D7894">
          <w:pgSz w:w="12240" w:h="15840" w:code="1"/>
          <w:pgMar w:top="1440" w:right="1440" w:bottom="1440" w:left="1440" w:header="720" w:footer="720" w:gutter="0"/>
          <w:cols w:space="720"/>
          <w:docGrid w:linePitch="360"/>
        </w:sectPr>
      </w:pPr>
    </w:p>
    <w:p w:rsidR="00911CB8" w:rsidRDefault="00911CB8" w:rsidP="00997770">
      <w:r>
        <w:rPr>
          <w:noProof/>
        </w:rPr>
        <w:lastRenderedPageBreak/>
        <w:drawing>
          <wp:inline distT="0" distB="0" distL="0" distR="0">
            <wp:extent cx="5943600" cy="7691755"/>
            <wp:effectExtent l="0" t="0" r="0" b="4445"/>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7691755"/>
                    </a:xfrm>
                    <a:prstGeom prst="rect">
                      <a:avLst/>
                    </a:prstGeom>
                  </pic:spPr>
                </pic:pic>
              </a:graphicData>
            </a:graphic>
          </wp:inline>
        </w:drawing>
      </w:r>
    </w:p>
    <w:p w:rsidR="00911CB8" w:rsidRDefault="00911CB8">
      <w:r>
        <w:br w:type="page"/>
      </w:r>
    </w:p>
    <w:p w:rsidR="00911CB8" w:rsidRDefault="00911CB8" w:rsidP="00997770">
      <w:r>
        <w:rPr>
          <w:noProof/>
        </w:rPr>
        <w:lastRenderedPageBreak/>
        <w:drawing>
          <wp:inline distT="0" distB="0" distL="0" distR="0">
            <wp:extent cx="5943600" cy="7690485"/>
            <wp:effectExtent l="0" t="0" r="0" b="5715"/>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690485"/>
                    </a:xfrm>
                    <a:prstGeom prst="rect">
                      <a:avLst/>
                    </a:prstGeom>
                  </pic:spPr>
                </pic:pic>
              </a:graphicData>
            </a:graphic>
          </wp:inline>
        </w:drawing>
      </w:r>
    </w:p>
    <w:p w:rsidR="00911CB8" w:rsidRDefault="00911CB8">
      <w:r>
        <w:br w:type="page"/>
      </w:r>
    </w:p>
    <w:p w:rsidR="00911CB8" w:rsidRDefault="00911CB8" w:rsidP="00997770">
      <w:r>
        <w:rPr>
          <w:noProof/>
        </w:rPr>
        <w:lastRenderedPageBreak/>
        <w:drawing>
          <wp:inline distT="0" distB="0" distL="0" distR="0">
            <wp:extent cx="5943600" cy="7690485"/>
            <wp:effectExtent l="0" t="0" r="0" b="5715"/>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7690485"/>
                    </a:xfrm>
                    <a:prstGeom prst="rect">
                      <a:avLst/>
                    </a:prstGeom>
                  </pic:spPr>
                </pic:pic>
              </a:graphicData>
            </a:graphic>
          </wp:inline>
        </w:drawing>
      </w:r>
    </w:p>
    <w:p w:rsidR="00911CB8" w:rsidRDefault="00911CB8">
      <w:r>
        <w:br w:type="page"/>
      </w:r>
    </w:p>
    <w:p w:rsidR="00911CB8" w:rsidRDefault="00911CB8" w:rsidP="00997770">
      <w:r>
        <w:rPr>
          <w:noProof/>
        </w:rPr>
        <w:lastRenderedPageBreak/>
        <w:drawing>
          <wp:inline distT="0" distB="0" distL="0" distR="0">
            <wp:extent cx="5943600" cy="7690485"/>
            <wp:effectExtent l="0" t="0" r="0" b="5715"/>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7690485"/>
                    </a:xfrm>
                    <a:prstGeom prst="rect">
                      <a:avLst/>
                    </a:prstGeom>
                  </pic:spPr>
                </pic:pic>
              </a:graphicData>
            </a:graphic>
          </wp:inline>
        </w:drawing>
      </w:r>
    </w:p>
    <w:p w:rsidR="00911CB8" w:rsidRDefault="00911CB8">
      <w:r>
        <w:br w:type="page"/>
      </w:r>
    </w:p>
    <w:p w:rsidR="00911CB8" w:rsidRDefault="00911CB8" w:rsidP="00997770">
      <w:r>
        <w:rPr>
          <w:noProof/>
        </w:rPr>
        <w:lastRenderedPageBreak/>
        <w:drawing>
          <wp:inline distT="0" distB="0" distL="0" distR="0">
            <wp:extent cx="5943600" cy="7690485"/>
            <wp:effectExtent l="0" t="0" r="0" b="5715"/>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7690485"/>
                    </a:xfrm>
                    <a:prstGeom prst="rect">
                      <a:avLst/>
                    </a:prstGeom>
                  </pic:spPr>
                </pic:pic>
              </a:graphicData>
            </a:graphic>
          </wp:inline>
        </w:drawing>
      </w:r>
    </w:p>
    <w:p w:rsidR="00911CB8" w:rsidRDefault="00911CB8">
      <w:r>
        <w:br w:type="page"/>
      </w:r>
    </w:p>
    <w:p w:rsidR="00911CB8" w:rsidRDefault="00911CB8" w:rsidP="00997770">
      <w:r>
        <w:rPr>
          <w:noProof/>
        </w:rPr>
        <w:lastRenderedPageBreak/>
        <w:drawing>
          <wp:inline distT="0" distB="0" distL="0" distR="0">
            <wp:extent cx="5943600" cy="7690485"/>
            <wp:effectExtent l="0" t="0" r="0" b="5715"/>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7690485"/>
                    </a:xfrm>
                    <a:prstGeom prst="rect">
                      <a:avLst/>
                    </a:prstGeom>
                  </pic:spPr>
                </pic:pic>
              </a:graphicData>
            </a:graphic>
          </wp:inline>
        </w:drawing>
      </w:r>
    </w:p>
    <w:p w:rsidR="00911CB8" w:rsidRDefault="00911CB8">
      <w:r>
        <w:br w:type="page"/>
      </w:r>
    </w:p>
    <w:p w:rsidR="00DF2E3C" w:rsidRDefault="00911CB8" w:rsidP="00997770">
      <w:r>
        <w:rPr>
          <w:noProof/>
        </w:rPr>
        <w:lastRenderedPageBreak/>
        <w:drawing>
          <wp:inline distT="0" distB="0" distL="0" distR="0">
            <wp:extent cx="5943600" cy="7690485"/>
            <wp:effectExtent l="0" t="0" r="0" b="5715"/>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7690485"/>
                    </a:xfrm>
                    <a:prstGeom prst="rect">
                      <a:avLst/>
                    </a:prstGeom>
                  </pic:spPr>
                </pic:pic>
              </a:graphicData>
            </a:graphic>
          </wp:inline>
        </w:drawing>
      </w:r>
    </w:p>
    <w:sectPr w:rsidR="00DF2E3C" w:rsidSect="006D7894">
      <w:headerReference w:type="defaul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7894" w:rsidRDefault="006D7894">
      <w:r>
        <w:separator/>
      </w:r>
    </w:p>
  </w:endnote>
  <w:endnote w:type="continuationSeparator" w:id="0">
    <w:p w:rsidR="006D7894" w:rsidRDefault="006D7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7894" w:rsidRDefault="006D7894">
      <w:r>
        <w:separator/>
      </w:r>
    </w:p>
  </w:footnote>
  <w:footnote w:type="continuationSeparator" w:id="0">
    <w:p w:rsidR="006D7894" w:rsidRDefault="006D7894">
      <w:r>
        <w:continuationSeparator/>
      </w:r>
    </w:p>
  </w:footnote>
  <w:footnote w:id="1">
    <w:p w:rsidR="005823C8" w:rsidRDefault="005823C8" w:rsidP="005823C8">
      <w:pPr>
        <w:pStyle w:val="FootnoteText"/>
      </w:pPr>
      <w:r>
        <w:rPr>
          <w:rStyle w:val="FootnoteReference"/>
        </w:rPr>
        <w:footnoteRef/>
      </w:r>
      <w:r>
        <w:t xml:space="preserve"> Order No.   PSC-13-0023-S-EI, issued January 14, 2013, in Docket No. 120015-EI, </w:t>
      </w:r>
      <w:r>
        <w:rPr>
          <w:u w:val="single"/>
        </w:rPr>
        <w:t>In re: Petition for increase in rates by Florida Power &amp; Light Company</w:t>
      </w:r>
      <w:r>
        <w:t xml:space="preserve">; Order No. PSC-11-0089-S-EI, issued February 1, 2011, in Docket Nos. 080677-EI and 090130, </w:t>
      </w:r>
      <w:r>
        <w:rPr>
          <w:u w:val="single"/>
        </w:rPr>
        <w:t>In re: Petition for increase in rates by Florida Power &amp; Light Company</w:t>
      </w:r>
      <w:r>
        <w:t xml:space="preserve"> and </w:t>
      </w:r>
      <w:r>
        <w:rPr>
          <w:u w:val="single"/>
        </w:rPr>
        <w:t>In re: 2009 depreciation and dismantlement study by Florida Power &amp; Light Company</w:t>
      </w:r>
      <w:r>
        <w:t xml:space="preserve">; Order No. PSC-13-0023-S-EI, issued January 14, 2013, in Docket No. 120015-EI, </w:t>
      </w:r>
      <w:r w:rsidRPr="007E6126">
        <w:rPr>
          <w:u w:val="single"/>
        </w:rPr>
        <w:t>In re: Petition for increase in rates by Florida Power &amp; Light Company</w:t>
      </w:r>
      <w:r>
        <w:t xml:space="preserve">; PSC-10-0398-S-EI, issued June 18, 2010, in consolidated Docket Nos. 090079-EI, </w:t>
      </w:r>
      <w:r>
        <w:rPr>
          <w:u w:val="single"/>
        </w:rPr>
        <w:t>In re: Petition for increase in rates by Progress Energy Florida, Inc.</w:t>
      </w:r>
      <w:r w:rsidRPr="00557323">
        <w:t>;</w:t>
      </w:r>
      <w:r>
        <w:t xml:space="preserve"> and 090144-EI, </w:t>
      </w:r>
      <w:r>
        <w:rPr>
          <w:u w:val="single"/>
        </w:rPr>
        <w:t>In re: Petition for limited proceeding to include Bartow repowering project in base rates, by Progress Energy Florida, Inc.</w:t>
      </w:r>
      <w:r>
        <w:t xml:space="preserve">; Docket No. 090145-EI, </w:t>
      </w:r>
      <w:r>
        <w:rPr>
          <w:u w:val="single"/>
        </w:rPr>
        <w:t>In re: Petition for expedited approval of the deferral of pension expenses, authorization to charge storm hardening expenses to the storm damage reserve, and variance from or waiver of Rule 25-6.0143(1)(c), (d), and (f), F.A.C., by Progress Energy Florida, Inc.</w:t>
      </w:r>
      <w:r>
        <w:t xml:space="preserve">; and Docket No. 100136-EI, </w:t>
      </w:r>
      <w:r>
        <w:rPr>
          <w:u w:val="single"/>
        </w:rPr>
        <w:t>In re: Petition for approval of an accounting order to record a depreciation expense credit, by Progress Energy Florida, Inc.</w:t>
      </w:r>
      <w:r w:rsidRPr="00557323">
        <w:t>;</w:t>
      </w:r>
      <w:r>
        <w:t xml:space="preserve"> and Order No. PSC-05-0945-S-EI, issued September 28, 2005, in Docket No. 050078-EI, </w:t>
      </w:r>
      <w:r>
        <w:rPr>
          <w:u w:val="single"/>
        </w:rPr>
        <w:t>In re: Petition for rate increase by Progress Energy Florida, Inc.</w:t>
      </w:r>
      <w:r w:rsidR="007E6126">
        <w:t>.</w:t>
      </w:r>
      <w:r>
        <w:t xml:space="preserve">      </w:t>
      </w:r>
    </w:p>
  </w:footnote>
  <w:footnote w:id="2">
    <w:p w:rsidR="005823C8" w:rsidRDefault="005823C8" w:rsidP="005823C8">
      <w:pPr>
        <w:pStyle w:val="FootnoteText"/>
      </w:pPr>
      <w:r>
        <w:rPr>
          <w:rStyle w:val="FootnoteReference"/>
        </w:rPr>
        <w:footnoteRef/>
      </w:r>
      <w:r>
        <w:t xml:space="preserve"> Order No. PSC-13-0023-S-EI, at p. 7.  </w:t>
      </w:r>
    </w:p>
  </w:footnote>
  <w:footnote w:id="3">
    <w:p w:rsidR="005C4905" w:rsidRDefault="005C4905">
      <w:pPr>
        <w:pStyle w:val="FootnoteText"/>
      </w:pPr>
      <w:r>
        <w:rPr>
          <w:rStyle w:val="FootnoteReference"/>
        </w:rPr>
        <w:footnoteRef/>
      </w:r>
      <w:r w:rsidR="00823D7D">
        <w:t>The</w:t>
      </w:r>
      <w:r w:rsidR="00454059">
        <w:t xml:space="preserve"> terms of the</w:t>
      </w:r>
      <w:r w:rsidR="00823D7D">
        <w:t xml:space="preserve"> prior 2107 Settlement Agreement shall continue and the Utility may seek a rate increase if earnings as reported in the f</w:t>
      </w:r>
      <w:r w:rsidR="008A6159">
        <w:t>uture quarterly</w:t>
      </w:r>
      <w:r w:rsidR="00823D7D">
        <w:t xml:space="preserve"> </w:t>
      </w:r>
      <w:r w:rsidR="008A6159">
        <w:t>E</w:t>
      </w:r>
      <w:r w:rsidR="00823D7D">
        <w:t xml:space="preserve">arnings </w:t>
      </w:r>
      <w:r w:rsidR="008A6159">
        <w:t>S</w:t>
      </w:r>
      <w:r w:rsidR="00823D7D">
        <w:t xml:space="preserve">urveillance </w:t>
      </w:r>
      <w:r w:rsidR="008A6159">
        <w:t>R</w:t>
      </w:r>
      <w:r w:rsidR="00823D7D">
        <w:t>eport fall below 9.25%.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F45CEF">
      <w:fldChar w:fldCharType="begin"/>
    </w:r>
    <w:r w:rsidR="00F45CEF">
      <w:instrText xml:space="preserve"> REF OrderNo0501 </w:instrText>
    </w:r>
    <w:r w:rsidR="00F45CEF">
      <w:fldChar w:fldCharType="separate"/>
    </w:r>
    <w:r w:rsidR="00F45CEF">
      <w:t>PSC-2018-0501-S-GU</w:t>
    </w:r>
    <w:r w:rsidR="00F45CEF">
      <w:fldChar w:fldCharType="end"/>
    </w:r>
  </w:p>
  <w:p w:rsidR="00FA6EFD" w:rsidRDefault="006D7894">
    <w:pPr>
      <w:pStyle w:val="OrderHeader"/>
    </w:pPr>
    <w:bookmarkStart w:id="8" w:name="HeaderDocketNo"/>
    <w:bookmarkEnd w:id="8"/>
    <w:r>
      <w:t>DOCKET NO. 20180044-GU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45CEF">
      <w:rPr>
        <w:rStyle w:val="PageNumber"/>
        <w:noProof/>
      </w:rPr>
      <w:t>4</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94" w:rsidRDefault="006D7894">
    <w:pPr>
      <w:pStyle w:val="OrderHeader"/>
    </w:pPr>
    <w:r>
      <w:t xml:space="preserve">ORDER NO. </w:t>
    </w:r>
    <w:r w:rsidR="00A54420">
      <w:t>PSC-2018-0501-</w:t>
    </w:r>
    <w:r w:rsidR="00F45CEF">
      <w:t>S</w:t>
    </w:r>
    <w:r w:rsidR="00A54420">
      <w:t>-GU</w:t>
    </w:r>
    <w:r>
      <w:tab/>
    </w:r>
    <w:r>
      <w:tab/>
    </w:r>
    <w:r w:rsidR="001F2405">
      <w:t>EXHIBIT</w:t>
    </w:r>
    <w:r>
      <w:t xml:space="preserve"> A</w:t>
    </w:r>
  </w:p>
  <w:p w:rsidR="006D7894" w:rsidRDefault="006D7894">
    <w:pPr>
      <w:pStyle w:val="OrderHeader"/>
    </w:pPr>
    <w:r>
      <w:t>DOCKET NO. 20180044-GU</w:t>
    </w:r>
  </w:p>
  <w:p w:rsidR="006D7894" w:rsidRDefault="006D789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45CEF">
      <w:rPr>
        <w:rStyle w:val="PageNumber"/>
        <w:noProof/>
      </w:rPr>
      <w:t>8</w:t>
    </w:r>
    <w:r>
      <w:rPr>
        <w:rStyle w:val="PageNumber"/>
      </w:rPr>
      <w:fldChar w:fldCharType="end"/>
    </w:r>
  </w:p>
  <w:p w:rsidR="006D7894" w:rsidRDefault="006D7894">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894" w:rsidRDefault="006D789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59C6" w:rsidRDefault="007C59C6">
    <w:pPr>
      <w:pStyle w:val="OrderHeader"/>
    </w:pPr>
    <w:r>
      <w:t xml:space="preserve">ORDER NO. </w:t>
    </w:r>
    <w:r w:rsidR="00A54420">
      <w:t>PSC-2018-0501-</w:t>
    </w:r>
    <w:r w:rsidR="00F45CEF">
      <w:t>S</w:t>
    </w:r>
    <w:r w:rsidR="00A54420">
      <w:t>-GU</w:t>
    </w:r>
    <w:r>
      <w:tab/>
    </w:r>
    <w:r>
      <w:tab/>
    </w:r>
    <w:r w:rsidR="001F2405">
      <w:t>EXHIBIT</w:t>
    </w:r>
    <w:r>
      <w:t xml:space="preserve"> B</w:t>
    </w:r>
  </w:p>
  <w:p w:rsidR="007C59C6" w:rsidRDefault="007C59C6">
    <w:pPr>
      <w:pStyle w:val="OrderHeader"/>
    </w:pPr>
    <w:r>
      <w:t>DOCKET NO. 20180044-GU</w:t>
    </w:r>
  </w:p>
  <w:p w:rsidR="007C59C6" w:rsidRDefault="007C59C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45CEF">
      <w:rPr>
        <w:rStyle w:val="PageNumber"/>
        <w:noProof/>
      </w:rPr>
      <w:t>17</w:t>
    </w:r>
    <w:r>
      <w:rPr>
        <w:rStyle w:val="PageNumber"/>
      </w:rPr>
      <w:fldChar w:fldCharType="end"/>
    </w:r>
  </w:p>
  <w:p w:rsidR="007C59C6" w:rsidRDefault="007C59C6">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770" w:rsidRDefault="00997770">
    <w:pPr>
      <w:pStyle w:val="OrderHeader"/>
    </w:pPr>
    <w:r>
      <w:t xml:space="preserve">ORDER NO. </w:t>
    </w:r>
    <w:r w:rsidR="00A54420">
      <w:t>PSC-2018-0501-</w:t>
    </w:r>
    <w:r w:rsidR="00F45CEF">
      <w:t>S</w:t>
    </w:r>
    <w:r w:rsidR="00A54420">
      <w:t>-GU</w:t>
    </w:r>
    <w:r>
      <w:tab/>
    </w:r>
    <w:r>
      <w:tab/>
    </w:r>
    <w:r w:rsidR="001F2405">
      <w:t>EXHIBIT C</w:t>
    </w:r>
  </w:p>
  <w:p w:rsidR="00997770" w:rsidRDefault="00997770">
    <w:pPr>
      <w:pStyle w:val="OrderHeader"/>
    </w:pPr>
    <w:r>
      <w:t>DOCKET NO. 20180044-GU</w:t>
    </w:r>
  </w:p>
  <w:p w:rsidR="00997770" w:rsidRDefault="0099777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45CEF">
      <w:rPr>
        <w:rStyle w:val="PageNumber"/>
        <w:noProof/>
      </w:rPr>
      <w:t>35</w:t>
    </w:r>
    <w:r>
      <w:rPr>
        <w:rStyle w:val="PageNumber"/>
      </w:rPr>
      <w:fldChar w:fldCharType="end"/>
    </w:r>
  </w:p>
  <w:p w:rsidR="00997770" w:rsidRDefault="00997770">
    <w:pPr>
      <w:pStyle w:val="Order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E3C" w:rsidRDefault="00DF2E3C">
    <w:pPr>
      <w:pStyle w:val="OrderHeader"/>
    </w:pPr>
    <w:r>
      <w:t xml:space="preserve">ORDER NO. </w:t>
    </w:r>
    <w:r w:rsidR="00A54420">
      <w:t>PSC-2018-0501-</w:t>
    </w:r>
    <w:r w:rsidR="00F45CEF">
      <w:t>S</w:t>
    </w:r>
    <w:r w:rsidR="00A54420">
      <w:t>-GU</w:t>
    </w:r>
    <w:r>
      <w:tab/>
    </w:r>
    <w:r>
      <w:tab/>
      <w:t>EXHIBIT D</w:t>
    </w:r>
  </w:p>
  <w:p w:rsidR="00DF2E3C" w:rsidRDefault="00DF2E3C">
    <w:pPr>
      <w:pStyle w:val="OrderHeader"/>
    </w:pPr>
    <w:r>
      <w:t>DOCKET NO. 20180044-GU</w:t>
    </w:r>
  </w:p>
  <w:p w:rsidR="00DF2E3C" w:rsidRDefault="00DF2E3C">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F45CEF">
      <w:rPr>
        <w:rStyle w:val="PageNumber"/>
        <w:noProof/>
      </w:rPr>
      <w:t>42</w:t>
    </w:r>
    <w:r>
      <w:rPr>
        <w:rStyle w:val="PageNumber"/>
      </w:rPr>
      <w:fldChar w:fldCharType="end"/>
    </w:r>
  </w:p>
  <w:p w:rsidR="00DF2E3C" w:rsidRDefault="00DF2E3C">
    <w:pPr>
      <w:pStyle w:val="Order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9536D"/>
    <w:multiLevelType w:val="hybridMultilevel"/>
    <w:tmpl w:val="803AC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044-GU"/>
  </w:docVars>
  <w:rsids>
    <w:rsidRoot w:val="006D7894"/>
    <w:rsid w:val="000022B8"/>
    <w:rsid w:val="00035A8C"/>
    <w:rsid w:val="00053AB9"/>
    <w:rsid w:val="00056229"/>
    <w:rsid w:val="00057AF1"/>
    <w:rsid w:val="00065FC2"/>
    <w:rsid w:val="00067685"/>
    <w:rsid w:val="00076E6B"/>
    <w:rsid w:val="0008247D"/>
    <w:rsid w:val="000903D4"/>
    <w:rsid w:val="00090AFC"/>
    <w:rsid w:val="000B783E"/>
    <w:rsid w:val="000D02B8"/>
    <w:rsid w:val="000D06E8"/>
    <w:rsid w:val="000E050C"/>
    <w:rsid w:val="000E20F0"/>
    <w:rsid w:val="000E344D"/>
    <w:rsid w:val="000E3F6D"/>
    <w:rsid w:val="000F359F"/>
    <w:rsid w:val="000F3B2C"/>
    <w:rsid w:val="000F63EB"/>
    <w:rsid w:val="000F648A"/>
    <w:rsid w:val="000F7BE3"/>
    <w:rsid w:val="001052BA"/>
    <w:rsid w:val="001107B3"/>
    <w:rsid w:val="001114B1"/>
    <w:rsid w:val="001139D8"/>
    <w:rsid w:val="00116AD3"/>
    <w:rsid w:val="00121957"/>
    <w:rsid w:val="0012387E"/>
    <w:rsid w:val="00126593"/>
    <w:rsid w:val="00142A96"/>
    <w:rsid w:val="001513DE"/>
    <w:rsid w:val="00154A71"/>
    <w:rsid w:val="00187E32"/>
    <w:rsid w:val="00194E81"/>
    <w:rsid w:val="001A15E7"/>
    <w:rsid w:val="001A33C9"/>
    <w:rsid w:val="001A33F6"/>
    <w:rsid w:val="001A58F3"/>
    <w:rsid w:val="001C2847"/>
    <w:rsid w:val="001C3F8C"/>
    <w:rsid w:val="001C6097"/>
    <w:rsid w:val="001D008A"/>
    <w:rsid w:val="001E0152"/>
    <w:rsid w:val="001E0FF5"/>
    <w:rsid w:val="001F240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6F30"/>
    <w:rsid w:val="002B3111"/>
    <w:rsid w:val="002C7908"/>
    <w:rsid w:val="002D391B"/>
    <w:rsid w:val="002D4B1F"/>
    <w:rsid w:val="002D7D15"/>
    <w:rsid w:val="002E1B2E"/>
    <w:rsid w:val="002E27EB"/>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4059"/>
    <w:rsid w:val="0045537F"/>
    <w:rsid w:val="00457DC7"/>
    <w:rsid w:val="00472BCC"/>
    <w:rsid w:val="004A25CD"/>
    <w:rsid w:val="004A26CC"/>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3C8"/>
    <w:rsid w:val="0058264B"/>
    <w:rsid w:val="005868AA"/>
    <w:rsid w:val="00590845"/>
    <w:rsid w:val="005963C2"/>
    <w:rsid w:val="005A0D69"/>
    <w:rsid w:val="005A31F4"/>
    <w:rsid w:val="005A73EA"/>
    <w:rsid w:val="005B45F7"/>
    <w:rsid w:val="005B63EA"/>
    <w:rsid w:val="005C1A88"/>
    <w:rsid w:val="005C4905"/>
    <w:rsid w:val="005C5033"/>
    <w:rsid w:val="005E751B"/>
    <w:rsid w:val="005F3354"/>
    <w:rsid w:val="0060005E"/>
    <w:rsid w:val="0060095B"/>
    <w:rsid w:val="00601266"/>
    <w:rsid w:val="006050D9"/>
    <w:rsid w:val="00610E73"/>
    <w:rsid w:val="00616DF2"/>
    <w:rsid w:val="0063168D"/>
    <w:rsid w:val="00634812"/>
    <w:rsid w:val="006531A4"/>
    <w:rsid w:val="00660774"/>
    <w:rsid w:val="0066389A"/>
    <w:rsid w:val="0066495C"/>
    <w:rsid w:val="00665CC7"/>
    <w:rsid w:val="00672612"/>
    <w:rsid w:val="00677F18"/>
    <w:rsid w:val="00693483"/>
    <w:rsid w:val="006A0BF3"/>
    <w:rsid w:val="006B0DA6"/>
    <w:rsid w:val="006C547E"/>
    <w:rsid w:val="006D2B51"/>
    <w:rsid w:val="006D5575"/>
    <w:rsid w:val="006D7894"/>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59C6"/>
    <w:rsid w:val="007C7134"/>
    <w:rsid w:val="007D3D20"/>
    <w:rsid w:val="007D742E"/>
    <w:rsid w:val="007E3AFD"/>
    <w:rsid w:val="007E6126"/>
    <w:rsid w:val="00801DAD"/>
    <w:rsid w:val="00803189"/>
    <w:rsid w:val="00804E7A"/>
    <w:rsid w:val="00805FBB"/>
    <w:rsid w:val="008169A4"/>
    <w:rsid w:val="00823D7D"/>
    <w:rsid w:val="008278FE"/>
    <w:rsid w:val="00832598"/>
    <w:rsid w:val="0083397E"/>
    <w:rsid w:val="0083534B"/>
    <w:rsid w:val="00842602"/>
    <w:rsid w:val="00847B45"/>
    <w:rsid w:val="00863A66"/>
    <w:rsid w:val="008703D7"/>
    <w:rsid w:val="00874429"/>
    <w:rsid w:val="00883D9A"/>
    <w:rsid w:val="008919EF"/>
    <w:rsid w:val="00892B20"/>
    <w:rsid w:val="008A12EC"/>
    <w:rsid w:val="008A6159"/>
    <w:rsid w:val="008C21C8"/>
    <w:rsid w:val="008C6375"/>
    <w:rsid w:val="008C6A5B"/>
    <w:rsid w:val="008E26A5"/>
    <w:rsid w:val="008E42D2"/>
    <w:rsid w:val="008E6328"/>
    <w:rsid w:val="009040EE"/>
    <w:rsid w:val="009057FD"/>
    <w:rsid w:val="00906FBA"/>
    <w:rsid w:val="00911CB8"/>
    <w:rsid w:val="009163E8"/>
    <w:rsid w:val="009228C7"/>
    <w:rsid w:val="00922A7F"/>
    <w:rsid w:val="00923A5E"/>
    <w:rsid w:val="00924FE7"/>
    <w:rsid w:val="00926E27"/>
    <w:rsid w:val="00931B43"/>
    <w:rsid w:val="00931C8C"/>
    <w:rsid w:val="0094504B"/>
    <w:rsid w:val="00964A38"/>
    <w:rsid w:val="00966A9D"/>
    <w:rsid w:val="0096742B"/>
    <w:rsid w:val="009728E7"/>
    <w:rsid w:val="009924CF"/>
    <w:rsid w:val="00994100"/>
    <w:rsid w:val="00997770"/>
    <w:rsid w:val="009A6B17"/>
    <w:rsid w:val="009D4C29"/>
    <w:rsid w:val="009F6AD2"/>
    <w:rsid w:val="00A00D8D"/>
    <w:rsid w:val="00A01BB6"/>
    <w:rsid w:val="00A4303C"/>
    <w:rsid w:val="00A470FD"/>
    <w:rsid w:val="00A54420"/>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C6C74"/>
    <w:rsid w:val="00BE62AD"/>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1123"/>
    <w:rsid w:val="00CA71FF"/>
    <w:rsid w:val="00CB5276"/>
    <w:rsid w:val="00CB5BFC"/>
    <w:rsid w:val="00CB68D7"/>
    <w:rsid w:val="00CC7E68"/>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D7666"/>
    <w:rsid w:val="00DE057F"/>
    <w:rsid w:val="00DE2082"/>
    <w:rsid w:val="00DE2289"/>
    <w:rsid w:val="00DF09A7"/>
    <w:rsid w:val="00DF2E3C"/>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45CEF"/>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B8F"/>
    <w:rsid w:val="00FF1C57"/>
    <w:rsid w:val="00FF2581"/>
    <w:rsid w:val="00FF4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6D7894"/>
  </w:style>
  <w:style w:type="paragraph" w:styleId="ListParagraph">
    <w:name w:val="List Paragraph"/>
    <w:basedOn w:val="Normal"/>
    <w:uiPriority w:val="1"/>
    <w:qFormat/>
    <w:rsid w:val="006D7894"/>
    <w:pPr>
      <w:widowControl w:val="0"/>
    </w:pPr>
    <w:rPr>
      <w:rFonts w:ascii="Calibri" w:eastAsia="Calibri" w:hAnsi="Calibri"/>
      <w:sz w:val="22"/>
      <w:szCs w:val="22"/>
    </w:rPr>
  </w:style>
  <w:style w:type="paragraph" w:styleId="NoSpacing">
    <w:name w:val="No Spacing"/>
    <w:uiPriority w:val="1"/>
    <w:qFormat/>
    <w:rsid w:val="006D7894"/>
    <w:rPr>
      <w:sz w:val="24"/>
      <w:szCs w:val="24"/>
    </w:rPr>
  </w:style>
  <w:style w:type="paragraph" w:styleId="BalloonText">
    <w:name w:val="Balloon Text"/>
    <w:basedOn w:val="Normal"/>
    <w:link w:val="BalloonTextChar"/>
    <w:rsid w:val="000903D4"/>
    <w:rPr>
      <w:rFonts w:ascii="Tahoma" w:hAnsi="Tahoma" w:cs="Tahoma"/>
      <w:sz w:val="16"/>
      <w:szCs w:val="16"/>
    </w:rPr>
  </w:style>
  <w:style w:type="character" w:customStyle="1" w:styleId="BalloonTextChar">
    <w:name w:val="Balloon Text Char"/>
    <w:basedOn w:val="DefaultParagraphFont"/>
    <w:link w:val="BalloonText"/>
    <w:rsid w:val="00090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link w:val="FootnoteText"/>
    <w:rsid w:val="006D7894"/>
  </w:style>
  <w:style w:type="paragraph" w:styleId="ListParagraph">
    <w:name w:val="List Paragraph"/>
    <w:basedOn w:val="Normal"/>
    <w:uiPriority w:val="1"/>
    <w:qFormat/>
    <w:rsid w:val="006D7894"/>
    <w:pPr>
      <w:widowControl w:val="0"/>
    </w:pPr>
    <w:rPr>
      <w:rFonts w:ascii="Calibri" w:eastAsia="Calibri" w:hAnsi="Calibri"/>
      <w:sz w:val="22"/>
      <w:szCs w:val="22"/>
    </w:rPr>
  </w:style>
  <w:style w:type="paragraph" w:styleId="NoSpacing">
    <w:name w:val="No Spacing"/>
    <w:uiPriority w:val="1"/>
    <w:qFormat/>
    <w:rsid w:val="006D7894"/>
    <w:rPr>
      <w:sz w:val="24"/>
      <w:szCs w:val="24"/>
    </w:rPr>
  </w:style>
  <w:style w:type="paragraph" w:styleId="BalloonText">
    <w:name w:val="Balloon Text"/>
    <w:basedOn w:val="Normal"/>
    <w:link w:val="BalloonTextChar"/>
    <w:rsid w:val="000903D4"/>
    <w:rPr>
      <w:rFonts w:ascii="Tahoma" w:hAnsi="Tahoma" w:cs="Tahoma"/>
      <w:sz w:val="16"/>
      <w:szCs w:val="16"/>
    </w:rPr>
  </w:style>
  <w:style w:type="character" w:customStyle="1" w:styleId="BalloonTextChar">
    <w:name w:val="Balloon Text Char"/>
    <w:basedOn w:val="DefaultParagraphFont"/>
    <w:link w:val="BalloonText"/>
    <w:rsid w:val="00090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5.JP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G"/><Relationship Id="rId44" Type="http://schemas.openxmlformats.org/officeDocument/2006/relationships/image" Target="media/image30.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4.JP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59CF1-5354-4DAB-A280-D8E9DDA0A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42</Pages>
  <Words>2289</Words>
  <Characters>12272</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2018-10-18T12:48:00Z</dcterms:created>
  <dcterms:modified xsi:type="dcterms:W3CDTF">2018-10-18T13:47:00Z</dcterms:modified>
</cp:coreProperties>
</file>