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124C" w:rsidP="00E2124C">
      <w:pPr>
        <w:pStyle w:val="OrderHeading"/>
      </w:pPr>
      <w:r>
        <w:t>BEFORE THE FLORIDA PUBLIC SERVICE COMMISSION</w:t>
      </w:r>
    </w:p>
    <w:p w:rsidR="00E2124C" w:rsidRDefault="00E2124C" w:rsidP="00E2124C">
      <w:pPr>
        <w:pStyle w:val="OrderBody"/>
      </w:pPr>
    </w:p>
    <w:p w:rsidR="00E2124C" w:rsidRDefault="00E2124C" w:rsidP="00E212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124C" w:rsidRPr="00C63FCF" w:rsidTr="00C63FCF">
        <w:trPr>
          <w:trHeight w:val="828"/>
        </w:trPr>
        <w:tc>
          <w:tcPr>
            <w:tcW w:w="4788" w:type="dxa"/>
            <w:tcBorders>
              <w:bottom w:val="single" w:sz="8" w:space="0" w:color="auto"/>
              <w:right w:val="double" w:sz="6" w:space="0" w:color="auto"/>
            </w:tcBorders>
            <w:shd w:val="clear" w:color="auto" w:fill="auto"/>
          </w:tcPr>
          <w:p w:rsidR="00E2124C" w:rsidRDefault="00E2124C"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2019 cost recovery factors, by Florida City Gas.</w:t>
            </w:r>
          </w:p>
        </w:tc>
        <w:tc>
          <w:tcPr>
            <w:tcW w:w="4788" w:type="dxa"/>
            <w:tcBorders>
              <w:left w:val="double" w:sz="6" w:space="0" w:color="auto"/>
            </w:tcBorders>
            <w:shd w:val="clear" w:color="auto" w:fill="auto"/>
          </w:tcPr>
          <w:p w:rsidR="00E2124C" w:rsidRDefault="00E2124C" w:rsidP="00E2124C">
            <w:pPr>
              <w:pStyle w:val="OrderBody"/>
            </w:pPr>
            <w:r>
              <w:t xml:space="preserve">DOCKET NO. </w:t>
            </w:r>
            <w:bookmarkStart w:id="1" w:name="SSDocketNo"/>
            <w:bookmarkEnd w:id="1"/>
            <w:r>
              <w:t>20180164-GU</w:t>
            </w:r>
          </w:p>
          <w:p w:rsidR="00E2124C" w:rsidRDefault="00E2124C" w:rsidP="00C63FCF">
            <w:pPr>
              <w:pStyle w:val="OrderBody"/>
              <w:tabs>
                <w:tab w:val="center" w:pos="4320"/>
                <w:tab w:val="right" w:pos="8640"/>
              </w:tabs>
              <w:jc w:val="left"/>
            </w:pPr>
            <w:r>
              <w:t xml:space="preserve">ORDER NO. </w:t>
            </w:r>
            <w:bookmarkStart w:id="2" w:name="OrderNo0545"/>
            <w:r w:rsidR="00707A56">
              <w:t>PSC-2018-0545-TRF-GU</w:t>
            </w:r>
            <w:bookmarkEnd w:id="2"/>
          </w:p>
          <w:p w:rsidR="00E2124C" w:rsidRDefault="00E2124C" w:rsidP="00C63FCF">
            <w:pPr>
              <w:pStyle w:val="OrderBody"/>
              <w:tabs>
                <w:tab w:val="center" w:pos="4320"/>
                <w:tab w:val="right" w:pos="8640"/>
              </w:tabs>
              <w:jc w:val="left"/>
            </w:pPr>
            <w:r>
              <w:t xml:space="preserve">ISSUED: </w:t>
            </w:r>
            <w:r w:rsidR="00707A56">
              <w:t>November 19, 2018</w:t>
            </w:r>
          </w:p>
        </w:tc>
      </w:tr>
    </w:tbl>
    <w:p w:rsidR="00E2124C" w:rsidRDefault="00E2124C" w:rsidP="00E2124C"/>
    <w:p w:rsidR="00E2124C" w:rsidRDefault="00E2124C" w:rsidP="00E2124C"/>
    <w:p w:rsidR="00E2124C" w:rsidRDefault="00E2124C">
      <w:pPr>
        <w:ind w:firstLine="720"/>
        <w:jc w:val="both"/>
      </w:pPr>
      <w:bookmarkStart w:id="3" w:name="Commissioners"/>
      <w:bookmarkEnd w:id="3"/>
      <w:r>
        <w:t>The following Commissioners participated in the disposition of this matter:</w:t>
      </w:r>
    </w:p>
    <w:p w:rsidR="00E2124C" w:rsidRDefault="00E2124C"/>
    <w:p w:rsidR="00E2124C" w:rsidRDefault="00E2124C">
      <w:pPr>
        <w:jc w:val="center"/>
      </w:pPr>
      <w:r>
        <w:t>ART GRAHAM, Chairman</w:t>
      </w:r>
    </w:p>
    <w:p w:rsidR="00E2124C" w:rsidRDefault="00E2124C">
      <w:pPr>
        <w:jc w:val="center"/>
      </w:pPr>
      <w:r>
        <w:t xml:space="preserve">JULIE I. BROWN </w:t>
      </w:r>
    </w:p>
    <w:p w:rsidR="00E2124C" w:rsidRDefault="00E2124C">
      <w:pPr>
        <w:jc w:val="center"/>
      </w:pPr>
      <w:r>
        <w:t>DONALD J. POLMANN</w:t>
      </w:r>
    </w:p>
    <w:p w:rsidR="00E2124C" w:rsidRDefault="00E2124C">
      <w:pPr>
        <w:jc w:val="center"/>
      </w:pPr>
      <w:r>
        <w:t>GARY F. CLARK</w:t>
      </w:r>
    </w:p>
    <w:p w:rsidR="00E2124C" w:rsidRDefault="00E2124C">
      <w:pPr>
        <w:jc w:val="center"/>
      </w:pPr>
      <w:r>
        <w:t>ANDREW GILES FAY</w:t>
      </w:r>
    </w:p>
    <w:p w:rsidR="00E2124C" w:rsidRDefault="00E2124C"/>
    <w:p w:rsidR="00E2124C" w:rsidRDefault="00E2124C"/>
    <w:p w:rsidR="00CB5276" w:rsidRDefault="00CB5276">
      <w:pPr>
        <w:pStyle w:val="OrderBody"/>
      </w:pPr>
    </w:p>
    <w:p w:rsidR="00E2124C" w:rsidRDefault="00E2124C" w:rsidP="00E2124C">
      <w:pPr>
        <w:pStyle w:val="CenterUnderline"/>
      </w:pPr>
      <w:r>
        <w:t>TARIFF ORDER</w:t>
      </w:r>
    </w:p>
    <w:p w:rsidR="00E2124C" w:rsidRDefault="00E2124C" w:rsidP="00E2124C">
      <w:pPr>
        <w:pStyle w:val="CenterUnderline"/>
      </w:pPr>
    </w:p>
    <w:p w:rsidR="00E2124C" w:rsidRDefault="00E2124C" w:rsidP="00E2124C">
      <w:pPr>
        <w:pStyle w:val="OrderBody"/>
      </w:pPr>
      <w:r>
        <w:t>BY THE COMMISSION:</w:t>
      </w:r>
    </w:p>
    <w:p w:rsidR="00E2124C" w:rsidRDefault="00E2124C" w:rsidP="00E2124C">
      <w:pPr>
        <w:pStyle w:val="OrderBody"/>
      </w:pPr>
    </w:p>
    <w:p w:rsidR="00E2124C" w:rsidRPr="00E2124C" w:rsidRDefault="00E2124C" w:rsidP="00E2124C">
      <w:pPr>
        <w:keepNext/>
        <w:spacing w:after="240"/>
        <w:jc w:val="center"/>
        <w:outlineLvl w:val="0"/>
        <w:rPr>
          <w:rFonts w:ascii="Arial" w:hAnsi="Arial" w:cs="Arial"/>
          <w:b/>
          <w:bCs/>
          <w:kern w:val="32"/>
          <w:szCs w:val="32"/>
        </w:rPr>
      </w:pPr>
      <w:bookmarkStart w:id="4" w:name="OrderText"/>
      <w:bookmarkEnd w:id="4"/>
      <w:r w:rsidRPr="00E2124C">
        <w:rPr>
          <w:rFonts w:ascii="Arial" w:hAnsi="Arial" w:cs="Arial"/>
          <w:b/>
          <w:bCs/>
          <w:kern w:val="32"/>
          <w:szCs w:val="32"/>
        </w:rPr>
        <w:t>Background</w:t>
      </w:r>
      <w:r w:rsidRPr="00E2124C">
        <w:rPr>
          <w:rFonts w:ascii="Arial" w:hAnsi="Arial" w:cs="Arial"/>
          <w:b/>
          <w:bCs/>
          <w:kern w:val="32"/>
          <w:szCs w:val="32"/>
        </w:rPr>
        <w:fldChar w:fldCharType="begin"/>
      </w:r>
      <w:r w:rsidRPr="00E2124C">
        <w:rPr>
          <w:rFonts w:ascii="Arial" w:hAnsi="Arial" w:cs="Arial"/>
          <w:b/>
          <w:bCs/>
          <w:kern w:val="32"/>
          <w:szCs w:val="32"/>
        </w:rPr>
        <w:instrText xml:space="preserve"> TC  "</w:instrText>
      </w:r>
      <w:r w:rsidRPr="00E2124C">
        <w:rPr>
          <w:rFonts w:ascii="Arial" w:hAnsi="Arial" w:cs="Arial"/>
          <w:b/>
          <w:bCs/>
          <w:kern w:val="32"/>
          <w:szCs w:val="32"/>
        </w:rPr>
        <w:tab/>
      </w:r>
      <w:bookmarkStart w:id="5" w:name="_Toc94516455"/>
      <w:r w:rsidRPr="00E2124C">
        <w:rPr>
          <w:rFonts w:ascii="Arial" w:hAnsi="Arial" w:cs="Arial"/>
          <w:b/>
          <w:bCs/>
          <w:kern w:val="32"/>
          <w:szCs w:val="32"/>
        </w:rPr>
        <w:instrText>Case Background</w:instrText>
      </w:r>
      <w:bookmarkEnd w:id="5"/>
      <w:r w:rsidRPr="00E2124C">
        <w:rPr>
          <w:rFonts w:ascii="Arial" w:hAnsi="Arial" w:cs="Arial"/>
          <w:b/>
          <w:bCs/>
          <w:kern w:val="32"/>
          <w:szCs w:val="32"/>
        </w:rPr>
        <w:instrText xml:space="preserve">" \l 1 </w:instrText>
      </w:r>
      <w:r w:rsidRPr="00E2124C">
        <w:rPr>
          <w:rFonts w:ascii="Arial" w:hAnsi="Arial" w:cs="Arial"/>
          <w:b/>
          <w:bCs/>
          <w:kern w:val="32"/>
          <w:szCs w:val="32"/>
        </w:rPr>
        <w:fldChar w:fldCharType="end"/>
      </w:r>
    </w:p>
    <w:p w:rsidR="00E2124C" w:rsidRPr="00E2124C" w:rsidRDefault="00E2124C" w:rsidP="00E2124C">
      <w:pPr>
        <w:spacing w:after="240"/>
        <w:ind w:firstLine="720"/>
        <w:jc w:val="both"/>
      </w:pPr>
      <w:r w:rsidRPr="00E2124C">
        <w:t>On September 4, 2018, Florida City Gas (City Gas or company) filed a petition for approval of its safety, access, and facility enhancement program (SAFE program) true-up and 2019 cost recovery factors. The SAFE program was originally ap</w:t>
      </w:r>
      <w:r w:rsidR="002B75C4">
        <w:t>proved by this</w:t>
      </w:r>
      <w:r w:rsidRPr="00E2124C">
        <w:t xml:space="preserve"> Commission in Order No. PSC-15-0390-TRF-GU (2015 order) to recover the cost of relocating on an expedited basis certain existing gas mains and associated facilities from rear lot easements to the street front.</w:t>
      </w:r>
      <w:r w:rsidRPr="00E2124C">
        <w:rPr>
          <w:vertAlign w:val="superscript"/>
        </w:rPr>
        <w:footnoteReference w:id="1"/>
      </w:r>
      <w:r w:rsidR="002B75C4">
        <w:t xml:space="preserve"> In the 2015 order, this</w:t>
      </w:r>
      <w:r w:rsidRPr="00E2124C">
        <w:t xml:space="preserve"> Commission found that the relocation of mains and services to the street front provides for more direct access to the facilities and will enhance the level of service provided to all customers through improved safety and reliability. The SAFE factor is a surcharge</w:t>
      </w:r>
      <w:r w:rsidR="002B75C4">
        <w:t xml:space="preserve"> on customers’ bills. This</w:t>
      </w:r>
      <w:r w:rsidRPr="00E2124C">
        <w:t xml:space="preserve"> Commission ordered the company to file an annual petition, beginning in 2016, for review and resetting of the SAFE factors to true-up any prior over- or under-recovery and to set the surcharge for the coming year. The SAFE program is a 10-year program effective from 2015 through 2025.</w:t>
      </w:r>
    </w:p>
    <w:p w:rsidR="00E2124C" w:rsidRPr="00E2124C" w:rsidRDefault="00E2124C" w:rsidP="00E2124C">
      <w:pPr>
        <w:spacing w:after="240"/>
        <w:ind w:firstLine="720"/>
        <w:jc w:val="both"/>
      </w:pPr>
      <w:r w:rsidRPr="00E2124C">
        <w:t>I</w:t>
      </w:r>
      <w:r w:rsidR="002B75C4">
        <w:t>n City Gas’s 2017 rate case, this</w:t>
      </w:r>
      <w:r w:rsidRPr="00E2124C">
        <w:t xml:space="preserve"> Commission approved a Stipulation and Settlement Agreement (settlement) among the parties to the rate case.</w:t>
      </w:r>
      <w:r w:rsidRPr="00E2124C">
        <w:rPr>
          <w:vertAlign w:val="superscript"/>
        </w:rPr>
        <w:footnoteReference w:id="2"/>
      </w:r>
      <w:r w:rsidRPr="00E2124C">
        <w:t xml:space="preserve"> The settlement included a provision that the $3.5 million SAFE investment at the time of the rate case be moved into rate base and </w:t>
      </w:r>
      <w:r w:rsidRPr="00E2124C">
        <w:lastRenderedPageBreak/>
        <w:t xml:space="preserve">recovered through base rates (instead of being recovered through a separate SAFE surcharge on customers’ bills) and the 2018 SAFE factors were reset to $0 for the period June through December 2018. Since the SAFE program is a 10-year program projected to continue until 2025, City Gas filed the instant petition for SAFE factors effective January 2019. The settlement further required City Gas to use a 21 percent federal tax rate for the six-month January through May 2018 true-up calculation and for the 12-month 2019 calculation. The federal tax rate is included in the SAFE return on investment calculation. </w:t>
      </w:r>
    </w:p>
    <w:p w:rsidR="00CB5276" w:rsidRDefault="00E2124C" w:rsidP="00E2124C">
      <w:pPr>
        <w:pStyle w:val="OrderBody"/>
        <w:ind w:firstLine="720"/>
      </w:pPr>
      <w:r w:rsidRPr="00E2124C">
        <w:t>During the review proces</w:t>
      </w:r>
      <w:r w:rsidR="00E555A2">
        <w:t>s of the current petition, the Commission</w:t>
      </w:r>
      <w:r w:rsidRPr="00E2124C">
        <w:t xml:space="preserve"> issued a data request to the company, for which the responses were received on September 28, 2018. The responses included revised tariff Sheet No. 79 to include a minor correction. The revised t</w:t>
      </w:r>
      <w:r w:rsidR="00E555A2">
        <w:t>ariff is shown in Attachment 2 to this order</w:t>
      </w:r>
      <w:r w:rsidRPr="00E2124C">
        <w:t>. On October 12, 2018, the company filed an amended response to question 4 of staff’s first data request regarding</w:t>
      </w:r>
      <w:r w:rsidR="002B75C4">
        <w:t xml:space="preserve"> notifications to customers. This</w:t>
      </w:r>
      <w:r w:rsidRPr="00E2124C">
        <w:t xml:space="preserve"> Commission has jurisdiction over this matter pursuant to Sections 366.03, 366.04, 366.05, 366.06, and 368, Florida Statutes (F.S.).</w:t>
      </w:r>
    </w:p>
    <w:p w:rsidR="00E2124C" w:rsidRDefault="00E2124C" w:rsidP="00E2124C">
      <w:pPr>
        <w:pStyle w:val="OrderBody"/>
      </w:pPr>
    </w:p>
    <w:p w:rsidR="00E2124C" w:rsidRPr="00E2124C" w:rsidRDefault="00E2124C" w:rsidP="00E2124C">
      <w:pPr>
        <w:keepNext/>
        <w:spacing w:after="240"/>
        <w:jc w:val="center"/>
        <w:outlineLvl w:val="0"/>
        <w:rPr>
          <w:rFonts w:ascii="Arial" w:hAnsi="Arial" w:cs="Arial"/>
          <w:b/>
          <w:bCs/>
          <w:kern w:val="32"/>
          <w:szCs w:val="32"/>
        </w:rPr>
      </w:pPr>
      <w:bookmarkStart w:id="6" w:name="DiscussionOfIssues"/>
      <w:r w:rsidRPr="00E2124C">
        <w:rPr>
          <w:rFonts w:ascii="Arial" w:hAnsi="Arial" w:cs="Arial"/>
          <w:b/>
          <w:bCs/>
          <w:kern w:val="32"/>
          <w:szCs w:val="32"/>
        </w:rPr>
        <w:t>D</w:t>
      </w:r>
      <w:r w:rsidR="002B75C4">
        <w:rPr>
          <w:rFonts w:ascii="Arial" w:hAnsi="Arial" w:cs="Arial"/>
          <w:b/>
          <w:bCs/>
          <w:kern w:val="32"/>
          <w:szCs w:val="32"/>
        </w:rPr>
        <w:t>ecision</w:t>
      </w:r>
    </w:p>
    <w:bookmarkEnd w:id="6"/>
    <w:p w:rsidR="00E2124C" w:rsidRPr="00E2124C" w:rsidRDefault="00E2124C" w:rsidP="002B75C4">
      <w:pPr>
        <w:spacing w:after="240"/>
        <w:ind w:firstLine="720"/>
        <w:jc w:val="both"/>
      </w:pPr>
      <w:r w:rsidRPr="00E2124C">
        <w:t>Under the SAFE program, City Gas will relocate or replace 254.3 miles of mains and 12,462 associated services from rear property easements to the street front over a 10-year period ending in 2025. City Gas began its mains and services replacements at the end of 2015, as provided for in the 2015 order, and the surcharges have been in effect since January 2016. As of 2018, the company has replaced 82.2 miles of mains and 4,667 services as shown in Atta</w:t>
      </w:r>
      <w:r w:rsidR="00E555A2">
        <w:t>chment 1 to this order.</w:t>
      </w:r>
    </w:p>
    <w:p w:rsidR="00E2124C" w:rsidRPr="00E2124C" w:rsidRDefault="00E2124C" w:rsidP="00E2124C">
      <w:pPr>
        <w:spacing w:after="240"/>
        <w:ind w:firstLine="720"/>
        <w:jc w:val="both"/>
      </w:pPr>
      <w:r w:rsidRPr="00E2124C">
        <w:t>As stated i</w:t>
      </w:r>
      <w:r w:rsidR="00E555A2">
        <w:t>n City Gas’s response to the Commission’s</w:t>
      </w:r>
      <w:r w:rsidRPr="00E2124C">
        <w:t xml:space="preserve"> data request, the company’s current 2018 replacement plans include 10 projects located in Merritt Island in Brevard County, City of Hialeah, City of Miami Gardens, South Miami Heights neighborhood, and Westchester neighborhood in Miami-Dade County. The company’s projected 2019 replacement plans include nine additional projects located in the City of Port Saint Lucie in Saint Lucie County, the City of Miami Gardens, the City of Hialeah, Sierra neighborhood, and Westchester neighborhood in Miami-Dade County.</w:t>
      </w:r>
    </w:p>
    <w:p w:rsidR="00E2124C" w:rsidRPr="00E2124C" w:rsidRDefault="00E2124C" w:rsidP="00E2124C">
      <w:pPr>
        <w:spacing w:after="240"/>
        <w:ind w:firstLine="720"/>
        <w:jc w:val="both"/>
      </w:pPr>
      <w:r w:rsidRPr="00E2124C">
        <w:t xml:space="preserve">City Gas stated that its replacement projects are generally prioritized based on the risk assessment model in the company’s Distribution Integrity Management Program. Prioritization factors include, but are not limited to, location of the pipeline, rear lot pipelines with maintenance access complications and customer encroachments, leak incident rate, material of pipe, age of the pipeline, and operating pressure of the pipeline.  </w:t>
      </w:r>
    </w:p>
    <w:p w:rsidR="00E2124C" w:rsidRPr="00E2124C" w:rsidRDefault="00E2124C" w:rsidP="00E2124C">
      <w:pPr>
        <w:jc w:val="both"/>
        <w:outlineLvl w:val="2"/>
        <w:rPr>
          <w:rFonts w:ascii="Arial" w:hAnsi="Arial" w:cs="Arial"/>
          <w:b/>
          <w:bCs/>
          <w:iCs/>
          <w:szCs w:val="28"/>
        </w:rPr>
      </w:pPr>
      <w:r w:rsidRPr="00E2124C">
        <w:rPr>
          <w:rFonts w:ascii="Arial" w:hAnsi="Arial" w:cs="Arial"/>
          <w:b/>
          <w:bCs/>
          <w:iCs/>
          <w:szCs w:val="28"/>
        </w:rPr>
        <w:t>True-ups by Year</w:t>
      </w:r>
    </w:p>
    <w:p w:rsidR="00E2124C" w:rsidRDefault="00E2124C" w:rsidP="00E2124C">
      <w:pPr>
        <w:spacing w:after="240"/>
        <w:ind w:firstLine="720"/>
        <w:jc w:val="both"/>
      </w:pPr>
      <w:r w:rsidRPr="00E2124C">
        <w:t>As required in the 2015 order, City Gas’s calculations for the 2019 revenue requirement and SAFE factors include a final true-up for 2017, an actual/estimated true-up for 2018, and projected costs for 2019. City Gas currently does not include interest on any over- or under-recoveries in its calculations.</w:t>
      </w:r>
    </w:p>
    <w:p w:rsidR="00E555A2" w:rsidRPr="00E2124C" w:rsidRDefault="00E555A2" w:rsidP="00E2124C">
      <w:pPr>
        <w:spacing w:after="240"/>
        <w:ind w:firstLine="720"/>
        <w:jc w:val="both"/>
      </w:pPr>
    </w:p>
    <w:p w:rsidR="00E2124C" w:rsidRPr="00E2124C" w:rsidRDefault="00E2124C" w:rsidP="00E2124C">
      <w:pPr>
        <w:ind w:left="720"/>
        <w:jc w:val="both"/>
        <w:outlineLvl w:val="3"/>
        <w:rPr>
          <w:rFonts w:ascii="Arial" w:hAnsi="Arial" w:cs="Arial"/>
          <w:b/>
          <w:bCs/>
          <w:i/>
          <w:iCs/>
          <w:szCs w:val="28"/>
        </w:rPr>
      </w:pPr>
      <w:r w:rsidRPr="00E2124C">
        <w:rPr>
          <w:rFonts w:ascii="Arial" w:hAnsi="Arial" w:cs="Arial"/>
          <w:b/>
          <w:bCs/>
          <w:i/>
          <w:iCs/>
          <w:szCs w:val="28"/>
        </w:rPr>
        <w:lastRenderedPageBreak/>
        <w:t>Final True-up for 2017</w:t>
      </w:r>
    </w:p>
    <w:p w:rsidR="00E2124C" w:rsidRPr="00E2124C" w:rsidRDefault="00E2124C" w:rsidP="00E2124C">
      <w:pPr>
        <w:spacing w:after="240"/>
        <w:ind w:firstLine="720"/>
        <w:jc w:val="both"/>
      </w:pPr>
      <w:r w:rsidRPr="00E2124C">
        <w:t xml:space="preserve">City Gas stated that the revenues collected for 2017 were $2,018,776 compared to a revenue requirement of $2,283,402, resulting in an under-recovery of $264,626. Adding the 2016 final over-recovery of $182,647, and the $264,626 under-recovery of 2017, results in a final 2017 under-recovery of $81,979. </w:t>
      </w:r>
    </w:p>
    <w:p w:rsidR="00E2124C" w:rsidRPr="00E2124C" w:rsidRDefault="00E2124C" w:rsidP="00E2124C">
      <w:pPr>
        <w:ind w:left="720"/>
        <w:jc w:val="both"/>
        <w:outlineLvl w:val="3"/>
        <w:rPr>
          <w:rFonts w:ascii="Arial" w:hAnsi="Arial" w:cs="Arial"/>
          <w:b/>
          <w:bCs/>
          <w:i/>
          <w:iCs/>
          <w:szCs w:val="28"/>
        </w:rPr>
      </w:pPr>
      <w:r w:rsidRPr="00E2124C">
        <w:rPr>
          <w:rFonts w:ascii="Arial" w:hAnsi="Arial" w:cs="Arial"/>
          <w:b/>
          <w:bCs/>
          <w:i/>
          <w:iCs/>
          <w:szCs w:val="28"/>
        </w:rPr>
        <w:t>Actual/Estimated 2018 True-up</w:t>
      </w:r>
    </w:p>
    <w:p w:rsidR="00E2124C" w:rsidRPr="00E2124C" w:rsidRDefault="005B4CAD" w:rsidP="00E2124C">
      <w:pPr>
        <w:spacing w:after="240"/>
        <w:ind w:firstLine="720"/>
        <w:jc w:val="both"/>
        <w:rPr>
          <w:color w:val="000000"/>
        </w:rPr>
      </w:pPr>
      <w:r>
        <w:t xml:space="preserve">As stated in the </w:t>
      </w:r>
      <w:r w:rsidR="00E2124C" w:rsidRPr="00E2124C">
        <w:t>background</w:t>
      </w:r>
      <w:r w:rsidR="00E2124C" w:rsidRPr="00E2124C">
        <w:rPr>
          <w:color w:val="000000"/>
        </w:rPr>
        <w:t xml:space="preserve">, </w:t>
      </w:r>
      <w:r w:rsidR="00E2124C" w:rsidRPr="00E2124C">
        <w:t xml:space="preserve">the </w:t>
      </w:r>
      <w:r w:rsidR="00E2124C" w:rsidRPr="00E2124C">
        <w:rPr>
          <w:color w:val="000000"/>
        </w:rPr>
        <w:t xml:space="preserve">SAFE factor was reset to $0 for the period June through December 2018; therefore, the actual/estimated 2018 true-up only includes actual data for January through May 2018. The company collected $1,450,631 from January to May compared to the revenue requirement of $1,029,927 for the same period, resulting in an over-recovery of $420,704. Adding the final 2017 </w:t>
      </w:r>
      <w:r w:rsidR="00E2124C" w:rsidRPr="00E2124C">
        <w:t xml:space="preserve">under-recovery of $81,979 to the 2018 </w:t>
      </w:r>
      <w:r w:rsidR="00E2124C" w:rsidRPr="00E2124C">
        <w:rPr>
          <w:color w:val="000000"/>
        </w:rPr>
        <w:t xml:space="preserve">over-recovery of $420,704, the resulting total 2018 true-up is an over-recovery of $338,727. </w:t>
      </w:r>
    </w:p>
    <w:p w:rsidR="00E2124C" w:rsidRPr="00E2124C" w:rsidRDefault="00E2124C" w:rsidP="00E2124C">
      <w:pPr>
        <w:ind w:left="720"/>
        <w:jc w:val="both"/>
        <w:outlineLvl w:val="3"/>
        <w:rPr>
          <w:rFonts w:ascii="Arial" w:hAnsi="Arial" w:cs="Arial"/>
          <w:b/>
          <w:bCs/>
          <w:i/>
          <w:iCs/>
          <w:szCs w:val="28"/>
        </w:rPr>
      </w:pPr>
      <w:r w:rsidRPr="00E2124C">
        <w:rPr>
          <w:rFonts w:ascii="Arial" w:hAnsi="Arial" w:cs="Arial"/>
          <w:b/>
          <w:bCs/>
          <w:i/>
          <w:iCs/>
          <w:szCs w:val="28"/>
        </w:rPr>
        <w:t>Projected 2019 Costs</w:t>
      </w:r>
    </w:p>
    <w:p w:rsidR="00E2124C" w:rsidRPr="00E2124C" w:rsidRDefault="00E2124C" w:rsidP="00E2124C">
      <w:pPr>
        <w:spacing w:after="240"/>
        <w:ind w:firstLine="720"/>
        <w:jc w:val="both"/>
        <w:rPr>
          <w:color w:val="000000"/>
        </w:rPr>
      </w:pPr>
      <w:r w:rsidRPr="00E2124C">
        <w:t xml:space="preserve">The company’s projected investment for 2019 is $10,530,795 for its nine projects located in Saint Lucie and Miami-Dade Counties. The revenue requirement, which includes a return on investment, depreciation, and taxes, is $629,977. The return on investment calculation includes federal income taxes, regulatory assessment fees, and bad debt. After adding the 2018 </w:t>
      </w:r>
      <w:r w:rsidRPr="00E2124C">
        <w:rPr>
          <w:color w:val="000000"/>
        </w:rPr>
        <w:t>over-recovery of $338,727, the total 2019 revenue re</w:t>
      </w:r>
      <w:r w:rsidR="002B75C4">
        <w:rPr>
          <w:color w:val="000000"/>
        </w:rPr>
        <w:t>quirement is $291,250. Table 1</w:t>
      </w:r>
      <w:r w:rsidRPr="00E2124C">
        <w:rPr>
          <w:color w:val="000000"/>
        </w:rPr>
        <w:t xml:space="preserve"> displays the projected 2019 revenue requirement calculation.</w:t>
      </w:r>
    </w:p>
    <w:p w:rsidR="00E2124C" w:rsidRPr="00E2124C" w:rsidRDefault="00E2124C" w:rsidP="00E2124C">
      <w:pPr>
        <w:keepNext/>
        <w:spacing w:before="480"/>
        <w:jc w:val="center"/>
        <w:rPr>
          <w:rFonts w:ascii="Arial" w:hAnsi="Arial"/>
          <w:b/>
        </w:rPr>
      </w:pPr>
      <w:r w:rsidRPr="00E2124C">
        <w:rPr>
          <w:rFonts w:ascii="Arial" w:hAnsi="Arial"/>
          <w:b/>
        </w:rPr>
        <w:t xml:space="preserve">Table </w:t>
      </w:r>
      <w:r w:rsidRPr="00E2124C">
        <w:rPr>
          <w:rFonts w:ascii="Arial" w:hAnsi="Arial"/>
          <w:b/>
        </w:rPr>
        <w:fldChar w:fldCharType="begin"/>
      </w:r>
      <w:r w:rsidRPr="00E2124C">
        <w:rPr>
          <w:rFonts w:ascii="Arial" w:hAnsi="Arial"/>
          <w:b/>
        </w:rPr>
        <w:instrText xml:space="preserve"> SEQ Issue \c </w:instrText>
      </w:r>
      <w:r w:rsidRPr="00E2124C">
        <w:rPr>
          <w:rFonts w:ascii="Arial" w:hAnsi="Arial"/>
          <w:b/>
        </w:rPr>
        <w:fldChar w:fldCharType="separate"/>
      </w:r>
      <w:r w:rsidR="00F53ECD">
        <w:rPr>
          <w:rFonts w:ascii="Arial" w:hAnsi="Arial"/>
          <w:b/>
          <w:noProof/>
        </w:rPr>
        <w:t>0</w:t>
      </w:r>
      <w:r w:rsidRPr="00E2124C">
        <w:rPr>
          <w:rFonts w:ascii="Arial" w:hAnsi="Arial"/>
          <w:b/>
          <w:noProof/>
        </w:rPr>
        <w:fldChar w:fldCharType="end"/>
      </w:r>
    </w:p>
    <w:p w:rsidR="00E2124C" w:rsidRPr="00E2124C" w:rsidRDefault="00E2124C" w:rsidP="00E2124C">
      <w:pPr>
        <w:keepNext/>
        <w:jc w:val="center"/>
        <w:rPr>
          <w:rFonts w:ascii="Arial" w:hAnsi="Arial"/>
          <w:b/>
        </w:rPr>
      </w:pPr>
      <w:r w:rsidRPr="00E2124C">
        <w:rPr>
          <w:rFonts w:ascii="Arial" w:hAnsi="Arial"/>
          <w:b/>
        </w:rPr>
        <w:t>2019 Revenue Requirement Calculation</w:t>
      </w:r>
    </w:p>
    <w:tbl>
      <w:tblPr>
        <w:tblStyle w:val="TableGrid"/>
        <w:tblW w:w="0" w:type="auto"/>
        <w:tblInd w:w="1080" w:type="dxa"/>
        <w:tblBorders>
          <w:insideH w:val="none" w:sz="0" w:space="0" w:color="auto"/>
          <w:insideV w:val="none" w:sz="0" w:space="0" w:color="auto"/>
        </w:tblBorders>
        <w:tblLook w:val="04A0" w:firstRow="1" w:lastRow="0" w:firstColumn="1" w:lastColumn="0" w:noHBand="0" w:noVBand="1"/>
      </w:tblPr>
      <w:tblGrid>
        <w:gridCol w:w="3600"/>
        <w:gridCol w:w="3600"/>
      </w:tblGrid>
      <w:tr w:rsidR="00E2124C" w:rsidRPr="00E2124C" w:rsidTr="00B75CE0">
        <w:trPr>
          <w:trHeight w:val="288"/>
        </w:trPr>
        <w:tc>
          <w:tcPr>
            <w:tcW w:w="3600" w:type="dxa"/>
            <w:tcBorders>
              <w:top w:val="double" w:sz="4" w:space="0" w:color="auto"/>
              <w:left w:val="double" w:sz="4" w:space="0" w:color="auto"/>
              <w:bottom w:val="double" w:sz="4" w:space="0" w:color="auto"/>
            </w:tcBorders>
          </w:tcPr>
          <w:p w:rsidR="00E2124C" w:rsidRPr="00E2124C" w:rsidRDefault="00E2124C" w:rsidP="00E2124C">
            <w:r w:rsidRPr="00E2124C">
              <w:t>2019 Projected Investment</w:t>
            </w:r>
          </w:p>
        </w:tc>
        <w:tc>
          <w:tcPr>
            <w:tcW w:w="3600" w:type="dxa"/>
            <w:tcBorders>
              <w:top w:val="double" w:sz="4" w:space="0" w:color="auto"/>
              <w:bottom w:val="double" w:sz="4" w:space="0" w:color="auto"/>
              <w:right w:val="double" w:sz="4" w:space="0" w:color="auto"/>
            </w:tcBorders>
          </w:tcPr>
          <w:p w:rsidR="00E2124C" w:rsidRPr="00E2124C" w:rsidRDefault="00E2124C" w:rsidP="00E2124C">
            <w:pPr>
              <w:jc w:val="right"/>
            </w:pPr>
            <w:r w:rsidRPr="00E2124C">
              <w:t>$10,530,795</w:t>
            </w:r>
          </w:p>
        </w:tc>
      </w:tr>
      <w:tr w:rsidR="00E2124C" w:rsidRPr="00E2124C" w:rsidTr="00B75CE0">
        <w:trPr>
          <w:trHeight w:val="288"/>
        </w:trPr>
        <w:tc>
          <w:tcPr>
            <w:tcW w:w="3600" w:type="dxa"/>
            <w:tcBorders>
              <w:top w:val="double" w:sz="4" w:space="0" w:color="auto"/>
            </w:tcBorders>
          </w:tcPr>
          <w:p w:rsidR="00E2124C" w:rsidRPr="00E2124C" w:rsidRDefault="00E2124C" w:rsidP="00E2124C">
            <w:r w:rsidRPr="00E2124C">
              <w:t>Return on Investment</w:t>
            </w:r>
          </w:p>
        </w:tc>
        <w:tc>
          <w:tcPr>
            <w:tcW w:w="3600" w:type="dxa"/>
            <w:tcBorders>
              <w:top w:val="double" w:sz="4" w:space="0" w:color="auto"/>
            </w:tcBorders>
          </w:tcPr>
          <w:p w:rsidR="00E2124C" w:rsidRPr="00E2124C" w:rsidRDefault="00E2124C" w:rsidP="00E2124C">
            <w:pPr>
              <w:jc w:val="right"/>
            </w:pPr>
            <w:r w:rsidRPr="00E2124C">
              <w:t>$427,027</w:t>
            </w:r>
          </w:p>
        </w:tc>
      </w:tr>
      <w:tr w:rsidR="00E2124C" w:rsidRPr="00E2124C" w:rsidTr="00B75CE0">
        <w:trPr>
          <w:trHeight w:val="288"/>
        </w:trPr>
        <w:tc>
          <w:tcPr>
            <w:tcW w:w="3600" w:type="dxa"/>
          </w:tcPr>
          <w:p w:rsidR="00E2124C" w:rsidRPr="00E2124C" w:rsidRDefault="00E2124C" w:rsidP="00E2124C">
            <w:r w:rsidRPr="00E2124C">
              <w:t>Depreciation Expense</w:t>
            </w:r>
          </w:p>
        </w:tc>
        <w:tc>
          <w:tcPr>
            <w:tcW w:w="3600" w:type="dxa"/>
          </w:tcPr>
          <w:p w:rsidR="00E2124C" w:rsidRPr="00E2124C" w:rsidRDefault="00E2124C" w:rsidP="00E2124C">
            <w:pPr>
              <w:jc w:val="right"/>
            </w:pPr>
            <w:r w:rsidRPr="00E2124C">
              <w:t>152,868</w:t>
            </w:r>
          </w:p>
        </w:tc>
      </w:tr>
      <w:tr w:rsidR="00E2124C" w:rsidRPr="00E2124C" w:rsidTr="00B75CE0">
        <w:trPr>
          <w:trHeight w:val="288"/>
        </w:trPr>
        <w:tc>
          <w:tcPr>
            <w:tcW w:w="3600" w:type="dxa"/>
          </w:tcPr>
          <w:p w:rsidR="00E2124C" w:rsidRPr="00E2124C" w:rsidRDefault="00E2124C" w:rsidP="00E2124C">
            <w:r w:rsidRPr="00E2124C">
              <w:t>Property Tax Expense</w:t>
            </w:r>
          </w:p>
        </w:tc>
        <w:tc>
          <w:tcPr>
            <w:tcW w:w="3600" w:type="dxa"/>
          </w:tcPr>
          <w:p w:rsidR="00E2124C" w:rsidRPr="00E2124C" w:rsidRDefault="00E2124C" w:rsidP="00E2124C">
            <w:pPr>
              <w:jc w:val="right"/>
              <w:rPr>
                <w:u w:val="single"/>
              </w:rPr>
            </w:pPr>
            <w:r w:rsidRPr="00E2124C">
              <w:rPr>
                <w:u w:val="single"/>
              </w:rPr>
              <w:t>50,082</w:t>
            </w:r>
          </w:p>
        </w:tc>
      </w:tr>
      <w:tr w:rsidR="00E2124C" w:rsidRPr="00E2124C" w:rsidTr="00B75CE0">
        <w:trPr>
          <w:trHeight w:val="288"/>
        </w:trPr>
        <w:tc>
          <w:tcPr>
            <w:tcW w:w="3600" w:type="dxa"/>
          </w:tcPr>
          <w:p w:rsidR="00E2124C" w:rsidRPr="00E2124C" w:rsidRDefault="00E2124C" w:rsidP="00E2124C">
            <w:r w:rsidRPr="00E2124C">
              <w:t>2019 Revenue Requirement</w:t>
            </w:r>
          </w:p>
        </w:tc>
        <w:tc>
          <w:tcPr>
            <w:tcW w:w="3600" w:type="dxa"/>
          </w:tcPr>
          <w:p w:rsidR="00E2124C" w:rsidRPr="00E2124C" w:rsidRDefault="00E2124C" w:rsidP="00E2124C">
            <w:pPr>
              <w:jc w:val="right"/>
            </w:pPr>
            <w:r w:rsidRPr="00E2124C">
              <w:t>$629,977</w:t>
            </w:r>
          </w:p>
        </w:tc>
      </w:tr>
      <w:tr w:rsidR="00E2124C" w:rsidRPr="00E2124C" w:rsidTr="00B75CE0">
        <w:trPr>
          <w:trHeight w:val="288"/>
        </w:trPr>
        <w:tc>
          <w:tcPr>
            <w:tcW w:w="3600" w:type="dxa"/>
          </w:tcPr>
          <w:p w:rsidR="00E2124C" w:rsidRPr="00E2124C" w:rsidRDefault="00E2124C" w:rsidP="00E2124C">
            <w:r w:rsidRPr="00E2124C">
              <w:t>Less 2018 Over-recovery</w:t>
            </w:r>
          </w:p>
        </w:tc>
        <w:tc>
          <w:tcPr>
            <w:tcW w:w="3600" w:type="dxa"/>
          </w:tcPr>
          <w:p w:rsidR="00E2124C" w:rsidRPr="00E2124C" w:rsidRDefault="00E2124C" w:rsidP="00E2124C">
            <w:pPr>
              <w:jc w:val="right"/>
              <w:rPr>
                <w:u w:val="single"/>
              </w:rPr>
            </w:pPr>
            <w:r w:rsidRPr="00E2124C">
              <w:rPr>
                <w:u w:val="single"/>
              </w:rPr>
              <w:t>-338,727</w:t>
            </w:r>
          </w:p>
        </w:tc>
      </w:tr>
      <w:tr w:rsidR="00E2124C" w:rsidRPr="00E2124C" w:rsidTr="00B75CE0">
        <w:trPr>
          <w:trHeight w:val="288"/>
        </w:trPr>
        <w:tc>
          <w:tcPr>
            <w:tcW w:w="3600" w:type="dxa"/>
          </w:tcPr>
          <w:p w:rsidR="00E2124C" w:rsidRPr="00E2124C" w:rsidRDefault="00E2124C" w:rsidP="00E2124C">
            <w:r w:rsidRPr="00E2124C">
              <w:t>Total 2019 Revenue Requirement</w:t>
            </w:r>
          </w:p>
        </w:tc>
        <w:tc>
          <w:tcPr>
            <w:tcW w:w="3600" w:type="dxa"/>
          </w:tcPr>
          <w:p w:rsidR="00E2124C" w:rsidRPr="00E2124C" w:rsidRDefault="00E2124C" w:rsidP="00E2124C">
            <w:pPr>
              <w:jc w:val="right"/>
            </w:pPr>
            <w:r w:rsidRPr="00E2124C">
              <w:t>$291,250</w:t>
            </w:r>
          </w:p>
        </w:tc>
      </w:tr>
    </w:tbl>
    <w:p w:rsidR="00E2124C" w:rsidRPr="00E2124C" w:rsidRDefault="00E2124C" w:rsidP="00E2124C">
      <w:pPr>
        <w:spacing w:after="480"/>
        <w:ind w:left="960" w:right="360"/>
      </w:pPr>
      <w:r w:rsidRPr="00E2124C">
        <w:t>Source: Attachment A of the Petition and Attachment 1 (Excel file)                                                                           in response to Staff’s First Data Request No. 9.</w:t>
      </w:r>
    </w:p>
    <w:p w:rsidR="00E2124C" w:rsidRPr="00E2124C" w:rsidRDefault="00E2124C" w:rsidP="00E2124C">
      <w:pPr>
        <w:jc w:val="both"/>
        <w:outlineLvl w:val="2"/>
        <w:rPr>
          <w:rFonts w:ascii="Arial" w:hAnsi="Arial" w:cs="Arial"/>
          <w:b/>
          <w:bCs/>
          <w:iCs/>
          <w:szCs w:val="28"/>
        </w:rPr>
      </w:pPr>
      <w:r w:rsidRPr="00E2124C">
        <w:rPr>
          <w:rFonts w:ascii="Arial" w:hAnsi="Arial" w:cs="Arial"/>
          <w:b/>
          <w:bCs/>
          <w:iCs/>
          <w:szCs w:val="28"/>
        </w:rPr>
        <w:t>Proposed 2019 SAFE Factors</w:t>
      </w:r>
    </w:p>
    <w:p w:rsidR="00E2124C" w:rsidRPr="00E2124C" w:rsidRDefault="00E2124C" w:rsidP="00E2124C">
      <w:pPr>
        <w:spacing w:after="240"/>
        <w:ind w:firstLine="720"/>
        <w:jc w:val="both"/>
      </w:pPr>
      <w:r w:rsidRPr="00E2124C">
        <w:t xml:space="preserve">The SAFE factors are fixed monthly charges. City Gas’s cost allocation method was approved </w:t>
      </w:r>
      <w:r w:rsidR="005B4CAD">
        <w:t xml:space="preserve">by this Commission </w:t>
      </w:r>
      <w:r w:rsidRPr="00E2124C">
        <w:t>in the 2015 order and was used in the instant filing. The approved methodology allocates the current cost of a 2-inch pipe to all customers on a per customer basis and allocates the incremental cost of replacing a pipe larger than 2 inches to customers who use over 6,000 therms per year. For customers who require 4-inch pipes, the cost takes into account that the minimum pipe is insufficient to serve their demand and, therefore, allocates an incremental per foot cost in addition to the all-customer cost. The resulting allocation factors are applied to the 2019 total revenue requirement to develop the monthly SAFE factors.</w:t>
      </w:r>
    </w:p>
    <w:p w:rsidR="00E2124C" w:rsidRPr="00E2124C" w:rsidRDefault="00E2124C" w:rsidP="002B75C4">
      <w:pPr>
        <w:spacing w:after="240"/>
        <w:ind w:firstLine="720"/>
        <w:jc w:val="both"/>
      </w:pPr>
      <w:r w:rsidRPr="00E2124C">
        <w:lastRenderedPageBreak/>
        <w:t xml:space="preserve">The proposed fixed monthly SAFE factor is $0.21 for customers using less than 6,000 therms per year (current factor is $0). The proposed fixed monthly SAFE factor for customers using more than 6,000 therms per year is $0.40 (current factor is $0). </w:t>
      </w:r>
    </w:p>
    <w:p w:rsidR="00E2124C" w:rsidRPr="00E2124C" w:rsidRDefault="00E2124C" w:rsidP="002B75C4">
      <w:pPr>
        <w:jc w:val="both"/>
        <w:outlineLvl w:val="2"/>
        <w:rPr>
          <w:rFonts w:ascii="Arial" w:hAnsi="Arial" w:cs="Arial"/>
          <w:b/>
          <w:bCs/>
          <w:iCs/>
          <w:szCs w:val="28"/>
        </w:rPr>
      </w:pPr>
      <w:r w:rsidRPr="00E2124C">
        <w:rPr>
          <w:rFonts w:ascii="Arial" w:hAnsi="Arial" w:cs="Arial"/>
          <w:b/>
          <w:bCs/>
          <w:iCs/>
          <w:szCs w:val="28"/>
        </w:rPr>
        <w:t>Conclusion</w:t>
      </w:r>
    </w:p>
    <w:p w:rsidR="00E2124C" w:rsidRDefault="00E555A2" w:rsidP="00E555A2">
      <w:pPr>
        <w:pStyle w:val="OrderBody"/>
        <w:ind w:firstLine="720"/>
      </w:pPr>
      <w:r>
        <w:t>We</w:t>
      </w:r>
      <w:r w:rsidR="00A8257A">
        <w:t xml:space="preserve"> </w:t>
      </w:r>
      <w:r w:rsidR="00E2124C" w:rsidRPr="00E2124C">
        <w:t xml:space="preserve">reviewed City Gas’s filings and supporting documentation and </w:t>
      </w:r>
      <w:r>
        <w:t xml:space="preserve">find </w:t>
      </w:r>
      <w:r w:rsidR="00E2124C" w:rsidRPr="00E2124C">
        <w:t xml:space="preserve">that the calculations are consistent with the methodology approved in the 2015 order and are reasonable and accurate. </w:t>
      </w:r>
      <w:r>
        <w:t>We a</w:t>
      </w:r>
      <w:r w:rsidR="00E2124C" w:rsidRPr="00E2124C">
        <w:t>lso reviewed City Gas’s calculation of the 2018 true-up and 2019 projected cost calculations and verified that the calculation includes the 21 percent federal tax rate, a</w:t>
      </w:r>
      <w:r>
        <w:t>s required by the settlement. We therefore approve</w:t>
      </w:r>
      <w:r w:rsidR="00E2124C" w:rsidRPr="00E2124C">
        <w:t xml:space="preserve"> of City Gas’s proposed SAFE factors for the period January through December 2019.</w:t>
      </w:r>
    </w:p>
    <w:p w:rsidR="00E2124C" w:rsidRDefault="00E2124C" w:rsidP="00A8257A">
      <w:pPr>
        <w:pStyle w:val="OrderBody"/>
      </w:pPr>
    </w:p>
    <w:p w:rsidR="00E2124C" w:rsidRDefault="00E2124C" w:rsidP="00A8257A">
      <w:pPr>
        <w:pStyle w:val="OrderBody"/>
      </w:pPr>
      <w:r>
        <w:tab/>
        <w:t>Based on the foregoing, it is</w:t>
      </w:r>
    </w:p>
    <w:p w:rsidR="00E2124C" w:rsidRDefault="00E2124C" w:rsidP="00A8257A">
      <w:pPr>
        <w:pStyle w:val="OrderBody"/>
      </w:pPr>
    </w:p>
    <w:p w:rsidR="00E2124C" w:rsidRDefault="00E2124C" w:rsidP="00A8257A">
      <w:pPr>
        <w:pStyle w:val="OrderBody"/>
      </w:pPr>
      <w:r>
        <w:tab/>
        <w:t>ORDERED by the Florida Public Service Commission that</w:t>
      </w:r>
      <w:r w:rsidR="002B75C4">
        <w:t xml:space="preserve"> Florida City Gas’s proposed SAFE factors are approved for the period January through December 2019. It is further</w:t>
      </w:r>
    </w:p>
    <w:p w:rsidR="00E2124C" w:rsidRDefault="00E2124C" w:rsidP="00A8257A">
      <w:pPr>
        <w:pStyle w:val="OrderBody"/>
      </w:pPr>
    </w:p>
    <w:p w:rsidR="00E2124C" w:rsidRDefault="00E2124C" w:rsidP="00A8257A">
      <w:pPr>
        <w:jc w:val="both"/>
      </w:pPr>
      <w:r>
        <w:tab/>
        <w:t>ORDERED that if a protest is filed within 21 days of issuance of the Order, the tariff shall remain in effect with any charges held subject to refund pending resolution of the protest.  It is further</w:t>
      </w:r>
    </w:p>
    <w:p w:rsidR="00E2124C" w:rsidRDefault="00E2124C" w:rsidP="00A8257A">
      <w:pPr>
        <w:jc w:val="both"/>
      </w:pPr>
    </w:p>
    <w:p w:rsidR="00E2124C" w:rsidRDefault="00E2124C" w:rsidP="00A8257A">
      <w:pPr>
        <w:jc w:val="both"/>
      </w:pPr>
      <w:r>
        <w:tab/>
        <w:t>ORDERED that if no timely protest is filed, this docket shall be closed upon the issuance of a Consummating Order.</w:t>
      </w:r>
    </w:p>
    <w:p w:rsidR="00E2124C" w:rsidRDefault="00E2124C" w:rsidP="00A8257A">
      <w:pPr>
        <w:jc w:val="both"/>
      </w:pPr>
    </w:p>
    <w:p w:rsidR="00E2124C" w:rsidRDefault="00E2124C" w:rsidP="002B75C4">
      <w:pPr>
        <w:keepNext/>
        <w:keepLines/>
        <w:jc w:val="both"/>
      </w:pPr>
      <w:r>
        <w:tab/>
        <w:t xml:space="preserve">By ORDER of the Florida Public Service Commission this </w:t>
      </w:r>
      <w:bookmarkStart w:id="7" w:name="replaceDate"/>
      <w:bookmarkEnd w:id="7"/>
      <w:r w:rsidR="00707A56">
        <w:rPr>
          <w:u w:val="single"/>
        </w:rPr>
        <w:t>19th</w:t>
      </w:r>
      <w:r w:rsidR="00707A56">
        <w:t xml:space="preserve"> day of </w:t>
      </w:r>
      <w:r w:rsidR="00707A56">
        <w:rPr>
          <w:u w:val="single"/>
        </w:rPr>
        <w:t>November</w:t>
      </w:r>
      <w:r w:rsidR="00707A56">
        <w:t xml:space="preserve">, </w:t>
      </w:r>
      <w:r w:rsidR="00707A56">
        <w:rPr>
          <w:u w:val="single"/>
        </w:rPr>
        <w:t>2018</w:t>
      </w:r>
      <w:r w:rsidR="00707A56">
        <w:t>.</w:t>
      </w:r>
    </w:p>
    <w:p w:rsidR="00707A56" w:rsidRPr="00707A56" w:rsidRDefault="00707A56" w:rsidP="002B75C4">
      <w:pPr>
        <w:keepNext/>
        <w:keepLines/>
        <w:jc w:val="both"/>
      </w:pPr>
    </w:p>
    <w:p w:rsidR="00E2124C" w:rsidRDefault="00E2124C" w:rsidP="002B75C4">
      <w:pPr>
        <w:keepNext/>
        <w:keepLines/>
        <w:jc w:val="both"/>
      </w:pPr>
    </w:p>
    <w:p w:rsidR="00E2124C" w:rsidRDefault="00E2124C" w:rsidP="00E2124C">
      <w:pPr>
        <w:keepNext/>
        <w:keepLines/>
      </w:pPr>
    </w:p>
    <w:p w:rsidR="00E2124C" w:rsidRDefault="00E2124C" w:rsidP="00E2124C">
      <w:pPr>
        <w:keepNext/>
        <w:keepLines/>
      </w:pPr>
    </w:p>
    <w:tbl>
      <w:tblPr>
        <w:tblW w:w="4720" w:type="dxa"/>
        <w:tblInd w:w="3800" w:type="dxa"/>
        <w:tblLayout w:type="fixed"/>
        <w:tblLook w:val="0000" w:firstRow="0" w:lastRow="0" w:firstColumn="0" w:lastColumn="0" w:noHBand="0" w:noVBand="0"/>
      </w:tblPr>
      <w:tblGrid>
        <w:gridCol w:w="686"/>
        <w:gridCol w:w="4034"/>
      </w:tblGrid>
      <w:tr w:rsidR="00E2124C" w:rsidTr="00E2124C">
        <w:tc>
          <w:tcPr>
            <w:tcW w:w="720" w:type="dxa"/>
            <w:shd w:val="clear" w:color="auto" w:fill="auto"/>
          </w:tcPr>
          <w:p w:rsidR="00E2124C" w:rsidRDefault="00E2124C" w:rsidP="00E2124C">
            <w:pPr>
              <w:keepNext/>
              <w:keepLines/>
            </w:pPr>
            <w:bookmarkStart w:id="8" w:name="bkmrkSignature" w:colFirst="0" w:colLast="0"/>
          </w:p>
        </w:tc>
        <w:tc>
          <w:tcPr>
            <w:tcW w:w="4320" w:type="dxa"/>
            <w:tcBorders>
              <w:bottom w:val="single" w:sz="4" w:space="0" w:color="auto"/>
            </w:tcBorders>
            <w:shd w:val="clear" w:color="auto" w:fill="auto"/>
          </w:tcPr>
          <w:p w:rsidR="00E2124C" w:rsidRDefault="00F53ECD" w:rsidP="00E2124C">
            <w:pPr>
              <w:keepNext/>
              <w:keepLines/>
            </w:pPr>
            <w:r>
              <w:t>/s/ Carlotta S. Stauffer</w:t>
            </w:r>
            <w:bookmarkStart w:id="9" w:name="_GoBack"/>
            <w:bookmarkEnd w:id="9"/>
          </w:p>
        </w:tc>
      </w:tr>
      <w:bookmarkEnd w:id="8"/>
      <w:tr w:rsidR="00E2124C" w:rsidTr="00E2124C">
        <w:tc>
          <w:tcPr>
            <w:tcW w:w="720" w:type="dxa"/>
            <w:shd w:val="clear" w:color="auto" w:fill="auto"/>
          </w:tcPr>
          <w:p w:rsidR="00E2124C" w:rsidRDefault="00E2124C" w:rsidP="00E2124C">
            <w:pPr>
              <w:keepNext/>
              <w:keepLines/>
            </w:pPr>
          </w:p>
        </w:tc>
        <w:tc>
          <w:tcPr>
            <w:tcW w:w="4320" w:type="dxa"/>
            <w:tcBorders>
              <w:top w:val="single" w:sz="4" w:space="0" w:color="auto"/>
            </w:tcBorders>
            <w:shd w:val="clear" w:color="auto" w:fill="auto"/>
          </w:tcPr>
          <w:p w:rsidR="00E2124C" w:rsidRDefault="00E2124C" w:rsidP="00E2124C">
            <w:pPr>
              <w:keepNext/>
              <w:keepLines/>
            </w:pPr>
            <w:r>
              <w:t>CARLOTTA S. STAUFFER</w:t>
            </w:r>
          </w:p>
          <w:p w:rsidR="00E2124C" w:rsidRDefault="00E2124C" w:rsidP="00E2124C">
            <w:pPr>
              <w:keepNext/>
              <w:keepLines/>
            </w:pPr>
            <w:r>
              <w:t>Commission Clerk</w:t>
            </w:r>
          </w:p>
        </w:tc>
      </w:tr>
    </w:tbl>
    <w:p w:rsidR="00E2124C" w:rsidRDefault="00E2124C" w:rsidP="00E2124C">
      <w:pPr>
        <w:pStyle w:val="OrderSigInfo"/>
        <w:keepNext/>
        <w:keepLines/>
      </w:pPr>
      <w:r>
        <w:t>Florida Public Service Commission</w:t>
      </w:r>
    </w:p>
    <w:p w:rsidR="00E2124C" w:rsidRDefault="00E2124C" w:rsidP="00D56FB7">
      <w:pPr>
        <w:pStyle w:val="OrderSigInfo"/>
        <w:keepNext/>
        <w:keepLines/>
      </w:pPr>
      <w:r>
        <w:t>2540 Shumard Oak Boulevard</w:t>
      </w:r>
    </w:p>
    <w:p w:rsidR="00E2124C" w:rsidRDefault="00E2124C" w:rsidP="00E2124C">
      <w:pPr>
        <w:pStyle w:val="OrderSigInfo"/>
        <w:keepNext/>
        <w:keepLines/>
      </w:pPr>
      <w:r>
        <w:t>Tallahassee, Florida 32399</w:t>
      </w:r>
    </w:p>
    <w:p w:rsidR="00E2124C" w:rsidRDefault="00E2124C" w:rsidP="00E2124C">
      <w:pPr>
        <w:pStyle w:val="OrderSigInfo"/>
        <w:keepNext/>
        <w:keepLines/>
      </w:pPr>
      <w:r>
        <w:t>(850) 413</w:t>
      </w:r>
      <w:r>
        <w:noBreakHyphen/>
        <w:t>6770</w:t>
      </w:r>
    </w:p>
    <w:p w:rsidR="00E2124C" w:rsidRDefault="00E2124C" w:rsidP="00E2124C">
      <w:pPr>
        <w:pStyle w:val="OrderSigInfo"/>
        <w:keepNext/>
        <w:keepLines/>
      </w:pPr>
      <w:r>
        <w:t>www.floridapsc.com</w:t>
      </w:r>
    </w:p>
    <w:p w:rsidR="00E2124C" w:rsidRDefault="00E2124C" w:rsidP="00E2124C">
      <w:pPr>
        <w:pStyle w:val="OrderSigInfo"/>
        <w:keepNext/>
        <w:keepLines/>
      </w:pPr>
    </w:p>
    <w:p w:rsidR="00E2124C" w:rsidRDefault="00E2124C" w:rsidP="00E2124C">
      <w:pPr>
        <w:pStyle w:val="OrderSigInfo"/>
        <w:keepNext/>
        <w:keepLines/>
      </w:pPr>
      <w:r>
        <w:t>Copies furnished:  A copy of this document is provided to the parties of record at the time of issuance and, if applicable, interested persons.</w:t>
      </w:r>
    </w:p>
    <w:p w:rsidR="00E2124C" w:rsidRDefault="00E2124C" w:rsidP="00E2124C">
      <w:pPr>
        <w:keepNext/>
        <w:keepLines/>
      </w:pPr>
      <w:r>
        <w:t>LD</w:t>
      </w:r>
    </w:p>
    <w:p w:rsidR="00E2124C" w:rsidRDefault="00E2124C" w:rsidP="00E2124C"/>
    <w:p w:rsidR="00193E11" w:rsidRDefault="00193E11" w:rsidP="00E2124C"/>
    <w:p w:rsidR="00E555A2" w:rsidRDefault="00E555A2" w:rsidP="00E2124C">
      <w:pPr>
        <w:pStyle w:val="CenterUnderline"/>
      </w:pPr>
    </w:p>
    <w:p w:rsidR="00E2124C" w:rsidRDefault="00E2124C" w:rsidP="00E2124C">
      <w:pPr>
        <w:pStyle w:val="CenterUnderline"/>
      </w:pPr>
      <w:r>
        <w:lastRenderedPageBreak/>
        <w:t>NOTICE OF FURTHER PROCEEDINGS</w:t>
      </w:r>
    </w:p>
    <w:p w:rsidR="00E2124C" w:rsidRDefault="00E2124C" w:rsidP="00A8257A">
      <w:pPr>
        <w:pStyle w:val="CenterUnderline"/>
        <w:jc w:val="both"/>
      </w:pPr>
    </w:p>
    <w:p w:rsidR="00E2124C" w:rsidRDefault="00E2124C" w:rsidP="00A8257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124C" w:rsidRDefault="00E2124C" w:rsidP="00A8257A">
      <w:pPr>
        <w:pStyle w:val="OrderBody"/>
      </w:pPr>
    </w:p>
    <w:p w:rsidR="00E2124C" w:rsidRDefault="00E2124C" w:rsidP="00A8257A">
      <w:pPr>
        <w:pStyle w:val="OrderBody"/>
      </w:pPr>
      <w:r>
        <w:tab/>
        <w:t>Mediation may be available on a case-by-case basis.  If mediation is conducted, it does not affect a substantially interested person's right to a hearing.</w:t>
      </w:r>
    </w:p>
    <w:p w:rsidR="00E2124C" w:rsidRDefault="00E2124C" w:rsidP="00A8257A">
      <w:pPr>
        <w:pStyle w:val="OrderBody"/>
      </w:pPr>
    </w:p>
    <w:p w:rsidR="00E2124C" w:rsidRDefault="00E2124C" w:rsidP="00A8257A">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07A56">
        <w:rPr>
          <w:u w:val="single"/>
        </w:rPr>
        <w:t>December 10, 2018</w:t>
      </w:r>
      <w:r>
        <w:t xml:space="preserve">. </w:t>
      </w:r>
    </w:p>
    <w:p w:rsidR="00E2124C" w:rsidRDefault="00E2124C" w:rsidP="00A8257A">
      <w:pPr>
        <w:pStyle w:val="OrderBody"/>
      </w:pPr>
    </w:p>
    <w:p w:rsidR="00E2124C" w:rsidRDefault="00E2124C" w:rsidP="00A8257A">
      <w:pPr>
        <w:pStyle w:val="OrderBody"/>
      </w:pPr>
      <w:r>
        <w:tab/>
        <w:t>In the absence of such a petition, this Order shall become final and effective upon the issuance of a Consummating Order.</w:t>
      </w:r>
    </w:p>
    <w:p w:rsidR="00E2124C" w:rsidRDefault="00E2124C" w:rsidP="00A8257A">
      <w:pPr>
        <w:pStyle w:val="OrderBody"/>
      </w:pPr>
    </w:p>
    <w:p w:rsidR="0002282F" w:rsidRDefault="00E2124C" w:rsidP="0002282F">
      <w:pPr>
        <w:pStyle w:val="OrderBody"/>
      </w:pPr>
      <w:r>
        <w:tab/>
        <w:t>Any objection or protest filed in this docket before the issuance date of this order is considered abandoned unless it satisfies the foregoing condi</w:t>
      </w:r>
      <w:r w:rsidR="0002282F">
        <w:t>tions and is renewed within the</w:t>
      </w:r>
    </w:p>
    <w:p w:rsidR="00E2124C" w:rsidRDefault="00E555A2" w:rsidP="0002282F">
      <w:pPr>
        <w:pStyle w:val="OrderBody"/>
        <w:jc w:val="left"/>
        <w:sectPr w:rsidR="00E2124C">
          <w:headerReference w:type="default" r:id="rId7"/>
          <w:headerReference w:type="first" r:id="rId8"/>
          <w:footerReference w:type="first" r:id="rId9"/>
          <w:pgSz w:w="12240" w:h="15840" w:code="1"/>
          <w:pgMar w:top="1440" w:right="1440" w:bottom="1440" w:left="1440" w:header="720" w:footer="720" w:gutter="0"/>
          <w:cols w:space="720"/>
          <w:titlePg/>
          <w:docGrid w:linePitch="360"/>
        </w:sectPr>
      </w:pPr>
      <w:r>
        <w:t>specified protest period</w:t>
      </w:r>
    </w:p>
    <w:p w:rsidR="00E2124C" w:rsidRPr="00E2124C" w:rsidRDefault="00E2124C" w:rsidP="00E2124C">
      <w:pPr>
        <w:spacing w:after="240"/>
        <w:jc w:val="both"/>
      </w:pPr>
    </w:p>
    <w:p w:rsidR="00E2124C" w:rsidRPr="00E2124C" w:rsidRDefault="00E2124C" w:rsidP="00E2124C">
      <w:pPr>
        <w:keepNext/>
        <w:spacing w:before="480"/>
        <w:jc w:val="center"/>
        <w:rPr>
          <w:rFonts w:ascii="Arial" w:hAnsi="Arial"/>
          <w:b/>
        </w:rPr>
      </w:pPr>
      <w:r w:rsidRPr="00E2124C">
        <w:rPr>
          <w:rFonts w:ascii="Arial" w:hAnsi="Arial"/>
          <w:b/>
        </w:rPr>
        <w:t>Table 1</w:t>
      </w:r>
    </w:p>
    <w:p w:rsidR="00E2124C" w:rsidRPr="00E2124C" w:rsidRDefault="00E2124C" w:rsidP="00E2124C">
      <w:pPr>
        <w:keepNext/>
        <w:jc w:val="center"/>
        <w:rPr>
          <w:rFonts w:ascii="Arial" w:hAnsi="Arial"/>
          <w:b/>
        </w:rPr>
      </w:pPr>
      <w:r w:rsidRPr="00E2124C">
        <w:rPr>
          <w:rFonts w:ascii="Arial" w:hAnsi="Arial"/>
          <w:b/>
        </w:rPr>
        <w:t>Florida City Gas’s SAFE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E2124C" w:rsidRPr="00E2124C" w:rsidTr="00E2124C">
        <w:trPr>
          <w:trHeight w:val="432"/>
        </w:trPr>
        <w:tc>
          <w:tcPr>
            <w:tcW w:w="1915" w:type="dxa"/>
            <w:shd w:val="clear" w:color="auto" w:fill="BFBFBF"/>
          </w:tcPr>
          <w:p w:rsidR="00E2124C" w:rsidRPr="00E2124C" w:rsidRDefault="00E2124C" w:rsidP="00E2124C"/>
        </w:tc>
        <w:tc>
          <w:tcPr>
            <w:tcW w:w="3830" w:type="dxa"/>
            <w:gridSpan w:val="2"/>
            <w:shd w:val="clear" w:color="auto" w:fill="BFBFBF"/>
            <w:vAlign w:val="center"/>
          </w:tcPr>
          <w:p w:rsidR="00E2124C" w:rsidRPr="00E2124C" w:rsidRDefault="00E2124C" w:rsidP="00E2124C">
            <w:pPr>
              <w:jc w:val="center"/>
              <w:rPr>
                <w:b/>
              </w:rPr>
            </w:pPr>
            <w:r w:rsidRPr="00E2124C">
              <w:rPr>
                <w:b/>
              </w:rPr>
              <w:t>Main Replacements</w:t>
            </w:r>
          </w:p>
        </w:tc>
        <w:tc>
          <w:tcPr>
            <w:tcW w:w="3831" w:type="dxa"/>
            <w:gridSpan w:val="2"/>
            <w:shd w:val="clear" w:color="auto" w:fill="BFBFBF"/>
            <w:vAlign w:val="center"/>
          </w:tcPr>
          <w:p w:rsidR="00E2124C" w:rsidRPr="00E2124C" w:rsidRDefault="00E2124C" w:rsidP="00E2124C">
            <w:pPr>
              <w:jc w:val="center"/>
              <w:rPr>
                <w:b/>
              </w:rPr>
            </w:pPr>
            <w:r w:rsidRPr="00E2124C">
              <w:rPr>
                <w:b/>
              </w:rPr>
              <w:t>Service Replacement</w:t>
            </w:r>
          </w:p>
        </w:tc>
      </w:tr>
      <w:tr w:rsidR="00E2124C" w:rsidRPr="00E2124C" w:rsidTr="00E2124C">
        <w:trPr>
          <w:trHeight w:val="432"/>
        </w:trPr>
        <w:tc>
          <w:tcPr>
            <w:tcW w:w="1915" w:type="dxa"/>
            <w:shd w:val="clear" w:color="auto" w:fill="BFBFBF"/>
            <w:vAlign w:val="center"/>
          </w:tcPr>
          <w:p w:rsidR="00E2124C" w:rsidRPr="00E2124C" w:rsidRDefault="00E2124C" w:rsidP="00E2124C">
            <w:pPr>
              <w:jc w:val="center"/>
              <w:rPr>
                <w:b/>
              </w:rPr>
            </w:pPr>
            <w:r w:rsidRPr="00E2124C">
              <w:rPr>
                <w:b/>
              </w:rPr>
              <w:t>Year*</w:t>
            </w:r>
          </w:p>
        </w:tc>
        <w:tc>
          <w:tcPr>
            <w:tcW w:w="1915" w:type="dxa"/>
            <w:shd w:val="clear" w:color="auto" w:fill="BFBFBF"/>
            <w:vAlign w:val="center"/>
          </w:tcPr>
          <w:p w:rsidR="00E2124C" w:rsidRPr="00E2124C" w:rsidRDefault="00E2124C" w:rsidP="00E2124C">
            <w:pPr>
              <w:jc w:val="center"/>
              <w:rPr>
                <w:b/>
              </w:rPr>
            </w:pPr>
            <w:r w:rsidRPr="00E2124C">
              <w:rPr>
                <w:b/>
              </w:rPr>
              <w:t>Replaced Main (miles)</w:t>
            </w:r>
          </w:p>
        </w:tc>
        <w:tc>
          <w:tcPr>
            <w:tcW w:w="1915" w:type="dxa"/>
            <w:shd w:val="clear" w:color="auto" w:fill="BFBFBF"/>
            <w:vAlign w:val="center"/>
          </w:tcPr>
          <w:p w:rsidR="00E2124C" w:rsidRPr="00E2124C" w:rsidRDefault="00E2124C" w:rsidP="00E2124C">
            <w:pPr>
              <w:jc w:val="center"/>
              <w:rPr>
                <w:b/>
              </w:rPr>
            </w:pPr>
            <w:r w:rsidRPr="00E2124C">
              <w:rPr>
                <w:b/>
              </w:rPr>
              <w:t>Total Miles Remaining</w:t>
            </w:r>
          </w:p>
        </w:tc>
        <w:tc>
          <w:tcPr>
            <w:tcW w:w="1915" w:type="dxa"/>
            <w:shd w:val="clear" w:color="auto" w:fill="BFBFBF"/>
            <w:vAlign w:val="center"/>
          </w:tcPr>
          <w:p w:rsidR="00E2124C" w:rsidRPr="00E2124C" w:rsidRDefault="00E2124C" w:rsidP="00E2124C">
            <w:pPr>
              <w:jc w:val="center"/>
              <w:rPr>
                <w:b/>
              </w:rPr>
            </w:pPr>
            <w:r w:rsidRPr="00E2124C">
              <w:rPr>
                <w:b/>
              </w:rPr>
              <w:t>Replaced Services (number)</w:t>
            </w:r>
          </w:p>
        </w:tc>
        <w:tc>
          <w:tcPr>
            <w:tcW w:w="1916" w:type="dxa"/>
            <w:shd w:val="clear" w:color="auto" w:fill="BFBFBF"/>
            <w:vAlign w:val="center"/>
          </w:tcPr>
          <w:p w:rsidR="00E2124C" w:rsidRPr="00E2124C" w:rsidRDefault="00E2124C" w:rsidP="00E2124C">
            <w:pPr>
              <w:jc w:val="center"/>
              <w:rPr>
                <w:b/>
              </w:rPr>
            </w:pPr>
            <w:r w:rsidRPr="00E2124C">
              <w:rPr>
                <w:b/>
              </w:rPr>
              <w:t>Total Remaining Services</w:t>
            </w:r>
          </w:p>
        </w:tc>
      </w:tr>
      <w:tr w:rsidR="00E2124C" w:rsidRPr="00E2124C" w:rsidTr="00B75CE0">
        <w:trPr>
          <w:trHeight w:val="432"/>
        </w:trPr>
        <w:tc>
          <w:tcPr>
            <w:tcW w:w="1915" w:type="dxa"/>
            <w:vAlign w:val="center"/>
          </w:tcPr>
          <w:p w:rsidR="00E2124C" w:rsidRPr="00E2124C" w:rsidRDefault="00E2124C" w:rsidP="00E2124C">
            <w:pPr>
              <w:jc w:val="center"/>
            </w:pPr>
            <w:r w:rsidRPr="00E2124C">
              <w:t>2014</w:t>
            </w:r>
          </w:p>
        </w:tc>
        <w:tc>
          <w:tcPr>
            <w:tcW w:w="1915" w:type="dxa"/>
            <w:vAlign w:val="center"/>
          </w:tcPr>
          <w:p w:rsidR="00E2124C" w:rsidRPr="00E2124C" w:rsidRDefault="00E2124C" w:rsidP="00E2124C">
            <w:pPr>
              <w:jc w:val="center"/>
            </w:pPr>
            <w:r w:rsidRPr="00E2124C">
              <w:t>0.0</w:t>
            </w:r>
          </w:p>
        </w:tc>
        <w:tc>
          <w:tcPr>
            <w:tcW w:w="1915" w:type="dxa"/>
            <w:vAlign w:val="center"/>
          </w:tcPr>
          <w:p w:rsidR="00E2124C" w:rsidRPr="00E2124C" w:rsidRDefault="00E2124C" w:rsidP="00E2124C">
            <w:pPr>
              <w:jc w:val="center"/>
            </w:pPr>
            <w:r w:rsidRPr="00E2124C">
              <w:t>254.3</w:t>
            </w:r>
          </w:p>
        </w:tc>
        <w:tc>
          <w:tcPr>
            <w:tcW w:w="1915" w:type="dxa"/>
            <w:vAlign w:val="center"/>
          </w:tcPr>
          <w:p w:rsidR="00E2124C" w:rsidRPr="00E2124C" w:rsidRDefault="00E2124C" w:rsidP="00E2124C">
            <w:pPr>
              <w:jc w:val="center"/>
            </w:pPr>
            <w:r w:rsidRPr="00E2124C">
              <w:t>0</w:t>
            </w:r>
          </w:p>
        </w:tc>
        <w:tc>
          <w:tcPr>
            <w:tcW w:w="1916" w:type="dxa"/>
            <w:vAlign w:val="center"/>
          </w:tcPr>
          <w:p w:rsidR="00E2124C" w:rsidRPr="00E2124C" w:rsidRDefault="00E2124C" w:rsidP="00E2124C">
            <w:pPr>
              <w:jc w:val="center"/>
            </w:pPr>
            <w:r w:rsidRPr="00E2124C">
              <w:t>12,462</w:t>
            </w:r>
          </w:p>
        </w:tc>
      </w:tr>
      <w:tr w:rsidR="00E2124C" w:rsidRPr="00E2124C" w:rsidTr="00B75CE0">
        <w:trPr>
          <w:trHeight w:val="432"/>
        </w:trPr>
        <w:tc>
          <w:tcPr>
            <w:tcW w:w="1915" w:type="dxa"/>
            <w:vAlign w:val="center"/>
          </w:tcPr>
          <w:p w:rsidR="00E2124C" w:rsidRPr="00E2124C" w:rsidRDefault="00E2124C" w:rsidP="00E2124C">
            <w:pPr>
              <w:jc w:val="center"/>
            </w:pPr>
            <w:r w:rsidRPr="00E2124C">
              <w:t>2015</w:t>
            </w:r>
          </w:p>
        </w:tc>
        <w:tc>
          <w:tcPr>
            <w:tcW w:w="1915" w:type="dxa"/>
            <w:vAlign w:val="center"/>
          </w:tcPr>
          <w:p w:rsidR="00E2124C" w:rsidRPr="00E2124C" w:rsidRDefault="00E2124C" w:rsidP="00E2124C">
            <w:pPr>
              <w:jc w:val="center"/>
            </w:pPr>
            <w:r w:rsidRPr="00E2124C">
              <w:t>0.0</w:t>
            </w:r>
          </w:p>
        </w:tc>
        <w:tc>
          <w:tcPr>
            <w:tcW w:w="1915" w:type="dxa"/>
            <w:vAlign w:val="center"/>
          </w:tcPr>
          <w:p w:rsidR="00E2124C" w:rsidRPr="00E2124C" w:rsidRDefault="00E2124C" w:rsidP="00E2124C">
            <w:pPr>
              <w:jc w:val="center"/>
            </w:pPr>
            <w:r w:rsidRPr="00E2124C">
              <w:t>254.3</w:t>
            </w:r>
          </w:p>
        </w:tc>
        <w:tc>
          <w:tcPr>
            <w:tcW w:w="1915" w:type="dxa"/>
            <w:vAlign w:val="center"/>
          </w:tcPr>
          <w:p w:rsidR="00E2124C" w:rsidRPr="00E2124C" w:rsidRDefault="00E2124C" w:rsidP="00E2124C">
            <w:pPr>
              <w:jc w:val="center"/>
            </w:pPr>
            <w:r w:rsidRPr="00E2124C">
              <w:t>49</w:t>
            </w:r>
          </w:p>
        </w:tc>
        <w:tc>
          <w:tcPr>
            <w:tcW w:w="1916" w:type="dxa"/>
            <w:vAlign w:val="center"/>
          </w:tcPr>
          <w:p w:rsidR="00E2124C" w:rsidRPr="00E2124C" w:rsidRDefault="00E2124C" w:rsidP="00E2124C">
            <w:pPr>
              <w:jc w:val="center"/>
            </w:pPr>
            <w:r w:rsidRPr="00E2124C">
              <w:t>12,413</w:t>
            </w:r>
          </w:p>
        </w:tc>
      </w:tr>
      <w:tr w:rsidR="00E2124C" w:rsidRPr="00E2124C" w:rsidTr="00B75CE0">
        <w:trPr>
          <w:trHeight w:val="432"/>
        </w:trPr>
        <w:tc>
          <w:tcPr>
            <w:tcW w:w="1915" w:type="dxa"/>
            <w:vAlign w:val="center"/>
          </w:tcPr>
          <w:p w:rsidR="00E2124C" w:rsidRPr="00E2124C" w:rsidRDefault="00E2124C" w:rsidP="00E2124C">
            <w:pPr>
              <w:jc w:val="center"/>
            </w:pPr>
            <w:r w:rsidRPr="00E2124C">
              <w:t>2016</w:t>
            </w:r>
          </w:p>
        </w:tc>
        <w:tc>
          <w:tcPr>
            <w:tcW w:w="1915" w:type="dxa"/>
            <w:vAlign w:val="center"/>
          </w:tcPr>
          <w:p w:rsidR="00E2124C" w:rsidRPr="00E2124C" w:rsidRDefault="00E2124C" w:rsidP="00E2124C">
            <w:pPr>
              <w:jc w:val="center"/>
            </w:pPr>
            <w:r w:rsidRPr="00E2124C">
              <w:t>17.1</w:t>
            </w:r>
          </w:p>
        </w:tc>
        <w:tc>
          <w:tcPr>
            <w:tcW w:w="1915" w:type="dxa"/>
            <w:vAlign w:val="center"/>
          </w:tcPr>
          <w:p w:rsidR="00E2124C" w:rsidRPr="00E2124C" w:rsidRDefault="00E2124C" w:rsidP="00E2124C">
            <w:pPr>
              <w:jc w:val="center"/>
            </w:pPr>
            <w:r w:rsidRPr="00E2124C">
              <w:t>237.2</w:t>
            </w:r>
          </w:p>
        </w:tc>
        <w:tc>
          <w:tcPr>
            <w:tcW w:w="1915" w:type="dxa"/>
            <w:vAlign w:val="center"/>
          </w:tcPr>
          <w:p w:rsidR="00E2124C" w:rsidRPr="00E2124C" w:rsidRDefault="00E2124C" w:rsidP="00E2124C">
            <w:pPr>
              <w:jc w:val="center"/>
            </w:pPr>
            <w:r w:rsidRPr="00E2124C">
              <w:t>1,433</w:t>
            </w:r>
          </w:p>
        </w:tc>
        <w:tc>
          <w:tcPr>
            <w:tcW w:w="1916" w:type="dxa"/>
            <w:vAlign w:val="center"/>
          </w:tcPr>
          <w:p w:rsidR="00E2124C" w:rsidRPr="00E2124C" w:rsidRDefault="00E2124C" w:rsidP="00E2124C">
            <w:pPr>
              <w:jc w:val="center"/>
            </w:pPr>
            <w:r w:rsidRPr="00E2124C">
              <w:t>10,980</w:t>
            </w:r>
          </w:p>
        </w:tc>
      </w:tr>
      <w:tr w:rsidR="00E2124C" w:rsidRPr="00E2124C" w:rsidTr="00B75CE0">
        <w:trPr>
          <w:trHeight w:val="432"/>
        </w:trPr>
        <w:tc>
          <w:tcPr>
            <w:tcW w:w="1915" w:type="dxa"/>
            <w:vAlign w:val="center"/>
          </w:tcPr>
          <w:p w:rsidR="00E2124C" w:rsidRPr="00E2124C" w:rsidRDefault="00E2124C" w:rsidP="00E2124C">
            <w:pPr>
              <w:jc w:val="center"/>
            </w:pPr>
            <w:r w:rsidRPr="00E2124C">
              <w:t>2017</w:t>
            </w:r>
          </w:p>
        </w:tc>
        <w:tc>
          <w:tcPr>
            <w:tcW w:w="1915" w:type="dxa"/>
            <w:vAlign w:val="center"/>
          </w:tcPr>
          <w:p w:rsidR="00E2124C" w:rsidRPr="00E2124C" w:rsidRDefault="00E2124C" w:rsidP="00E2124C">
            <w:pPr>
              <w:jc w:val="center"/>
            </w:pPr>
            <w:r w:rsidRPr="00E2124C">
              <w:t>37.5</w:t>
            </w:r>
          </w:p>
        </w:tc>
        <w:tc>
          <w:tcPr>
            <w:tcW w:w="1915" w:type="dxa"/>
            <w:vAlign w:val="center"/>
          </w:tcPr>
          <w:p w:rsidR="00E2124C" w:rsidRPr="00E2124C" w:rsidRDefault="00E2124C" w:rsidP="00E2124C">
            <w:pPr>
              <w:jc w:val="center"/>
            </w:pPr>
            <w:r w:rsidRPr="00E2124C">
              <w:t>199.7</w:t>
            </w:r>
          </w:p>
        </w:tc>
        <w:tc>
          <w:tcPr>
            <w:tcW w:w="1915" w:type="dxa"/>
            <w:vAlign w:val="center"/>
          </w:tcPr>
          <w:p w:rsidR="00E2124C" w:rsidRPr="00E2124C" w:rsidRDefault="00E2124C" w:rsidP="00E2124C">
            <w:pPr>
              <w:jc w:val="center"/>
            </w:pPr>
            <w:r w:rsidRPr="00E2124C">
              <w:t>1,551</w:t>
            </w:r>
          </w:p>
        </w:tc>
        <w:tc>
          <w:tcPr>
            <w:tcW w:w="1916" w:type="dxa"/>
            <w:vAlign w:val="center"/>
          </w:tcPr>
          <w:p w:rsidR="00E2124C" w:rsidRPr="00E2124C" w:rsidRDefault="00E2124C" w:rsidP="00E2124C">
            <w:pPr>
              <w:jc w:val="center"/>
            </w:pPr>
            <w:r w:rsidRPr="00E2124C">
              <w:t>9,429</w:t>
            </w:r>
          </w:p>
        </w:tc>
      </w:tr>
      <w:tr w:rsidR="00E2124C" w:rsidRPr="00E2124C" w:rsidTr="00B75CE0">
        <w:trPr>
          <w:trHeight w:val="432"/>
        </w:trPr>
        <w:tc>
          <w:tcPr>
            <w:tcW w:w="1915" w:type="dxa"/>
            <w:vAlign w:val="center"/>
          </w:tcPr>
          <w:p w:rsidR="00E2124C" w:rsidRPr="00E2124C" w:rsidRDefault="00E2124C" w:rsidP="00E2124C">
            <w:pPr>
              <w:jc w:val="center"/>
            </w:pPr>
            <w:r w:rsidRPr="00E2124C">
              <w:t>2018</w:t>
            </w:r>
          </w:p>
        </w:tc>
        <w:tc>
          <w:tcPr>
            <w:tcW w:w="1915" w:type="dxa"/>
            <w:vAlign w:val="center"/>
          </w:tcPr>
          <w:p w:rsidR="00E2124C" w:rsidRPr="00E2124C" w:rsidRDefault="00E2124C" w:rsidP="00E2124C">
            <w:pPr>
              <w:jc w:val="center"/>
            </w:pPr>
            <w:r w:rsidRPr="00E2124C">
              <w:t>27.6</w:t>
            </w:r>
          </w:p>
        </w:tc>
        <w:tc>
          <w:tcPr>
            <w:tcW w:w="1915" w:type="dxa"/>
            <w:vAlign w:val="center"/>
          </w:tcPr>
          <w:p w:rsidR="00E2124C" w:rsidRPr="00E2124C" w:rsidRDefault="00E2124C" w:rsidP="00E2124C">
            <w:pPr>
              <w:jc w:val="center"/>
            </w:pPr>
            <w:r w:rsidRPr="00E2124C">
              <w:t>172.1</w:t>
            </w:r>
          </w:p>
        </w:tc>
        <w:tc>
          <w:tcPr>
            <w:tcW w:w="1915" w:type="dxa"/>
            <w:vAlign w:val="center"/>
          </w:tcPr>
          <w:p w:rsidR="00E2124C" w:rsidRPr="00E2124C" w:rsidRDefault="00E2124C" w:rsidP="00E2124C">
            <w:pPr>
              <w:jc w:val="center"/>
            </w:pPr>
            <w:r w:rsidRPr="00E2124C">
              <w:t>1,634</w:t>
            </w:r>
          </w:p>
        </w:tc>
        <w:tc>
          <w:tcPr>
            <w:tcW w:w="1916" w:type="dxa"/>
            <w:vAlign w:val="center"/>
          </w:tcPr>
          <w:p w:rsidR="00E2124C" w:rsidRPr="00E2124C" w:rsidRDefault="00E2124C" w:rsidP="00E2124C">
            <w:pPr>
              <w:jc w:val="center"/>
            </w:pPr>
            <w:r w:rsidRPr="00E2124C">
              <w:t>7,795</w:t>
            </w:r>
          </w:p>
        </w:tc>
      </w:tr>
      <w:tr w:rsidR="00E2124C" w:rsidRPr="00E2124C" w:rsidTr="00B75CE0">
        <w:trPr>
          <w:trHeight w:val="432"/>
        </w:trPr>
        <w:tc>
          <w:tcPr>
            <w:tcW w:w="1915" w:type="dxa"/>
            <w:vAlign w:val="center"/>
          </w:tcPr>
          <w:p w:rsidR="00E2124C" w:rsidRPr="00E2124C" w:rsidRDefault="00E2124C" w:rsidP="00E2124C">
            <w:pPr>
              <w:jc w:val="center"/>
            </w:pPr>
            <w:r w:rsidRPr="00E2124C">
              <w:t>2019</w:t>
            </w:r>
          </w:p>
        </w:tc>
        <w:tc>
          <w:tcPr>
            <w:tcW w:w="1915" w:type="dxa"/>
            <w:vAlign w:val="center"/>
          </w:tcPr>
          <w:p w:rsidR="00E2124C" w:rsidRPr="00E2124C" w:rsidRDefault="00E2124C" w:rsidP="00E2124C">
            <w:pPr>
              <w:jc w:val="center"/>
            </w:pPr>
            <w:r w:rsidRPr="00E2124C">
              <w:t>31.2</w:t>
            </w:r>
          </w:p>
        </w:tc>
        <w:tc>
          <w:tcPr>
            <w:tcW w:w="1915" w:type="dxa"/>
            <w:vAlign w:val="center"/>
          </w:tcPr>
          <w:p w:rsidR="00E2124C" w:rsidRPr="00E2124C" w:rsidRDefault="00E2124C" w:rsidP="00E2124C">
            <w:pPr>
              <w:jc w:val="center"/>
            </w:pPr>
            <w:r w:rsidRPr="00E2124C">
              <w:t>141.0</w:t>
            </w:r>
          </w:p>
        </w:tc>
        <w:tc>
          <w:tcPr>
            <w:tcW w:w="1915" w:type="dxa"/>
            <w:vAlign w:val="center"/>
          </w:tcPr>
          <w:p w:rsidR="00E2124C" w:rsidRPr="00E2124C" w:rsidRDefault="00E2124C" w:rsidP="00E2124C">
            <w:pPr>
              <w:jc w:val="center"/>
            </w:pPr>
            <w:r w:rsidRPr="00E2124C">
              <w:t>1,312</w:t>
            </w:r>
          </w:p>
        </w:tc>
        <w:tc>
          <w:tcPr>
            <w:tcW w:w="1916" w:type="dxa"/>
            <w:vAlign w:val="center"/>
          </w:tcPr>
          <w:p w:rsidR="00E2124C" w:rsidRPr="00E2124C" w:rsidRDefault="00E2124C" w:rsidP="00E2124C">
            <w:pPr>
              <w:jc w:val="center"/>
            </w:pPr>
            <w:r w:rsidRPr="00E2124C">
              <w:t>6,483</w:t>
            </w:r>
          </w:p>
        </w:tc>
      </w:tr>
      <w:tr w:rsidR="00E2124C" w:rsidRPr="00E2124C" w:rsidTr="00B75CE0">
        <w:trPr>
          <w:trHeight w:val="432"/>
        </w:trPr>
        <w:tc>
          <w:tcPr>
            <w:tcW w:w="1915" w:type="dxa"/>
            <w:vAlign w:val="center"/>
          </w:tcPr>
          <w:p w:rsidR="00E2124C" w:rsidRPr="00E2124C" w:rsidRDefault="00E2124C" w:rsidP="00E2124C">
            <w:pPr>
              <w:jc w:val="center"/>
            </w:pPr>
            <w:r w:rsidRPr="00E2124C">
              <w:t>2020</w:t>
            </w:r>
          </w:p>
        </w:tc>
        <w:tc>
          <w:tcPr>
            <w:tcW w:w="1915" w:type="dxa"/>
            <w:vAlign w:val="center"/>
          </w:tcPr>
          <w:p w:rsidR="00E2124C" w:rsidRPr="00E2124C" w:rsidRDefault="00E2124C" w:rsidP="00E2124C">
            <w:pPr>
              <w:jc w:val="center"/>
            </w:pPr>
            <w:r w:rsidRPr="00E2124C">
              <w:t>30.0</w:t>
            </w:r>
          </w:p>
        </w:tc>
        <w:tc>
          <w:tcPr>
            <w:tcW w:w="1915" w:type="dxa"/>
            <w:vAlign w:val="center"/>
          </w:tcPr>
          <w:p w:rsidR="00E2124C" w:rsidRPr="00E2124C" w:rsidRDefault="00E2124C" w:rsidP="00E2124C">
            <w:pPr>
              <w:jc w:val="center"/>
            </w:pPr>
            <w:r w:rsidRPr="00E2124C">
              <w:t>111.0</w:t>
            </w:r>
          </w:p>
        </w:tc>
        <w:tc>
          <w:tcPr>
            <w:tcW w:w="1915" w:type="dxa"/>
            <w:vAlign w:val="center"/>
          </w:tcPr>
          <w:p w:rsidR="00E2124C" w:rsidRPr="00E2124C" w:rsidRDefault="00E2124C" w:rsidP="00E2124C">
            <w:pPr>
              <w:jc w:val="center"/>
            </w:pPr>
            <w:r w:rsidRPr="00E2124C">
              <w:t>1,200</w:t>
            </w:r>
          </w:p>
        </w:tc>
        <w:tc>
          <w:tcPr>
            <w:tcW w:w="1916" w:type="dxa"/>
            <w:vAlign w:val="center"/>
          </w:tcPr>
          <w:p w:rsidR="00E2124C" w:rsidRPr="00E2124C" w:rsidRDefault="00E2124C" w:rsidP="00E2124C">
            <w:pPr>
              <w:jc w:val="center"/>
            </w:pPr>
            <w:r w:rsidRPr="00E2124C">
              <w:t>5,283</w:t>
            </w:r>
          </w:p>
        </w:tc>
      </w:tr>
      <w:tr w:rsidR="00E2124C" w:rsidRPr="00E2124C" w:rsidTr="00B75CE0">
        <w:trPr>
          <w:trHeight w:val="432"/>
        </w:trPr>
        <w:tc>
          <w:tcPr>
            <w:tcW w:w="1915" w:type="dxa"/>
            <w:vAlign w:val="center"/>
          </w:tcPr>
          <w:p w:rsidR="00E2124C" w:rsidRPr="00E2124C" w:rsidRDefault="00E2124C" w:rsidP="00E2124C">
            <w:pPr>
              <w:jc w:val="center"/>
            </w:pPr>
            <w:r w:rsidRPr="00E2124C">
              <w:t>2021</w:t>
            </w:r>
          </w:p>
        </w:tc>
        <w:tc>
          <w:tcPr>
            <w:tcW w:w="1915" w:type="dxa"/>
            <w:vAlign w:val="center"/>
          </w:tcPr>
          <w:p w:rsidR="00E2124C" w:rsidRPr="00E2124C" w:rsidRDefault="00E2124C" w:rsidP="00E2124C">
            <w:pPr>
              <w:jc w:val="center"/>
            </w:pPr>
            <w:r w:rsidRPr="00E2124C">
              <w:t>25.0</w:t>
            </w:r>
          </w:p>
        </w:tc>
        <w:tc>
          <w:tcPr>
            <w:tcW w:w="1915" w:type="dxa"/>
            <w:vAlign w:val="center"/>
          </w:tcPr>
          <w:p w:rsidR="00E2124C" w:rsidRPr="00E2124C" w:rsidRDefault="00E2124C" w:rsidP="00E2124C">
            <w:pPr>
              <w:jc w:val="center"/>
            </w:pPr>
            <w:r w:rsidRPr="00E2124C">
              <w:t>86.0</w:t>
            </w:r>
          </w:p>
        </w:tc>
        <w:tc>
          <w:tcPr>
            <w:tcW w:w="1915" w:type="dxa"/>
            <w:vAlign w:val="center"/>
          </w:tcPr>
          <w:p w:rsidR="00E2124C" w:rsidRPr="00E2124C" w:rsidRDefault="00E2124C" w:rsidP="00E2124C">
            <w:pPr>
              <w:jc w:val="center"/>
            </w:pPr>
            <w:r w:rsidRPr="00E2124C">
              <w:t>1,200</w:t>
            </w:r>
          </w:p>
        </w:tc>
        <w:tc>
          <w:tcPr>
            <w:tcW w:w="1916" w:type="dxa"/>
            <w:vAlign w:val="center"/>
          </w:tcPr>
          <w:p w:rsidR="00E2124C" w:rsidRPr="00E2124C" w:rsidRDefault="00E2124C" w:rsidP="00E2124C">
            <w:pPr>
              <w:jc w:val="center"/>
            </w:pPr>
            <w:r w:rsidRPr="00E2124C">
              <w:t>4,083</w:t>
            </w:r>
          </w:p>
        </w:tc>
      </w:tr>
      <w:tr w:rsidR="00E2124C" w:rsidRPr="00E2124C" w:rsidTr="00B75CE0">
        <w:trPr>
          <w:trHeight w:val="432"/>
        </w:trPr>
        <w:tc>
          <w:tcPr>
            <w:tcW w:w="1915" w:type="dxa"/>
            <w:vAlign w:val="center"/>
          </w:tcPr>
          <w:p w:rsidR="00E2124C" w:rsidRPr="00E2124C" w:rsidRDefault="00E2124C" w:rsidP="00E2124C">
            <w:pPr>
              <w:jc w:val="center"/>
            </w:pPr>
            <w:r w:rsidRPr="00E2124C">
              <w:t>2022</w:t>
            </w:r>
          </w:p>
        </w:tc>
        <w:tc>
          <w:tcPr>
            <w:tcW w:w="1915" w:type="dxa"/>
            <w:vAlign w:val="center"/>
          </w:tcPr>
          <w:p w:rsidR="00E2124C" w:rsidRPr="00E2124C" w:rsidRDefault="00E2124C" w:rsidP="00E2124C">
            <w:pPr>
              <w:jc w:val="center"/>
            </w:pPr>
            <w:r w:rsidRPr="00E2124C">
              <w:t>25.0</w:t>
            </w:r>
          </w:p>
        </w:tc>
        <w:tc>
          <w:tcPr>
            <w:tcW w:w="1915" w:type="dxa"/>
            <w:vAlign w:val="center"/>
          </w:tcPr>
          <w:p w:rsidR="00E2124C" w:rsidRPr="00E2124C" w:rsidRDefault="00E2124C" w:rsidP="00E2124C">
            <w:pPr>
              <w:jc w:val="center"/>
            </w:pPr>
            <w:r w:rsidRPr="00E2124C">
              <w:t>61.0</w:t>
            </w:r>
          </w:p>
        </w:tc>
        <w:tc>
          <w:tcPr>
            <w:tcW w:w="1915" w:type="dxa"/>
            <w:vAlign w:val="center"/>
          </w:tcPr>
          <w:p w:rsidR="00E2124C" w:rsidRPr="00E2124C" w:rsidRDefault="00E2124C" w:rsidP="00E2124C">
            <w:pPr>
              <w:jc w:val="center"/>
            </w:pPr>
            <w:r w:rsidRPr="00E2124C">
              <w:t>1,200</w:t>
            </w:r>
          </w:p>
        </w:tc>
        <w:tc>
          <w:tcPr>
            <w:tcW w:w="1916" w:type="dxa"/>
            <w:vAlign w:val="center"/>
          </w:tcPr>
          <w:p w:rsidR="00E2124C" w:rsidRPr="00E2124C" w:rsidRDefault="00E2124C" w:rsidP="00E2124C">
            <w:pPr>
              <w:jc w:val="center"/>
            </w:pPr>
            <w:r w:rsidRPr="00E2124C">
              <w:t>2,883</w:t>
            </w:r>
          </w:p>
        </w:tc>
      </w:tr>
      <w:tr w:rsidR="00E2124C" w:rsidRPr="00E2124C" w:rsidTr="00B75CE0">
        <w:trPr>
          <w:trHeight w:val="432"/>
        </w:trPr>
        <w:tc>
          <w:tcPr>
            <w:tcW w:w="1915" w:type="dxa"/>
            <w:vAlign w:val="center"/>
          </w:tcPr>
          <w:p w:rsidR="00E2124C" w:rsidRPr="00E2124C" w:rsidRDefault="00E2124C" w:rsidP="00E2124C">
            <w:pPr>
              <w:jc w:val="center"/>
            </w:pPr>
            <w:r w:rsidRPr="00E2124C">
              <w:t>2023</w:t>
            </w:r>
          </w:p>
        </w:tc>
        <w:tc>
          <w:tcPr>
            <w:tcW w:w="1915" w:type="dxa"/>
            <w:vAlign w:val="center"/>
          </w:tcPr>
          <w:p w:rsidR="00E2124C" w:rsidRPr="00E2124C" w:rsidRDefault="00E2124C" w:rsidP="00E2124C">
            <w:pPr>
              <w:jc w:val="center"/>
            </w:pPr>
            <w:r w:rsidRPr="00E2124C">
              <w:t>25.0</w:t>
            </w:r>
          </w:p>
        </w:tc>
        <w:tc>
          <w:tcPr>
            <w:tcW w:w="1915" w:type="dxa"/>
            <w:vAlign w:val="center"/>
          </w:tcPr>
          <w:p w:rsidR="00E2124C" w:rsidRPr="00E2124C" w:rsidRDefault="00E2124C" w:rsidP="00E2124C">
            <w:pPr>
              <w:jc w:val="center"/>
            </w:pPr>
            <w:r w:rsidRPr="00E2124C">
              <w:t>36.0</w:t>
            </w:r>
          </w:p>
        </w:tc>
        <w:tc>
          <w:tcPr>
            <w:tcW w:w="1915" w:type="dxa"/>
            <w:vAlign w:val="center"/>
          </w:tcPr>
          <w:p w:rsidR="00E2124C" w:rsidRPr="00E2124C" w:rsidRDefault="00E2124C" w:rsidP="00E2124C">
            <w:pPr>
              <w:jc w:val="center"/>
            </w:pPr>
            <w:r w:rsidRPr="00E2124C">
              <w:t>1,200</w:t>
            </w:r>
          </w:p>
        </w:tc>
        <w:tc>
          <w:tcPr>
            <w:tcW w:w="1916" w:type="dxa"/>
            <w:vAlign w:val="center"/>
          </w:tcPr>
          <w:p w:rsidR="00E2124C" w:rsidRPr="00E2124C" w:rsidRDefault="00E2124C" w:rsidP="00E2124C">
            <w:pPr>
              <w:jc w:val="center"/>
            </w:pPr>
            <w:r w:rsidRPr="00E2124C">
              <w:t>1,683</w:t>
            </w:r>
          </w:p>
        </w:tc>
      </w:tr>
      <w:tr w:rsidR="00E2124C" w:rsidRPr="00E2124C" w:rsidTr="00B75CE0">
        <w:trPr>
          <w:trHeight w:val="432"/>
        </w:trPr>
        <w:tc>
          <w:tcPr>
            <w:tcW w:w="1915" w:type="dxa"/>
            <w:vAlign w:val="center"/>
          </w:tcPr>
          <w:p w:rsidR="00E2124C" w:rsidRPr="00E2124C" w:rsidRDefault="00E2124C" w:rsidP="00E2124C">
            <w:pPr>
              <w:jc w:val="center"/>
            </w:pPr>
            <w:r w:rsidRPr="00E2124C">
              <w:t>2024</w:t>
            </w:r>
          </w:p>
        </w:tc>
        <w:tc>
          <w:tcPr>
            <w:tcW w:w="1915" w:type="dxa"/>
            <w:vAlign w:val="center"/>
          </w:tcPr>
          <w:p w:rsidR="00E2124C" w:rsidRPr="00E2124C" w:rsidRDefault="00E2124C" w:rsidP="00E2124C">
            <w:pPr>
              <w:jc w:val="center"/>
            </w:pPr>
            <w:r w:rsidRPr="00E2124C">
              <w:t>25.0</w:t>
            </w:r>
          </w:p>
        </w:tc>
        <w:tc>
          <w:tcPr>
            <w:tcW w:w="1915" w:type="dxa"/>
            <w:vAlign w:val="center"/>
          </w:tcPr>
          <w:p w:rsidR="00E2124C" w:rsidRPr="00E2124C" w:rsidRDefault="00E2124C" w:rsidP="00E2124C">
            <w:pPr>
              <w:jc w:val="center"/>
            </w:pPr>
            <w:r w:rsidRPr="00E2124C">
              <w:t>11.0</w:t>
            </w:r>
          </w:p>
        </w:tc>
        <w:tc>
          <w:tcPr>
            <w:tcW w:w="1915" w:type="dxa"/>
            <w:vAlign w:val="center"/>
          </w:tcPr>
          <w:p w:rsidR="00E2124C" w:rsidRPr="00E2124C" w:rsidRDefault="00E2124C" w:rsidP="00E2124C">
            <w:pPr>
              <w:jc w:val="center"/>
            </w:pPr>
            <w:r w:rsidRPr="00E2124C">
              <w:t>1,200</w:t>
            </w:r>
          </w:p>
        </w:tc>
        <w:tc>
          <w:tcPr>
            <w:tcW w:w="1916" w:type="dxa"/>
            <w:vAlign w:val="center"/>
          </w:tcPr>
          <w:p w:rsidR="00E2124C" w:rsidRPr="00E2124C" w:rsidRDefault="00E2124C" w:rsidP="00E2124C">
            <w:pPr>
              <w:jc w:val="center"/>
            </w:pPr>
            <w:r w:rsidRPr="00E2124C">
              <w:t>483</w:t>
            </w:r>
          </w:p>
        </w:tc>
      </w:tr>
      <w:tr w:rsidR="00E2124C" w:rsidRPr="00E2124C" w:rsidTr="00B75CE0">
        <w:trPr>
          <w:trHeight w:val="432"/>
        </w:trPr>
        <w:tc>
          <w:tcPr>
            <w:tcW w:w="1915" w:type="dxa"/>
            <w:vAlign w:val="center"/>
          </w:tcPr>
          <w:p w:rsidR="00E2124C" w:rsidRPr="00E2124C" w:rsidRDefault="00E2124C" w:rsidP="00E2124C">
            <w:pPr>
              <w:jc w:val="center"/>
            </w:pPr>
            <w:r w:rsidRPr="00E2124C">
              <w:t>2025</w:t>
            </w:r>
          </w:p>
        </w:tc>
        <w:tc>
          <w:tcPr>
            <w:tcW w:w="1915" w:type="dxa"/>
            <w:vAlign w:val="center"/>
          </w:tcPr>
          <w:p w:rsidR="00E2124C" w:rsidRPr="00E2124C" w:rsidRDefault="00E2124C" w:rsidP="00E2124C">
            <w:pPr>
              <w:jc w:val="center"/>
            </w:pPr>
            <w:r w:rsidRPr="00E2124C">
              <w:t>11.0</w:t>
            </w:r>
          </w:p>
        </w:tc>
        <w:tc>
          <w:tcPr>
            <w:tcW w:w="1915" w:type="dxa"/>
            <w:vAlign w:val="center"/>
          </w:tcPr>
          <w:p w:rsidR="00E2124C" w:rsidRPr="00E2124C" w:rsidRDefault="00E2124C" w:rsidP="00E2124C">
            <w:pPr>
              <w:jc w:val="center"/>
            </w:pPr>
            <w:r w:rsidRPr="00E2124C">
              <w:t>0.0</w:t>
            </w:r>
          </w:p>
        </w:tc>
        <w:tc>
          <w:tcPr>
            <w:tcW w:w="1915" w:type="dxa"/>
            <w:vAlign w:val="center"/>
          </w:tcPr>
          <w:p w:rsidR="00E2124C" w:rsidRPr="00E2124C" w:rsidRDefault="00E2124C" w:rsidP="00E2124C">
            <w:pPr>
              <w:jc w:val="center"/>
            </w:pPr>
            <w:r w:rsidRPr="00E2124C">
              <w:t>483</w:t>
            </w:r>
          </w:p>
        </w:tc>
        <w:tc>
          <w:tcPr>
            <w:tcW w:w="1916" w:type="dxa"/>
            <w:vAlign w:val="center"/>
          </w:tcPr>
          <w:p w:rsidR="00E2124C" w:rsidRPr="00E2124C" w:rsidRDefault="00E2124C" w:rsidP="00E2124C">
            <w:pPr>
              <w:jc w:val="center"/>
            </w:pPr>
            <w:r w:rsidRPr="00E2124C">
              <w:t>0</w:t>
            </w:r>
          </w:p>
        </w:tc>
      </w:tr>
    </w:tbl>
    <w:p w:rsidR="00E2124C" w:rsidRPr="00E2124C" w:rsidRDefault="00E2124C" w:rsidP="00E2124C">
      <w:pPr>
        <w:spacing w:after="480"/>
        <w:contextualSpacing/>
        <w:jc w:val="both"/>
      </w:pPr>
      <w:r w:rsidRPr="00E2124C">
        <w:t xml:space="preserve">Source: FCG Response to Staff’s First Data Request, Response to Question 3. </w:t>
      </w:r>
    </w:p>
    <w:p w:rsidR="00E2124C" w:rsidRDefault="00E2124C" w:rsidP="00E2124C">
      <w:pPr>
        <w:pStyle w:val="OrderBody"/>
      </w:pPr>
      <w:r w:rsidRPr="00E2124C">
        <w:t>*Actuals 2014-July 2018. Projections August 2018-2025</w:t>
      </w:r>
      <w:r>
        <w:t>.</w:t>
      </w: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Default="00E2124C" w:rsidP="00E2124C">
      <w:pPr>
        <w:pStyle w:val="OrderBody"/>
      </w:pPr>
    </w:p>
    <w:p w:rsidR="00E2124C" w:rsidRPr="00E2124C" w:rsidRDefault="00E2124C" w:rsidP="00E2124C">
      <w:pPr>
        <w:pStyle w:val="OrderBody"/>
      </w:pPr>
      <w:r>
        <w:rPr>
          <w:noProof/>
        </w:rPr>
        <w:drawing>
          <wp:inline distT="0" distB="0" distL="0" distR="0">
            <wp:extent cx="5943600" cy="7448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448550"/>
                    </a:xfrm>
                    <a:prstGeom prst="rect">
                      <a:avLst/>
                    </a:prstGeom>
                    <a:noFill/>
                    <a:ln>
                      <a:noFill/>
                    </a:ln>
                  </pic:spPr>
                </pic:pic>
              </a:graphicData>
            </a:graphic>
          </wp:inline>
        </w:drawing>
      </w:r>
    </w:p>
    <w:sectPr w:rsidR="00E2124C" w:rsidRPr="00E2124C">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4C" w:rsidRDefault="00E2124C">
      <w:r>
        <w:separator/>
      </w:r>
    </w:p>
  </w:endnote>
  <w:endnote w:type="continuationSeparator" w:id="0">
    <w:p w:rsidR="00E2124C" w:rsidRDefault="00E2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4C" w:rsidRDefault="00E2124C">
      <w:r>
        <w:separator/>
      </w:r>
    </w:p>
  </w:footnote>
  <w:footnote w:type="continuationSeparator" w:id="0">
    <w:p w:rsidR="00E2124C" w:rsidRDefault="00E2124C">
      <w:r>
        <w:continuationSeparator/>
      </w:r>
    </w:p>
  </w:footnote>
  <w:footnote w:id="1">
    <w:p w:rsidR="00E2124C" w:rsidRDefault="00E2124C" w:rsidP="00E2124C">
      <w:pPr>
        <w:pStyle w:val="FootnoteText"/>
      </w:pPr>
      <w:r>
        <w:rPr>
          <w:rStyle w:val="FootnoteReference"/>
        </w:rPr>
        <w:footnoteRef/>
      </w:r>
      <w:r>
        <w:t xml:space="preserve"> Order No. PSC-15-0390-TRF-GU, issued September 15, 2015, in Docket No. 150116-GU, </w:t>
      </w:r>
      <w:r w:rsidRPr="009C777A">
        <w:rPr>
          <w:i/>
        </w:rPr>
        <w:t>In re: Petition for approval of safety, access, and facility enhancement program and associated cost recovery methodology, by Florida City Gas.</w:t>
      </w:r>
    </w:p>
  </w:footnote>
  <w:footnote w:id="2">
    <w:p w:rsidR="00E2124C" w:rsidRDefault="00E2124C" w:rsidP="00E2124C">
      <w:pPr>
        <w:pStyle w:val="FootnoteText"/>
      </w:pPr>
      <w:r>
        <w:rPr>
          <w:rStyle w:val="FootnoteReference"/>
        </w:rPr>
        <w:footnoteRef/>
      </w:r>
      <w:r>
        <w:t xml:space="preserve"> Order No. PSC-2018-0190-FOF-GU, issued April 20, 2018, in Docket No. 20170179-GU, </w:t>
      </w:r>
      <w:r w:rsidRPr="0041605B">
        <w:rPr>
          <w:i/>
        </w:rPr>
        <w:t>In re: Petition for rate increase by Florida City 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82F" w:rsidRDefault="0002282F" w:rsidP="0002282F">
    <w:pPr>
      <w:pStyle w:val="OrderHeader"/>
    </w:pPr>
    <w:r>
      <w:t xml:space="preserve">ORDER NO. </w:t>
    </w:r>
    <w:r w:rsidR="00F53ECD">
      <w:fldChar w:fldCharType="begin"/>
    </w:r>
    <w:r w:rsidR="00F53ECD">
      <w:instrText xml:space="preserve"> REF OrderNo0545 </w:instrText>
    </w:r>
    <w:r w:rsidR="00F53ECD">
      <w:fldChar w:fldCharType="separate"/>
    </w:r>
    <w:r w:rsidR="00F53ECD">
      <w:t>PSC-2018-0545-TRF-GU</w:t>
    </w:r>
    <w:r w:rsidR="00F53ECD">
      <w:fldChar w:fldCharType="end"/>
    </w:r>
  </w:p>
  <w:p w:rsidR="0002282F" w:rsidRDefault="0002282F" w:rsidP="0002282F">
    <w:pPr>
      <w:pStyle w:val="OrderHeader"/>
    </w:pPr>
    <w:bookmarkStart w:id="10" w:name="HeaderDocketNo"/>
    <w:bookmarkEnd w:id="10"/>
    <w:r>
      <w:t>DOCKET NO. 20180164-GU</w:t>
    </w:r>
  </w:p>
  <w:p w:rsidR="0002282F" w:rsidRDefault="0002282F" w:rsidP="000228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3ECD">
      <w:rPr>
        <w:rStyle w:val="PageNumber"/>
        <w:noProof/>
      </w:rPr>
      <w:t>5</w:t>
    </w:r>
    <w:r>
      <w:rPr>
        <w:rStyle w:val="PageNumber"/>
      </w:rPr>
      <w:fldChar w:fldCharType="end"/>
    </w:r>
  </w:p>
  <w:p w:rsidR="0002282F" w:rsidRDefault="0002282F" w:rsidP="0002282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4C" w:rsidRDefault="00E2124C" w:rsidP="00E2124C">
    <w:pPr>
      <w:pStyle w:val="OrderHeader"/>
    </w:pPr>
  </w:p>
  <w:p w:rsidR="00E2124C" w:rsidRDefault="00E212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11" w:rsidRDefault="00193E11" w:rsidP="00193E11">
    <w:pPr>
      <w:pStyle w:val="OrderHeader"/>
    </w:pPr>
    <w:r>
      <w:t xml:space="preserve">ORDER NO. </w:t>
    </w:r>
    <w:fldSimple w:instr=" REF OrderNo0545 ">
      <w:r w:rsidR="00F53ECD">
        <w:t>PSC-2018-0545-TRF-GU</w:t>
      </w:r>
    </w:fldSimple>
    <w:r>
      <w:tab/>
    </w:r>
    <w:r>
      <w:tab/>
      <w:t xml:space="preserve">Attachment 2 </w:t>
    </w:r>
  </w:p>
  <w:p w:rsidR="00193E11" w:rsidRDefault="00193E11" w:rsidP="00193E11">
    <w:pPr>
      <w:pStyle w:val="OrderHeader"/>
    </w:pPr>
    <w:r>
      <w:t>DOCKET NO. 20180164-GU</w:t>
    </w:r>
  </w:p>
  <w:p w:rsidR="00193E11" w:rsidRDefault="00193E11" w:rsidP="00193E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3ECD">
      <w:rPr>
        <w:rStyle w:val="PageNumber"/>
        <w:noProof/>
      </w:rPr>
      <w:t>7</w:t>
    </w:r>
    <w:r>
      <w:rPr>
        <w:rStyle w:val="PageNumber"/>
      </w:rPr>
      <w:fldChar w:fldCharType="end"/>
    </w:r>
  </w:p>
  <w:p w:rsidR="00B32D4E" w:rsidRPr="00B32D4E" w:rsidRDefault="00B32D4E" w:rsidP="00B32D4E">
    <w:pPr>
      <w:pStyle w:val="OrderHeader"/>
      <w:rPr>
        <w:rStyle w:val="PageNumber"/>
        <w:color w:val="FFFFFF" w:themeColor="background1"/>
      </w:rPr>
    </w:pPr>
    <w:r w:rsidRPr="00B32D4E">
      <w:rPr>
        <w:color w:val="FFFFFF" w:themeColor="background1"/>
      </w:rPr>
      <w:t xml:space="preserve">PAGE </w:t>
    </w:r>
    <w:r w:rsidRPr="00B32D4E">
      <w:rPr>
        <w:rStyle w:val="PageNumber"/>
        <w:color w:val="FFFFFF" w:themeColor="background1"/>
      </w:rPr>
      <w:fldChar w:fldCharType="begin"/>
    </w:r>
    <w:r w:rsidRPr="00B32D4E">
      <w:rPr>
        <w:rStyle w:val="PageNumber"/>
        <w:color w:val="FFFFFF" w:themeColor="background1"/>
      </w:rPr>
      <w:instrText xml:space="preserve"> PAGE </w:instrText>
    </w:r>
    <w:r w:rsidRPr="00B32D4E">
      <w:rPr>
        <w:rStyle w:val="PageNumber"/>
        <w:color w:val="FFFFFF" w:themeColor="background1"/>
      </w:rPr>
      <w:fldChar w:fldCharType="separate"/>
    </w:r>
    <w:r w:rsidR="00F53ECD">
      <w:rPr>
        <w:rStyle w:val="PageNumber"/>
        <w:noProof/>
        <w:color w:val="FFFFFF" w:themeColor="background1"/>
      </w:rPr>
      <w:t>7</w:t>
    </w:r>
    <w:r w:rsidRPr="00B32D4E">
      <w:rPr>
        <w:rStyle w:val="PageNumber"/>
        <w:color w:val="FFFFFF" w:themeColor="background1"/>
      </w:rPr>
      <w:fldChar w:fldCharType="end"/>
    </w:r>
  </w:p>
  <w:p w:rsidR="00E2124C" w:rsidRDefault="00E2124C">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4E" w:rsidRPr="00B32D4E" w:rsidRDefault="00B32D4E" w:rsidP="00193E11">
    <w:pPr>
      <w:pStyle w:val="OrderHeader"/>
      <w:rPr>
        <w:color w:val="FFFFFF" w:themeColor="background1"/>
      </w:rPr>
    </w:pPr>
    <w:r w:rsidRPr="00B32D4E">
      <w:rPr>
        <w:color w:val="FFFFFF" w:themeColor="background1"/>
      </w:rPr>
      <w:t>ORDER NO.</w:t>
    </w:r>
    <w:r w:rsidR="00193E11">
      <w:t xml:space="preserve"> </w:t>
    </w:r>
    <w:r w:rsidR="00193E11">
      <w:tab/>
    </w:r>
  </w:p>
  <w:p w:rsidR="00193E11" w:rsidRDefault="00193E11" w:rsidP="00193E11">
    <w:pPr>
      <w:pStyle w:val="OrderHeader"/>
    </w:pPr>
    <w:r>
      <w:t xml:space="preserve">ORDER NO. </w:t>
    </w:r>
    <w:fldSimple w:instr=" REF OrderNo0545 ">
      <w:r w:rsidR="00F53ECD">
        <w:t>PSC-2018-0545-TRF-GU</w:t>
      </w:r>
    </w:fldSimple>
    <w:r>
      <w:tab/>
    </w:r>
    <w:r>
      <w:tab/>
      <w:t>ATTACHMENT A</w:t>
    </w:r>
  </w:p>
  <w:p w:rsidR="00193E11" w:rsidRDefault="00193E11" w:rsidP="00193E11">
    <w:pPr>
      <w:pStyle w:val="OrderHeader"/>
    </w:pPr>
    <w:r>
      <w:t>DOCKET NO. 20180164-GU</w:t>
    </w:r>
  </w:p>
  <w:p w:rsidR="00193E11" w:rsidRDefault="00193E11" w:rsidP="00193E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3ECD">
      <w:rPr>
        <w:rStyle w:val="PageNumber"/>
        <w:noProof/>
      </w:rPr>
      <w:t>6</w:t>
    </w:r>
    <w:r>
      <w:rPr>
        <w:rStyle w:val="PageNumber"/>
      </w:rPr>
      <w:fldChar w:fldCharType="end"/>
    </w:r>
  </w:p>
  <w:p w:rsidR="00E2124C" w:rsidRPr="00B32D4E" w:rsidRDefault="00B32D4E" w:rsidP="00E2124C">
    <w:pPr>
      <w:pStyle w:val="OrderHeader"/>
      <w:rPr>
        <w:color w:val="FFFFFF" w:themeColor="background1"/>
      </w:rPr>
    </w:pPr>
    <w:r w:rsidRPr="00B32D4E">
      <w:rPr>
        <w:color w:val="FFFFFF" w:themeColor="background1"/>
      </w:rPr>
      <w:t xml:space="preserve">PAGE </w:t>
    </w:r>
    <w:r w:rsidRPr="00B32D4E">
      <w:rPr>
        <w:rStyle w:val="PageNumber"/>
        <w:color w:val="FFFFFF" w:themeColor="background1"/>
      </w:rPr>
      <w:fldChar w:fldCharType="begin"/>
    </w:r>
    <w:r w:rsidRPr="00B32D4E">
      <w:rPr>
        <w:rStyle w:val="PageNumber"/>
        <w:color w:val="FFFFFF" w:themeColor="background1"/>
      </w:rPr>
      <w:instrText xml:space="preserve"> PAGE </w:instrText>
    </w:r>
    <w:r w:rsidRPr="00B32D4E">
      <w:rPr>
        <w:rStyle w:val="PageNumber"/>
        <w:color w:val="FFFFFF" w:themeColor="background1"/>
      </w:rPr>
      <w:fldChar w:fldCharType="separate"/>
    </w:r>
    <w:r w:rsidR="00F53ECD">
      <w:rPr>
        <w:rStyle w:val="PageNumber"/>
        <w:noProof/>
        <w:color w:val="FFFFFF" w:themeColor="background1"/>
      </w:rPr>
      <w:t>6</w:t>
    </w:r>
    <w:r w:rsidRPr="00B32D4E">
      <w:rPr>
        <w:rStyle w:val="PageNumber"/>
        <w:color w:val="FFFFFF" w:themeColor="background1"/>
      </w:rPr>
      <w:fldChar w:fldCharType="end"/>
    </w:r>
  </w:p>
  <w:p w:rsidR="00E2124C" w:rsidRDefault="00E21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4-GU"/>
  </w:docVars>
  <w:rsids>
    <w:rsidRoot w:val="00E2124C"/>
    <w:rsid w:val="000022B8"/>
    <w:rsid w:val="0002282F"/>
    <w:rsid w:val="00035A8C"/>
    <w:rsid w:val="00053AB9"/>
    <w:rsid w:val="00056229"/>
    <w:rsid w:val="00057AF1"/>
    <w:rsid w:val="00065FC2"/>
    <w:rsid w:val="00067685"/>
    <w:rsid w:val="00073CD0"/>
    <w:rsid w:val="00076E6B"/>
    <w:rsid w:val="0008247D"/>
    <w:rsid w:val="00090AFC"/>
    <w:rsid w:val="000B783E"/>
    <w:rsid w:val="000C45A3"/>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E11"/>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75C4"/>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4CAD"/>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07A56"/>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8257A"/>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2D4E"/>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6FB7"/>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4861"/>
    <w:rsid w:val="00E07484"/>
    <w:rsid w:val="00E11351"/>
    <w:rsid w:val="00E2124C"/>
    <w:rsid w:val="00E4225C"/>
    <w:rsid w:val="00E44879"/>
    <w:rsid w:val="00E45C64"/>
    <w:rsid w:val="00E555A2"/>
    <w:rsid w:val="00E72914"/>
    <w:rsid w:val="00E75AE0"/>
    <w:rsid w:val="00E83C1F"/>
    <w:rsid w:val="00EA172C"/>
    <w:rsid w:val="00EA259B"/>
    <w:rsid w:val="00EA35A3"/>
    <w:rsid w:val="00EA3E6A"/>
    <w:rsid w:val="00EB18EF"/>
    <w:rsid w:val="00EB7951"/>
    <w:rsid w:val="00EC5EE8"/>
    <w:rsid w:val="00ED6A79"/>
    <w:rsid w:val="00EE17DF"/>
    <w:rsid w:val="00EF4621"/>
    <w:rsid w:val="00EF4D52"/>
    <w:rsid w:val="00EF6312"/>
    <w:rsid w:val="00F038B0"/>
    <w:rsid w:val="00F22B27"/>
    <w:rsid w:val="00F234A7"/>
    <w:rsid w:val="00F277B6"/>
    <w:rsid w:val="00F27DA5"/>
    <w:rsid w:val="00F37E07"/>
    <w:rsid w:val="00F4182A"/>
    <w:rsid w:val="00F53ECD"/>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02282F"/>
    <w:rPr>
      <w:sz w:val="24"/>
      <w:szCs w:val="24"/>
    </w:rPr>
  </w:style>
  <w:style w:type="paragraph" w:styleId="BalloonText">
    <w:name w:val="Balloon Text"/>
    <w:basedOn w:val="Normal"/>
    <w:link w:val="BalloonTextChar"/>
    <w:rsid w:val="0002282F"/>
    <w:rPr>
      <w:rFonts w:ascii="Tahoma" w:hAnsi="Tahoma" w:cs="Tahoma"/>
      <w:sz w:val="16"/>
      <w:szCs w:val="16"/>
    </w:rPr>
  </w:style>
  <w:style w:type="character" w:customStyle="1" w:styleId="BalloonTextChar">
    <w:name w:val="Balloon Text Char"/>
    <w:basedOn w:val="DefaultParagraphFont"/>
    <w:link w:val="BalloonText"/>
    <w:rsid w:val="000228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02282F"/>
    <w:rPr>
      <w:sz w:val="24"/>
      <w:szCs w:val="24"/>
    </w:rPr>
  </w:style>
  <w:style w:type="paragraph" w:styleId="BalloonText">
    <w:name w:val="Balloon Text"/>
    <w:basedOn w:val="Normal"/>
    <w:link w:val="BalloonTextChar"/>
    <w:rsid w:val="0002282F"/>
    <w:rPr>
      <w:rFonts w:ascii="Tahoma" w:hAnsi="Tahoma" w:cs="Tahoma"/>
      <w:sz w:val="16"/>
      <w:szCs w:val="16"/>
    </w:rPr>
  </w:style>
  <w:style w:type="character" w:customStyle="1" w:styleId="BalloonTextChar">
    <w:name w:val="Balloon Text Char"/>
    <w:basedOn w:val="DefaultParagraphFont"/>
    <w:link w:val="BalloonText"/>
    <w:rsid w:val="00022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1740</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2018-11-19T14:41:00Z</dcterms:created>
  <dcterms:modified xsi:type="dcterms:W3CDTF">2018-11-19T15:41:00Z</dcterms:modified>
</cp:coreProperties>
</file>