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5A75" w:rsidP="005C5A75">
      <w:pPr>
        <w:pStyle w:val="OrderHeading"/>
      </w:pPr>
      <w:r>
        <w:t>BEFORE THE FLORIDA PUBLIC SERVICE COMMISSION</w:t>
      </w:r>
    </w:p>
    <w:p w:rsidR="005C5A75" w:rsidRDefault="005C5A75" w:rsidP="005C5A75">
      <w:pPr>
        <w:pStyle w:val="OrderBody"/>
      </w:pPr>
    </w:p>
    <w:p w:rsidR="005C5A75" w:rsidRDefault="005C5A75" w:rsidP="005C5A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5A75" w:rsidRPr="00C63FCF" w:rsidTr="00FE758E">
        <w:trPr>
          <w:trHeight w:val="828"/>
        </w:trPr>
        <w:tc>
          <w:tcPr>
            <w:tcW w:w="4788" w:type="dxa"/>
            <w:tcBorders>
              <w:bottom w:val="single" w:sz="8" w:space="0" w:color="auto"/>
              <w:right w:val="double" w:sz="6" w:space="0" w:color="auto"/>
            </w:tcBorders>
            <w:shd w:val="clear" w:color="auto" w:fill="auto"/>
          </w:tcPr>
          <w:p w:rsidR="005C5A75" w:rsidRDefault="005C5A75" w:rsidP="00FE758E">
            <w:pPr>
              <w:pStyle w:val="OrderBody"/>
              <w:tabs>
                <w:tab w:val="center" w:pos="4320"/>
                <w:tab w:val="right" w:pos="8640"/>
              </w:tabs>
              <w:jc w:val="left"/>
            </w:pPr>
            <w:r>
              <w:t xml:space="preserve">In re: </w:t>
            </w:r>
            <w:bookmarkStart w:id="0" w:name="SSInRe"/>
            <w:bookmarkEnd w:id="0"/>
            <w:r>
              <w:t>Application for staff-assisted rate case in Lake County by Pine Harbour Waterworks, Inc.</w:t>
            </w:r>
          </w:p>
        </w:tc>
        <w:tc>
          <w:tcPr>
            <w:tcW w:w="4788" w:type="dxa"/>
            <w:tcBorders>
              <w:left w:val="double" w:sz="6" w:space="0" w:color="auto"/>
            </w:tcBorders>
            <w:shd w:val="clear" w:color="auto" w:fill="auto"/>
          </w:tcPr>
          <w:p w:rsidR="005C5A75" w:rsidRDefault="005C5A75" w:rsidP="005C5A75">
            <w:pPr>
              <w:pStyle w:val="OrderBody"/>
            </w:pPr>
            <w:r>
              <w:t xml:space="preserve">DOCKET NO. </w:t>
            </w:r>
            <w:bookmarkStart w:id="1" w:name="SSDocketNo"/>
            <w:bookmarkEnd w:id="1"/>
            <w:r>
              <w:t>20180022-WU</w:t>
            </w:r>
          </w:p>
          <w:p w:rsidR="005C5A75" w:rsidRDefault="005C5A75" w:rsidP="00FE758E">
            <w:pPr>
              <w:pStyle w:val="OrderBody"/>
              <w:tabs>
                <w:tab w:val="center" w:pos="4320"/>
                <w:tab w:val="right" w:pos="8640"/>
              </w:tabs>
              <w:jc w:val="left"/>
            </w:pPr>
            <w:r>
              <w:t xml:space="preserve">ORDER NO. </w:t>
            </w:r>
            <w:bookmarkStart w:id="2" w:name="OrderNo0552"/>
            <w:r w:rsidR="00282161">
              <w:t>PSC-2018-0552-PAA-WU</w:t>
            </w:r>
            <w:bookmarkEnd w:id="2"/>
          </w:p>
          <w:p w:rsidR="005C5A75" w:rsidRDefault="005C5A75" w:rsidP="00FE758E">
            <w:pPr>
              <w:pStyle w:val="OrderBody"/>
              <w:tabs>
                <w:tab w:val="center" w:pos="4320"/>
                <w:tab w:val="right" w:pos="8640"/>
              </w:tabs>
              <w:jc w:val="left"/>
            </w:pPr>
            <w:r>
              <w:t xml:space="preserve">ISSUED: </w:t>
            </w:r>
            <w:r w:rsidR="00282161">
              <w:t>November 19, 2018</w:t>
            </w:r>
          </w:p>
        </w:tc>
      </w:tr>
    </w:tbl>
    <w:p w:rsidR="005C5A75" w:rsidRDefault="005C5A75" w:rsidP="005C5A75"/>
    <w:p w:rsidR="005C5A75" w:rsidRDefault="005C5A75" w:rsidP="005C5A75"/>
    <w:p w:rsidR="005C5A75" w:rsidRDefault="005C5A75">
      <w:pPr>
        <w:ind w:firstLine="720"/>
        <w:jc w:val="both"/>
      </w:pPr>
      <w:bookmarkStart w:id="3" w:name="Commissioners"/>
      <w:bookmarkEnd w:id="3"/>
      <w:r>
        <w:t>The following Commissioners participated in the disposition of this matter:</w:t>
      </w:r>
    </w:p>
    <w:p w:rsidR="005C5A75" w:rsidRDefault="005C5A75"/>
    <w:p w:rsidR="005C5A75" w:rsidRDefault="005C5A75">
      <w:pPr>
        <w:jc w:val="center"/>
      </w:pPr>
      <w:r>
        <w:t>ART GRAHAM, Chairman</w:t>
      </w:r>
    </w:p>
    <w:p w:rsidR="005C5A75" w:rsidRDefault="005C5A75">
      <w:pPr>
        <w:jc w:val="center"/>
      </w:pPr>
      <w:r>
        <w:t xml:space="preserve">JULIE I. BROWN </w:t>
      </w:r>
    </w:p>
    <w:p w:rsidR="005C5A75" w:rsidRDefault="005C5A75">
      <w:pPr>
        <w:jc w:val="center"/>
      </w:pPr>
      <w:r>
        <w:t>DONALD J. POLMANN</w:t>
      </w:r>
    </w:p>
    <w:p w:rsidR="005C5A75" w:rsidRDefault="005C5A75">
      <w:pPr>
        <w:jc w:val="center"/>
      </w:pPr>
      <w:r>
        <w:t>GARY F. CLARK</w:t>
      </w:r>
    </w:p>
    <w:p w:rsidR="005C5A75" w:rsidRDefault="005C5A75">
      <w:pPr>
        <w:jc w:val="center"/>
      </w:pPr>
      <w:r>
        <w:t>ANDREW GILES FAY</w:t>
      </w:r>
    </w:p>
    <w:p w:rsidR="005C5A75" w:rsidRDefault="005C5A75" w:rsidP="005C5A75">
      <w:pPr>
        <w:pStyle w:val="OrderBody"/>
      </w:pPr>
    </w:p>
    <w:bookmarkStart w:id="4" w:name="OrderText"/>
    <w:bookmarkEnd w:id="4"/>
    <w:p w:rsidR="005C5A75" w:rsidRPr="003E4B2D" w:rsidRDefault="005C5A7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C5A75" w:rsidRPr="003E4B2D" w:rsidRDefault="005C5A75">
      <w:pPr>
        <w:pStyle w:val="OrderBody"/>
        <w:jc w:val="center"/>
        <w:rPr>
          <w:u w:val="single"/>
        </w:rPr>
      </w:pPr>
      <w:r w:rsidRPr="003E4B2D">
        <w:rPr>
          <w:u w:val="single"/>
        </w:rPr>
        <w:t>ORDER</w:t>
      </w:r>
      <w:bookmarkStart w:id="5" w:name="OrderTitle"/>
      <w:r w:rsidR="005D7601">
        <w:rPr>
          <w:u w:val="single"/>
        </w:rPr>
        <w:t xml:space="preserve"> APPROVING RATE INCREASE FOR PINE HARBOUR WATERWORKS, INC. AND FINAL ORDER ON RECOVERY OF RATE CASE EXPENSES, TEMPORARY RATES, AND ACCOUNTING ADJUSTMENTS</w:t>
      </w:r>
      <w:r>
        <w:rPr>
          <w:u w:val="single"/>
        </w:rPr>
        <w:t xml:space="preserve"> </w:t>
      </w:r>
      <w:bookmarkEnd w:id="5"/>
    </w:p>
    <w:p w:rsidR="005C5A75" w:rsidRPr="003E4B2D" w:rsidRDefault="005C5A75">
      <w:pPr>
        <w:pStyle w:val="OrderBody"/>
      </w:pPr>
    </w:p>
    <w:p w:rsidR="005C5A75" w:rsidRPr="003E4B2D" w:rsidRDefault="005C5A75">
      <w:pPr>
        <w:pStyle w:val="OrderBody"/>
      </w:pPr>
    </w:p>
    <w:p w:rsidR="005C5A75" w:rsidRPr="003E4B2D" w:rsidRDefault="005C5A75">
      <w:pPr>
        <w:pStyle w:val="OrderBody"/>
      </w:pPr>
      <w:r w:rsidRPr="003E4B2D">
        <w:t>BY THE COMMISSION:</w:t>
      </w:r>
    </w:p>
    <w:p w:rsidR="005C5A75" w:rsidRPr="003E4B2D" w:rsidRDefault="005C5A75">
      <w:pPr>
        <w:pStyle w:val="OrderBody"/>
      </w:pPr>
    </w:p>
    <w:p w:rsidR="00AF3B1E" w:rsidRDefault="005C5A75">
      <w:pPr>
        <w:pStyle w:val="OrderBody"/>
      </w:pPr>
      <w:r w:rsidRPr="003E4B2D">
        <w:tab/>
        <w:t>NOTICE is hereby given by the Florida Public Service Commission</w:t>
      </w:r>
      <w:r w:rsidR="005D7601">
        <w:t xml:space="preserve"> (Commission)</w:t>
      </w:r>
      <w:r w:rsidRPr="003E4B2D">
        <w:t xml:space="preserve"> that the action</w:t>
      </w:r>
      <w:r w:rsidR="005D7601">
        <w:t>s</w:t>
      </w:r>
      <w:r w:rsidRPr="003E4B2D">
        <w:t xml:space="preserve"> discussed herein</w:t>
      </w:r>
      <w:r w:rsidR="005D7601">
        <w:t xml:space="preserve">, except for (1) the reduction of rates after four years based upon the recovery of rate case expense, (2) the granting of temporary rates in the event of protest, and (3) the requirement for proof of adjustment of books and records, are </w:t>
      </w:r>
      <w:r w:rsidRPr="003E4B2D">
        <w:t>preliminary in nature and will become final unless a person whose interests are substantially affected files a petition for a formal proceeding, pursuant to Rule 25-22.029, Florida Administrative Code</w:t>
      </w:r>
      <w:r>
        <w:t xml:space="preserve"> (F.A.C.)</w:t>
      </w:r>
      <w:r w:rsidRPr="003E4B2D">
        <w:t>.</w:t>
      </w:r>
      <w:r w:rsidR="005D7601">
        <w:t xml:space="preserve">  The </w:t>
      </w:r>
      <w:r w:rsidR="00AF3B1E">
        <w:t>reduction of rates after four years, the granting of temporary rates in the event of protest, and the requirement for proof of adjustment of books and records are final agency actions and subject to reconsideration and appeal as described below under the heading, “NOTICE OF FURTHER PROCEEDINGS OR JUDICIAL REVIEW.”</w:t>
      </w:r>
    </w:p>
    <w:p w:rsidR="00CB5276" w:rsidRDefault="00CB5276" w:rsidP="005C5A75"/>
    <w:p w:rsidR="005C5A75" w:rsidRPr="00AF3B1E" w:rsidRDefault="005C5A75" w:rsidP="005C5A75">
      <w:pPr>
        <w:pStyle w:val="RecommendationMajorSectionHeading"/>
        <w:rPr>
          <w:rFonts w:ascii="Times New Roman" w:hAnsi="Times New Roman" w:cs="Times New Roman"/>
          <w:b w:val="0"/>
          <w:bCs w:val="0"/>
          <w:kern w:val="0"/>
          <w:szCs w:val="24"/>
        </w:rPr>
      </w:pPr>
      <w:r w:rsidRPr="00AF3B1E">
        <w:rPr>
          <w:rFonts w:ascii="Times New Roman" w:hAnsi="Times New Roman" w:cs="Times New Roman"/>
        </w:rPr>
        <w:t>Background</w:t>
      </w:r>
      <w:r w:rsidRPr="00AF3B1E">
        <w:rPr>
          <w:rFonts w:ascii="Times New Roman" w:hAnsi="Times New Roman" w:cs="Times New Roman"/>
          <w:b w:val="0"/>
          <w:bCs w:val="0"/>
          <w:kern w:val="0"/>
          <w:szCs w:val="24"/>
        </w:rPr>
        <w:fldChar w:fldCharType="begin"/>
      </w:r>
      <w:r w:rsidRPr="00AF3B1E">
        <w:rPr>
          <w:rFonts w:ascii="Times New Roman" w:hAnsi="Times New Roman" w:cs="Times New Roman"/>
          <w:b w:val="0"/>
          <w:bCs w:val="0"/>
          <w:kern w:val="0"/>
          <w:szCs w:val="24"/>
        </w:rPr>
        <w:instrText xml:space="preserve"> TC  "</w:instrText>
      </w:r>
      <w:bookmarkStart w:id="6" w:name="_Toc525048093"/>
      <w:r w:rsidRPr="00AF3B1E">
        <w:rPr>
          <w:rFonts w:ascii="Times New Roman" w:hAnsi="Times New Roman" w:cs="Times New Roman"/>
          <w:b w:val="0"/>
          <w:bCs w:val="0"/>
          <w:kern w:val="0"/>
          <w:szCs w:val="24"/>
        </w:rPr>
        <w:tab/>
      </w:r>
      <w:bookmarkStart w:id="7" w:name="_Toc94516455"/>
      <w:r w:rsidRPr="00AF3B1E">
        <w:rPr>
          <w:rFonts w:ascii="Times New Roman" w:hAnsi="Times New Roman" w:cs="Times New Roman"/>
          <w:b w:val="0"/>
          <w:bCs w:val="0"/>
          <w:kern w:val="0"/>
          <w:szCs w:val="24"/>
        </w:rPr>
        <w:instrText>Case Background</w:instrText>
      </w:r>
      <w:bookmarkEnd w:id="6"/>
      <w:bookmarkEnd w:id="7"/>
      <w:r w:rsidRPr="00AF3B1E">
        <w:rPr>
          <w:rFonts w:ascii="Times New Roman" w:hAnsi="Times New Roman" w:cs="Times New Roman"/>
          <w:b w:val="0"/>
          <w:bCs w:val="0"/>
          <w:kern w:val="0"/>
          <w:szCs w:val="24"/>
        </w:rPr>
        <w:instrText xml:space="preserve">" \l 1 </w:instrText>
      </w:r>
      <w:r w:rsidRPr="00AF3B1E">
        <w:rPr>
          <w:rFonts w:ascii="Times New Roman" w:hAnsi="Times New Roman" w:cs="Times New Roman"/>
          <w:b w:val="0"/>
          <w:bCs w:val="0"/>
          <w:kern w:val="0"/>
          <w:szCs w:val="24"/>
        </w:rPr>
        <w:fldChar w:fldCharType="end"/>
      </w:r>
    </w:p>
    <w:p w:rsidR="005C5A75" w:rsidRPr="00F80DC6" w:rsidRDefault="00FE758E" w:rsidP="005C5A75">
      <w:pPr>
        <w:spacing w:after="240"/>
        <w:jc w:val="both"/>
      </w:pPr>
      <w:r>
        <w:tab/>
      </w:r>
      <w:r w:rsidR="005C5A75" w:rsidRPr="00F80DC6">
        <w:t>Pine Harbour Waterworks, Inc. (Pine Harbour or Utility) is a Class C utility serving approximately 62 residential and 2 general service water customers in Lake County. Wastewater service is provided by septic tanks. The service area is located in the St. Johns River Water Management District (SJRWMD)</w:t>
      </w:r>
      <w:r w:rsidR="005C5A75">
        <w:t>,</w:t>
      </w:r>
      <w:r w:rsidR="005C5A75" w:rsidRPr="00F80DC6">
        <w:t xml:space="preserve"> which has enacted district</w:t>
      </w:r>
      <w:r w:rsidR="005C5A75">
        <w:t>-</w:t>
      </w:r>
      <w:r w:rsidR="005C5A75" w:rsidRPr="00F80DC6">
        <w:t>wide irrigation restrictions. According to the Utility’s 2017 Annual Report, total gross revenues were $23,286, and total operating expenses were $26,383, resulting in a net operating loss of $3,097.</w:t>
      </w:r>
    </w:p>
    <w:p w:rsidR="005C5A75" w:rsidRPr="00F80DC6" w:rsidRDefault="00FE758E" w:rsidP="005C5A75">
      <w:pPr>
        <w:spacing w:after="240"/>
        <w:jc w:val="both"/>
      </w:pPr>
      <w:r>
        <w:lastRenderedPageBreak/>
        <w:tab/>
      </w:r>
      <w:r w:rsidR="005C5A75" w:rsidRPr="00F80DC6">
        <w:t xml:space="preserve">The Utility has been under </w:t>
      </w:r>
      <w:r w:rsidR="00AE6C55">
        <w:t>Commission</w:t>
      </w:r>
      <w:r w:rsidR="005C5A75" w:rsidRPr="00F80DC6">
        <w:t xml:space="preserve"> jurisdiction since 1985, when it was granted Certificate No. 450-W.</w:t>
      </w:r>
      <w:r w:rsidR="005C5A75" w:rsidRPr="00F80DC6">
        <w:rPr>
          <w:rStyle w:val="FootnoteReference"/>
        </w:rPr>
        <w:footnoteReference w:id="1"/>
      </w:r>
      <w:r w:rsidR="005C5A75" w:rsidRPr="00F80DC6">
        <w:rPr>
          <w:vertAlign w:val="superscript"/>
        </w:rPr>
        <w:t xml:space="preserve"> </w:t>
      </w:r>
      <w:r w:rsidR="005C5A75" w:rsidRPr="00F80DC6">
        <w:t>The Utility’s ownership subsequently changed in 1991, 2008, and 201</w:t>
      </w:r>
      <w:r w:rsidR="005C5A75">
        <w:t>6</w:t>
      </w:r>
      <w:r w:rsidR="005C5A75" w:rsidRPr="00F80DC6">
        <w:t>.</w:t>
      </w:r>
      <w:r w:rsidR="005C5A75" w:rsidRPr="00F80DC6">
        <w:rPr>
          <w:rStyle w:val="FootnoteReference"/>
        </w:rPr>
        <w:footnoteReference w:id="2"/>
      </w:r>
      <w:r w:rsidR="005C5A75" w:rsidRPr="00F80DC6">
        <w:t xml:space="preserve"> The Utility has never had a rate case, but received approval to charge miscellaneous service charges in a 2009 tariff filing and in the 2016 transfer docket.</w:t>
      </w:r>
      <w:r w:rsidR="005C5A75" w:rsidRPr="00F80DC6">
        <w:rPr>
          <w:rStyle w:val="FootnoteReference"/>
        </w:rPr>
        <w:footnoteReference w:id="3"/>
      </w:r>
      <w:r w:rsidR="005C5A75" w:rsidRPr="00F80DC6">
        <w:t xml:space="preserve"> On January 23, 2018, Pine Harbour filed an application for a st</w:t>
      </w:r>
      <w:r w:rsidR="004E6CC2">
        <w:t>aff-assisted rate case (SARC). Our s</w:t>
      </w:r>
      <w:r w:rsidR="005C5A75" w:rsidRPr="00F80DC6">
        <w:t>taff selected the 12-month period ended December 31, 2017, as the test year for the instant case. A customer meeting was held in Eustis</w:t>
      </w:r>
      <w:r w:rsidR="005C5A75">
        <w:t>, Florida</w:t>
      </w:r>
      <w:r w:rsidR="005C5A75" w:rsidRPr="00F80DC6">
        <w:t xml:space="preserve"> on July 26, 2018.</w:t>
      </w:r>
    </w:p>
    <w:p w:rsidR="00D57E57" w:rsidRDefault="00FE758E" w:rsidP="004E6CC2">
      <w:pPr>
        <w:jc w:val="both"/>
      </w:pPr>
      <w:r>
        <w:tab/>
      </w:r>
      <w:r w:rsidR="004E6CC2">
        <w:t xml:space="preserve">We have </w:t>
      </w:r>
      <w:r w:rsidR="005C5A75" w:rsidRPr="00F80DC6">
        <w:t>jurisdiction in this case pursuant to Sections 367.011, 367.081, 367.0812, 367.0814, and 367.121, Florida Statutes (F.S.</w:t>
      </w:r>
      <w:r w:rsidR="005C5A75">
        <w:t>).</w:t>
      </w:r>
    </w:p>
    <w:p w:rsidR="005C5A75" w:rsidRDefault="005C5A75" w:rsidP="005C5A75"/>
    <w:p w:rsidR="005C5A75" w:rsidRPr="004E6CC2" w:rsidRDefault="004E6CC2" w:rsidP="005C5A75">
      <w:pPr>
        <w:keepNext/>
        <w:spacing w:after="240"/>
        <w:jc w:val="center"/>
        <w:outlineLvl w:val="0"/>
        <w:rPr>
          <w:b/>
          <w:bCs/>
          <w:kern w:val="32"/>
          <w:szCs w:val="32"/>
        </w:rPr>
      </w:pPr>
      <w:bookmarkStart w:id="8" w:name="DiscussionOfIssues"/>
      <w:r w:rsidRPr="004E6CC2">
        <w:rPr>
          <w:b/>
          <w:bCs/>
          <w:kern w:val="32"/>
          <w:szCs w:val="32"/>
        </w:rPr>
        <w:t>Review and Decision</w:t>
      </w:r>
    </w:p>
    <w:bookmarkEnd w:id="8"/>
    <w:p w:rsidR="004E6CC2" w:rsidRPr="004E6CC2" w:rsidRDefault="004E6CC2" w:rsidP="005C5A75">
      <w:pPr>
        <w:spacing w:after="240"/>
        <w:jc w:val="both"/>
        <w:outlineLvl w:val="1"/>
        <w:rPr>
          <w:bCs/>
          <w:iCs/>
          <w:szCs w:val="28"/>
          <w:u w:val="single"/>
        </w:rPr>
      </w:pPr>
      <w:r>
        <w:rPr>
          <w:bCs/>
          <w:iCs/>
          <w:szCs w:val="28"/>
          <w:u w:val="single"/>
        </w:rPr>
        <w:t>1. Quality of Service</w:t>
      </w:r>
    </w:p>
    <w:p w:rsidR="005C5A75" w:rsidRPr="005C5A75" w:rsidRDefault="005C5A75" w:rsidP="004E6CC2">
      <w:pPr>
        <w:spacing w:after="240"/>
        <w:ind w:firstLine="720"/>
        <w:jc w:val="both"/>
        <w:outlineLvl w:val="1"/>
        <w:rPr>
          <w:bCs/>
          <w:iCs/>
          <w:szCs w:val="28"/>
        </w:rPr>
      </w:pPr>
      <w:r w:rsidRPr="005C5A75">
        <w:rPr>
          <w:bCs/>
          <w:iCs/>
          <w:szCs w:val="28"/>
        </w:rPr>
        <w:t xml:space="preserve">Pursuant to Section 367.081(2)(a)1., F.S., in water and wastewater rate cases, </w:t>
      </w:r>
      <w:r w:rsidR="004E6CC2">
        <w:rPr>
          <w:bCs/>
          <w:iCs/>
          <w:szCs w:val="28"/>
        </w:rPr>
        <w:t>we</w:t>
      </w:r>
      <w:r w:rsidRPr="005C5A75">
        <w:rPr>
          <w:bCs/>
          <w:iCs/>
          <w:szCs w:val="28"/>
        </w:rPr>
        <w:t xml:space="preserve"> shall consider the overall quality of service provided by a utility. Rule 25-30.433(1), </w:t>
      </w:r>
      <w:r w:rsidR="004E6CC2">
        <w:rPr>
          <w:bCs/>
          <w:iCs/>
          <w:szCs w:val="28"/>
        </w:rPr>
        <w:t>F.A.C.</w:t>
      </w:r>
      <w:r w:rsidRPr="005C5A75">
        <w:rPr>
          <w:bCs/>
          <w:iCs/>
          <w:szCs w:val="28"/>
        </w:rPr>
        <w:t>, provides for the consideration of three separate components of the utility’s operations.</w:t>
      </w:r>
      <w:r w:rsidRPr="005C5A75">
        <w:rPr>
          <w:bCs/>
          <w:iCs/>
          <w:szCs w:val="28"/>
          <w:vertAlign w:val="superscript"/>
        </w:rPr>
        <w:footnoteReference w:id="4"/>
      </w:r>
      <w:r w:rsidRPr="005C5A75">
        <w:rPr>
          <w:bCs/>
          <w:iCs/>
          <w:szCs w:val="28"/>
        </w:rPr>
        <w:t xml:space="preserve"> The components are: (1) the quality of the utility’s product; (2) the utility’s attempt to address customer satisfaction; and (3) the operating conditions of the utility’s plant and facilities. The Rule further states that sanitary surveys, outstanding citations, violations, and consent orders on file with </w:t>
      </w:r>
      <w:r w:rsidR="004E6CC2">
        <w:rPr>
          <w:bCs/>
          <w:iCs/>
          <w:szCs w:val="28"/>
        </w:rPr>
        <w:t>the Department of Environmental Protection (</w:t>
      </w:r>
      <w:r w:rsidRPr="005C5A75">
        <w:rPr>
          <w:bCs/>
          <w:iCs/>
          <w:szCs w:val="28"/>
        </w:rPr>
        <w:t>DEP</w:t>
      </w:r>
      <w:r w:rsidR="004E6CC2">
        <w:rPr>
          <w:bCs/>
          <w:iCs/>
          <w:szCs w:val="28"/>
        </w:rPr>
        <w:t>)</w:t>
      </w:r>
      <w:r w:rsidRPr="005C5A75">
        <w:rPr>
          <w:bCs/>
          <w:iCs/>
          <w:szCs w:val="28"/>
        </w:rPr>
        <w:t xml:space="preserve"> and the county health department over the preceding three-year period shall be considered. Additionally, Section 367.0812(1), F.S., requires </w:t>
      </w:r>
      <w:r w:rsidR="004E6CC2">
        <w:rPr>
          <w:bCs/>
          <w:iCs/>
          <w:szCs w:val="28"/>
        </w:rPr>
        <w:t>us</w:t>
      </w:r>
      <w:r w:rsidRPr="005C5A75">
        <w:rPr>
          <w:bCs/>
          <w:iCs/>
          <w:szCs w:val="28"/>
        </w:rPr>
        <w:t xml:space="preserve"> to consider the extent to which the utility provides water service that meets secondary water quality standards as established by DEP.</w:t>
      </w:r>
    </w:p>
    <w:p w:rsidR="005C5A75" w:rsidRDefault="00D85301" w:rsidP="005C5A75">
      <w:pPr>
        <w:tabs>
          <w:tab w:val="left" w:pos="3810"/>
        </w:tabs>
        <w:jc w:val="both"/>
        <w:outlineLvl w:val="2"/>
        <w:rPr>
          <w:bCs/>
          <w:i/>
          <w:iCs/>
          <w:szCs w:val="28"/>
        </w:rPr>
      </w:pPr>
      <w:r>
        <w:rPr>
          <w:bCs/>
          <w:i/>
          <w:iCs/>
          <w:szCs w:val="28"/>
        </w:rPr>
        <w:t xml:space="preserve">A. </w:t>
      </w:r>
      <w:r w:rsidR="005C5A75" w:rsidRPr="00D85301">
        <w:rPr>
          <w:bCs/>
          <w:i/>
          <w:iCs/>
          <w:szCs w:val="28"/>
        </w:rPr>
        <w:t>Quality of the Utility’s Product</w:t>
      </w:r>
    </w:p>
    <w:p w:rsidR="00D85301" w:rsidRPr="00D85301" w:rsidRDefault="00D85301" w:rsidP="005C5A75">
      <w:pPr>
        <w:tabs>
          <w:tab w:val="left" w:pos="3810"/>
        </w:tabs>
        <w:jc w:val="both"/>
        <w:outlineLvl w:val="2"/>
        <w:rPr>
          <w:bCs/>
          <w:i/>
          <w:iCs/>
          <w:szCs w:val="28"/>
        </w:rPr>
      </w:pPr>
    </w:p>
    <w:p w:rsidR="005C5A75" w:rsidRPr="005C5A75" w:rsidRDefault="00FE758E" w:rsidP="005C5A75">
      <w:pPr>
        <w:spacing w:after="240"/>
        <w:jc w:val="both"/>
      </w:pPr>
      <w:r>
        <w:tab/>
      </w:r>
      <w:r w:rsidR="005C5A75" w:rsidRPr="005C5A75">
        <w:t xml:space="preserve">In the evaluation of Pine Harbour’s product quality, </w:t>
      </w:r>
      <w:r w:rsidR="00D85301">
        <w:t>we</w:t>
      </w:r>
      <w:r w:rsidR="005C5A75" w:rsidRPr="005C5A75">
        <w:t xml:space="preserve"> reviewed the Utility’s compliance with the DEP’s primary and secondary drinking water standards. Primary standards protect </w:t>
      </w:r>
      <w:r w:rsidR="005C5A75" w:rsidRPr="005C5A75">
        <w:lastRenderedPageBreak/>
        <w:t xml:space="preserve">public health, while secondary standards regulate contaminants that may impact the taste, odor, and color of drinking water. In January 2018, the Utility tested its water for compliance with primary and secondary water standards. The results of the test indicate that all contaminants (primary and secondary) and disinfectants were below the DEP established maximum contaminant levels. Therefore, </w:t>
      </w:r>
      <w:r w:rsidR="00D85301">
        <w:t>we find</w:t>
      </w:r>
      <w:r w:rsidR="005C5A75" w:rsidRPr="005C5A75">
        <w:t xml:space="preserve"> that the quality of Pine Harbour’s product is satisfactory.</w:t>
      </w:r>
    </w:p>
    <w:p w:rsidR="005C5A75" w:rsidRDefault="00D85301" w:rsidP="005C5A75">
      <w:pPr>
        <w:jc w:val="both"/>
        <w:outlineLvl w:val="2"/>
        <w:rPr>
          <w:bCs/>
          <w:i/>
          <w:iCs/>
          <w:szCs w:val="28"/>
        </w:rPr>
      </w:pPr>
      <w:r>
        <w:rPr>
          <w:bCs/>
          <w:i/>
          <w:iCs/>
          <w:szCs w:val="28"/>
        </w:rPr>
        <w:t xml:space="preserve">B. </w:t>
      </w:r>
      <w:r w:rsidR="005C5A75" w:rsidRPr="00D85301">
        <w:rPr>
          <w:bCs/>
          <w:i/>
          <w:iCs/>
          <w:szCs w:val="28"/>
        </w:rPr>
        <w:t>Utility’s Attempt to Address Customer Satisfaction</w:t>
      </w:r>
    </w:p>
    <w:p w:rsidR="00D85301" w:rsidRPr="00D85301" w:rsidRDefault="00D85301" w:rsidP="005C5A75">
      <w:pPr>
        <w:jc w:val="both"/>
        <w:outlineLvl w:val="2"/>
        <w:rPr>
          <w:bCs/>
          <w:i/>
          <w:iCs/>
          <w:szCs w:val="28"/>
        </w:rPr>
      </w:pPr>
    </w:p>
    <w:p w:rsidR="005C5A75" w:rsidRPr="005C5A75" w:rsidRDefault="00FE758E" w:rsidP="005C5A75">
      <w:pPr>
        <w:spacing w:after="240"/>
        <w:jc w:val="both"/>
      </w:pPr>
      <w:r>
        <w:tab/>
      </w:r>
      <w:r w:rsidR="00D85301">
        <w:t>We</w:t>
      </w:r>
      <w:r w:rsidR="005C5A75" w:rsidRPr="005C5A75">
        <w:t xml:space="preserve"> reviewed the Commission’s customer complaint records dating back to January 1, 2013, and no complaints were found. The DEP found no complaints in their database record for the test year and four years prior. </w:t>
      </w:r>
    </w:p>
    <w:p w:rsidR="005C5A75" w:rsidRPr="005C5A75" w:rsidRDefault="00FE758E" w:rsidP="005C5A75">
      <w:pPr>
        <w:spacing w:after="240"/>
        <w:jc w:val="both"/>
      </w:pPr>
      <w:r>
        <w:tab/>
      </w:r>
      <w:r w:rsidR="005C5A75" w:rsidRPr="005C5A75">
        <w:t xml:space="preserve">A customer meeting was held on July 26, 2018, at the American Legion Building in Eustis, Florida. Two persons attended the customer meeting, neither of whom chose to speak. As of September 20, 2018, no written comments have been filed in the docket.  </w:t>
      </w:r>
    </w:p>
    <w:p w:rsidR="005C5A75" w:rsidRDefault="00FE758E" w:rsidP="00987161">
      <w:pPr>
        <w:spacing w:after="240"/>
        <w:jc w:val="both"/>
      </w:pPr>
      <w:r>
        <w:tab/>
      </w:r>
      <w:r w:rsidR="005C5A75" w:rsidRPr="005C5A75">
        <w:t>In response to a data request</w:t>
      </w:r>
      <w:r w:rsidR="00D85301">
        <w:t xml:space="preserve"> issued by our staff</w:t>
      </w:r>
      <w:r w:rsidR="005C5A75" w:rsidRPr="005C5A75">
        <w:t xml:space="preserve">, the Utility provided its record of customer communications including service complaints, during the test year and four years prior to the test year. </w:t>
      </w:r>
      <w:r w:rsidR="00D85301">
        <w:t>We</w:t>
      </w:r>
      <w:r w:rsidR="005C5A75" w:rsidRPr="005C5A75">
        <w:t xml:space="preserve"> reviewed those communications and it appears the majority of the service complaints were related to four specific events: Hurricane Irma, a loss of water due to a power failure, a malfunction in the air compressor at the water plant, and low water pressure/water quality issues related to hydrant flushing. </w:t>
      </w:r>
      <w:r w:rsidR="00D85301">
        <w:t>We also note</w:t>
      </w:r>
      <w:r w:rsidR="005C5A75" w:rsidRPr="005C5A75">
        <w:t xml:space="preserve"> that many of those communications were from the same customers. For example, two customers contacted the Utility eight times each; with several of those contacts being informational. It appears that the Utility responded to customers’ concerns in a timely manner and to the satisfaction of its customers. Therefore, </w:t>
      </w:r>
      <w:r w:rsidR="00D85301">
        <w:t>we find that</w:t>
      </w:r>
      <w:r w:rsidR="005C5A75" w:rsidRPr="005C5A75">
        <w:t xml:space="preserve"> the Utility is adequately attempting to address customer satisfaction. Table 1 below summarizes customer complaints by source and subject. </w:t>
      </w:r>
    </w:p>
    <w:p w:rsidR="00987161" w:rsidRDefault="00987161" w:rsidP="00987161">
      <w:pPr>
        <w:jc w:val="center"/>
        <w:rPr>
          <w:b/>
        </w:rPr>
      </w:pPr>
      <w:r>
        <w:rPr>
          <w:b/>
        </w:rPr>
        <w:t>Table 1</w:t>
      </w:r>
    </w:p>
    <w:p w:rsidR="00987161" w:rsidRPr="00987161" w:rsidRDefault="00987161" w:rsidP="00987161">
      <w:pPr>
        <w:jc w:val="center"/>
        <w:rPr>
          <w:b/>
        </w:rPr>
      </w:pPr>
      <w:r>
        <w:rPr>
          <w:b/>
        </w:rPr>
        <w:t>Number of Complaints by Source and Subject</w:t>
      </w:r>
    </w:p>
    <w:tbl>
      <w:tblPr>
        <w:tblStyle w:val="TableGrid"/>
        <w:tblW w:w="5000" w:type="pct"/>
        <w:jc w:val="center"/>
        <w:tblLook w:val="04A0" w:firstRow="1" w:lastRow="0" w:firstColumn="1" w:lastColumn="0" w:noHBand="0" w:noVBand="1"/>
      </w:tblPr>
      <w:tblGrid>
        <w:gridCol w:w="3078"/>
        <w:gridCol w:w="2700"/>
        <w:gridCol w:w="1890"/>
        <w:gridCol w:w="1908"/>
      </w:tblGrid>
      <w:tr w:rsidR="005C5A75" w:rsidRPr="005C5A75" w:rsidTr="00FE758E">
        <w:trPr>
          <w:trHeight w:hRule="exact" w:val="576"/>
          <w:jc w:val="center"/>
        </w:trPr>
        <w:tc>
          <w:tcPr>
            <w:tcW w:w="1607" w:type="pct"/>
            <w:vAlign w:val="center"/>
          </w:tcPr>
          <w:p w:rsidR="005C5A75" w:rsidRPr="005C5A75" w:rsidRDefault="005C5A75" w:rsidP="005C5A75">
            <w:pPr>
              <w:jc w:val="center"/>
              <w:rPr>
                <w:b/>
              </w:rPr>
            </w:pPr>
            <w:r w:rsidRPr="005C5A75">
              <w:rPr>
                <w:b/>
              </w:rPr>
              <w:t>Subject of Complaint</w:t>
            </w:r>
          </w:p>
        </w:tc>
        <w:tc>
          <w:tcPr>
            <w:tcW w:w="1410" w:type="pct"/>
            <w:vAlign w:val="center"/>
          </w:tcPr>
          <w:p w:rsidR="005C5A75" w:rsidRPr="005C5A75" w:rsidRDefault="005C5A75" w:rsidP="005C5A75">
            <w:pPr>
              <w:jc w:val="center"/>
              <w:rPr>
                <w:b/>
              </w:rPr>
            </w:pPr>
            <w:r w:rsidRPr="005C5A75">
              <w:rPr>
                <w:b/>
              </w:rPr>
              <w:t>PSC Records</w:t>
            </w:r>
          </w:p>
        </w:tc>
        <w:tc>
          <w:tcPr>
            <w:tcW w:w="987" w:type="pct"/>
            <w:vAlign w:val="center"/>
          </w:tcPr>
          <w:p w:rsidR="005C5A75" w:rsidRPr="005C5A75" w:rsidRDefault="005C5A75" w:rsidP="005C5A75">
            <w:pPr>
              <w:jc w:val="center"/>
              <w:rPr>
                <w:b/>
              </w:rPr>
            </w:pPr>
            <w:r w:rsidRPr="005C5A75">
              <w:rPr>
                <w:b/>
              </w:rPr>
              <w:t>DEP Records</w:t>
            </w:r>
          </w:p>
        </w:tc>
        <w:tc>
          <w:tcPr>
            <w:tcW w:w="996" w:type="pct"/>
            <w:vAlign w:val="center"/>
          </w:tcPr>
          <w:p w:rsidR="005C5A75" w:rsidRPr="005C5A75" w:rsidRDefault="005C5A75" w:rsidP="005C5A75">
            <w:pPr>
              <w:jc w:val="center"/>
              <w:rPr>
                <w:b/>
              </w:rPr>
            </w:pPr>
            <w:r w:rsidRPr="005C5A75">
              <w:rPr>
                <w:b/>
              </w:rPr>
              <w:t>Utility Records</w:t>
            </w:r>
          </w:p>
        </w:tc>
      </w:tr>
      <w:tr w:rsidR="005C5A75" w:rsidRPr="005C5A75" w:rsidTr="00FE758E">
        <w:trPr>
          <w:trHeight w:hRule="exact" w:val="576"/>
          <w:jc w:val="center"/>
        </w:trPr>
        <w:tc>
          <w:tcPr>
            <w:tcW w:w="1607" w:type="pct"/>
            <w:vAlign w:val="center"/>
          </w:tcPr>
          <w:p w:rsidR="005C5A75" w:rsidRPr="005C5A75" w:rsidRDefault="005C5A75" w:rsidP="005C5A75">
            <w:r w:rsidRPr="005C5A75">
              <w:t>Color / smell / taste</w:t>
            </w:r>
          </w:p>
        </w:tc>
        <w:tc>
          <w:tcPr>
            <w:tcW w:w="1410" w:type="pct"/>
            <w:vAlign w:val="center"/>
          </w:tcPr>
          <w:p w:rsidR="005C5A75" w:rsidRPr="005C5A75" w:rsidRDefault="005C5A75" w:rsidP="005C5A75">
            <w:pPr>
              <w:jc w:val="center"/>
            </w:pPr>
            <w:r w:rsidRPr="005C5A75">
              <w:t>-</w:t>
            </w:r>
          </w:p>
        </w:tc>
        <w:tc>
          <w:tcPr>
            <w:tcW w:w="987" w:type="pct"/>
            <w:vAlign w:val="center"/>
          </w:tcPr>
          <w:p w:rsidR="005C5A75" w:rsidRPr="005C5A75" w:rsidRDefault="005C5A75" w:rsidP="005C5A75">
            <w:pPr>
              <w:jc w:val="center"/>
            </w:pPr>
            <w:r w:rsidRPr="005C5A75">
              <w:t>-</w:t>
            </w:r>
          </w:p>
        </w:tc>
        <w:tc>
          <w:tcPr>
            <w:tcW w:w="996" w:type="pct"/>
            <w:vAlign w:val="center"/>
          </w:tcPr>
          <w:p w:rsidR="005C5A75" w:rsidRPr="005C5A75" w:rsidRDefault="005C5A75" w:rsidP="005C5A75">
            <w:pPr>
              <w:jc w:val="center"/>
            </w:pPr>
            <w:r w:rsidRPr="005C5A75">
              <w:t>13</w:t>
            </w:r>
          </w:p>
        </w:tc>
      </w:tr>
      <w:tr w:rsidR="005C5A75" w:rsidRPr="005C5A75" w:rsidTr="00FE758E">
        <w:trPr>
          <w:trHeight w:hRule="exact" w:val="576"/>
          <w:jc w:val="center"/>
        </w:trPr>
        <w:tc>
          <w:tcPr>
            <w:tcW w:w="1607" w:type="pct"/>
            <w:vAlign w:val="center"/>
          </w:tcPr>
          <w:p w:rsidR="005C5A75" w:rsidRPr="005C5A75" w:rsidRDefault="005C5A75" w:rsidP="005C5A75">
            <w:r w:rsidRPr="005C5A75">
              <w:t>Low water pressure</w:t>
            </w:r>
          </w:p>
        </w:tc>
        <w:tc>
          <w:tcPr>
            <w:tcW w:w="1410" w:type="pct"/>
            <w:vAlign w:val="center"/>
          </w:tcPr>
          <w:p w:rsidR="005C5A75" w:rsidRPr="005C5A75" w:rsidRDefault="005C5A75" w:rsidP="005C5A75">
            <w:pPr>
              <w:jc w:val="center"/>
            </w:pPr>
            <w:r w:rsidRPr="005C5A75">
              <w:t>-</w:t>
            </w:r>
          </w:p>
        </w:tc>
        <w:tc>
          <w:tcPr>
            <w:tcW w:w="987" w:type="pct"/>
            <w:vAlign w:val="center"/>
          </w:tcPr>
          <w:p w:rsidR="005C5A75" w:rsidRPr="005C5A75" w:rsidRDefault="005C5A75" w:rsidP="005C5A75">
            <w:pPr>
              <w:jc w:val="center"/>
            </w:pPr>
            <w:r w:rsidRPr="005C5A75">
              <w:t>-</w:t>
            </w:r>
          </w:p>
        </w:tc>
        <w:tc>
          <w:tcPr>
            <w:tcW w:w="996" w:type="pct"/>
            <w:vAlign w:val="center"/>
          </w:tcPr>
          <w:p w:rsidR="005C5A75" w:rsidRPr="005C5A75" w:rsidRDefault="005C5A75" w:rsidP="005C5A75">
            <w:pPr>
              <w:jc w:val="center"/>
            </w:pPr>
            <w:r w:rsidRPr="005C5A75">
              <w:t>6</w:t>
            </w:r>
          </w:p>
        </w:tc>
      </w:tr>
      <w:tr w:rsidR="005C5A75" w:rsidRPr="005C5A75" w:rsidTr="00FE758E">
        <w:trPr>
          <w:trHeight w:hRule="exact" w:val="576"/>
          <w:jc w:val="center"/>
        </w:trPr>
        <w:tc>
          <w:tcPr>
            <w:tcW w:w="1607" w:type="pct"/>
            <w:vAlign w:val="center"/>
          </w:tcPr>
          <w:p w:rsidR="005C5A75" w:rsidRPr="005C5A75" w:rsidRDefault="005C5A75" w:rsidP="005C5A75">
            <w:r w:rsidRPr="005C5A75">
              <w:t xml:space="preserve">Excessive gallonage / Leak / </w:t>
            </w:r>
          </w:p>
          <w:p w:rsidR="005C5A75" w:rsidRPr="005C5A75" w:rsidRDefault="005C5A75" w:rsidP="005C5A75">
            <w:r w:rsidRPr="005C5A75">
              <w:t>Billing Errors</w:t>
            </w:r>
          </w:p>
        </w:tc>
        <w:tc>
          <w:tcPr>
            <w:tcW w:w="1410" w:type="pct"/>
            <w:vAlign w:val="center"/>
          </w:tcPr>
          <w:p w:rsidR="005C5A75" w:rsidRPr="005C5A75" w:rsidRDefault="005C5A75" w:rsidP="005C5A75">
            <w:pPr>
              <w:jc w:val="center"/>
            </w:pPr>
            <w:r w:rsidRPr="005C5A75">
              <w:t>-</w:t>
            </w:r>
          </w:p>
        </w:tc>
        <w:tc>
          <w:tcPr>
            <w:tcW w:w="987" w:type="pct"/>
            <w:vAlign w:val="center"/>
          </w:tcPr>
          <w:p w:rsidR="005C5A75" w:rsidRPr="005C5A75" w:rsidRDefault="005C5A75" w:rsidP="005C5A75">
            <w:pPr>
              <w:jc w:val="center"/>
            </w:pPr>
            <w:r w:rsidRPr="005C5A75">
              <w:t>-</w:t>
            </w:r>
          </w:p>
        </w:tc>
        <w:tc>
          <w:tcPr>
            <w:tcW w:w="996" w:type="pct"/>
            <w:vAlign w:val="center"/>
          </w:tcPr>
          <w:p w:rsidR="005C5A75" w:rsidRPr="005C5A75" w:rsidRDefault="005C5A75" w:rsidP="005C5A75">
            <w:pPr>
              <w:jc w:val="center"/>
            </w:pPr>
            <w:r w:rsidRPr="005C5A75">
              <w:t>8</w:t>
            </w:r>
          </w:p>
        </w:tc>
      </w:tr>
      <w:tr w:rsidR="005C5A75" w:rsidRPr="005C5A75" w:rsidTr="00FE758E">
        <w:trPr>
          <w:trHeight w:hRule="exact" w:val="576"/>
          <w:jc w:val="center"/>
        </w:trPr>
        <w:tc>
          <w:tcPr>
            <w:tcW w:w="1607" w:type="pct"/>
            <w:vAlign w:val="center"/>
          </w:tcPr>
          <w:p w:rsidR="005C5A75" w:rsidRPr="005C5A75" w:rsidRDefault="005C5A75" w:rsidP="005C5A75">
            <w:r w:rsidRPr="005C5A75">
              <w:t xml:space="preserve">Others </w:t>
            </w:r>
          </w:p>
          <w:p w:rsidR="005C5A75" w:rsidRPr="005C5A75" w:rsidRDefault="005C5A75" w:rsidP="005C5A75"/>
        </w:tc>
        <w:tc>
          <w:tcPr>
            <w:tcW w:w="1410" w:type="pct"/>
            <w:vAlign w:val="center"/>
          </w:tcPr>
          <w:p w:rsidR="005C5A75" w:rsidRPr="005C5A75" w:rsidRDefault="005C5A75" w:rsidP="005C5A75">
            <w:pPr>
              <w:jc w:val="center"/>
            </w:pPr>
            <w:r w:rsidRPr="005C5A75">
              <w:t>-</w:t>
            </w:r>
          </w:p>
        </w:tc>
        <w:tc>
          <w:tcPr>
            <w:tcW w:w="987" w:type="pct"/>
            <w:vAlign w:val="center"/>
          </w:tcPr>
          <w:p w:rsidR="005C5A75" w:rsidRPr="005C5A75" w:rsidRDefault="005C5A75" w:rsidP="005C5A75">
            <w:pPr>
              <w:jc w:val="center"/>
            </w:pPr>
            <w:r w:rsidRPr="005C5A75">
              <w:t>-</w:t>
            </w:r>
          </w:p>
        </w:tc>
        <w:tc>
          <w:tcPr>
            <w:tcW w:w="996" w:type="pct"/>
            <w:vAlign w:val="center"/>
          </w:tcPr>
          <w:p w:rsidR="005C5A75" w:rsidRPr="005C5A75" w:rsidRDefault="005C5A75" w:rsidP="005C5A75">
            <w:pPr>
              <w:jc w:val="center"/>
            </w:pPr>
            <w:r w:rsidRPr="005C5A75">
              <w:t>5</w:t>
            </w:r>
          </w:p>
        </w:tc>
      </w:tr>
      <w:tr w:rsidR="005C5A75" w:rsidRPr="005C5A75" w:rsidTr="00FE758E">
        <w:trPr>
          <w:trHeight w:hRule="exact" w:val="576"/>
          <w:jc w:val="center"/>
        </w:trPr>
        <w:tc>
          <w:tcPr>
            <w:tcW w:w="1607" w:type="pct"/>
            <w:vAlign w:val="center"/>
          </w:tcPr>
          <w:p w:rsidR="005C5A75" w:rsidRPr="005C5A75" w:rsidRDefault="005C5A75" w:rsidP="005C5A75">
            <w:r w:rsidRPr="005C5A75">
              <w:t>Total*</w:t>
            </w:r>
          </w:p>
          <w:p w:rsidR="005C5A75" w:rsidRPr="005C5A75" w:rsidRDefault="005C5A75" w:rsidP="005C5A75"/>
        </w:tc>
        <w:tc>
          <w:tcPr>
            <w:tcW w:w="1410" w:type="pct"/>
            <w:vAlign w:val="center"/>
          </w:tcPr>
          <w:p w:rsidR="005C5A75" w:rsidRPr="005C5A75" w:rsidRDefault="005C5A75" w:rsidP="005C5A75">
            <w:pPr>
              <w:jc w:val="center"/>
            </w:pPr>
            <w:r w:rsidRPr="005C5A75">
              <w:t>-</w:t>
            </w:r>
          </w:p>
        </w:tc>
        <w:tc>
          <w:tcPr>
            <w:tcW w:w="987" w:type="pct"/>
            <w:vAlign w:val="center"/>
          </w:tcPr>
          <w:p w:rsidR="005C5A75" w:rsidRPr="005C5A75" w:rsidRDefault="005C5A75" w:rsidP="005C5A75">
            <w:pPr>
              <w:jc w:val="center"/>
            </w:pPr>
            <w:r w:rsidRPr="005C5A75">
              <w:t>-</w:t>
            </w:r>
          </w:p>
        </w:tc>
        <w:tc>
          <w:tcPr>
            <w:tcW w:w="996" w:type="pct"/>
            <w:vAlign w:val="center"/>
          </w:tcPr>
          <w:p w:rsidR="005C5A75" w:rsidRPr="005C5A75" w:rsidRDefault="005C5A75" w:rsidP="005C5A75">
            <w:pPr>
              <w:jc w:val="center"/>
            </w:pPr>
            <w:r w:rsidRPr="005C5A75">
              <w:t>32</w:t>
            </w:r>
          </w:p>
        </w:tc>
      </w:tr>
    </w:tbl>
    <w:p w:rsidR="005C5A75" w:rsidRPr="005C5A75" w:rsidRDefault="005C5A75" w:rsidP="005C5A75">
      <w:pPr>
        <w:spacing w:after="240"/>
        <w:jc w:val="both"/>
      </w:pPr>
      <w:r w:rsidRPr="005C5A75">
        <w:t>*A single customer complaint may be counted multiple times if it meets multiple categories.</w:t>
      </w:r>
    </w:p>
    <w:p w:rsidR="00D85301" w:rsidRDefault="00D85301" w:rsidP="005C5A75">
      <w:pPr>
        <w:jc w:val="both"/>
        <w:outlineLvl w:val="2"/>
        <w:rPr>
          <w:bCs/>
          <w:i/>
          <w:iCs/>
          <w:szCs w:val="28"/>
        </w:rPr>
      </w:pPr>
    </w:p>
    <w:p w:rsidR="005C5A75" w:rsidRDefault="00D85301" w:rsidP="005C5A75">
      <w:pPr>
        <w:jc w:val="both"/>
        <w:outlineLvl w:val="2"/>
        <w:rPr>
          <w:bCs/>
          <w:i/>
          <w:iCs/>
          <w:szCs w:val="28"/>
        </w:rPr>
      </w:pPr>
      <w:r>
        <w:rPr>
          <w:bCs/>
          <w:i/>
          <w:iCs/>
          <w:szCs w:val="28"/>
        </w:rPr>
        <w:lastRenderedPageBreak/>
        <w:t xml:space="preserve">C. </w:t>
      </w:r>
      <w:r w:rsidR="005C5A75" w:rsidRPr="00D85301">
        <w:rPr>
          <w:bCs/>
          <w:i/>
          <w:iCs/>
          <w:szCs w:val="28"/>
        </w:rPr>
        <w:t>Operating Condition of the Utility’s Plant and Facilities</w:t>
      </w:r>
    </w:p>
    <w:p w:rsidR="00D85301" w:rsidRPr="00D85301" w:rsidRDefault="00D85301" w:rsidP="005C5A75">
      <w:pPr>
        <w:jc w:val="both"/>
        <w:outlineLvl w:val="2"/>
        <w:rPr>
          <w:bCs/>
          <w:i/>
          <w:iCs/>
          <w:szCs w:val="28"/>
        </w:rPr>
      </w:pPr>
    </w:p>
    <w:p w:rsidR="005C5A75" w:rsidRPr="005C5A75" w:rsidRDefault="00FE758E" w:rsidP="005C5A75">
      <w:pPr>
        <w:spacing w:after="240"/>
        <w:jc w:val="both"/>
      </w:pPr>
      <w:r>
        <w:tab/>
      </w:r>
      <w:r w:rsidR="005C5A75" w:rsidRPr="005C5A75">
        <w:t>The Utility’s water treatment plant</w:t>
      </w:r>
      <w:r w:rsidR="00124E8C">
        <w:t xml:space="preserve"> </w:t>
      </w:r>
      <w:r w:rsidR="00124E8C" w:rsidRPr="005C5A75">
        <w:t>(WTP)</w:t>
      </w:r>
      <w:r w:rsidR="005C5A75" w:rsidRPr="005C5A75">
        <w:t xml:space="preserve"> is served by a single well, where raw water is pumped from a well rated at 600 gallons per minute. The Utility’s water system has an aeration concrete tank and a steel hydropneumatic tank. </w:t>
      </w:r>
      <w:r w:rsidR="00D85301">
        <w:t>We</w:t>
      </w:r>
      <w:r w:rsidR="005C5A75" w:rsidRPr="005C5A75">
        <w:t xml:space="preserve"> reviewed the most recent DEP sanitary survey report conducted on September 16, 2015. The sanitary survey stated that there were no significant deficiencies at the Utility’s facilities; however, one minor deficiency was identified. The deficiency, which was related to the calibration of the water plant distribution flow meter, was corrected on October 6, 2015. The next sanitary survey report is due to be completed by the end of 2018. Based on the Utility’s compliance with DEP, </w:t>
      </w:r>
      <w:r w:rsidR="00D85301">
        <w:t>we find that</w:t>
      </w:r>
      <w:r w:rsidR="005C5A75" w:rsidRPr="005C5A75">
        <w:t xml:space="preserve"> the operating condition of Pine Harbour’s plant and facilities is satisfactory.</w:t>
      </w:r>
    </w:p>
    <w:p w:rsidR="005C5A75" w:rsidRDefault="00D85301" w:rsidP="005C5A75">
      <w:pPr>
        <w:jc w:val="both"/>
        <w:outlineLvl w:val="2"/>
        <w:rPr>
          <w:bCs/>
          <w:i/>
          <w:iCs/>
          <w:szCs w:val="28"/>
        </w:rPr>
      </w:pPr>
      <w:r>
        <w:rPr>
          <w:bCs/>
          <w:i/>
          <w:iCs/>
          <w:szCs w:val="28"/>
        </w:rPr>
        <w:t xml:space="preserve">D. </w:t>
      </w:r>
      <w:r w:rsidR="005C5A75" w:rsidRPr="00D85301">
        <w:rPr>
          <w:bCs/>
          <w:i/>
          <w:iCs/>
          <w:szCs w:val="28"/>
        </w:rPr>
        <w:t>Conclusion</w:t>
      </w:r>
    </w:p>
    <w:p w:rsidR="00D85301" w:rsidRPr="00D85301" w:rsidRDefault="00D85301" w:rsidP="005C5A75">
      <w:pPr>
        <w:jc w:val="both"/>
        <w:outlineLvl w:val="2"/>
        <w:rPr>
          <w:bCs/>
          <w:i/>
          <w:iCs/>
          <w:szCs w:val="28"/>
        </w:rPr>
      </w:pPr>
    </w:p>
    <w:p w:rsidR="005C5A75" w:rsidRDefault="00FE758E" w:rsidP="005C5A75">
      <w:pPr>
        <w:jc w:val="both"/>
      </w:pPr>
      <w:r>
        <w:tab/>
      </w:r>
      <w:r w:rsidR="005C5A75" w:rsidRPr="005C5A75">
        <w:t xml:space="preserve">Pine Harbour is currently in compliance with DEP rules and regulations. Additionally the Utility appears to be responding adequately to the concerns of its customers. Therefore, </w:t>
      </w:r>
      <w:r w:rsidR="00D85301">
        <w:t>we find that</w:t>
      </w:r>
      <w:r w:rsidR="005C5A75" w:rsidRPr="005C5A75">
        <w:t xml:space="preserve"> the overall quality of service provided by Pine Harbour </w:t>
      </w:r>
      <w:r w:rsidR="00D85301">
        <w:t>is</w:t>
      </w:r>
      <w:r w:rsidR="005C5A75" w:rsidRPr="005C5A75">
        <w:t xml:space="preserve"> satisfactory</w:t>
      </w:r>
      <w:r w:rsidR="005C5A75">
        <w:t>.</w:t>
      </w:r>
    </w:p>
    <w:p w:rsidR="005C5A75" w:rsidRPr="00F60151" w:rsidRDefault="005C5A75" w:rsidP="005C5A75"/>
    <w:p w:rsidR="00F60151" w:rsidRPr="00F60151" w:rsidRDefault="00F60151" w:rsidP="005C5A75">
      <w:pPr>
        <w:spacing w:after="240"/>
        <w:jc w:val="both"/>
        <w:outlineLvl w:val="1"/>
        <w:rPr>
          <w:bCs/>
          <w:kern w:val="32"/>
          <w:u w:val="single"/>
        </w:rPr>
      </w:pPr>
      <w:r>
        <w:rPr>
          <w:bCs/>
          <w:kern w:val="32"/>
          <w:u w:val="single"/>
        </w:rPr>
        <w:t>2. Used and Useful (U&amp;U)</w:t>
      </w:r>
    </w:p>
    <w:p w:rsidR="005C5A75" w:rsidRPr="005C5A75" w:rsidRDefault="005C5A75" w:rsidP="00F60151">
      <w:pPr>
        <w:spacing w:after="240"/>
        <w:ind w:firstLine="720"/>
        <w:jc w:val="both"/>
      </w:pPr>
      <w:r w:rsidRPr="005C5A75">
        <w:t xml:space="preserve">The Utility’s </w:t>
      </w:r>
      <w:r w:rsidR="00124E8C">
        <w:t>WTP</w:t>
      </w:r>
      <w:r w:rsidRPr="005C5A75">
        <w:t xml:space="preserve"> is served by a single well, where raw water is pumped from a well rated at 600 gallons per minute. The Utility’s water system has one 10,000 gallon concrete ground storage tank and one 6,000 gallon steel hydropneumatic tank. Pine Harbour’s distribution system is composed of 2,170 linear feet of 6-inch polyvinyl chloride (PVC) pipe, 200 linear feet of 4-inch PVC pipe and 930 linear feet of 2-inch PVC pipe.</w:t>
      </w:r>
    </w:p>
    <w:p w:rsidR="005C5A75" w:rsidRDefault="0044353E" w:rsidP="005C5A75">
      <w:pPr>
        <w:jc w:val="both"/>
        <w:outlineLvl w:val="2"/>
        <w:rPr>
          <w:bCs/>
          <w:iCs/>
          <w:szCs w:val="28"/>
        </w:rPr>
      </w:pPr>
      <w:r>
        <w:rPr>
          <w:bCs/>
          <w:i/>
          <w:iCs/>
          <w:szCs w:val="28"/>
        </w:rPr>
        <w:t xml:space="preserve">A. </w:t>
      </w:r>
      <w:r w:rsidR="005C5A75" w:rsidRPr="0044353E">
        <w:rPr>
          <w:bCs/>
          <w:i/>
          <w:iCs/>
          <w:szCs w:val="28"/>
        </w:rPr>
        <w:t>Water Treatment Plant U</w:t>
      </w:r>
      <w:r>
        <w:rPr>
          <w:bCs/>
          <w:i/>
          <w:iCs/>
          <w:szCs w:val="28"/>
        </w:rPr>
        <w:t>&amp;U</w:t>
      </w:r>
    </w:p>
    <w:p w:rsidR="0044353E" w:rsidRPr="0044353E" w:rsidRDefault="0044353E" w:rsidP="005C5A75">
      <w:pPr>
        <w:jc w:val="both"/>
        <w:outlineLvl w:val="2"/>
        <w:rPr>
          <w:bCs/>
          <w:iCs/>
          <w:szCs w:val="28"/>
        </w:rPr>
      </w:pPr>
    </w:p>
    <w:p w:rsidR="005C5A75" w:rsidRPr="005C5A75" w:rsidRDefault="00FE758E" w:rsidP="005C5A75">
      <w:pPr>
        <w:spacing w:after="240"/>
        <w:jc w:val="both"/>
      </w:pPr>
      <w:r>
        <w:tab/>
      </w:r>
      <w:r w:rsidR="005C5A75" w:rsidRPr="005C5A75">
        <w:t>Pursuant to Rule 25-30.4325, F.A.C., a water treatment system is considered 100 percent U&amp;U if the service territory the system is designed to serve is built out and there is no apparent potential for expansion of the service territory, or the system is served by a single well. As stated earlier, a single well serves the Utility, therefore, the water treatment system sh</w:t>
      </w:r>
      <w:r w:rsidR="0044353E">
        <w:t>all</w:t>
      </w:r>
      <w:r w:rsidR="005C5A75" w:rsidRPr="005C5A75">
        <w:t xml:space="preserve"> be considered 100 percent U&amp;U.</w:t>
      </w:r>
    </w:p>
    <w:p w:rsidR="0044353E" w:rsidRDefault="0044353E" w:rsidP="005C5A75">
      <w:pPr>
        <w:jc w:val="both"/>
        <w:outlineLvl w:val="2"/>
        <w:rPr>
          <w:bCs/>
          <w:iCs/>
          <w:szCs w:val="28"/>
        </w:rPr>
      </w:pPr>
      <w:r>
        <w:rPr>
          <w:bCs/>
          <w:i/>
          <w:iCs/>
          <w:szCs w:val="28"/>
        </w:rPr>
        <w:t xml:space="preserve">B. </w:t>
      </w:r>
      <w:r w:rsidR="005C5A75" w:rsidRPr="0044353E">
        <w:rPr>
          <w:bCs/>
          <w:i/>
          <w:iCs/>
          <w:szCs w:val="28"/>
        </w:rPr>
        <w:t>Excessive Unaccounted for Water</w:t>
      </w:r>
      <w:r>
        <w:rPr>
          <w:bCs/>
          <w:i/>
          <w:iCs/>
          <w:szCs w:val="28"/>
        </w:rPr>
        <w:t xml:space="preserve"> (EUW)</w:t>
      </w:r>
    </w:p>
    <w:p w:rsidR="005C5A75" w:rsidRPr="0044353E" w:rsidRDefault="005C5A75" w:rsidP="005C5A75">
      <w:pPr>
        <w:jc w:val="both"/>
        <w:outlineLvl w:val="2"/>
        <w:rPr>
          <w:bCs/>
          <w:i/>
          <w:iCs/>
          <w:szCs w:val="28"/>
        </w:rPr>
      </w:pPr>
      <w:r w:rsidRPr="0044353E">
        <w:rPr>
          <w:bCs/>
          <w:i/>
          <w:iCs/>
          <w:szCs w:val="28"/>
        </w:rPr>
        <w:t xml:space="preserve"> </w:t>
      </w:r>
    </w:p>
    <w:p w:rsidR="005C5A75" w:rsidRPr="005C5A75" w:rsidRDefault="00FE758E" w:rsidP="005C5A75">
      <w:pPr>
        <w:spacing w:after="240"/>
        <w:jc w:val="both"/>
      </w:pPr>
      <w:r>
        <w:tab/>
      </w:r>
      <w:r w:rsidR="005C5A75" w:rsidRPr="005C5A75">
        <w:t xml:space="preserve">Rule 25-30.4325, F.A.C., additionally provides factors to be considered in determining whether adjustments to operating expenses are necessary for </w:t>
      </w:r>
      <w:r w:rsidR="0044353E">
        <w:t>EUW</w:t>
      </w:r>
      <w:r w:rsidR="005C5A75" w:rsidRPr="005C5A75">
        <w:t xml:space="preserve">. EUW is defined as “unaccounted for water in excess of 10 percent of the amount produced.” Unaccounted for water is all water that is produced that is not sold, metered or accounted for in the records of the Utility. Unaccounted for water is calculated by subtracting both the gallons used for other purposes, such as flushing, and the gallons sold to customers from the total gallons pumped for the test year. </w:t>
      </w:r>
    </w:p>
    <w:p w:rsidR="005C5A75" w:rsidRPr="005C5A75" w:rsidRDefault="00FE758E" w:rsidP="005C5A75">
      <w:pPr>
        <w:spacing w:after="240"/>
        <w:jc w:val="both"/>
      </w:pPr>
      <w:r>
        <w:tab/>
      </w:r>
      <w:r w:rsidR="005C5A75" w:rsidRPr="005C5A75">
        <w:t>Based on the Utility’s monthly operation reports, Pine Harbour treated 5,238,641 gallons of water from January 1, 2017, to December 31, 2017, the test year. In response to a data request</w:t>
      </w:r>
      <w:r w:rsidR="0044353E">
        <w:t xml:space="preserve"> </w:t>
      </w:r>
      <w:r w:rsidR="0044353E">
        <w:lastRenderedPageBreak/>
        <w:t>issued by our staff</w:t>
      </w:r>
      <w:r w:rsidR="005C5A75" w:rsidRPr="005C5A75">
        <w:t>, the Utility stated that 42,000 gallons were used for flushing during the test year, 100,000 gallons were lost in December 2017 due to a water line leak and 4,641,000 gallons of finished water were sold throughout the test year.</w:t>
      </w:r>
    </w:p>
    <w:p w:rsidR="005C5A75" w:rsidRPr="005C5A75" w:rsidRDefault="00FE758E" w:rsidP="005C5A75">
      <w:pPr>
        <w:spacing w:after="240"/>
        <w:jc w:val="both"/>
        <w:rPr>
          <w:strike/>
          <w:color w:val="365F91"/>
        </w:rPr>
      </w:pPr>
      <w:r>
        <w:tab/>
      </w:r>
      <w:r w:rsidR="005C5A75" w:rsidRPr="005C5A75">
        <w:t>On May 23, 2018, the drinking-water flow meter was tested by the Florida Rural Water Association</w:t>
      </w:r>
      <w:r w:rsidR="00124E8C">
        <w:t xml:space="preserve"> </w:t>
      </w:r>
      <w:r w:rsidR="00124E8C" w:rsidRPr="005C5A75">
        <w:t>(FRWA)</w:t>
      </w:r>
      <w:r w:rsidR="005C5A75" w:rsidRPr="005C5A75">
        <w:t xml:space="preserve"> and it was revealed that the meter was under-registering by approximately 14.3 percent. Considering the inaccuracy of the meter, </w:t>
      </w:r>
      <w:r w:rsidR="00B25BF1">
        <w:t>we find</w:t>
      </w:r>
      <w:r w:rsidR="005C5A75" w:rsidRPr="005C5A75">
        <w:t xml:space="preserve"> that the amount of produced water sh</w:t>
      </w:r>
      <w:r w:rsidR="00B25BF1">
        <w:t>all</w:t>
      </w:r>
      <w:r w:rsidR="005C5A75" w:rsidRPr="005C5A75">
        <w:t xml:space="preserve"> be adjusted to 5,987,767 gallons (5,238,641 x 1.143). The Utility replaced the drinking-water flow meter on September 4, 2018. </w:t>
      </w:r>
    </w:p>
    <w:p w:rsidR="005C5A75" w:rsidRPr="006631FA" w:rsidRDefault="00FE758E" w:rsidP="005C5A75">
      <w:pPr>
        <w:spacing w:after="240"/>
        <w:jc w:val="both"/>
        <w:rPr>
          <w:strike/>
        </w:rPr>
      </w:pPr>
      <w:r>
        <w:tab/>
      </w:r>
      <w:r w:rsidR="005C5A75" w:rsidRPr="005C5A75">
        <w:t xml:space="preserve">Based on the values discussed above, the unaccounted for water for Pine Harbour is calculated to be 20.1 percent [(5,987,767 – 100,000 – 4,641,000 – 42,000) / 5,987,767], which yields an EUW amount of 10.1 percent. Therefore, </w:t>
      </w:r>
      <w:r w:rsidR="00B25BF1">
        <w:t>we find</w:t>
      </w:r>
      <w:r w:rsidR="005C5A75" w:rsidRPr="005C5A75">
        <w:t xml:space="preserve"> that a corresponding adjustment to operating expenses for chemicals and purchased power sh</w:t>
      </w:r>
      <w:r w:rsidR="00B25BF1">
        <w:t>all</w:t>
      </w:r>
      <w:r w:rsidR="005C5A75" w:rsidRPr="005C5A75">
        <w:t xml:space="preserve"> be made.</w:t>
      </w:r>
    </w:p>
    <w:p w:rsidR="005C5A75" w:rsidRDefault="00B25BF1" w:rsidP="005C5A75">
      <w:pPr>
        <w:jc w:val="both"/>
        <w:outlineLvl w:val="2"/>
        <w:rPr>
          <w:bCs/>
          <w:iCs/>
          <w:szCs w:val="28"/>
        </w:rPr>
      </w:pPr>
      <w:r>
        <w:rPr>
          <w:bCs/>
          <w:i/>
          <w:iCs/>
          <w:szCs w:val="28"/>
        </w:rPr>
        <w:t xml:space="preserve">C. </w:t>
      </w:r>
      <w:r w:rsidR="005C5A75" w:rsidRPr="00B25BF1">
        <w:rPr>
          <w:bCs/>
          <w:i/>
          <w:iCs/>
          <w:szCs w:val="28"/>
        </w:rPr>
        <w:t>Water Storage U</w:t>
      </w:r>
      <w:r>
        <w:rPr>
          <w:bCs/>
          <w:i/>
          <w:iCs/>
          <w:szCs w:val="28"/>
        </w:rPr>
        <w:t>&amp;U</w:t>
      </w:r>
    </w:p>
    <w:p w:rsidR="00B25BF1" w:rsidRPr="00B25BF1" w:rsidRDefault="00B25BF1" w:rsidP="005C5A75">
      <w:pPr>
        <w:jc w:val="both"/>
        <w:outlineLvl w:val="2"/>
        <w:rPr>
          <w:bCs/>
          <w:iCs/>
          <w:szCs w:val="28"/>
        </w:rPr>
      </w:pPr>
    </w:p>
    <w:p w:rsidR="005C5A75" w:rsidRPr="005C5A75" w:rsidRDefault="00FE758E" w:rsidP="005C5A75">
      <w:pPr>
        <w:spacing w:after="240"/>
        <w:jc w:val="both"/>
      </w:pPr>
      <w:r>
        <w:tab/>
      </w:r>
      <w:r w:rsidR="005C5A75" w:rsidRPr="005C5A75">
        <w:t>Pursuant to Rule 25-30.4325(8), F.A.C., the used and useful calculation of storage is made by dividing the peak demand by the usable storage of the storage tank. Usable storage capacity less than or equal to the peak day demand shall be considered 100 percent U&amp;U. Pursuant to Rule 25-30.4325(1)(d), F.A.C., peak demand for storage includes the utility’s maximum day demand, excluding excessive unaccounted for water, plus a growth allowance based on the requirements of Rule 25-30.431, F.A.C., and, where provided, a minimum of either the fire flow required by the local governmental authority or two hours at 500 gallons per minute.</w:t>
      </w:r>
    </w:p>
    <w:p w:rsidR="005C5A75" w:rsidRPr="005C5A75" w:rsidRDefault="00FE758E" w:rsidP="005C5A75">
      <w:pPr>
        <w:spacing w:after="240"/>
        <w:jc w:val="both"/>
      </w:pPr>
      <w:r>
        <w:tab/>
      </w:r>
      <w:r w:rsidR="005C5A75" w:rsidRPr="005C5A75">
        <w:t xml:space="preserve">The maximum day demand is the single maximum day in the test year where there is no unusual occurrence. Based on information provided to </w:t>
      </w:r>
      <w:r w:rsidR="00B25BF1">
        <w:t xml:space="preserve">our </w:t>
      </w:r>
      <w:r w:rsidR="005C5A75" w:rsidRPr="005C5A75">
        <w:t>staff, the maximum day demand (24,000 gallons) occurred on April 28, 2017. The ground storage tank capacity is 10,000 gallons. The EUW amount is 2,424 gallons (24,000 x 10.1%). The Utility indicated in its SARC application that Lake County requires 500 gallons per minute for fire flow. Consequently the fire flow requirement is 60,000 gallons (500 x 60 x 2). The maximum usable storage capacity of 10,000 gallons is less than the peak demand of 81,576 gallons (24,000 – 2,424 + 60,000). Therefore, the storage sh</w:t>
      </w:r>
      <w:r w:rsidR="00B25BF1">
        <w:t>all</w:t>
      </w:r>
      <w:r w:rsidR="005C5A75" w:rsidRPr="005C5A75">
        <w:t xml:space="preserve"> be considered 100 percent U&amp;U. </w:t>
      </w:r>
    </w:p>
    <w:p w:rsidR="005C5A75" w:rsidRDefault="00B25BF1" w:rsidP="005C5A75">
      <w:pPr>
        <w:jc w:val="both"/>
        <w:outlineLvl w:val="2"/>
        <w:rPr>
          <w:bCs/>
          <w:i/>
          <w:iCs/>
          <w:szCs w:val="28"/>
        </w:rPr>
      </w:pPr>
      <w:r>
        <w:rPr>
          <w:bCs/>
          <w:i/>
          <w:iCs/>
          <w:szCs w:val="28"/>
        </w:rPr>
        <w:t xml:space="preserve">D. </w:t>
      </w:r>
      <w:r w:rsidR="005C5A75" w:rsidRPr="00B25BF1">
        <w:rPr>
          <w:bCs/>
          <w:i/>
          <w:iCs/>
          <w:szCs w:val="28"/>
        </w:rPr>
        <w:t xml:space="preserve">Water Distribution System </w:t>
      </w:r>
      <w:r w:rsidR="007E030B">
        <w:rPr>
          <w:bCs/>
          <w:i/>
          <w:iCs/>
          <w:szCs w:val="28"/>
        </w:rPr>
        <w:t>U&amp;U</w:t>
      </w:r>
    </w:p>
    <w:p w:rsidR="00B25BF1" w:rsidRPr="00B25BF1" w:rsidRDefault="00B25BF1" w:rsidP="005C5A75">
      <w:pPr>
        <w:jc w:val="both"/>
        <w:outlineLvl w:val="2"/>
        <w:rPr>
          <w:bCs/>
          <w:iCs/>
          <w:szCs w:val="28"/>
        </w:rPr>
      </w:pPr>
    </w:p>
    <w:p w:rsidR="005C5A75" w:rsidRPr="005C5A75" w:rsidRDefault="00FE758E" w:rsidP="005C5A75">
      <w:pPr>
        <w:spacing w:after="240"/>
        <w:jc w:val="both"/>
      </w:pPr>
      <w:r>
        <w:tab/>
      </w:r>
      <w:r w:rsidR="005C5A75" w:rsidRPr="005C5A75">
        <w:t xml:space="preserve">In </w:t>
      </w:r>
      <w:r w:rsidR="00BF6FFC">
        <w:t xml:space="preserve">our </w:t>
      </w:r>
      <w:r w:rsidR="005C5A75" w:rsidRPr="005C5A75">
        <w:t xml:space="preserve">past decisions regarding distribution system U&amp;U, consideration has been given to potential future growth and whether or not the distribution system is built-out. Based on a review of Pine Harbour’s service territory map as well as </w:t>
      </w:r>
      <w:r w:rsidR="007E030B">
        <w:t xml:space="preserve">our </w:t>
      </w:r>
      <w:r w:rsidR="005C5A75" w:rsidRPr="005C5A75">
        <w:t>staff’s observation during a site visit, the Utility’s service territory appears to be built-out. Therefore, the water distribution system sh</w:t>
      </w:r>
      <w:r w:rsidR="007E030B">
        <w:t>all</w:t>
      </w:r>
      <w:r w:rsidR="005C5A75" w:rsidRPr="005C5A75">
        <w:t xml:space="preserve"> be considered 100 percent U&amp;U.</w:t>
      </w:r>
    </w:p>
    <w:p w:rsidR="00A941D3" w:rsidRDefault="00A941D3" w:rsidP="005C5A75">
      <w:pPr>
        <w:jc w:val="both"/>
        <w:outlineLvl w:val="2"/>
        <w:rPr>
          <w:bCs/>
          <w:i/>
          <w:iCs/>
          <w:szCs w:val="28"/>
        </w:rPr>
      </w:pPr>
    </w:p>
    <w:p w:rsidR="00A941D3" w:rsidRDefault="00A941D3" w:rsidP="005C5A75">
      <w:pPr>
        <w:jc w:val="both"/>
        <w:outlineLvl w:val="2"/>
        <w:rPr>
          <w:bCs/>
          <w:i/>
          <w:iCs/>
          <w:szCs w:val="28"/>
        </w:rPr>
      </w:pPr>
    </w:p>
    <w:p w:rsidR="00A941D3" w:rsidRDefault="00A941D3" w:rsidP="005C5A75">
      <w:pPr>
        <w:jc w:val="both"/>
        <w:outlineLvl w:val="2"/>
        <w:rPr>
          <w:bCs/>
          <w:i/>
          <w:iCs/>
          <w:szCs w:val="28"/>
        </w:rPr>
      </w:pPr>
    </w:p>
    <w:p w:rsidR="005C5A75" w:rsidRDefault="007E030B" w:rsidP="005C5A75">
      <w:pPr>
        <w:jc w:val="both"/>
        <w:outlineLvl w:val="2"/>
        <w:rPr>
          <w:bCs/>
          <w:iCs/>
          <w:szCs w:val="28"/>
        </w:rPr>
      </w:pPr>
      <w:r>
        <w:rPr>
          <w:bCs/>
          <w:i/>
          <w:iCs/>
          <w:szCs w:val="28"/>
        </w:rPr>
        <w:lastRenderedPageBreak/>
        <w:t xml:space="preserve">E. </w:t>
      </w:r>
      <w:r w:rsidR="005C5A75" w:rsidRPr="007E030B">
        <w:rPr>
          <w:bCs/>
          <w:i/>
          <w:iCs/>
          <w:szCs w:val="28"/>
        </w:rPr>
        <w:t>Conclusion</w:t>
      </w:r>
    </w:p>
    <w:p w:rsidR="007E030B" w:rsidRPr="007E030B" w:rsidRDefault="007E030B" w:rsidP="005C5A75">
      <w:pPr>
        <w:jc w:val="both"/>
        <w:outlineLvl w:val="2"/>
        <w:rPr>
          <w:bCs/>
          <w:iCs/>
          <w:szCs w:val="28"/>
        </w:rPr>
      </w:pPr>
    </w:p>
    <w:p w:rsidR="005C5A75" w:rsidRDefault="00FE758E" w:rsidP="00F94E7B">
      <w:pPr>
        <w:jc w:val="both"/>
      </w:pPr>
      <w:r>
        <w:tab/>
      </w:r>
      <w:r w:rsidR="007E030B">
        <w:t>We find</w:t>
      </w:r>
      <w:r w:rsidR="005C5A75" w:rsidRPr="005C5A75">
        <w:t xml:space="preserve"> that Pine Harbour’s </w:t>
      </w:r>
      <w:r w:rsidR="00124E8C">
        <w:t>WTP</w:t>
      </w:r>
      <w:r w:rsidR="005C5A75" w:rsidRPr="005C5A75">
        <w:t>, storage</w:t>
      </w:r>
      <w:r w:rsidR="00646202">
        <w:t>,</w:t>
      </w:r>
      <w:r w:rsidR="005C5A75" w:rsidRPr="005C5A75">
        <w:t xml:space="preserve"> and water distribution system sh</w:t>
      </w:r>
      <w:r w:rsidR="007E030B">
        <w:t>all</w:t>
      </w:r>
      <w:r w:rsidR="005C5A75" w:rsidRPr="005C5A75">
        <w:t xml:space="preserve"> be considered 100 percent U&amp;U. </w:t>
      </w:r>
      <w:r w:rsidR="007E030B">
        <w:t>We further find</w:t>
      </w:r>
      <w:r w:rsidR="005C5A75" w:rsidRPr="005C5A75">
        <w:t xml:space="preserve"> that a 10.1 percent adjustment to operating expenses for chemicals and purchased power sh</w:t>
      </w:r>
      <w:r w:rsidR="007E030B">
        <w:t>all</w:t>
      </w:r>
      <w:r w:rsidR="005C5A75" w:rsidRPr="005C5A75">
        <w:t xml:space="preserve"> be made for EUW</w:t>
      </w:r>
      <w:r w:rsidR="005C5A75">
        <w:t>.</w:t>
      </w:r>
    </w:p>
    <w:p w:rsidR="005C5A75" w:rsidRDefault="005C5A75" w:rsidP="00F94E7B">
      <w:pPr>
        <w:jc w:val="both"/>
      </w:pPr>
    </w:p>
    <w:p w:rsidR="005C5A75" w:rsidRPr="007E030B" w:rsidRDefault="007E030B" w:rsidP="005C5A75">
      <w:pPr>
        <w:spacing w:after="240"/>
        <w:jc w:val="both"/>
        <w:rPr>
          <w:u w:val="single"/>
        </w:rPr>
      </w:pPr>
      <w:r w:rsidRPr="007E030B">
        <w:rPr>
          <w:bCs/>
          <w:kern w:val="32"/>
          <w:szCs w:val="32"/>
          <w:u w:val="single"/>
        </w:rPr>
        <w:t>3. Rate Base</w:t>
      </w:r>
    </w:p>
    <w:p w:rsidR="005C5A75" w:rsidRPr="005C5A75" w:rsidRDefault="005C5A75" w:rsidP="007E030B">
      <w:pPr>
        <w:spacing w:after="240"/>
        <w:ind w:firstLine="720"/>
        <w:jc w:val="both"/>
      </w:pPr>
      <w:r w:rsidRPr="005C5A75">
        <w:t>The appropriate components of the Utility’s rate base include utility plant in service, land, contributions-in-aid-of-construction (CIAC), accumulated depreciation, amortization of CIAC, and working capital. The Utility has never had a rate case and rate base has never been established. Pine Harbour’s net book value for transfer purposes was last determined by Order No. PSC-17-0043-PAA-WU in the 2016 certificate transfer docket.</w:t>
      </w:r>
      <w:r w:rsidRPr="005C5A75">
        <w:rPr>
          <w:vertAlign w:val="superscript"/>
        </w:rPr>
        <w:footnoteReference w:id="5"/>
      </w:r>
      <w:r w:rsidR="007E030B">
        <w:t xml:space="preserve"> Our s</w:t>
      </w:r>
      <w:r w:rsidRPr="005C5A75">
        <w:t xml:space="preserve">taff selected the test year ended December 31, 2017 for the instant case. </w:t>
      </w:r>
      <w:r w:rsidR="007B27ED">
        <w:t>Our</w:t>
      </w:r>
      <w:r w:rsidRPr="005C5A75">
        <w:t xml:space="preserve"> audit staff determined that the Utility’s books and records are in compliance with the National Association of Regulatory Utility Commissioners’ Uniform System of Accounts (NARUC USOA). A summary of each component of rate base and </w:t>
      </w:r>
      <w:r w:rsidR="007E030B">
        <w:t>our ordered</w:t>
      </w:r>
      <w:r w:rsidRPr="005C5A75">
        <w:t xml:space="preserve"> adjustments are discussed below.</w:t>
      </w:r>
    </w:p>
    <w:p w:rsidR="005C5A75" w:rsidRDefault="007E030B" w:rsidP="005C5A75">
      <w:pPr>
        <w:jc w:val="both"/>
        <w:outlineLvl w:val="3"/>
        <w:rPr>
          <w:bCs/>
          <w:iCs/>
          <w:szCs w:val="28"/>
        </w:rPr>
      </w:pPr>
      <w:r>
        <w:rPr>
          <w:bCs/>
          <w:i/>
          <w:iCs/>
          <w:szCs w:val="28"/>
        </w:rPr>
        <w:t xml:space="preserve">A. </w:t>
      </w:r>
      <w:r w:rsidR="005C5A75" w:rsidRPr="007E030B">
        <w:rPr>
          <w:bCs/>
          <w:i/>
          <w:iCs/>
          <w:szCs w:val="28"/>
        </w:rPr>
        <w:t>Utility Plant in Service (UPIS)</w:t>
      </w:r>
    </w:p>
    <w:p w:rsidR="007E030B" w:rsidRPr="007E030B" w:rsidRDefault="007E030B" w:rsidP="005C5A75">
      <w:pPr>
        <w:jc w:val="both"/>
        <w:outlineLvl w:val="3"/>
        <w:rPr>
          <w:bCs/>
          <w:iCs/>
          <w:szCs w:val="28"/>
        </w:rPr>
      </w:pPr>
    </w:p>
    <w:p w:rsidR="005C5A75" w:rsidRPr="005C5A75" w:rsidRDefault="00FE758E" w:rsidP="005C5A75">
      <w:pPr>
        <w:spacing w:after="240"/>
        <w:jc w:val="both"/>
      </w:pPr>
      <w:r>
        <w:tab/>
      </w:r>
      <w:r w:rsidR="005C5A75" w:rsidRPr="005C5A75">
        <w:t xml:space="preserve">The Utility recorded $93,021 in UPIS. During 2016, the Utility installed a new water line and meter for a new customer connection. The Utility correctly recorded the CIAC received from the new customer, but did not record the associated plant additions. Therefore, </w:t>
      </w:r>
      <w:r w:rsidR="00124E8C">
        <w:t>we</w:t>
      </w:r>
      <w:r w:rsidR="005C5A75" w:rsidRPr="005C5A75">
        <w:t xml:space="preserve"> increased UPIS by $5,475 and $82 to reflect the new water line installation and new meter installation, respectively. During the test year, the Utility experienced hurricane damage to a shed roof. </w:t>
      </w:r>
      <w:r w:rsidR="00124E8C">
        <w:t>We</w:t>
      </w:r>
      <w:r w:rsidR="005C5A75" w:rsidRPr="005C5A75">
        <w:t xml:space="preserve"> increased Account No. 304 by $1,077 and decreased Account No. 320 by $1,077 to reclassify the shed roof repair to the appropriate account. The reclassification has no effect on the UPIS balance, but is necessary to depreciate the repair at the correct depreciation rate. Subsequent to the test year, the Utility replaced 44 residential water meters due to age. </w:t>
      </w:r>
      <w:r w:rsidR="00124E8C">
        <w:t>We</w:t>
      </w:r>
      <w:r w:rsidR="005C5A75" w:rsidRPr="005C5A75">
        <w:t xml:space="preserve"> increased UPIS by $1,930 to reflect the pro forma meter replacements and decreased UPIS by $1,448 to reflect the associated retirement of the replaced meters.</w:t>
      </w:r>
    </w:p>
    <w:p w:rsidR="005C5A75" w:rsidRPr="005C5A75" w:rsidRDefault="00FE758E" w:rsidP="005C5A75">
      <w:pPr>
        <w:spacing w:after="240"/>
        <w:jc w:val="both"/>
      </w:pPr>
      <w:r>
        <w:tab/>
      </w:r>
      <w:r w:rsidR="005C5A75" w:rsidRPr="005C5A75">
        <w:t xml:space="preserve">In addition, Pine Harbour requested consideration of one pro forma project in this rate case to replace the water plant distribution flow meter (flow meter). Based on communications with the FRWA, an error within five percent is considered acceptable for flow meters. Pine Harbour’s flow meter was tested on May 23, 2018, by the FRWA, and it was found to be running erratically with an accuracy of 85.7 percent. Giving consideration to the test results discussed above, </w:t>
      </w:r>
      <w:r w:rsidR="00124E8C">
        <w:t>we find</w:t>
      </w:r>
      <w:r w:rsidR="005C5A75" w:rsidRPr="005C5A75">
        <w:t xml:space="preserve"> the meter replacement appropriate. </w:t>
      </w:r>
    </w:p>
    <w:p w:rsidR="005C5A75" w:rsidRPr="005C5A75" w:rsidRDefault="00FE758E" w:rsidP="005C5A75">
      <w:pPr>
        <w:spacing w:after="240"/>
        <w:jc w:val="both"/>
      </w:pPr>
      <w:r>
        <w:tab/>
      </w:r>
      <w:r w:rsidR="005C5A75" w:rsidRPr="005C5A75">
        <w:t xml:space="preserve">Based on an estimate received from the Utility, the cost to replace the flow meter is $2,370, which includes $2,023 for the meter and $347 for labor. The Utility also provided a </w:t>
      </w:r>
      <w:r w:rsidR="005C5A75" w:rsidRPr="005C5A75">
        <w:lastRenderedPageBreak/>
        <w:t>second proposal that quoted a cost of $2,779 for the new flow meter.</w:t>
      </w:r>
      <w:r w:rsidR="005C5A75" w:rsidRPr="005C5A75">
        <w:rPr>
          <w:vertAlign w:val="superscript"/>
        </w:rPr>
        <w:footnoteReference w:id="6"/>
      </w:r>
      <w:r w:rsidR="005C5A75" w:rsidRPr="005C5A75">
        <w:t xml:space="preserve"> Estimating the same labor cost of $347 results in a cost of $3,126. Accordingly, </w:t>
      </w:r>
      <w:r w:rsidR="00124E8C">
        <w:t>we</w:t>
      </w:r>
      <w:r w:rsidR="005C5A75" w:rsidRPr="005C5A75">
        <w:t xml:space="preserve"> increased UPIS by $2,370 to reflect the pro forma flow meter replacement and decreased UPIS by $1,778 to reflect the associated retirement of the replaced flow meter. </w:t>
      </w:r>
    </w:p>
    <w:p w:rsidR="005C5A75" w:rsidRPr="005C5A75" w:rsidRDefault="00FE758E" w:rsidP="005C5A75">
      <w:pPr>
        <w:autoSpaceDE w:val="0"/>
        <w:autoSpaceDN w:val="0"/>
        <w:adjustRightInd w:val="0"/>
        <w:jc w:val="both"/>
      </w:pPr>
      <w:r>
        <w:tab/>
      </w:r>
      <w:r w:rsidR="005C5A75" w:rsidRPr="005C5A75">
        <w:t xml:space="preserve">At the customer meeting, a customer provided comments after the conclusion of the meeting concerning the exterior lighting at the WTP. The next day both Utility representatives and </w:t>
      </w:r>
      <w:r w:rsidR="00124E8C">
        <w:t>our</w:t>
      </w:r>
      <w:r w:rsidR="005C5A75" w:rsidRPr="005C5A75">
        <w:t xml:space="preserve"> staff conducted an onsite review of the WTP. At that time, it was discovered that although the WTP had existing exterior lighting and a timer, they were inoperable. The Utility replaced the lighting and timer in early August.</w:t>
      </w:r>
      <w:r w:rsidR="005C5A75" w:rsidRPr="005C5A75">
        <w:rPr>
          <w:vertAlign w:val="superscript"/>
        </w:rPr>
        <w:footnoteReference w:id="7"/>
      </w:r>
      <w:r w:rsidR="005C5A75" w:rsidRPr="005C5A75">
        <w:t xml:space="preserve"> </w:t>
      </w:r>
      <w:r w:rsidR="00124E8C">
        <w:t>We believe</w:t>
      </w:r>
      <w:r w:rsidR="005C5A75" w:rsidRPr="005C5A75">
        <w:t xml:space="preserve"> that lighting improves security and safety. Also, if Utility employees needed to make any necessary repairs at night, lights would assist in the repair work. The exterior lights and timer were inspected and repaired/replaced by U.S. Water Services Corporation</w:t>
      </w:r>
      <w:r w:rsidR="00613DBB">
        <w:t xml:space="preserve"> (USWSC)</w:t>
      </w:r>
      <w:r w:rsidR="005C5A75" w:rsidRPr="005C5A75">
        <w:t xml:space="preserve"> whom the Utility has an existing agreement with. For the reasons above, </w:t>
      </w:r>
      <w:r w:rsidR="00124E8C">
        <w:t>we find</w:t>
      </w:r>
      <w:r w:rsidR="005C5A75" w:rsidRPr="005C5A75">
        <w:t xml:space="preserve"> that the exterior lighting and timer replacement is appropriate. </w:t>
      </w:r>
      <w:r w:rsidR="00124E8C">
        <w:t>We</w:t>
      </w:r>
      <w:r w:rsidR="005C5A75" w:rsidRPr="005C5A75">
        <w:t xml:space="preserve"> increased UPIS by $927 to reflect the pro forma lighting and timer replacements and decreased UPIS by $695 to reflect the associated retirement of the replaced lighting and timer.</w:t>
      </w:r>
    </w:p>
    <w:p w:rsidR="005C5A75" w:rsidRPr="005C5A75" w:rsidRDefault="005C5A75" w:rsidP="005C5A75">
      <w:pPr>
        <w:autoSpaceDE w:val="0"/>
        <w:autoSpaceDN w:val="0"/>
        <w:adjustRightInd w:val="0"/>
        <w:jc w:val="both"/>
        <w:rPr>
          <w:rFonts w:ascii="Calibri" w:hAnsi="Calibri" w:cs="Calibri"/>
        </w:rPr>
      </w:pPr>
    </w:p>
    <w:p w:rsidR="005C5A75" w:rsidRPr="005C5A75" w:rsidRDefault="00FE758E" w:rsidP="005C5A75">
      <w:pPr>
        <w:spacing w:after="240"/>
        <w:jc w:val="both"/>
      </w:pPr>
      <w:r>
        <w:tab/>
      </w:r>
      <w:r w:rsidR="005C5A75" w:rsidRPr="005C5A75">
        <w:t xml:space="preserve">The Utility also requested recovery to replace the fence at the WTP. The existing fence is in disrepair and is in need of replacement for security reasons. The Utility indicated to </w:t>
      </w:r>
      <w:r w:rsidR="00124E8C">
        <w:t xml:space="preserve">our </w:t>
      </w:r>
      <w:r w:rsidR="005C5A75" w:rsidRPr="005C5A75">
        <w:t>staff that the existing fence needs to be replaced with a six foot security fence as soon as possible. Pine Harbour provided two quotes, one from Fritz Fence for $5,200, and another from Hercules Fence Company for $3,200.</w:t>
      </w:r>
      <w:r w:rsidR="005C5A75" w:rsidRPr="005C5A75">
        <w:rPr>
          <w:vertAlign w:val="superscript"/>
        </w:rPr>
        <w:footnoteReference w:id="8"/>
      </w:r>
      <w:r w:rsidR="005C5A75" w:rsidRPr="005C5A75">
        <w:t xml:space="preserve"> </w:t>
      </w:r>
      <w:r w:rsidR="00124E8C">
        <w:t>We find</w:t>
      </w:r>
      <w:r w:rsidR="005C5A75" w:rsidRPr="005C5A75">
        <w:t xml:space="preserve"> that the fence replacement</w:t>
      </w:r>
      <w:r w:rsidR="00124E8C">
        <w:t xml:space="preserve"> and </w:t>
      </w:r>
      <w:r w:rsidR="00124E8C" w:rsidRPr="005C5A75">
        <w:t>pro forma cost of $3,200</w:t>
      </w:r>
      <w:r w:rsidR="005C5A75" w:rsidRPr="005C5A75">
        <w:t xml:space="preserve"> is appropriate. Given the current state of the fence, </w:t>
      </w:r>
      <w:r w:rsidR="00124E8C">
        <w:t>we anticipate</w:t>
      </w:r>
      <w:r w:rsidR="005C5A75" w:rsidRPr="005C5A75">
        <w:t xml:space="preserve"> that this repair will take place as soon as possible. </w:t>
      </w:r>
      <w:r w:rsidR="00124E8C">
        <w:t xml:space="preserve">We </w:t>
      </w:r>
      <w:r w:rsidR="005C5A75" w:rsidRPr="005C5A75">
        <w:t>increased UPIS by $3,200 to reflect the pro forma fence replacement and decreased UPIS by $2,400 to reflect the associated retirement of the replaced fence.</w:t>
      </w:r>
    </w:p>
    <w:p w:rsidR="005C5A75" w:rsidRPr="005C5A75" w:rsidRDefault="00FE758E" w:rsidP="005C5A75">
      <w:pPr>
        <w:spacing w:after="240"/>
        <w:jc w:val="both"/>
      </w:pPr>
      <w:r>
        <w:tab/>
      </w:r>
      <w:r w:rsidR="005C5A75" w:rsidRPr="005C5A75">
        <w:t xml:space="preserve">Finally, </w:t>
      </w:r>
      <w:r w:rsidR="00124E8C">
        <w:t>we</w:t>
      </w:r>
      <w:r w:rsidR="005C5A75" w:rsidRPr="005C5A75">
        <w:t xml:space="preserve"> decreased UPIS by $3,230 to reflect an averaging adjustment for additions made during the test year. Consistent with </w:t>
      </w:r>
      <w:r w:rsidR="00124E8C">
        <w:t>our</w:t>
      </w:r>
      <w:r w:rsidR="005C5A75" w:rsidRPr="005C5A75">
        <w:t xml:space="preserve"> practice, no averaging adjustments are applied to pro forma additions. </w:t>
      </w:r>
      <w:r w:rsidR="00124E8C">
        <w:t>Our</w:t>
      </w:r>
      <w:r w:rsidR="005C5A75" w:rsidRPr="005C5A75">
        <w:t xml:space="preserve"> adjustments to UPIS reflect a net increase of $4,434. Therefore, </w:t>
      </w:r>
      <w:r w:rsidR="00124E8C">
        <w:t>we find that the appropriate UPIS balance is</w:t>
      </w:r>
      <w:r w:rsidR="005C5A75" w:rsidRPr="005C5A75">
        <w:t xml:space="preserve"> $97,455.</w:t>
      </w:r>
    </w:p>
    <w:p w:rsidR="005C5A75" w:rsidRDefault="007B27ED" w:rsidP="005C5A75">
      <w:pPr>
        <w:jc w:val="both"/>
        <w:outlineLvl w:val="3"/>
        <w:rPr>
          <w:bCs/>
          <w:iCs/>
          <w:szCs w:val="28"/>
        </w:rPr>
      </w:pPr>
      <w:r>
        <w:rPr>
          <w:bCs/>
          <w:i/>
          <w:iCs/>
          <w:szCs w:val="28"/>
        </w:rPr>
        <w:t xml:space="preserve">B. </w:t>
      </w:r>
      <w:r w:rsidR="005C5A75" w:rsidRPr="007B27ED">
        <w:rPr>
          <w:bCs/>
          <w:i/>
          <w:iCs/>
          <w:szCs w:val="28"/>
        </w:rPr>
        <w:t>Land and Land Rights</w:t>
      </w:r>
    </w:p>
    <w:p w:rsidR="007B27ED" w:rsidRPr="007B27ED" w:rsidRDefault="007B27ED" w:rsidP="005C5A75">
      <w:pPr>
        <w:jc w:val="both"/>
        <w:outlineLvl w:val="3"/>
        <w:rPr>
          <w:bCs/>
          <w:iCs/>
          <w:szCs w:val="28"/>
        </w:rPr>
      </w:pPr>
    </w:p>
    <w:p w:rsidR="005C5A75" w:rsidRPr="005C5A75" w:rsidRDefault="00FE758E" w:rsidP="005C5A75">
      <w:pPr>
        <w:spacing w:after="240"/>
        <w:jc w:val="both"/>
      </w:pPr>
      <w:r>
        <w:tab/>
      </w:r>
      <w:r w:rsidR="007B27ED">
        <w:t>This</w:t>
      </w:r>
      <w:r w:rsidR="005C5A75" w:rsidRPr="005C5A75">
        <w:t xml:space="preserve"> Commission approved a land balance of $5,000 in the U</w:t>
      </w:r>
      <w:r w:rsidR="007B27ED">
        <w:t>tility’s 2016 transfer docket. Our a</w:t>
      </w:r>
      <w:r w:rsidR="005C5A75" w:rsidRPr="005C5A75">
        <w:t xml:space="preserve">udit staff determined that there have been no additions to land since the transfer; therefore, no adjustments are necessary. </w:t>
      </w:r>
      <w:r w:rsidR="007B27ED">
        <w:t>We find that the appropriate</w:t>
      </w:r>
      <w:r w:rsidR="005C5A75" w:rsidRPr="005C5A75">
        <w:t xml:space="preserve"> land and land rights balance </w:t>
      </w:r>
      <w:r w:rsidR="007B27ED">
        <w:t>is</w:t>
      </w:r>
      <w:r w:rsidR="005C5A75" w:rsidRPr="005C5A75">
        <w:t xml:space="preserve"> $5,000.</w:t>
      </w:r>
    </w:p>
    <w:p w:rsidR="005C5A75" w:rsidRDefault="00027C6A" w:rsidP="005C5A75">
      <w:pPr>
        <w:jc w:val="both"/>
        <w:outlineLvl w:val="3"/>
        <w:rPr>
          <w:bCs/>
          <w:iCs/>
          <w:szCs w:val="28"/>
        </w:rPr>
      </w:pPr>
      <w:r>
        <w:rPr>
          <w:bCs/>
          <w:i/>
          <w:iCs/>
          <w:szCs w:val="28"/>
        </w:rPr>
        <w:t xml:space="preserve">C. </w:t>
      </w:r>
      <w:r w:rsidR="005C5A75" w:rsidRPr="009411E0">
        <w:rPr>
          <w:bCs/>
          <w:i/>
          <w:iCs/>
          <w:szCs w:val="28"/>
        </w:rPr>
        <w:t>Non-U</w:t>
      </w:r>
      <w:r>
        <w:rPr>
          <w:bCs/>
          <w:i/>
          <w:iCs/>
          <w:szCs w:val="28"/>
        </w:rPr>
        <w:t>&amp;U</w:t>
      </w:r>
      <w:r w:rsidR="005C5A75" w:rsidRPr="009411E0">
        <w:rPr>
          <w:bCs/>
          <w:i/>
          <w:iCs/>
          <w:szCs w:val="28"/>
        </w:rPr>
        <w:t xml:space="preserve"> Plant</w:t>
      </w:r>
    </w:p>
    <w:p w:rsidR="00027C6A" w:rsidRPr="00027C6A" w:rsidRDefault="00027C6A" w:rsidP="005C5A75">
      <w:pPr>
        <w:jc w:val="both"/>
        <w:outlineLvl w:val="3"/>
        <w:rPr>
          <w:bCs/>
          <w:iCs/>
          <w:szCs w:val="28"/>
        </w:rPr>
      </w:pPr>
    </w:p>
    <w:p w:rsidR="005C5A75" w:rsidRPr="005C5A75" w:rsidRDefault="00FE758E" w:rsidP="005C5A75">
      <w:pPr>
        <w:spacing w:after="240"/>
        <w:jc w:val="both"/>
      </w:pPr>
      <w:r>
        <w:tab/>
      </w:r>
      <w:r w:rsidR="005C5A75" w:rsidRPr="005C5A75">
        <w:t xml:space="preserve">As discussed in </w:t>
      </w:r>
      <w:r w:rsidR="00BA086D">
        <w:t xml:space="preserve">the </w:t>
      </w:r>
      <w:r w:rsidR="00BA086D" w:rsidRPr="00BA086D">
        <w:rPr>
          <w:bCs/>
          <w:kern w:val="32"/>
        </w:rPr>
        <w:t>U&amp;U</w:t>
      </w:r>
      <w:r w:rsidR="00BA086D">
        <w:rPr>
          <w:bCs/>
          <w:kern w:val="32"/>
        </w:rPr>
        <w:t xml:space="preserve"> section</w:t>
      </w:r>
      <w:r w:rsidR="005C5A75" w:rsidRPr="005C5A75">
        <w:t>, Pine Harbour’s WTP, storage and water distribution system sh</w:t>
      </w:r>
      <w:r w:rsidR="00BA086D">
        <w:t>all</w:t>
      </w:r>
      <w:r w:rsidR="005C5A75" w:rsidRPr="005C5A75">
        <w:t xml:space="preserve"> be considered 100 percent U&amp;U. Therefore, a U&amp;U adjustment is not necessary.</w:t>
      </w:r>
    </w:p>
    <w:p w:rsidR="005C5A75" w:rsidRDefault="00A526C9" w:rsidP="005C5A75">
      <w:pPr>
        <w:jc w:val="both"/>
        <w:outlineLvl w:val="3"/>
        <w:rPr>
          <w:bCs/>
          <w:i/>
          <w:iCs/>
          <w:szCs w:val="28"/>
        </w:rPr>
      </w:pPr>
      <w:r>
        <w:rPr>
          <w:bCs/>
          <w:i/>
          <w:iCs/>
          <w:szCs w:val="28"/>
        </w:rPr>
        <w:lastRenderedPageBreak/>
        <w:t xml:space="preserve">D. </w:t>
      </w:r>
      <w:r w:rsidR="005C5A75" w:rsidRPr="00A526C9">
        <w:rPr>
          <w:bCs/>
          <w:i/>
          <w:iCs/>
          <w:szCs w:val="28"/>
        </w:rPr>
        <w:t>Contribution in Aid of Construction</w:t>
      </w:r>
    </w:p>
    <w:p w:rsidR="00BF6FFC" w:rsidRPr="00BF6FFC" w:rsidRDefault="00BF6FFC" w:rsidP="005C5A75">
      <w:pPr>
        <w:jc w:val="both"/>
        <w:outlineLvl w:val="3"/>
        <w:rPr>
          <w:bCs/>
          <w:iCs/>
          <w:szCs w:val="28"/>
        </w:rPr>
      </w:pPr>
    </w:p>
    <w:p w:rsidR="005C5A75" w:rsidRPr="005C5A75" w:rsidRDefault="00FE758E" w:rsidP="005C5A75">
      <w:pPr>
        <w:spacing w:after="240"/>
        <w:jc w:val="both"/>
      </w:pPr>
      <w:r>
        <w:tab/>
      </w:r>
      <w:r w:rsidR="005C5A75" w:rsidRPr="005C5A75">
        <w:t>The Utility recorded test year CIAC of $</w:t>
      </w:r>
      <w:r w:rsidR="00A526C9">
        <w:t>62,440. Our a</w:t>
      </w:r>
      <w:r w:rsidR="005C5A75" w:rsidRPr="005C5A75">
        <w:t xml:space="preserve">udit staff determined that no adjustments are necessary. </w:t>
      </w:r>
      <w:r w:rsidR="00A526C9">
        <w:t>Therefore, we find that the appropriate balance for</w:t>
      </w:r>
      <w:r w:rsidR="005C5A75" w:rsidRPr="005C5A75">
        <w:t xml:space="preserve"> CIAC </w:t>
      </w:r>
      <w:r w:rsidR="00A526C9">
        <w:t>is</w:t>
      </w:r>
      <w:r w:rsidR="005C5A75" w:rsidRPr="005C5A75">
        <w:t xml:space="preserve"> $62,440.</w:t>
      </w:r>
    </w:p>
    <w:p w:rsidR="005C5A75" w:rsidRDefault="00073F4D" w:rsidP="005C5A75">
      <w:pPr>
        <w:jc w:val="both"/>
        <w:outlineLvl w:val="3"/>
        <w:rPr>
          <w:bCs/>
          <w:iCs/>
          <w:szCs w:val="28"/>
        </w:rPr>
      </w:pPr>
      <w:r>
        <w:rPr>
          <w:bCs/>
          <w:i/>
          <w:iCs/>
          <w:szCs w:val="28"/>
        </w:rPr>
        <w:t xml:space="preserve">E. </w:t>
      </w:r>
      <w:r w:rsidR="005C5A75" w:rsidRPr="00073F4D">
        <w:rPr>
          <w:bCs/>
          <w:i/>
          <w:iCs/>
          <w:szCs w:val="28"/>
        </w:rPr>
        <w:t>Accumulated Depreciation</w:t>
      </w:r>
    </w:p>
    <w:p w:rsidR="00073F4D" w:rsidRPr="00073F4D" w:rsidRDefault="00073F4D" w:rsidP="005C5A75">
      <w:pPr>
        <w:jc w:val="both"/>
        <w:outlineLvl w:val="3"/>
        <w:rPr>
          <w:bCs/>
          <w:iCs/>
          <w:szCs w:val="28"/>
        </w:rPr>
      </w:pPr>
    </w:p>
    <w:p w:rsidR="005C5A75" w:rsidRPr="005C5A75" w:rsidRDefault="00FE758E" w:rsidP="005C5A75">
      <w:pPr>
        <w:spacing w:after="240"/>
        <w:jc w:val="both"/>
      </w:pPr>
      <w:r>
        <w:tab/>
      </w:r>
      <w:r w:rsidR="005C5A75" w:rsidRPr="005C5A75">
        <w:t xml:space="preserve">The Utility recorded $70,927 in accumulated depreciation. In order to reflect the appropriate test year balance as of December 31, 2017, </w:t>
      </w:r>
      <w:r w:rsidR="00073F4D">
        <w:t>we</w:t>
      </w:r>
      <w:r w:rsidR="005C5A75" w:rsidRPr="005C5A75">
        <w:t xml:space="preserve"> calculated accumulated depreciation using the prescribed rates set forth in Rule 25-30.140, F.A.C. </w:t>
      </w:r>
      <w:r w:rsidR="00073F4D">
        <w:t>We</w:t>
      </w:r>
      <w:r w:rsidR="005C5A75" w:rsidRPr="005C5A75">
        <w:t xml:space="preserve"> increased accumulated depreciation by $135 to reflect the appropriate test year balance. In addition, </w:t>
      </w:r>
      <w:r w:rsidR="00073F4D">
        <w:t>we find that</w:t>
      </w:r>
      <w:r w:rsidR="005C5A75" w:rsidRPr="005C5A75">
        <w:t xml:space="preserve"> adjustments associated with the pro forma plant projects discussed above</w:t>
      </w:r>
      <w:r w:rsidR="00073F4D">
        <w:t xml:space="preserve"> are appropriate</w:t>
      </w:r>
      <w:r w:rsidR="005C5A75" w:rsidRPr="005C5A75">
        <w:t xml:space="preserve">. </w:t>
      </w:r>
      <w:r w:rsidR="00073F4D">
        <w:t>We</w:t>
      </w:r>
      <w:r w:rsidR="005C5A75" w:rsidRPr="005C5A75">
        <w:t xml:space="preserve"> increased this account by $28 to reflect the incremental increase in accumulated depreciation associated with the new residential water meters, and decreased this account by $1,448 to remove the accumulated depreciation associated with the retired meters. </w:t>
      </w:r>
      <w:r w:rsidR="00073F4D">
        <w:t>We</w:t>
      </w:r>
      <w:r w:rsidR="005C5A75" w:rsidRPr="005C5A75">
        <w:t xml:space="preserve"> also increased this account by $19 to reflect the increase in accumulated depreciation associated with the new flow meter, and decreased this account by $1,778 to remove the accumulated depreciation associated with the replaced flow meter. </w:t>
      </w:r>
      <w:r w:rsidR="00073F4D">
        <w:t>We</w:t>
      </w:r>
      <w:r w:rsidR="005C5A75" w:rsidRPr="005C5A75">
        <w:t xml:space="preserve"> increased this account by $9 to reflect the incremental increase in accumulated depreciation associated with the new exterior lighting and timer, and decreased this account by $695 to remove the accumulated depreciation associated with the retired exterior lighting and timer. </w:t>
      </w:r>
      <w:r w:rsidR="00073F4D">
        <w:t>We</w:t>
      </w:r>
      <w:r w:rsidR="005C5A75" w:rsidRPr="005C5A75">
        <w:t xml:space="preserve"> increased this account by $30 to reflect the incremental increase in accumulated depreciation associated with the new WTP fence and decreased this account by $2,400 to remove the accumulated depreciation associated with the retired fence. Finally, </w:t>
      </w:r>
      <w:r w:rsidR="00073F4D">
        <w:t>we</w:t>
      </w:r>
      <w:r w:rsidR="005C5A75" w:rsidRPr="005C5A75">
        <w:t xml:space="preserve"> decreased the test year total accumulated depreciation by $1,102 to reflect an averaging adjustment. </w:t>
      </w:r>
      <w:r w:rsidR="00073F4D">
        <w:t>Our</w:t>
      </w:r>
      <w:r w:rsidR="005C5A75" w:rsidRPr="005C5A75">
        <w:t xml:space="preserve"> adjustments to this account result in a net decrease of $7,202. Therefore, </w:t>
      </w:r>
      <w:r w:rsidR="00073F4D">
        <w:t>we find that the appropriate balance for</w:t>
      </w:r>
      <w:r w:rsidR="005C5A75" w:rsidRPr="005C5A75">
        <w:t xml:space="preserve"> accumulated depreciation </w:t>
      </w:r>
      <w:r w:rsidR="00073F4D">
        <w:t>is</w:t>
      </w:r>
      <w:r w:rsidR="005C5A75" w:rsidRPr="005C5A75">
        <w:t xml:space="preserve"> $63,725.</w:t>
      </w:r>
    </w:p>
    <w:p w:rsidR="005C5A75" w:rsidRDefault="00073F4D" w:rsidP="005C5A75">
      <w:pPr>
        <w:jc w:val="both"/>
        <w:outlineLvl w:val="3"/>
        <w:rPr>
          <w:bCs/>
          <w:iCs/>
          <w:szCs w:val="28"/>
        </w:rPr>
      </w:pPr>
      <w:r>
        <w:rPr>
          <w:bCs/>
          <w:i/>
          <w:iCs/>
          <w:szCs w:val="28"/>
        </w:rPr>
        <w:t xml:space="preserve">F. </w:t>
      </w:r>
      <w:r w:rsidR="005C5A75" w:rsidRPr="00073F4D">
        <w:rPr>
          <w:bCs/>
          <w:i/>
          <w:iCs/>
          <w:szCs w:val="28"/>
        </w:rPr>
        <w:t>Accumulated Amortization of CIAC</w:t>
      </w:r>
    </w:p>
    <w:p w:rsidR="00073F4D" w:rsidRPr="00073F4D" w:rsidRDefault="00073F4D" w:rsidP="005C5A75">
      <w:pPr>
        <w:jc w:val="both"/>
        <w:outlineLvl w:val="3"/>
        <w:rPr>
          <w:bCs/>
          <w:iCs/>
          <w:szCs w:val="28"/>
        </w:rPr>
      </w:pPr>
    </w:p>
    <w:p w:rsidR="005C5A75" w:rsidRPr="005C5A75" w:rsidRDefault="00FE758E" w:rsidP="005C5A75">
      <w:pPr>
        <w:spacing w:after="240"/>
        <w:jc w:val="both"/>
      </w:pPr>
      <w:r>
        <w:tab/>
      </w:r>
      <w:r w:rsidR="005C5A75" w:rsidRPr="005C5A75">
        <w:t xml:space="preserve">Pine Harbour recorded an amortization of CIAC balance of $57,037. </w:t>
      </w:r>
      <w:r w:rsidR="00073F4D">
        <w:t>We</w:t>
      </w:r>
      <w:r w:rsidR="005C5A75" w:rsidRPr="005C5A75">
        <w:t xml:space="preserve"> increased this account by $7 to reflect the appropriate amortization of CIAC. </w:t>
      </w:r>
      <w:r w:rsidR="00073F4D">
        <w:t>We</w:t>
      </w:r>
      <w:r w:rsidR="005C5A75" w:rsidRPr="005C5A75">
        <w:t xml:space="preserve"> also decreased this account by $74 to reflect an averaging adjustment for the test year. </w:t>
      </w:r>
      <w:r w:rsidR="00073F4D">
        <w:t>Our</w:t>
      </w:r>
      <w:r w:rsidR="005C5A75" w:rsidRPr="005C5A75">
        <w:t xml:space="preserve"> adjustment is a net decrease of $67. Therefore, </w:t>
      </w:r>
      <w:r w:rsidR="00073F4D">
        <w:t>we find that the appropriate balance for</w:t>
      </w:r>
      <w:r w:rsidR="005C5A75" w:rsidRPr="005C5A75">
        <w:t xml:space="preserve"> accumulated amortization of CIAC </w:t>
      </w:r>
      <w:r w:rsidR="00073F4D">
        <w:t>is</w:t>
      </w:r>
      <w:r w:rsidR="005C5A75" w:rsidRPr="005C5A75">
        <w:t xml:space="preserve"> $56,970.</w:t>
      </w:r>
    </w:p>
    <w:p w:rsidR="005C5A75" w:rsidRDefault="004F0D3C" w:rsidP="005C5A75">
      <w:pPr>
        <w:jc w:val="both"/>
        <w:outlineLvl w:val="3"/>
        <w:rPr>
          <w:bCs/>
          <w:iCs/>
          <w:szCs w:val="28"/>
        </w:rPr>
      </w:pPr>
      <w:r>
        <w:rPr>
          <w:bCs/>
          <w:i/>
          <w:iCs/>
          <w:szCs w:val="28"/>
        </w:rPr>
        <w:t xml:space="preserve">G. </w:t>
      </w:r>
      <w:r w:rsidR="005C5A75" w:rsidRPr="004F0D3C">
        <w:rPr>
          <w:bCs/>
          <w:i/>
          <w:iCs/>
          <w:szCs w:val="28"/>
        </w:rPr>
        <w:t>Working Capital Allowance</w:t>
      </w:r>
    </w:p>
    <w:p w:rsidR="004F0D3C" w:rsidRPr="004F0D3C" w:rsidRDefault="004F0D3C" w:rsidP="005C5A75">
      <w:pPr>
        <w:jc w:val="both"/>
        <w:outlineLvl w:val="3"/>
        <w:rPr>
          <w:bCs/>
          <w:iCs/>
          <w:szCs w:val="28"/>
        </w:rPr>
      </w:pPr>
    </w:p>
    <w:p w:rsidR="005C5A75" w:rsidRPr="005C5A75" w:rsidRDefault="00FE758E" w:rsidP="005C5A75">
      <w:pPr>
        <w:spacing w:after="240"/>
        <w:jc w:val="both"/>
      </w:pPr>
      <w:r>
        <w:tab/>
      </w:r>
      <w:r w:rsidR="005C5A75" w:rsidRPr="005C5A75">
        <w:t xml:space="preserve">Working capital is defined as the short-term investor-supplied funds that are necessary to meet operating expenses of the Utility. Consistent with Rule 25-30.433(2), F.A.C., </w:t>
      </w:r>
      <w:r w:rsidR="004F0D3C">
        <w:t>we</w:t>
      </w:r>
      <w:r w:rsidR="005C5A75" w:rsidRPr="005C5A75">
        <w:t xml:space="preserve"> used the one-eighth of the operation and maintenance (O&amp;M) expense formula approach for calculating the working capital allowance. </w:t>
      </w:r>
      <w:r w:rsidR="004F0D3C">
        <w:t>We</w:t>
      </w:r>
      <w:r w:rsidR="005C5A75" w:rsidRPr="005C5A75">
        <w:t xml:space="preserve"> also removed the unamortized balance of rate case expense of $269 pursuant to Section 367.081(9), F.S.</w:t>
      </w:r>
      <w:r w:rsidR="005C5A75" w:rsidRPr="005C5A75">
        <w:rPr>
          <w:vertAlign w:val="superscript"/>
        </w:rPr>
        <w:footnoteReference w:id="9"/>
      </w:r>
      <w:r w:rsidR="005C5A75" w:rsidRPr="005C5A75">
        <w:t xml:space="preserve"> Applying this formula, </w:t>
      </w:r>
      <w:r w:rsidR="004F0D3C">
        <w:t>we find that</w:t>
      </w:r>
      <w:r w:rsidR="005C5A75" w:rsidRPr="005C5A75">
        <w:t xml:space="preserve"> a working capital </w:t>
      </w:r>
      <w:r w:rsidR="005C5A75" w:rsidRPr="005C5A75">
        <w:lastRenderedPageBreak/>
        <w:t>allowance of $3,355 ($26,844/8)</w:t>
      </w:r>
      <w:r w:rsidR="004F0D3C">
        <w:t xml:space="preserve"> is appropriate</w:t>
      </w:r>
      <w:r w:rsidR="005C5A75" w:rsidRPr="005C5A75">
        <w:t xml:space="preserve">, based on the adjusted O&amp;M expense of $26,844 ($27,113 - $269). </w:t>
      </w:r>
    </w:p>
    <w:p w:rsidR="005C5A75" w:rsidRDefault="004F0D3C" w:rsidP="005C5A75">
      <w:pPr>
        <w:jc w:val="both"/>
        <w:outlineLvl w:val="3"/>
        <w:rPr>
          <w:bCs/>
          <w:iCs/>
          <w:szCs w:val="28"/>
        </w:rPr>
      </w:pPr>
      <w:r>
        <w:rPr>
          <w:bCs/>
          <w:i/>
          <w:iCs/>
          <w:szCs w:val="28"/>
        </w:rPr>
        <w:t xml:space="preserve">H. </w:t>
      </w:r>
      <w:r w:rsidR="005C5A75" w:rsidRPr="004F0D3C">
        <w:rPr>
          <w:bCs/>
          <w:i/>
          <w:iCs/>
          <w:szCs w:val="28"/>
        </w:rPr>
        <w:t>Rate Base Summary</w:t>
      </w:r>
    </w:p>
    <w:p w:rsidR="004F0D3C" w:rsidRPr="004F0D3C" w:rsidRDefault="004F0D3C" w:rsidP="005C5A75">
      <w:pPr>
        <w:jc w:val="both"/>
        <w:outlineLvl w:val="3"/>
        <w:rPr>
          <w:bCs/>
          <w:iCs/>
          <w:szCs w:val="28"/>
        </w:rPr>
      </w:pPr>
    </w:p>
    <w:p w:rsidR="005C5A75" w:rsidRDefault="00FE758E" w:rsidP="00F94E7B">
      <w:pPr>
        <w:jc w:val="both"/>
      </w:pPr>
      <w:r>
        <w:tab/>
      </w:r>
      <w:r w:rsidR="005C5A75" w:rsidRPr="005C5A75">
        <w:t xml:space="preserve">Based on the foregoing, </w:t>
      </w:r>
      <w:r w:rsidR="004F0D3C">
        <w:t>we find</w:t>
      </w:r>
      <w:r w:rsidR="005C5A75" w:rsidRPr="005C5A75">
        <w:t xml:space="preserve"> that the appropriate average test year rate base is $36,616. Rate base is shown on Schedule No. 1-A. The related adjustments are shown on Schedule No. 1-B.</w:t>
      </w:r>
    </w:p>
    <w:p w:rsidR="005C5A75" w:rsidRDefault="005C5A75" w:rsidP="005C5A75"/>
    <w:p w:rsidR="005C5A75" w:rsidRPr="00106660" w:rsidRDefault="00106660" w:rsidP="005C5A75">
      <w:pPr>
        <w:spacing w:after="240"/>
        <w:jc w:val="both"/>
        <w:rPr>
          <w:u w:val="single"/>
        </w:rPr>
      </w:pPr>
      <w:r w:rsidRPr="00106660">
        <w:rPr>
          <w:bCs/>
          <w:kern w:val="32"/>
          <w:szCs w:val="32"/>
          <w:u w:val="single"/>
        </w:rPr>
        <w:t>4. Return on Equity (ROE)</w:t>
      </w:r>
    </w:p>
    <w:p w:rsidR="005C5A75" w:rsidRPr="005C5A75" w:rsidRDefault="005C5A75" w:rsidP="00106660">
      <w:pPr>
        <w:spacing w:after="240"/>
        <w:ind w:firstLine="720"/>
        <w:jc w:val="both"/>
      </w:pPr>
      <w:r w:rsidRPr="005C5A75">
        <w:t>Pine Harbour’s capital structure consists of $33,018 in common equity and $56 in cust</w:t>
      </w:r>
      <w:r w:rsidR="00106660">
        <w:t>omer deposits. Our a</w:t>
      </w:r>
      <w:r w:rsidRPr="005C5A75">
        <w:t>udit staff verified that the Utility has no debt, and that no adjustments are necessary.</w:t>
      </w:r>
    </w:p>
    <w:p w:rsidR="005C5A75" w:rsidRDefault="00FE758E" w:rsidP="00F94E7B">
      <w:pPr>
        <w:jc w:val="both"/>
      </w:pPr>
      <w:r>
        <w:tab/>
      </w:r>
      <w:r w:rsidR="005C5A75" w:rsidRPr="005C5A75">
        <w:t xml:space="preserve">The Utility’s capital structure has been reconciled with </w:t>
      </w:r>
      <w:r w:rsidR="00106660">
        <w:t>the approved</w:t>
      </w:r>
      <w:r w:rsidR="005C5A75" w:rsidRPr="005C5A75">
        <w:t xml:space="preserve"> rate base. The appropriate ROE is 8.11 percent based upon the Commission-approved leverage formula currently in effect.</w:t>
      </w:r>
      <w:r w:rsidR="005C5A75" w:rsidRPr="005C5A75">
        <w:rPr>
          <w:vertAlign w:val="superscript"/>
        </w:rPr>
        <w:footnoteReference w:id="10"/>
      </w:r>
      <w:r w:rsidR="005C5A75" w:rsidRPr="005C5A75">
        <w:t xml:space="preserve"> </w:t>
      </w:r>
      <w:r w:rsidR="00106660">
        <w:t>Therefore, we hereby approve</w:t>
      </w:r>
      <w:r w:rsidR="005C5A75" w:rsidRPr="005C5A75">
        <w:t xml:space="preserve"> an ROE of 8.11 percent, with a range of 7.11 percent to 9.11 percent, and an overall rate of return of 8.10 percent. The ROE and overall rate of return are shown on Schedule No. 2</w:t>
      </w:r>
      <w:r w:rsidR="005C5A75">
        <w:t>.</w:t>
      </w:r>
    </w:p>
    <w:p w:rsidR="005C5A75" w:rsidRDefault="005C5A75" w:rsidP="00F94E7B">
      <w:pPr>
        <w:jc w:val="both"/>
      </w:pPr>
    </w:p>
    <w:p w:rsidR="005C5A75" w:rsidRPr="00106660" w:rsidRDefault="00106660" w:rsidP="005C5A75">
      <w:pPr>
        <w:spacing w:after="240"/>
        <w:jc w:val="both"/>
        <w:rPr>
          <w:u w:val="single"/>
        </w:rPr>
      </w:pPr>
      <w:r w:rsidRPr="00106660">
        <w:rPr>
          <w:bCs/>
          <w:kern w:val="32"/>
          <w:szCs w:val="32"/>
          <w:u w:val="single"/>
        </w:rPr>
        <w:t>5. Test Year Revenues</w:t>
      </w:r>
    </w:p>
    <w:p w:rsidR="005C5A75" w:rsidRDefault="005C5A75" w:rsidP="00106660">
      <w:pPr>
        <w:ind w:firstLine="720"/>
        <w:jc w:val="both"/>
      </w:pPr>
      <w:r w:rsidRPr="005C5A75">
        <w:t xml:space="preserve">Pine Harbour recorded total test year revenues of $23,286. The Utility’s test year revenues included $22,418 of service revenues and $868 of miscellaneous revenues. Based on </w:t>
      </w:r>
      <w:r w:rsidR="00106660">
        <w:t xml:space="preserve">our </w:t>
      </w:r>
      <w:r w:rsidRPr="005C5A75">
        <w:t xml:space="preserve">review of the Utility’s billing determinants and the service rates that were in effect during the test year, </w:t>
      </w:r>
      <w:r w:rsidR="00106660">
        <w:t>we</w:t>
      </w:r>
      <w:r w:rsidRPr="005C5A75">
        <w:t xml:space="preserve"> determined test year service revenues should be $23,019. This results in an increase of $601 ($23,019 - $22,418) to service revenues. This adjustment to service revenues is due to a timing difference between the billing register and the general ledger. Based on </w:t>
      </w:r>
      <w:r w:rsidR="00106660">
        <w:t>our</w:t>
      </w:r>
      <w:r w:rsidRPr="005C5A75">
        <w:t xml:space="preserve"> review of the number of miscellaneous service occurrences during the test year and the Utility’s approved miscellaneous service charges, </w:t>
      </w:r>
      <w:r w:rsidR="00106660">
        <w:t>we find that</w:t>
      </w:r>
      <w:r w:rsidRPr="005C5A75">
        <w:t xml:space="preserve"> the Utility’s recorded miscellaneous revenues of $868</w:t>
      </w:r>
      <w:r w:rsidR="00106660">
        <w:t xml:space="preserve"> are appropriate</w:t>
      </w:r>
      <w:r w:rsidRPr="005C5A75">
        <w:t xml:space="preserve">. Based on the above, </w:t>
      </w:r>
      <w:r w:rsidR="00613DBB">
        <w:t xml:space="preserve">we find that </w:t>
      </w:r>
      <w:r w:rsidRPr="005C5A75">
        <w:t>the appropriate test year revenues for Pine Harbour are $23,887 ($23,019 + $868)</w:t>
      </w:r>
      <w:r>
        <w:t>.</w:t>
      </w:r>
    </w:p>
    <w:p w:rsidR="005C5A75" w:rsidRDefault="005C5A75" w:rsidP="005C5A75"/>
    <w:p w:rsidR="005C5A75" w:rsidRPr="00613DBB" w:rsidRDefault="00613DBB" w:rsidP="005C5A75">
      <w:pPr>
        <w:spacing w:after="240"/>
        <w:jc w:val="both"/>
        <w:rPr>
          <w:u w:val="single"/>
        </w:rPr>
      </w:pPr>
      <w:r w:rsidRPr="00613DBB">
        <w:rPr>
          <w:bCs/>
          <w:kern w:val="32"/>
          <w:szCs w:val="32"/>
          <w:u w:val="single"/>
        </w:rPr>
        <w:t>6. Operating Expense</w:t>
      </w:r>
    </w:p>
    <w:p w:rsidR="005C5A75" w:rsidRPr="005C5A75" w:rsidRDefault="005C5A75" w:rsidP="00613DBB">
      <w:pPr>
        <w:spacing w:after="240"/>
        <w:ind w:firstLine="720"/>
        <w:jc w:val="both"/>
      </w:pPr>
      <w:r w:rsidRPr="005C5A75">
        <w:t xml:space="preserve">Pine Harbour recorded operating expense of $26,383 for the test year ended December 31, 2017. The test year O&amp;M expenses have been reviewed, including invoices, canceled checks, and other supporting documentation. </w:t>
      </w:r>
      <w:r w:rsidR="00613DBB">
        <w:t>We have</w:t>
      </w:r>
      <w:r w:rsidRPr="005C5A75">
        <w:t xml:space="preserve"> made several adjustments to the Utility's operating expenses as summarized below.</w:t>
      </w:r>
    </w:p>
    <w:p w:rsidR="00BF6FFC" w:rsidRDefault="00BF6FFC" w:rsidP="005C5A75">
      <w:pPr>
        <w:jc w:val="both"/>
        <w:outlineLvl w:val="0"/>
        <w:rPr>
          <w:bCs/>
          <w:i/>
          <w:kern w:val="32"/>
          <w:szCs w:val="32"/>
        </w:rPr>
      </w:pPr>
    </w:p>
    <w:p w:rsidR="005C5A75" w:rsidRPr="00613DBB" w:rsidRDefault="00613DBB" w:rsidP="005C5A75">
      <w:pPr>
        <w:jc w:val="both"/>
        <w:outlineLvl w:val="0"/>
        <w:rPr>
          <w:bCs/>
          <w:i/>
          <w:kern w:val="32"/>
          <w:szCs w:val="32"/>
        </w:rPr>
      </w:pPr>
      <w:r>
        <w:rPr>
          <w:bCs/>
          <w:i/>
          <w:kern w:val="32"/>
          <w:szCs w:val="32"/>
        </w:rPr>
        <w:lastRenderedPageBreak/>
        <w:t xml:space="preserve">A. </w:t>
      </w:r>
      <w:r w:rsidR="005C5A75" w:rsidRPr="00613DBB">
        <w:rPr>
          <w:bCs/>
          <w:i/>
          <w:kern w:val="32"/>
          <w:szCs w:val="32"/>
        </w:rPr>
        <w:t>Operation and Maintenance Expenses</w:t>
      </w:r>
    </w:p>
    <w:p w:rsidR="005C5A75" w:rsidRPr="00613DBB" w:rsidRDefault="005C5A75" w:rsidP="005C5A75">
      <w:pPr>
        <w:jc w:val="both"/>
        <w:outlineLvl w:val="0"/>
        <w:rPr>
          <w:bCs/>
          <w:kern w:val="32"/>
          <w:szCs w:val="32"/>
        </w:rPr>
      </w:pPr>
    </w:p>
    <w:p w:rsidR="005C5A75" w:rsidRDefault="005C5A75" w:rsidP="005C5A75">
      <w:pPr>
        <w:autoSpaceDE w:val="0"/>
        <w:autoSpaceDN w:val="0"/>
        <w:adjustRightInd w:val="0"/>
        <w:rPr>
          <w:rFonts w:eastAsia="Calibri"/>
          <w:b/>
          <w:bCs/>
          <w:iCs/>
        </w:rPr>
      </w:pPr>
      <w:r w:rsidRPr="00613DBB">
        <w:rPr>
          <w:rFonts w:eastAsia="Calibri"/>
          <w:b/>
          <w:bCs/>
          <w:iCs/>
        </w:rPr>
        <w:t xml:space="preserve">Salaries and Wages </w:t>
      </w:r>
      <w:r w:rsidRPr="00613DBB">
        <w:rPr>
          <w:rFonts w:eastAsia="Calibri"/>
          <w:b/>
          <w:bCs/>
        </w:rPr>
        <w:t xml:space="preserve">- </w:t>
      </w:r>
      <w:r w:rsidRPr="00613DBB">
        <w:rPr>
          <w:rFonts w:eastAsia="Calibri"/>
          <w:b/>
          <w:bCs/>
          <w:iCs/>
        </w:rPr>
        <w:t>Officers (603)</w:t>
      </w:r>
    </w:p>
    <w:p w:rsidR="00A941D3" w:rsidRPr="00613DBB" w:rsidRDefault="00A941D3" w:rsidP="005C5A75">
      <w:pPr>
        <w:autoSpaceDE w:val="0"/>
        <w:autoSpaceDN w:val="0"/>
        <w:adjustRightInd w:val="0"/>
        <w:rPr>
          <w:rFonts w:eastAsia="Calibri"/>
          <w:b/>
          <w:bCs/>
          <w:iCs/>
        </w:rPr>
      </w:pPr>
    </w:p>
    <w:p w:rsidR="005C5A75" w:rsidRPr="005C5A75" w:rsidRDefault="00F94E7B" w:rsidP="005C5A75">
      <w:pPr>
        <w:autoSpaceDE w:val="0"/>
        <w:autoSpaceDN w:val="0"/>
        <w:adjustRightInd w:val="0"/>
        <w:jc w:val="both"/>
        <w:rPr>
          <w:rFonts w:ascii="Arial" w:hAnsi="Arial" w:cs="Arial"/>
          <w:b/>
          <w:bCs/>
          <w:kern w:val="32"/>
        </w:rPr>
      </w:pPr>
      <w:r>
        <w:rPr>
          <w:rFonts w:eastAsia="Calibri"/>
        </w:rPr>
        <w:tab/>
      </w:r>
      <w:r w:rsidR="005C5A75" w:rsidRPr="005C5A75">
        <w:rPr>
          <w:rFonts w:eastAsia="Calibri"/>
        </w:rPr>
        <w:t xml:space="preserve">The Utility recorded $3,200 in this account for the test year to reflect the president's monthly salary of $267. According to the Utility's 2017 Annual Report, Pine Harbour's officers also include a vice-president who does not receive a salary. In addition, the Utility indicated in audit work papers that the president only receives compensation through distribution of retained earnings if there are any net operating profits from operations that are not used for continuing operations or capital improvements. While </w:t>
      </w:r>
      <w:r w:rsidR="00613DBB">
        <w:rPr>
          <w:rFonts w:eastAsia="Calibri"/>
        </w:rPr>
        <w:t>we</w:t>
      </w:r>
      <w:r w:rsidR="005C5A75" w:rsidRPr="005C5A75">
        <w:rPr>
          <w:rFonts w:eastAsia="Calibri"/>
        </w:rPr>
        <w:t xml:space="preserve"> compared the amount to Pine Harbour’s sister utilities and found it to be below the average, </w:t>
      </w:r>
      <w:r w:rsidR="00613DBB">
        <w:rPr>
          <w:rFonts w:eastAsia="Calibri"/>
        </w:rPr>
        <w:t>we find that</w:t>
      </w:r>
      <w:r w:rsidR="005C5A75" w:rsidRPr="005C5A75">
        <w:rPr>
          <w:rFonts w:eastAsia="Calibri"/>
        </w:rPr>
        <w:t xml:space="preserve"> it is appropriate to reduce salaries by $200.</w:t>
      </w:r>
      <w:r w:rsidR="005C5A75" w:rsidRPr="005C5A75">
        <w:rPr>
          <w:rFonts w:eastAsia="Calibri"/>
          <w:vertAlign w:val="superscript"/>
        </w:rPr>
        <w:footnoteReference w:id="11"/>
      </w:r>
      <w:r w:rsidR="005C5A75" w:rsidRPr="005C5A75">
        <w:rPr>
          <w:rFonts w:eastAsia="Calibri"/>
        </w:rPr>
        <w:t xml:space="preserve"> Sister utility </w:t>
      </w:r>
      <w:r w:rsidR="005C5A75" w:rsidRPr="005C5A75">
        <w:t xml:space="preserve">Country Walk Utilities, Inc. (Country Walk), which serves 70 residential customers and one general service water customer and has a more complicated system, reflected salaries of $3,000. Pine Harbour serves 62 residential and 2 general service water customers. </w:t>
      </w:r>
      <w:r w:rsidR="00613DBB">
        <w:t>Therefore, we hereby approve a</w:t>
      </w:r>
      <w:r w:rsidR="005C5A75" w:rsidRPr="005C5A75">
        <w:rPr>
          <w:rFonts w:eastAsia="Calibri"/>
        </w:rPr>
        <w:t xml:space="preserve"> salaries and wages - officers expense for the test year of $3,000.</w:t>
      </w:r>
    </w:p>
    <w:p w:rsidR="005C5A75" w:rsidRPr="005C5A75" w:rsidRDefault="005C5A75" w:rsidP="005C5A75">
      <w:pPr>
        <w:jc w:val="both"/>
        <w:outlineLvl w:val="0"/>
        <w:rPr>
          <w:rFonts w:ascii="Arial" w:hAnsi="Arial" w:cs="Arial"/>
          <w:b/>
          <w:bCs/>
          <w:kern w:val="32"/>
          <w:szCs w:val="32"/>
        </w:rPr>
      </w:pPr>
    </w:p>
    <w:p w:rsidR="005C5A75" w:rsidRDefault="005C5A75" w:rsidP="005C5A75">
      <w:pPr>
        <w:autoSpaceDE w:val="0"/>
        <w:autoSpaceDN w:val="0"/>
        <w:adjustRightInd w:val="0"/>
        <w:rPr>
          <w:rFonts w:eastAsia="Calibri"/>
          <w:b/>
          <w:bCs/>
        </w:rPr>
      </w:pPr>
      <w:r w:rsidRPr="00613DBB">
        <w:rPr>
          <w:rFonts w:eastAsia="Calibri"/>
          <w:b/>
          <w:bCs/>
        </w:rPr>
        <w:t>Purchased Power (615)</w:t>
      </w:r>
    </w:p>
    <w:p w:rsidR="00613DBB" w:rsidRPr="00613DBB" w:rsidRDefault="00613DBB" w:rsidP="005C5A75">
      <w:pPr>
        <w:autoSpaceDE w:val="0"/>
        <w:autoSpaceDN w:val="0"/>
        <w:adjustRightInd w:val="0"/>
        <w:rPr>
          <w:rFonts w:eastAsia="Calibri"/>
          <w:b/>
          <w:bCs/>
        </w:rPr>
      </w:pPr>
    </w:p>
    <w:p w:rsidR="005C5A75" w:rsidRPr="005C5A75" w:rsidRDefault="00F94E7B" w:rsidP="005C5A75">
      <w:pPr>
        <w:autoSpaceDE w:val="0"/>
        <w:autoSpaceDN w:val="0"/>
        <w:adjustRightInd w:val="0"/>
        <w:jc w:val="both"/>
        <w:rPr>
          <w:rFonts w:eastAsia="Calibri"/>
        </w:rPr>
      </w:pPr>
      <w:r>
        <w:rPr>
          <w:rFonts w:eastAsia="Calibri"/>
        </w:rPr>
        <w:tab/>
      </w:r>
      <w:r w:rsidR="005C5A75" w:rsidRPr="005C5A75">
        <w:rPr>
          <w:rFonts w:eastAsia="Calibri"/>
        </w:rPr>
        <w:t xml:space="preserve">The Utility recorded purchased power expense of $939. </w:t>
      </w:r>
      <w:r w:rsidR="005C5A75" w:rsidRPr="005C5A75">
        <w:t xml:space="preserve">As discussed in </w:t>
      </w:r>
      <w:r w:rsidR="00613DBB">
        <w:t>the U&amp;U section</w:t>
      </w:r>
      <w:r w:rsidR="005C5A75" w:rsidRPr="005C5A75">
        <w:t xml:space="preserve">, </w:t>
      </w:r>
      <w:r w:rsidR="00613DBB">
        <w:t>we approved</w:t>
      </w:r>
      <w:r w:rsidR="005C5A75" w:rsidRPr="005C5A75">
        <w:t xml:space="preserve"> an EUW adjustment of 10.1 percent. Therefore, </w:t>
      </w:r>
      <w:r w:rsidR="00613DBB">
        <w:t>we</w:t>
      </w:r>
      <w:r w:rsidR="005C5A75" w:rsidRPr="005C5A75">
        <w:t xml:space="preserve"> decreased this account by $95 ($939 x .101 = $95) to reflect a 10.1 percent EUW adjustment. </w:t>
      </w:r>
      <w:r w:rsidR="00613DBB">
        <w:rPr>
          <w:rFonts w:eastAsia="Calibri"/>
        </w:rPr>
        <w:t>Therefore, we hereby approve a</w:t>
      </w:r>
      <w:r w:rsidR="005C5A75" w:rsidRPr="005C5A75">
        <w:rPr>
          <w:rFonts w:eastAsia="Calibri"/>
        </w:rPr>
        <w:t xml:space="preserve"> purchased power expense of $844 ($939 - $95).</w:t>
      </w:r>
    </w:p>
    <w:p w:rsidR="005C5A75" w:rsidRPr="005C5A75" w:rsidRDefault="005C5A75" w:rsidP="005C5A75">
      <w:pPr>
        <w:autoSpaceDE w:val="0"/>
        <w:autoSpaceDN w:val="0"/>
        <w:adjustRightInd w:val="0"/>
        <w:jc w:val="both"/>
        <w:rPr>
          <w:rFonts w:eastAsia="Calibri"/>
          <w:highlight w:val="darkGray"/>
        </w:rPr>
      </w:pPr>
    </w:p>
    <w:p w:rsidR="005C5A75" w:rsidRDefault="005C5A75" w:rsidP="005C5A75">
      <w:pPr>
        <w:autoSpaceDE w:val="0"/>
        <w:autoSpaceDN w:val="0"/>
        <w:adjustRightInd w:val="0"/>
        <w:jc w:val="both"/>
        <w:rPr>
          <w:rFonts w:eastAsia="Calibri"/>
          <w:b/>
          <w:bCs/>
        </w:rPr>
      </w:pPr>
      <w:r w:rsidRPr="00613DBB">
        <w:rPr>
          <w:rFonts w:eastAsia="Calibri"/>
          <w:b/>
          <w:bCs/>
        </w:rPr>
        <w:t>Chemicals (618)</w:t>
      </w:r>
    </w:p>
    <w:p w:rsidR="00613DBB" w:rsidRPr="00613DBB" w:rsidRDefault="00613DBB" w:rsidP="005C5A75">
      <w:pPr>
        <w:autoSpaceDE w:val="0"/>
        <w:autoSpaceDN w:val="0"/>
        <w:adjustRightInd w:val="0"/>
        <w:jc w:val="both"/>
        <w:rPr>
          <w:rFonts w:eastAsia="Calibri"/>
          <w:b/>
          <w:bCs/>
        </w:rPr>
      </w:pPr>
    </w:p>
    <w:p w:rsidR="005C5A75" w:rsidRPr="005C5A75" w:rsidRDefault="00F94E7B" w:rsidP="005C5A75">
      <w:pPr>
        <w:autoSpaceDE w:val="0"/>
        <w:autoSpaceDN w:val="0"/>
        <w:adjustRightInd w:val="0"/>
        <w:jc w:val="both"/>
        <w:rPr>
          <w:rFonts w:eastAsia="Calibri"/>
        </w:rPr>
      </w:pPr>
      <w:r>
        <w:rPr>
          <w:rFonts w:eastAsia="Calibri"/>
        </w:rPr>
        <w:tab/>
      </w:r>
      <w:r w:rsidR="005C5A75" w:rsidRPr="005C5A75">
        <w:rPr>
          <w:rFonts w:eastAsia="Calibri"/>
        </w:rPr>
        <w:t xml:space="preserve">The Utility recorded chemicals expense of $540. </w:t>
      </w:r>
      <w:r w:rsidR="005C5A75" w:rsidRPr="005C5A75">
        <w:t xml:space="preserve">As discussed in </w:t>
      </w:r>
      <w:r w:rsidR="00613DBB">
        <w:t>the U&amp;U section</w:t>
      </w:r>
      <w:r w:rsidR="005C5A75" w:rsidRPr="005C5A75">
        <w:t xml:space="preserve">, </w:t>
      </w:r>
      <w:r w:rsidR="00613DBB">
        <w:t>we approved</w:t>
      </w:r>
      <w:r w:rsidR="005C5A75" w:rsidRPr="005C5A75">
        <w:t xml:space="preserve"> an EUW adjustment of 10.1 percent. Therefore, </w:t>
      </w:r>
      <w:r w:rsidR="00613DBB">
        <w:t>we</w:t>
      </w:r>
      <w:r w:rsidR="005C5A75" w:rsidRPr="005C5A75">
        <w:t xml:space="preserve"> decreased this account by $55 ($540 x .101 = $55) to reflect a 10.1 percent EUW adjustment. </w:t>
      </w:r>
      <w:r w:rsidR="00613DBB">
        <w:rPr>
          <w:rFonts w:eastAsia="Calibri"/>
        </w:rPr>
        <w:t>Therefore, we hereby approve a</w:t>
      </w:r>
      <w:r w:rsidR="005C5A75" w:rsidRPr="005C5A75">
        <w:rPr>
          <w:rFonts w:eastAsia="Calibri"/>
        </w:rPr>
        <w:t xml:space="preserve"> chemicals expense for the test year of $485 ($540 - $55).</w:t>
      </w:r>
    </w:p>
    <w:p w:rsidR="005C5A75" w:rsidRPr="005C5A75" w:rsidRDefault="005C5A75" w:rsidP="005C5A75">
      <w:pPr>
        <w:autoSpaceDE w:val="0"/>
        <w:autoSpaceDN w:val="0"/>
        <w:adjustRightInd w:val="0"/>
        <w:jc w:val="both"/>
        <w:rPr>
          <w:rFonts w:eastAsia="Calibri"/>
        </w:rPr>
      </w:pPr>
    </w:p>
    <w:p w:rsidR="005C5A75" w:rsidRDefault="005C5A75" w:rsidP="005C5A75">
      <w:pPr>
        <w:autoSpaceDE w:val="0"/>
        <w:autoSpaceDN w:val="0"/>
        <w:adjustRightInd w:val="0"/>
        <w:jc w:val="both"/>
        <w:rPr>
          <w:b/>
        </w:rPr>
      </w:pPr>
      <w:r w:rsidRPr="00613DBB">
        <w:rPr>
          <w:b/>
        </w:rPr>
        <w:t>Contractual Services – Professional (631)</w:t>
      </w:r>
    </w:p>
    <w:p w:rsidR="00613DBB" w:rsidRPr="00613DBB" w:rsidRDefault="00613DBB" w:rsidP="005C5A75">
      <w:pPr>
        <w:autoSpaceDE w:val="0"/>
        <w:autoSpaceDN w:val="0"/>
        <w:adjustRightInd w:val="0"/>
        <w:jc w:val="both"/>
        <w:rPr>
          <w:b/>
        </w:rPr>
      </w:pPr>
    </w:p>
    <w:p w:rsidR="005C5A75" w:rsidRPr="005C5A75" w:rsidRDefault="00F94E7B" w:rsidP="005C5A75">
      <w:pPr>
        <w:jc w:val="both"/>
        <w:rPr>
          <w:highlight w:val="darkGray"/>
        </w:rPr>
      </w:pPr>
      <w:r>
        <w:tab/>
      </w:r>
      <w:r w:rsidR="005C5A75" w:rsidRPr="005C5A75">
        <w:t xml:space="preserve">The Utility recorded contractual services – professional expense of $1,395, which was comprised of $350 for accounting and $1,045 for various legal fees. Supporting documentation confirming the accounting expense was used for corporate tax preparation was provided. </w:t>
      </w:r>
      <w:r w:rsidR="00613DBB">
        <w:t>We</w:t>
      </w:r>
      <w:r w:rsidR="005C5A75" w:rsidRPr="005C5A75">
        <w:t xml:space="preserve"> made no adjustments to accounting expense. The Utility also provided support documentation related to legal expenses which reflected $300 for an annual corporate maintenance fee, $230 related to the annual report filing and associated fees, and $515 for work related to shareholder agreements.  </w:t>
      </w:r>
      <w:r w:rsidR="00613DBB">
        <w:rPr>
          <w:rFonts w:eastAsia="Calibri"/>
        </w:rPr>
        <w:t>We find</w:t>
      </w:r>
      <w:r w:rsidR="005C5A75" w:rsidRPr="005C5A75">
        <w:rPr>
          <w:rFonts w:eastAsia="Calibri"/>
        </w:rPr>
        <w:t xml:space="preserve"> that a portion of the test year legal fees related to shareholder activities represents non-recurring expenses that should be amortized. This reflects a similar adjustment which was made in a sister utility rate case in 2017.</w:t>
      </w:r>
      <w:r w:rsidR="005C5A75" w:rsidRPr="005C5A75">
        <w:rPr>
          <w:rFonts w:eastAsia="Calibri"/>
          <w:vertAlign w:val="superscript"/>
        </w:rPr>
        <w:footnoteReference w:id="12"/>
      </w:r>
      <w:r w:rsidR="005C5A75" w:rsidRPr="005C5A75">
        <w:rPr>
          <w:rFonts w:eastAsia="Calibri"/>
        </w:rPr>
        <w:t xml:space="preserve"> As such, </w:t>
      </w:r>
      <w:r w:rsidR="00613DBB">
        <w:rPr>
          <w:rFonts w:eastAsia="Calibri"/>
        </w:rPr>
        <w:t xml:space="preserve">we </w:t>
      </w:r>
      <w:r w:rsidR="005C5A75" w:rsidRPr="005C5A75">
        <w:rPr>
          <w:rFonts w:eastAsia="Calibri"/>
        </w:rPr>
        <w:t xml:space="preserve">decreased this account by </w:t>
      </w:r>
      <w:r w:rsidR="005C5A75" w:rsidRPr="005C5A75">
        <w:rPr>
          <w:rFonts w:eastAsia="Calibri"/>
        </w:rPr>
        <w:lastRenderedPageBreak/>
        <w:t xml:space="preserve">$412 ($515 - $103) to reflect the five-year amortization of the non-recurring legal fees. </w:t>
      </w:r>
      <w:r w:rsidR="00613DBB">
        <w:rPr>
          <w:rFonts w:eastAsia="Calibri"/>
        </w:rPr>
        <w:t>Therefore, we hereby approve a</w:t>
      </w:r>
      <w:r w:rsidR="005C5A75" w:rsidRPr="005C5A75">
        <w:rPr>
          <w:rFonts w:eastAsia="Calibri"/>
        </w:rPr>
        <w:t xml:space="preserve"> </w:t>
      </w:r>
      <w:r w:rsidR="005C5A75" w:rsidRPr="005C5A75">
        <w:t>contractual services – professional</w:t>
      </w:r>
      <w:r w:rsidR="005C5A75" w:rsidRPr="005C5A75">
        <w:rPr>
          <w:rFonts w:eastAsia="Calibri"/>
        </w:rPr>
        <w:t xml:space="preserve"> expense for the test year of $983 ($1,395 - $412).</w:t>
      </w:r>
    </w:p>
    <w:p w:rsidR="005C5A75" w:rsidRPr="005C5A75" w:rsidRDefault="005C5A75" w:rsidP="005C5A75">
      <w:pPr>
        <w:jc w:val="both"/>
        <w:outlineLvl w:val="0"/>
        <w:rPr>
          <w:rFonts w:ascii="Arial" w:hAnsi="Arial" w:cs="Arial"/>
          <w:b/>
          <w:bCs/>
          <w:kern w:val="32"/>
          <w:szCs w:val="32"/>
        </w:rPr>
      </w:pPr>
    </w:p>
    <w:p w:rsidR="005C5A75" w:rsidRDefault="005C5A75" w:rsidP="005C5A75">
      <w:pPr>
        <w:jc w:val="both"/>
        <w:rPr>
          <w:b/>
          <w:bCs/>
          <w:iCs/>
          <w:szCs w:val="28"/>
        </w:rPr>
      </w:pPr>
      <w:r w:rsidRPr="00613DBB">
        <w:rPr>
          <w:b/>
          <w:bCs/>
          <w:iCs/>
          <w:szCs w:val="28"/>
        </w:rPr>
        <w:t>Contractual Services - Other (636)</w:t>
      </w:r>
    </w:p>
    <w:p w:rsidR="00613DBB" w:rsidRPr="00613DBB" w:rsidRDefault="00613DBB" w:rsidP="005C5A75">
      <w:pPr>
        <w:jc w:val="both"/>
        <w:rPr>
          <w:b/>
          <w:bCs/>
          <w:iCs/>
          <w:szCs w:val="28"/>
        </w:rPr>
      </w:pPr>
    </w:p>
    <w:p w:rsidR="005C5A75" w:rsidRPr="005C5A75" w:rsidRDefault="00F94E7B" w:rsidP="005C5A75">
      <w:pPr>
        <w:autoSpaceDE w:val="0"/>
        <w:autoSpaceDN w:val="0"/>
        <w:adjustRightInd w:val="0"/>
        <w:jc w:val="both"/>
      </w:pPr>
      <w:r>
        <w:tab/>
      </w:r>
      <w:r w:rsidR="005C5A75" w:rsidRPr="005C5A75">
        <w:t xml:space="preserve">The Utility recorded $15,367 in this account. Pine Harbour receives all of its operational and administrative services under a contract with an affiliated company, </w:t>
      </w:r>
      <w:r w:rsidR="00613DBB">
        <w:t>USWSC</w:t>
      </w:r>
      <w:r w:rsidR="005C5A75" w:rsidRPr="005C5A75">
        <w:t xml:space="preserve">. In its filing, the Utility advised </w:t>
      </w:r>
      <w:r w:rsidR="00613DBB">
        <w:t>us</w:t>
      </w:r>
      <w:r w:rsidR="005C5A75" w:rsidRPr="005C5A75">
        <w:t xml:space="preserve"> of changes to the USWSC contract effective October 1, 2017, that increased the costs charged to the Utility. The revised USWSC contract takes into consideration similar USWSC agreements approved in prior cases involving seven of Pine Harbour’s “sister” utilities during nine rate case proceedings.</w:t>
      </w:r>
      <w:r w:rsidR="005C5A75" w:rsidRPr="005C5A75">
        <w:rPr>
          <w:vertAlign w:val="superscript"/>
        </w:rPr>
        <w:footnoteReference w:id="13"/>
      </w:r>
      <w:r w:rsidR="005C5A75" w:rsidRPr="005C5A75">
        <w:t xml:space="preserve"> </w:t>
      </w:r>
      <w:r w:rsidR="005C5A75" w:rsidRPr="005C5A75">
        <w:rPr>
          <w:rFonts w:eastAsia="Calibri"/>
          <w:sz w:val="23"/>
          <w:szCs w:val="23"/>
        </w:rPr>
        <w:t>Two sister utilities, LP Waterworks, Inc. and Lakeside Waterworks, Inc., have</w:t>
      </w:r>
      <w:r w:rsidR="003518B1">
        <w:rPr>
          <w:rFonts w:eastAsia="Calibri"/>
          <w:sz w:val="23"/>
          <w:szCs w:val="23"/>
        </w:rPr>
        <w:t xml:space="preserve"> each had two SARCs in which this</w:t>
      </w:r>
      <w:r w:rsidR="005C5A75" w:rsidRPr="005C5A75">
        <w:rPr>
          <w:rFonts w:eastAsia="Calibri"/>
          <w:sz w:val="23"/>
          <w:szCs w:val="23"/>
        </w:rPr>
        <w:t xml:space="preserve"> Commission reviewed and approved expenses related to the USWSC management services contract. </w:t>
      </w:r>
      <w:r w:rsidR="005C5A75" w:rsidRPr="005C5A75">
        <w:t xml:space="preserve">The Utility’s test year expenses include nine months at the prior fee and three months at the revised fee. </w:t>
      </w:r>
      <w:r w:rsidR="003518B1">
        <w:t>We find</w:t>
      </w:r>
      <w:r w:rsidR="005C5A75" w:rsidRPr="005C5A75">
        <w:t xml:space="preserve"> it is appropriate to reflect the current contract fees in the revenue requirement. Therefore, </w:t>
      </w:r>
      <w:r w:rsidR="003518B1">
        <w:t>we</w:t>
      </w:r>
      <w:r w:rsidR="005C5A75" w:rsidRPr="005C5A75">
        <w:t xml:space="preserve"> increased this account by $4,356 to annualize this expense to reflect the current monthly service fee. </w:t>
      </w:r>
      <w:r w:rsidR="003518B1">
        <w:t>Therefore, we hereby approve a</w:t>
      </w:r>
      <w:r w:rsidR="005C5A75" w:rsidRPr="005C5A75">
        <w:t xml:space="preserve"> contractual services – other expense for the test year of $19,723. </w:t>
      </w:r>
    </w:p>
    <w:p w:rsidR="005C5A75" w:rsidRPr="005C5A75" w:rsidRDefault="005C5A75" w:rsidP="005C5A75">
      <w:pPr>
        <w:jc w:val="both"/>
      </w:pPr>
    </w:p>
    <w:p w:rsidR="005C5A75" w:rsidRPr="005C5A75" w:rsidRDefault="00F94E7B" w:rsidP="005C5A75">
      <w:pPr>
        <w:jc w:val="both"/>
      </w:pPr>
      <w:r>
        <w:tab/>
      </w:r>
      <w:r w:rsidR="003518B1">
        <w:t>We note</w:t>
      </w:r>
      <w:r w:rsidR="005C5A75" w:rsidRPr="005C5A75">
        <w:t xml:space="preserve"> that there are significant changes between the current USWSC contract, and the contract as revised on October 1, 2013. The 2017-revised contract removes the addition of 1,000 potential </w:t>
      </w:r>
      <w:r w:rsidR="005C5A75" w:rsidRPr="005C5A75">
        <w:rPr>
          <w:color w:val="000000"/>
        </w:rPr>
        <w:t>equivalent residential connections (</w:t>
      </w:r>
      <w:r w:rsidR="005C5A75" w:rsidRPr="005C5A75">
        <w:rPr>
          <w:bCs/>
          <w:color w:val="000000"/>
        </w:rPr>
        <w:t>ERC</w:t>
      </w:r>
      <w:r w:rsidR="005C5A75" w:rsidRPr="005C5A75">
        <w:rPr>
          <w:color w:val="000000"/>
        </w:rPr>
        <w:t>)</w:t>
      </w:r>
      <w:r w:rsidR="005C5A75" w:rsidRPr="005C5A75">
        <w:t xml:space="preserve"> that were included in the 2013 contract for a growth allowance that is no longer expected to occur. Actual costs for fuel and maintenance utilized in 2016 are included in the management and administrative portion of the 2017-revised contract. Also included in the 2017-revised contract are the allocated costs for in-house customer service and billing as well as necessary operator and maintenance technician positions previously excluded from the 2013 contract. According to USWSC, the 2013 contract did not reflect the full actual cost for other services incurred such as inspections required by DEP or calibrating the water well meter. The 2017 contract adjusted these costs to reflect the actual costs incurred by the Utility.  </w:t>
      </w:r>
    </w:p>
    <w:p w:rsidR="005C5A75" w:rsidRPr="005C5A75" w:rsidRDefault="005C5A75" w:rsidP="005C5A75">
      <w:pPr>
        <w:jc w:val="both"/>
      </w:pPr>
    </w:p>
    <w:p w:rsidR="005C5A75" w:rsidRPr="005C5A75" w:rsidRDefault="00F94E7B" w:rsidP="005C5A75">
      <w:pPr>
        <w:jc w:val="both"/>
      </w:pPr>
      <w:r>
        <w:lastRenderedPageBreak/>
        <w:tab/>
      </w:r>
      <w:r w:rsidR="005C5A75" w:rsidRPr="005C5A75">
        <w:t xml:space="preserve">In order to analyze the reasonableness of the USWSC service contract, </w:t>
      </w:r>
      <w:r w:rsidR="003518B1">
        <w:t>we</w:t>
      </w:r>
      <w:r w:rsidR="005C5A75" w:rsidRPr="005C5A75">
        <w:t xml:space="preserve"> compared the total O&amp;M costs recommended in the instant case with the Commission-approved O&amp;M amounts for the similarly sized sister utilities, Lake Idlewild and Charlie Creek.</w:t>
      </w:r>
      <w:r w:rsidR="005C5A75" w:rsidRPr="005C5A75">
        <w:rPr>
          <w:vertAlign w:val="superscript"/>
        </w:rPr>
        <w:footnoteReference w:id="14"/>
      </w:r>
      <w:r w:rsidR="005C5A75" w:rsidRPr="005C5A75">
        <w:t xml:space="preserve"> </w:t>
      </w:r>
      <w:r w:rsidR="007F3F34">
        <w:t>We</w:t>
      </w:r>
      <w:r w:rsidR="005C5A75" w:rsidRPr="005C5A75">
        <w:t xml:space="preserve"> indexed the amounts from those cases using the Commission-approved index factors.</w:t>
      </w:r>
      <w:r w:rsidR="005C5A75" w:rsidRPr="005C5A75">
        <w:rPr>
          <w:vertAlign w:val="superscript"/>
        </w:rPr>
        <w:footnoteReference w:id="15"/>
      </w:r>
      <w:r w:rsidR="005C5A75" w:rsidRPr="005C5A75">
        <w:t xml:space="preserve"> This analysis resulted in O&amp;M per ERC of $418 for Lake Idlewild and $454 for Charlie Creek. With </w:t>
      </w:r>
      <w:r w:rsidR="007F3F34">
        <w:t>the approved</w:t>
      </w:r>
      <w:r w:rsidR="005C5A75" w:rsidRPr="005C5A75">
        <w:t xml:space="preserve"> adjustment to contractual services – other, O&amp;M expense in the instant case equates to $427 per ERC. Based on this analysis, </w:t>
      </w:r>
      <w:r w:rsidR="007F3F34">
        <w:t>we find that</w:t>
      </w:r>
      <w:r w:rsidR="005C5A75" w:rsidRPr="005C5A75">
        <w:t xml:space="preserve"> the revised USWSC service contract amount is reasonable. </w:t>
      </w:r>
    </w:p>
    <w:p w:rsidR="005C5A75" w:rsidRPr="005C5A75" w:rsidRDefault="005C5A75" w:rsidP="005C5A75">
      <w:pPr>
        <w:jc w:val="both"/>
      </w:pPr>
    </w:p>
    <w:p w:rsidR="005C5A75" w:rsidRDefault="005C5A75" w:rsidP="005C5A75">
      <w:pPr>
        <w:autoSpaceDE w:val="0"/>
        <w:autoSpaceDN w:val="0"/>
        <w:adjustRightInd w:val="0"/>
        <w:rPr>
          <w:rFonts w:eastAsia="Calibri"/>
          <w:b/>
          <w:bCs/>
          <w:iCs/>
        </w:rPr>
      </w:pPr>
      <w:r w:rsidRPr="007F3F34">
        <w:rPr>
          <w:rFonts w:eastAsia="Calibri"/>
          <w:b/>
          <w:bCs/>
          <w:iCs/>
        </w:rPr>
        <w:t>Insurance Expense (655)</w:t>
      </w:r>
    </w:p>
    <w:p w:rsidR="007F3F34" w:rsidRPr="007F3F34" w:rsidRDefault="007F3F34" w:rsidP="005C5A75">
      <w:pPr>
        <w:autoSpaceDE w:val="0"/>
        <w:autoSpaceDN w:val="0"/>
        <w:adjustRightInd w:val="0"/>
        <w:rPr>
          <w:rFonts w:eastAsia="Calibri"/>
          <w:b/>
          <w:bCs/>
          <w:iCs/>
        </w:rPr>
      </w:pPr>
    </w:p>
    <w:p w:rsidR="005C5A75" w:rsidRPr="005C5A75" w:rsidRDefault="00F94E7B" w:rsidP="005C5A75">
      <w:pPr>
        <w:autoSpaceDE w:val="0"/>
        <w:autoSpaceDN w:val="0"/>
        <w:adjustRightInd w:val="0"/>
        <w:jc w:val="both"/>
        <w:rPr>
          <w:rFonts w:eastAsia="Calibri"/>
        </w:rPr>
      </w:pPr>
      <w:r>
        <w:rPr>
          <w:rFonts w:eastAsia="Calibri"/>
        </w:rPr>
        <w:tab/>
      </w:r>
      <w:r w:rsidR="005C5A75" w:rsidRPr="005C5A75">
        <w:rPr>
          <w:rFonts w:eastAsia="Calibri"/>
        </w:rPr>
        <w:t>The Utility recorded $1,112 in this account for test year insurance expense. Pine Harbour’s actual test year insurance expense was $1,112, therefore, no adjustments are necessary. The Utility provided documentation supporting this amount.</w:t>
      </w:r>
      <w:r w:rsidR="005C5A75" w:rsidRPr="005C5A75">
        <w:rPr>
          <w:rFonts w:eastAsia="Calibri"/>
          <w:vertAlign w:val="superscript"/>
        </w:rPr>
        <w:footnoteReference w:id="16"/>
      </w:r>
      <w:r w:rsidR="005C5A75" w:rsidRPr="005C5A75">
        <w:rPr>
          <w:rFonts w:eastAsia="Calibri"/>
        </w:rPr>
        <w:t xml:space="preserve"> As such, </w:t>
      </w:r>
      <w:r w:rsidR="007F3F34">
        <w:rPr>
          <w:rFonts w:eastAsia="Calibri"/>
        </w:rPr>
        <w:t>we hereby approve an</w:t>
      </w:r>
      <w:r w:rsidR="005C5A75" w:rsidRPr="005C5A75">
        <w:rPr>
          <w:rFonts w:eastAsia="Calibri"/>
        </w:rPr>
        <w:t xml:space="preserve"> insurance expense for the test year of $1,112.</w:t>
      </w:r>
    </w:p>
    <w:p w:rsidR="005C5A75" w:rsidRPr="005C5A75" w:rsidRDefault="005C5A75" w:rsidP="005C5A75">
      <w:pPr>
        <w:autoSpaceDE w:val="0"/>
        <w:autoSpaceDN w:val="0"/>
        <w:adjustRightInd w:val="0"/>
        <w:jc w:val="both"/>
      </w:pPr>
    </w:p>
    <w:p w:rsidR="005C5A75" w:rsidRDefault="005C5A75" w:rsidP="005C5A75">
      <w:pPr>
        <w:rPr>
          <w:b/>
          <w:bCs/>
          <w:iCs/>
          <w:szCs w:val="28"/>
        </w:rPr>
      </w:pPr>
      <w:r w:rsidRPr="007F3F34">
        <w:rPr>
          <w:b/>
          <w:bCs/>
          <w:iCs/>
          <w:szCs w:val="28"/>
        </w:rPr>
        <w:t>Regulatory Commission Expense (665)</w:t>
      </w:r>
    </w:p>
    <w:p w:rsidR="007F3F34" w:rsidRPr="007F3F34" w:rsidRDefault="007F3F34" w:rsidP="005C5A75">
      <w:pPr>
        <w:rPr>
          <w:b/>
          <w:bCs/>
          <w:iCs/>
          <w:szCs w:val="28"/>
        </w:rPr>
      </w:pPr>
    </w:p>
    <w:p w:rsidR="005C5A75" w:rsidRPr="005C5A75" w:rsidRDefault="00F94E7B" w:rsidP="005C5A75">
      <w:pPr>
        <w:spacing w:after="240"/>
        <w:jc w:val="both"/>
        <w:rPr>
          <w:rFonts w:cs="Courier New"/>
        </w:rPr>
      </w:pPr>
      <w:r>
        <w:tab/>
      </w:r>
      <w:r w:rsidR="005C5A75" w:rsidRPr="005C5A75">
        <w:t xml:space="preserve">The Utility did not record any regulatory commission expense in this account. Rule 25-30.433(8), F.A.C., requires that non-recurring expenses be amortized over a five-year period unless a shorter or longer period of time can be justified. Accordingly, </w:t>
      </w:r>
      <w:r w:rsidR="007F3F34">
        <w:rPr>
          <w:rFonts w:cs="Courier New"/>
        </w:rPr>
        <w:t>we</w:t>
      </w:r>
      <w:r w:rsidR="005C5A75" w:rsidRPr="005C5A75">
        <w:rPr>
          <w:rFonts w:cs="Courier New"/>
        </w:rPr>
        <w:t xml:space="preserve"> increased this account by $150 ($750/5) to reflect the five-year amortization of the 2016 certificate transfer application filing fee. The remaining unamortized portion of the filing fee sh</w:t>
      </w:r>
      <w:r w:rsidR="007F3F34">
        <w:rPr>
          <w:rFonts w:cs="Courier New"/>
        </w:rPr>
        <w:t>all</w:t>
      </w:r>
      <w:r w:rsidR="005C5A75" w:rsidRPr="005C5A75">
        <w:rPr>
          <w:rFonts w:cs="Courier New"/>
        </w:rPr>
        <w:t xml:space="preserve"> be recorded in Account No. 186 – Miscellaneous Deferred Debits.</w:t>
      </w:r>
    </w:p>
    <w:p w:rsidR="005C5A75" w:rsidRPr="005C5A75" w:rsidRDefault="005C5A75" w:rsidP="007F3F34">
      <w:pPr>
        <w:spacing w:after="240"/>
        <w:ind w:firstLine="720"/>
        <w:jc w:val="both"/>
      </w:pPr>
      <w:r w:rsidRPr="005C5A75">
        <w:t xml:space="preserve">Regarding the instant case, the Utility is required by Rule 25-22.0407, F.A.C., to provide notices of the customer meeting and notices of final rates in this case to its customers. For noticing, </w:t>
      </w:r>
      <w:r w:rsidR="007F3F34">
        <w:t>we</w:t>
      </w:r>
      <w:r w:rsidRPr="005C5A75">
        <w:t xml:space="preserve"> estimated $96 for postage expense, $57 for printing expense, and $10 for envelopes. This results in $163 for the noticing requirement. </w:t>
      </w:r>
      <w:r w:rsidRPr="005C5A75">
        <w:rPr>
          <w:rFonts w:eastAsia="Calibri"/>
        </w:rPr>
        <w:t>The Utility also paid a $500 rate case filing fee.</w:t>
      </w:r>
    </w:p>
    <w:p w:rsidR="005C5A75" w:rsidRPr="005C5A75" w:rsidRDefault="005C5A75" w:rsidP="007F3F34">
      <w:pPr>
        <w:autoSpaceDE w:val="0"/>
        <w:autoSpaceDN w:val="0"/>
        <w:adjustRightInd w:val="0"/>
        <w:ind w:firstLine="720"/>
        <w:jc w:val="both"/>
      </w:pPr>
      <w:r w:rsidRPr="005C5A75">
        <w:rPr>
          <w:bCs/>
          <w:kern w:val="32"/>
          <w:szCs w:val="32"/>
        </w:rPr>
        <w:t>The Utility requested</w:t>
      </w:r>
      <w:r w:rsidRPr="005C5A75">
        <w:t xml:space="preserve"> travel and lodging expense of $250 to attend the customer meeting and</w:t>
      </w:r>
      <w:r w:rsidR="007F3F34">
        <w:t xml:space="preserve"> $250 to attend the Commission C</w:t>
      </w:r>
      <w:r w:rsidRPr="005C5A75">
        <w:t xml:space="preserve">onference. </w:t>
      </w:r>
      <w:r w:rsidR="007F3F34">
        <w:t>We</w:t>
      </w:r>
      <w:r w:rsidRPr="005C5A75">
        <w:t xml:space="preserve"> adjusted those amounts based on actual mileage and hotel receipts. </w:t>
      </w:r>
      <w:r w:rsidR="007F3F34">
        <w:t>We</w:t>
      </w:r>
      <w:r w:rsidRPr="005C5A75">
        <w:t xml:space="preserve"> further adjusted these amounts in order to share them with Country Walk. Country Walk is a sister utility of Pine Harbour that had its customer meeting the day before Pine Harbour’s, and </w:t>
      </w:r>
      <w:r w:rsidR="007F3F34">
        <w:t>was considered at</w:t>
      </w:r>
      <w:r w:rsidRPr="005C5A75">
        <w:t xml:space="preserve"> the same Commission Conference. Based on these adjustments, </w:t>
      </w:r>
      <w:r w:rsidR="007F3F34">
        <w:t>we find that</w:t>
      </w:r>
      <w:r w:rsidRPr="005C5A75">
        <w:t xml:space="preserve"> $238 to attend the customer meeting and $175 to attend the Commission Conference</w:t>
      </w:r>
      <w:r w:rsidR="007F3F34">
        <w:t xml:space="preserve"> is appropriate</w:t>
      </w:r>
      <w:r w:rsidRPr="005C5A75">
        <w:t xml:space="preserve">. As such, </w:t>
      </w:r>
      <w:r w:rsidR="007F3F34">
        <w:t>we hereby approve a</w:t>
      </w:r>
      <w:r w:rsidRPr="005C5A75">
        <w:t xml:space="preserve"> travel expense of $413 ($238 + $175). </w:t>
      </w:r>
      <w:r w:rsidR="007F3F34">
        <w:t>We note</w:t>
      </w:r>
      <w:r w:rsidRPr="005C5A75">
        <w:t xml:space="preserve"> that </w:t>
      </w:r>
      <w:r w:rsidR="007F3F34">
        <w:t>this Commission</w:t>
      </w:r>
      <w:r w:rsidRPr="005C5A75">
        <w:t xml:space="preserve"> previously approved rate case related travel </w:t>
      </w:r>
      <w:r w:rsidRPr="005C5A75">
        <w:lastRenderedPageBreak/>
        <w:t xml:space="preserve">expenses ranging from $450 to $1,570 in the seven most recent dockets for Pine Harbour’s sister utilities. Based on </w:t>
      </w:r>
      <w:r w:rsidR="007F3F34">
        <w:t>our</w:t>
      </w:r>
      <w:r w:rsidRPr="005C5A75">
        <w:t xml:space="preserve"> review, the requested travel expense appears reasonable. </w:t>
      </w:r>
    </w:p>
    <w:p w:rsidR="005C5A75" w:rsidRPr="005C5A75" w:rsidRDefault="005C5A75" w:rsidP="005C5A75">
      <w:pPr>
        <w:autoSpaceDE w:val="0"/>
        <w:autoSpaceDN w:val="0"/>
        <w:adjustRightInd w:val="0"/>
        <w:jc w:val="both"/>
        <w:rPr>
          <w:highlight w:val="darkGray"/>
        </w:rPr>
      </w:pPr>
    </w:p>
    <w:p w:rsidR="005C5A75" w:rsidRPr="005C5A75" w:rsidRDefault="00F94E7B" w:rsidP="005C5A75">
      <w:pPr>
        <w:autoSpaceDE w:val="0"/>
        <w:autoSpaceDN w:val="0"/>
        <w:adjustRightInd w:val="0"/>
        <w:jc w:val="both"/>
      </w:pPr>
      <w:r>
        <w:tab/>
      </w:r>
      <w:r w:rsidR="005C5A75" w:rsidRPr="005C5A75">
        <w:t xml:space="preserve">Based on the information above, </w:t>
      </w:r>
      <w:r w:rsidR="007F3F34">
        <w:t>the appropriate</w:t>
      </w:r>
      <w:r w:rsidR="005C5A75" w:rsidRPr="005C5A75">
        <w:t xml:space="preserve"> total rate case expense </w:t>
      </w:r>
      <w:r w:rsidR="007F3F34">
        <w:t>is</w:t>
      </w:r>
      <w:r w:rsidR="005C5A75" w:rsidRPr="005C5A75">
        <w:t xml:space="preserve"> $1,077 ($163 + $500 + $413), which amortized over four years is $269. </w:t>
      </w:r>
      <w:r w:rsidR="007F3F34">
        <w:t>Our</w:t>
      </w:r>
      <w:r w:rsidR="005C5A75" w:rsidRPr="005C5A75">
        <w:t xml:space="preserve"> total adjustment to this account is an increase of $419 ($150 + $269). Therefore, </w:t>
      </w:r>
      <w:r w:rsidR="007D167F">
        <w:t>we hereby approve a</w:t>
      </w:r>
      <w:r w:rsidR="005C5A75" w:rsidRPr="005C5A75">
        <w:t xml:space="preserve"> regulatory commission expense of $419.</w:t>
      </w:r>
    </w:p>
    <w:p w:rsidR="005C5A75" w:rsidRPr="005C5A75" w:rsidRDefault="005C5A75" w:rsidP="005C5A75">
      <w:pPr>
        <w:autoSpaceDE w:val="0"/>
        <w:autoSpaceDN w:val="0"/>
        <w:adjustRightInd w:val="0"/>
        <w:jc w:val="both"/>
      </w:pPr>
    </w:p>
    <w:p w:rsidR="005C5A75" w:rsidRDefault="005C5A75" w:rsidP="005C5A75">
      <w:pPr>
        <w:autoSpaceDE w:val="0"/>
        <w:autoSpaceDN w:val="0"/>
        <w:adjustRightInd w:val="0"/>
        <w:rPr>
          <w:rFonts w:eastAsia="Calibri"/>
          <w:b/>
          <w:bCs/>
          <w:iCs/>
        </w:rPr>
      </w:pPr>
      <w:r w:rsidRPr="005170D1">
        <w:rPr>
          <w:rFonts w:eastAsia="Calibri"/>
          <w:b/>
          <w:bCs/>
          <w:iCs/>
        </w:rPr>
        <w:t>Bad Debt Expense (670)</w:t>
      </w:r>
    </w:p>
    <w:p w:rsidR="005170D1" w:rsidRPr="005170D1" w:rsidRDefault="005170D1" w:rsidP="005C5A75">
      <w:pPr>
        <w:autoSpaceDE w:val="0"/>
        <w:autoSpaceDN w:val="0"/>
        <w:adjustRightInd w:val="0"/>
        <w:rPr>
          <w:rFonts w:eastAsia="Calibri"/>
          <w:b/>
          <w:bCs/>
          <w:iCs/>
        </w:rPr>
      </w:pPr>
    </w:p>
    <w:p w:rsidR="005C5A75" w:rsidRPr="005C5A75" w:rsidRDefault="00F94E7B" w:rsidP="005C5A75">
      <w:pPr>
        <w:autoSpaceDE w:val="0"/>
        <w:autoSpaceDN w:val="0"/>
        <w:adjustRightInd w:val="0"/>
        <w:jc w:val="both"/>
        <w:rPr>
          <w:rFonts w:eastAsia="Calibri"/>
        </w:rPr>
      </w:pPr>
      <w:r>
        <w:rPr>
          <w:rFonts w:eastAsia="Calibri"/>
        </w:rPr>
        <w:tab/>
      </w:r>
      <w:r w:rsidR="005C5A75" w:rsidRPr="005C5A75">
        <w:rPr>
          <w:rFonts w:eastAsia="Calibri"/>
        </w:rPr>
        <w:t xml:space="preserve">The Utility recorded $217 in this account for test year bad debt expense, which equals 0.91 percent of the test year revenues or 0.63 percent of </w:t>
      </w:r>
      <w:r w:rsidR="005170D1">
        <w:rPr>
          <w:rFonts w:eastAsia="Calibri"/>
        </w:rPr>
        <w:t>the approved</w:t>
      </w:r>
      <w:r w:rsidR="005C5A75" w:rsidRPr="005C5A75">
        <w:rPr>
          <w:rFonts w:eastAsia="Calibri"/>
        </w:rPr>
        <w:t xml:space="preserve"> revenue requirement.  While </w:t>
      </w:r>
      <w:r w:rsidR="005170D1">
        <w:rPr>
          <w:rFonts w:eastAsia="Calibri"/>
        </w:rPr>
        <w:t>we have</w:t>
      </w:r>
      <w:r w:rsidR="005C5A75" w:rsidRPr="005C5A75">
        <w:rPr>
          <w:rFonts w:eastAsia="Calibri"/>
        </w:rPr>
        <w:t xml:space="preserve"> calculate</w:t>
      </w:r>
      <w:r w:rsidR="005170D1">
        <w:rPr>
          <w:rFonts w:eastAsia="Calibri"/>
        </w:rPr>
        <w:t>d</w:t>
      </w:r>
      <w:r w:rsidR="005C5A75" w:rsidRPr="005C5A75">
        <w:rPr>
          <w:rFonts w:eastAsia="Calibri"/>
        </w:rPr>
        <w:t xml:space="preserve"> bad debt expense using a three-year average, three years of records are not yet available for the current owners. Generally, the basis for determining bad debt expense has been whether the amount is representative of the bad debt expense to be incurred by the Utility. As such, </w:t>
      </w:r>
      <w:r w:rsidR="005170D1">
        <w:rPr>
          <w:rFonts w:eastAsia="Calibri"/>
        </w:rPr>
        <w:t>we find that</w:t>
      </w:r>
      <w:r w:rsidR="005C5A75" w:rsidRPr="005C5A75">
        <w:rPr>
          <w:rFonts w:eastAsia="Calibri"/>
        </w:rPr>
        <w:t xml:space="preserve"> the Utility's recorded bad debt expense is reasonable and is likely to be representative of the Utility's expected bad debt expense going forward. Therefore, </w:t>
      </w:r>
      <w:r w:rsidR="005170D1">
        <w:rPr>
          <w:rFonts w:eastAsia="Calibri"/>
        </w:rPr>
        <w:t>we hereby approve a</w:t>
      </w:r>
      <w:r w:rsidR="005C5A75" w:rsidRPr="005C5A75">
        <w:rPr>
          <w:rFonts w:eastAsia="Calibri"/>
        </w:rPr>
        <w:t xml:space="preserve"> bad debt expense for the test year of $217.</w:t>
      </w:r>
    </w:p>
    <w:p w:rsidR="005C5A75" w:rsidRPr="005C5A75" w:rsidRDefault="005C5A75" w:rsidP="005C5A75">
      <w:pPr>
        <w:autoSpaceDE w:val="0"/>
        <w:autoSpaceDN w:val="0"/>
        <w:adjustRightInd w:val="0"/>
        <w:jc w:val="both"/>
        <w:rPr>
          <w:rFonts w:eastAsia="Calibri"/>
        </w:rPr>
      </w:pPr>
    </w:p>
    <w:p w:rsidR="005C5A75" w:rsidRDefault="005C5A75" w:rsidP="005C5A75">
      <w:pPr>
        <w:autoSpaceDE w:val="0"/>
        <w:autoSpaceDN w:val="0"/>
        <w:adjustRightInd w:val="0"/>
        <w:rPr>
          <w:rFonts w:eastAsia="Calibri"/>
          <w:b/>
          <w:bCs/>
          <w:iCs/>
        </w:rPr>
      </w:pPr>
      <w:r w:rsidRPr="005170D1">
        <w:rPr>
          <w:rFonts w:eastAsia="Calibri"/>
          <w:b/>
          <w:bCs/>
          <w:iCs/>
        </w:rPr>
        <w:t>Miscellaneous Expense (675)</w:t>
      </w:r>
    </w:p>
    <w:p w:rsidR="005170D1" w:rsidRPr="005170D1" w:rsidRDefault="005170D1" w:rsidP="005C5A75">
      <w:pPr>
        <w:autoSpaceDE w:val="0"/>
        <w:autoSpaceDN w:val="0"/>
        <w:adjustRightInd w:val="0"/>
        <w:rPr>
          <w:rFonts w:eastAsia="Calibri"/>
          <w:b/>
          <w:bCs/>
          <w:iCs/>
        </w:rPr>
      </w:pPr>
    </w:p>
    <w:p w:rsidR="005C5A75" w:rsidRPr="005C5A75" w:rsidRDefault="00F94E7B" w:rsidP="005C5A75">
      <w:pPr>
        <w:autoSpaceDE w:val="0"/>
        <w:autoSpaceDN w:val="0"/>
        <w:adjustRightInd w:val="0"/>
        <w:jc w:val="both"/>
        <w:rPr>
          <w:rFonts w:eastAsia="Calibri"/>
        </w:rPr>
      </w:pPr>
      <w:r>
        <w:rPr>
          <w:rFonts w:eastAsia="Calibri"/>
        </w:rPr>
        <w:tab/>
      </w:r>
      <w:r w:rsidR="005C5A75" w:rsidRPr="005C5A75">
        <w:rPr>
          <w:rFonts w:eastAsia="Calibri"/>
        </w:rPr>
        <w:t>The Utility recorded $116 for miscellaneous expense. In response to a data request</w:t>
      </w:r>
      <w:r w:rsidR="005170D1">
        <w:rPr>
          <w:rFonts w:eastAsia="Calibri"/>
        </w:rPr>
        <w:t xml:space="preserve"> issued by our staff</w:t>
      </w:r>
      <w:r w:rsidR="005C5A75" w:rsidRPr="005C5A75">
        <w:rPr>
          <w:rFonts w:eastAsia="Calibri"/>
        </w:rPr>
        <w:t>, the Utility provided documentation related to non-recurring ground storage tank repairs that took place in May 2018.</w:t>
      </w:r>
      <w:r w:rsidR="005C5A75" w:rsidRPr="005C5A75">
        <w:rPr>
          <w:rFonts w:eastAsia="Calibri"/>
          <w:vertAlign w:val="superscript"/>
        </w:rPr>
        <w:footnoteReference w:id="17"/>
      </w:r>
      <w:r w:rsidR="005C5A75" w:rsidRPr="005C5A75">
        <w:rPr>
          <w:rFonts w:eastAsia="Calibri"/>
        </w:rPr>
        <w:t xml:space="preserve"> </w:t>
      </w:r>
      <w:r w:rsidR="005170D1">
        <w:rPr>
          <w:rFonts w:eastAsia="Calibri"/>
        </w:rPr>
        <w:t>We find</w:t>
      </w:r>
      <w:r w:rsidR="005C5A75" w:rsidRPr="005C5A75">
        <w:rPr>
          <w:rFonts w:eastAsia="Calibri"/>
        </w:rPr>
        <w:t xml:space="preserve"> that these repairs were necessary to ensure the quality of the water the Utility provides to its customers is maintained. </w:t>
      </w:r>
      <w:r w:rsidR="005C5A75" w:rsidRPr="005C5A75">
        <w:t xml:space="preserve">Rule 25-30.433(9), F.A.C., requires that non-recurring expenses be amortized over a five-year period unless a shorter or longer period of time can be justified. Accordingly, </w:t>
      </w:r>
      <w:r w:rsidR="005170D1">
        <w:rPr>
          <w:rFonts w:cs="Courier New"/>
        </w:rPr>
        <w:t>we</w:t>
      </w:r>
      <w:r w:rsidR="005C5A75" w:rsidRPr="005C5A75">
        <w:rPr>
          <w:rFonts w:cs="Courier New"/>
        </w:rPr>
        <w:t xml:space="preserve"> increased this account by $213 ($1,065/5) to reflect the five-year amortization of the </w:t>
      </w:r>
      <w:r w:rsidR="005C5A75" w:rsidRPr="005C5A75">
        <w:rPr>
          <w:rFonts w:eastAsia="Calibri"/>
        </w:rPr>
        <w:t>ground storage tank repair expense</w:t>
      </w:r>
      <w:r w:rsidR="005C5A75" w:rsidRPr="005C5A75">
        <w:rPr>
          <w:rFonts w:cs="Courier New"/>
        </w:rPr>
        <w:t xml:space="preserve">. </w:t>
      </w:r>
      <w:r w:rsidR="005C5A75" w:rsidRPr="005C5A75">
        <w:rPr>
          <w:rFonts w:eastAsia="Calibri"/>
        </w:rPr>
        <w:t xml:space="preserve">As such, </w:t>
      </w:r>
      <w:r w:rsidR="005170D1">
        <w:rPr>
          <w:rFonts w:eastAsia="Calibri"/>
        </w:rPr>
        <w:t>we hereby approve a</w:t>
      </w:r>
      <w:r w:rsidR="005C5A75" w:rsidRPr="005C5A75">
        <w:rPr>
          <w:rFonts w:eastAsia="Calibri"/>
        </w:rPr>
        <w:t xml:space="preserve"> miscellaneous expense of $329 ($116 + $213) for the test year.</w:t>
      </w:r>
    </w:p>
    <w:p w:rsidR="005C5A75" w:rsidRPr="005170D1" w:rsidRDefault="005C5A75" w:rsidP="005C5A75">
      <w:pPr>
        <w:autoSpaceDE w:val="0"/>
        <w:autoSpaceDN w:val="0"/>
        <w:adjustRightInd w:val="0"/>
        <w:jc w:val="both"/>
        <w:rPr>
          <w:b/>
          <w:bCs/>
          <w:i/>
          <w:iCs/>
          <w:szCs w:val="28"/>
        </w:rPr>
      </w:pPr>
    </w:p>
    <w:p w:rsidR="005C5A75" w:rsidRDefault="005C5A75" w:rsidP="005C5A75">
      <w:pPr>
        <w:jc w:val="both"/>
        <w:outlineLvl w:val="3"/>
        <w:rPr>
          <w:b/>
          <w:bCs/>
          <w:iCs/>
          <w:szCs w:val="28"/>
        </w:rPr>
      </w:pPr>
      <w:r w:rsidRPr="005170D1">
        <w:rPr>
          <w:b/>
          <w:bCs/>
          <w:iCs/>
          <w:szCs w:val="28"/>
        </w:rPr>
        <w:t>Operation and Maintenance Expense (O&amp;M Summary)</w:t>
      </w:r>
    </w:p>
    <w:p w:rsidR="005170D1" w:rsidRPr="005170D1" w:rsidRDefault="005170D1" w:rsidP="005C5A75">
      <w:pPr>
        <w:jc w:val="both"/>
        <w:outlineLvl w:val="3"/>
        <w:rPr>
          <w:b/>
          <w:bCs/>
          <w:iCs/>
          <w:szCs w:val="28"/>
        </w:rPr>
      </w:pPr>
    </w:p>
    <w:p w:rsidR="005C5A75" w:rsidRPr="005C5A75" w:rsidRDefault="00F94E7B" w:rsidP="005C5A75">
      <w:pPr>
        <w:spacing w:after="240"/>
        <w:jc w:val="both"/>
      </w:pPr>
      <w:r>
        <w:tab/>
      </w:r>
      <w:r w:rsidR="005C5A75" w:rsidRPr="005C5A75">
        <w:t>Based on the above adjustments, O&amp;M expense sh</w:t>
      </w:r>
      <w:r w:rsidR="00233E6B">
        <w:t>all</w:t>
      </w:r>
      <w:r w:rsidR="005C5A75" w:rsidRPr="005C5A75">
        <w:t xml:space="preserve"> be increased by $4,227, resulting in total O&amp;M expense of $27,113. </w:t>
      </w:r>
      <w:r w:rsidR="00233E6B">
        <w:t>The approved</w:t>
      </w:r>
      <w:r w:rsidR="005C5A75" w:rsidRPr="005C5A75">
        <w:t xml:space="preserve"> adjustments to O&amp;M expense are shown on Schedule Nos. 3-A, 3-B, and 3-C.</w:t>
      </w:r>
    </w:p>
    <w:p w:rsidR="005C5A75" w:rsidRDefault="005C5A75" w:rsidP="005C5A75">
      <w:pPr>
        <w:jc w:val="both"/>
        <w:outlineLvl w:val="3"/>
        <w:rPr>
          <w:b/>
          <w:bCs/>
          <w:iCs/>
          <w:szCs w:val="28"/>
        </w:rPr>
      </w:pPr>
      <w:r w:rsidRPr="00233E6B">
        <w:rPr>
          <w:b/>
          <w:bCs/>
          <w:iCs/>
          <w:szCs w:val="28"/>
        </w:rPr>
        <w:t>Depreciation Expense (Net of Amortization of CIAC)</w:t>
      </w:r>
    </w:p>
    <w:p w:rsidR="00233E6B" w:rsidRPr="00233E6B" w:rsidRDefault="00233E6B" w:rsidP="005C5A75">
      <w:pPr>
        <w:jc w:val="both"/>
        <w:outlineLvl w:val="3"/>
        <w:rPr>
          <w:b/>
          <w:bCs/>
          <w:iCs/>
          <w:szCs w:val="28"/>
        </w:rPr>
      </w:pPr>
    </w:p>
    <w:p w:rsidR="005C5A75" w:rsidRPr="005C5A75" w:rsidRDefault="00F94E7B" w:rsidP="005C5A75">
      <w:pPr>
        <w:spacing w:after="240"/>
        <w:jc w:val="both"/>
        <w:rPr>
          <w:rFonts w:cs="Courier New"/>
          <w:highlight w:val="darkGray"/>
        </w:rPr>
      </w:pPr>
      <w:r>
        <w:tab/>
      </w:r>
      <w:r w:rsidR="005C5A75" w:rsidRPr="005C5A75">
        <w:t xml:space="preserve">The Utility’s records reflect test year depreciation of $2,113 and CIAC amortization of $133, for a net depreciation expense of $1,980 ($2,113 - $133). </w:t>
      </w:r>
      <w:r w:rsidR="00233E6B">
        <w:t>We</w:t>
      </w:r>
      <w:r w:rsidR="005C5A75" w:rsidRPr="005C5A75">
        <w:t xml:space="preserve"> calculated depreciation expense using the prescribed rates set forth in Rule 25-30.140, F.A.C</w:t>
      </w:r>
      <w:r w:rsidR="005C5A75" w:rsidRPr="005C5A75">
        <w:rPr>
          <w:rFonts w:cs="Courier New"/>
        </w:rPr>
        <w:t xml:space="preserve">., and determined test year depreciation expense to be $2,237, resulting in an increase to this account of $124. </w:t>
      </w:r>
      <w:r w:rsidR="00233E6B">
        <w:rPr>
          <w:rFonts w:cs="Courier New"/>
        </w:rPr>
        <w:t>We</w:t>
      </w:r>
      <w:r w:rsidR="005C5A75" w:rsidRPr="005C5A75">
        <w:rPr>
          <w:rFonts w:cs="Courier New"/>
        </w:rPr>
        <w:t xml:space="preserve"> also increased this account by $340 to reflect the incremental increases in deprecia</w:t>
      </w:r>
      <w:r w:rsidR="00233E6B">
        <w:rPr>
          <w:rFonts w:cs="Courier New"/>
        </w:rPr>
        <w:t xml:space="preserve">tion expense </w:t>
      </w:r>
      <w:r w:rsidR="00233E6B">
        <w:rPr>
          <w:rFonts w:cs="Courier New"/>
        </w:rPr>
        <w:lastRenderedPageBreak/>
        <w:t>related to several</w:t>
      </w:r>
      <w:r w:rsidR="005C5A75" w:rsidRPr="005C5A75">
        <w:rPr>
          <w:rFonts w:cs="Courier New"/>
        </w:rPr>
        <w:t xml:space="preserve"> pro forma projects, and decreased this account by $256 to reflect the associated retirements. These projects were previously discussed in </w:t>
      </w:r>
      <w:r w:rsidR="00233E6B">
        <w:rPr>
          <w:rFonts w:cs="Courier New"/>
        </w:rPr>
        <w:t>the Rate Base section</w:t>
      </w:r>
      <w:r w:rsidR="005C5A75" w:rsidRPr="005C5A75">
        <w:rPr>
          <w:rFonts w:cs="Courier New"/>
        </w:rPr>
        <w:t xml:space="preserve"> and the related adjustments to depreciation e</w:t>
      </w:r>
      <w:r w:rsidR="00233E6B">
        <w:rPr>
          <w:rFonts w:cs="Courier New"/>
        </w:rPr>
        <w:t>xpense are summarized in Table 2</w:t>
      </w:r>
      <w:r w:rsidR="005C5A75" w:rsidRPr="005C5A75">
        <w:rPr>
          <w:rFonts w:cs="Courier New"/>
        </w:rPr>
        <w:t xml:space="preserve"> below.</w:t>
      </w:r>
      <w:r w:rsidR="005C5A75" w:rsidRPr="005C5A75">
        <w:rPr>
          <w:rFonts w:cs="Courier New"/>
          <w:highlight w:val="darkGray"/>
        </w:rPr>
        <w:t xml:space="preserve"> </w:t>
      </w:r>
    </w:p>
    <w:p w:rsidR="005C5A75" w:rsidRPr="00233E6B" w:rsidRDefault="00BF6FFC" w:rsidP="00BF6FFC">
      <w:pPr>
        <w:jc w:val="center"/>
        <w:rPr>
          <w:highlight w:val="darkGray"/>
        </w:rPr>
      </w:pPr>
      <w:r w:rsidRPr="00233E6B">
        <w:rPr>
          <w:b/>
        </w:rPr>
        <w:t>Table 2</w:t>
      </w:r>
    </w:p>
    <w:p w:rsidR="005C5A75" w:rsidRPr="00233E6B" w:rsidRDefault="00BF6FFC" w:rsidP="005C5A75">
      <w:pPr>
        <w:jc w:val="center"/>
        <w:rPr>
          <w:b/>
        </w:rPr>
      </w:pPr>
      <w:r>
        <w:rPr>
          <w:b/>
        </w:rPr>
        <w:t>Pro Forma Depreciation Expense</w:t>
      </w:r>
    </w:p>
    <w:tbl>
      <w:tblPr>
        <w:tblW w:w="5690" w:type="dxa"/>
        <w:jc w:val="center"/>
        <w:tblInd w:w="-477" w:type="dxa"/>
        <w:tblLook w:val="04A0" w:firstRow="1" w:lastRow="0" w:firstColumn="1" w:lastColumn="0" w:noHBand="0" w:noVBand="1"/>
      </w:tblPr>
      <w:tblGrid>
        <w:gridCol w:w="2778"/>
        <w:gridCol w:w="1456"/>
        <w:gridCol w:w="1456"/>
      </w:tblGrid>
      <w:tr w:rsidR="005C5A75" w:rsidRPr="005C5A75" w:rsidTr="00FE758E">
        <w:trPr>
          <w:trHeight w:val="1159"/>
          <w:jc w:val="center"/>
        </w:trPr>
        <w:tc>
          <w:tcPr>
            <w:tcW w:w="27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5A75" w:rsidRPr="005C5A75" w:rsidRDefault="005C5A75" w:rsidP="005C5A75">
            <w:pPr>
              <w:jc w:val="center"/>
              <w:rPr>
                <w:color w:val="000000"/>
              </w:rPr>
            </w:pPr>
            <w:r w:rsidRPr="005C5A75">
              <w:rPr>
                <w:rFonts w:cs="Courier New"/>
                <w:color w:val="000000"/>
              </w:rPr>
              <w:t>Pro Forma Project</w:t>
            </w:r>
          </w:p>
        </w:tc>
        <w:tc>
          <w:tcPr>
            <w:tcW w:w="1456" w:type="dxa"/>
            <w:tcBorders>
              <w:top w:val="single" w:sz="8" w:space="0" w:color="auto"/>
              <w:left w:val="nil"/>
              <w:bottom w:val="single" w:sz="8" w:space="0" w:color="auto"/>
              <w:right w:val="single" w:sz="8" w:space="0" w:color="auto"/>
            </w:tcBorders>
            <w:shd w:val="clear" w:color="auto" w:fill="auto"/>
            <w:vAlign w:val="center"/>
            <w:hideMark/>
          </w:tcPr>
          <w:p w:rsidR="005C5A75" w:rsidRPr="005C5A75" w:rsidRDefault="005C5A75" w:rsidP="005C5A75">
            <w:pPr>
              <w:jc w:val="center"/>
              <w:rPr>
                <w:color w:val="000000"/>
              </w:rPr>
            </w:pPr>
            <w:r w:rsidRPr="005C5A75">
              <w:rPr>
                <w:rFonts w:cs="Courier New"/>
                <w:color w:val="000000"/>
              </w:rPr>
              <w:t>Depreciation Expense (Addition)</w:t>
            </w:r>
          </w:p>
        </w:tc>
        <w:tc>
          <w:tcPr>
            <w:tcW w:w="1456" w:type="dxa"/>
            <w:tcBorders>
              <w:top w:val="single" w:sz="8" w:space="0" w:color="auto"/>
              <w:left w:val="nil"/>
              <w:bottom w:val="single" w:sz="8" w:space="0" w:color="auto"/>
              <w:right w:val="single" w:sz="8" w:space="0" w:color="auto"/>
            </w:tcBorders>
            <w:shd w:val="clear" w:color="auto" w:fill="auto"/>
            <w:vAlign w:val="center"/>
            <w:hideMark/>
          </w:tcPr>
          <w:p w:rsidR="005C5A75" w:rsidRPr="005C5A75" w:rsidRDefault="005C5A75" w:rsidP="005C5A75">
            <w:pPr>
              <w:jc w:val="center"/>
              <w:rPr>
                <w:color w:val="000000"/>
              </w:rPr>
            </w:pPr>
            <w:r w:rsidRPr="005C5A75">
              <w:rPr>
                <w:rFonts w:cs="Courier New"/>
                <w:color w:val="000000"/>
              </w:rPr>
              <w:t>Depreciation Expense (Retirement)</w:t>
            </w:r>
          </w:p>
        </w:tc>
      </w:tr>
      <w:tr w:rsidR="005C5A75" w:rsidRPr="005C5A75" w:rsidTr="00FE758E">
        <w:trPr>
          <w:trHeight w:val="432"/>
          <w:jc w:val="center"/>
        </w:trPr>
        <w:tc>
          <w:tcPr>
            <w:tcW w:w="2778" w:type="dxa"/>
            <w:tcBorders>
              <w:top w:val="nil"/>
              <w:left w:val="single" w:sz="8" w:space="0" w:color="auto"/>
              <w:bottom w:val="single" w:sz="8" w:space="0" w:color="auto"/>
              <w:right w:val="single" w:sz="8" w:space="0" w:color="auto"/>
            </w:tcBorders>
            <w:shd w:val="clear" w:color="auto" w:fill="auto"/>
            <w:vAlign w:val="center"/>
            <w:hideMark/>
          </w:tcPr>
          <w:p w:rsidR="005C5A75" w:rsidRPr="005C5A75" w:rsidRDefault="005C5A75" w:rsidP="005C5A75">
            <w:pPr>
              <w:jc w:val="both"/>
              <w:rPr>
                <w:color w:val="000000"/>
              </w:rPr>
            </w:pPr>
            <w:r w:rsidRPr="005C5A75">
              <w:rPr>
                <w:rFonts w:cs="Courier New"/>
                <w:color w:val="000000"/>
              </w:rPr>
              <w:t>Meter Replacement</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rPr>
            </w:pPr>
            <w:r w:rsidRPr="005C5A75">
              <w:rPr>
                <w:rFonts w:cs="Courier New"/>
                <w:color w:val="000000"/>
              </w:rPr>
              <w:t xml:space="preserve">$114 </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rPr>
            </w:pPr>
            <w:r w:rsidRPr="005C5A75">
              <w:rPr>
                <w:rFonts w:cs="Courier New"/>
                <w:color w:val="000000"/>
              </w:rPr>
              <w:t>($85)</w:t>
            </w:r>
          </w:p>
        </w:tc>
      </w:tr>
      <w:tr w:rsidR="005C5A75" w:rsidRPr="005C5A75" w:rsidTr="00FE758E">
        <w:trPr>
          <w:trHeight w:val="432"/>
          <w:jc w:val="center"/>
        </w:trPr>
        <w:tc>
          <w:tcPr>
            <w:tcW w:w="2778" w:type="dxa"/>
            <w:tcBorders>
              <w:top w:val="nil"/>
              <w:left w:val="single" w:sz="8" w:space="0" w:color="auto"/>
              <w:bottom w:val="single" w:sz="8" w:space="0" w:color="auto"/>
              <w:right w:val="single" w:sz="8" w:space="0" w:color="auto"/>
            </w:tcBorders>
            <w:shd w:val="clear" w:color="auto" w:fill="auto"/>
            <w:vAlign w:val="center"/>
            <w:hideMark/>
          </w:tcPr>
          <w:p w:rsidR="005C5A75" w:rsidRPr="005C5A75" w:rsidRDefault="005C5A75" w:rsidP="005C5A75">
            <w:pPr>
              <w:jc w:val="both"/>
              <w:rPr>
                <w:color w:val="000000"/>
              </w:rPr>
            </w:pPr>
            <w:r w:rsidRPr="005C5A75">
              <w:rPr>
                <w:rFonts w:cs="Courier New"/>
                <w:color w:val="000000"/>
              </w:rPr>
              <w:t>Well Meter</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rPr>
            </w:pPr>
            <w:r w:rsidRPr="005C5A75">
              <w:rPr>
                <w:rFonts w:cs="Courier New"/>
                <w:color w:val="000000"/>
              </w:rPr>
              <w:t>74</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rPr>
            </w:pPr>
            <w:r w:rsidRPr="005C5A75">
              <w:rPr>
                <w:rFonts w:cs="Courier New"/>
                <w:color w:val="000000"/>
              </w:rPr>
              <w:t>(56)</w:t>
            </w:r>
          </w:p>
        </w:tc>
      </w:tr>
      <w:tr w:rsidR="005C5A75" w:rsidRPr="005C5A75" w:rsidTr="00FE758E">
        <w:trPr>
          <w:trHeight w:val="432"/>
          <w:jc w:val="center"/>
        </w:trPr>
        <w:tc>
          <w:tcPr>
            <w:tcW w:w="2778" w:type="dxa"/>
            <w:tcBorders>
              <w:top w:val="nil"/>
              <w:left w:val="single" w:sz="8" w:space="0" w:color="auto"/>
              <w:bottom w:val="single" w:sz="8" w:space="0" w:color="auto"/>
              <w:right w:val="single" w:sz="8" w:space="0" w:color="auto"/>
            </w:tcBorders>
            <w:shd w:val="clear" w:color="auto" w:fill="auto"/>
            <w:vAlign w:val="center"/>
            <w:hideMark/>
          </w:tcPr>
          <w:p w:rsidR="005C5A75" w:rsidRPr="005C5A75" w:rsidRDefault="005C5A75" w:rsidP="005C5A75">
            <w:pPr>
              <w:jc w:val="both"/>
              <w:rPr>
                <w:color w:val="000000"/>
              </w:rPr>
            </w:pPr>
            <w:r w:rsidRPr="005C5A75">
              <w:rPr>
                <w:rFonts w:cs="Courier New"/>
                <w:color w:val="000000"/>
              </w:rPr>
              <w:t>Exterior Lighting/Timer</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rPr>
            </w:pPr>
            <w:r w:rsidRPr="005C5A75">
              <w:rPr>
                <w:rFonts w:cs="Courier New"/>
                <w:color w:val="000000"/>
              </w:rPr>
              <w:t>34</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rPr>
            </w:pPr>
            <w:r w:rsidRPr="005C5A75">
              <w:rPr>
                <w:rFonts w:cs="Courier New"/>
                <w:color w:val="000000"/>
              </w:rPr>
              <w:t>(26)</w:t>
            </w:r>
          </w:p>
        </w:tc>
      </w:tr>
      <w:tr w:rsidR="005C5A75" w:rsidRPr="005C5A75" w:rsidTr="00FE758E">
        <w:trPr>
          <w:trHeight w:val="432"/>
          <w:jc w:val="center"/>
        </w:trPr>
        <w:tc>
          <w:tcPr>
            <w:tcW w:w="2778" w:type="dxa"/>
            <w:tcBorders>
              <w:top w:val="nil"/>
              <w:left w:val="single" w:sz="8" w:space="0" w:color="auto"/>
              <w:bottom w:val="single" w:sz="8" w:space="0" w:color="auto"/>
              <w:right w:val="single" w:sz="8" w:space="0" w:color="auto"/>
            </w:tcBorders>
            <w:shd w:val="clear" w:color="auto" w:fill="auto"/>
            <w:vAlign w:val="center"/>
            <w:hideMark/>
          </w:tcPr>
          <w:p w:rsidR="005C5A75" w:rsidRPr="005C5A75" w:rsidRDefault="005C5A75" w:rsidP="005C5A75">
            <w:pPr>
              <w:jc w:val="both"/>
              <w:rPr>
                <w:color w:val="000000"/>
              </w:rPr>
            </w:pPr>
            <w:r w:rsidRPr="005C5A75">
              <w:rPr>
                <w:rFonts w:cs="Courier New"/>
                <w:color w:val="000000"/>
              </w:rPr>
              <w:t>WTP Fence</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u w:val="single"/>
              </w:rPr>
            </w:pPr>
            <w:r w:rsidRPr="005C5A75">
              <w:rPr>
                <w:rFonts w:cs="Courier New"/>
                <w:color w:val="000000"/>
                <w:u w:val="single"/>
              </w:rPr>
              <w:t>118</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u w:val="single"/>
              </w:rPr>
            </w:pPr>
            <w:r w:rsidRPr="005C5A75">
              <w:rPr>
                <w:rFonts w:cs="Courier New"/>
                <w:color w:val="000000"/>
                <w:u w:val="single"/>
              </w:rPr>
              <w:t>(89)</w:t>
            </w:r>
          </w:p>
        </w:tc>
      </w:tr>
      <w:tr w:rsidR="005C5A75" w:rsidRPr="005C5A75" w:rsidTr="00FE758E">
        <w:trPr>
          <w:trHeight w:val="444"/>
          <w:jc w:val="center"/>
        </w:trPr>
        <w:tc>
          <w:tcPr>
            <w:tcW w:w="2778" w:type="dxa"/>
            <w:tcBorders>
              <w:top w:val="nil"/>
              <w:left w:val="single" w:sz="8" w:space="0" w:color="auto"/>
              <w:bottom w:val="single" w:sz="8" w:space="0" w:color="auto"/>
              <w:right w:val="single" w:sz="8" w:space="0" w:color="auto"/>
            </w:tcBorders>
            <w:shd w:val="clear" w:color="auto" w:fill="auto"/>
            <w:vAlign w:val="center"/>
            <w:hideMark/>
          </w:tcPr>
          <w:p w:rsidR="005C5A75" w:rsidRPr="005C5A75" w:rsidRDefault="005C5A75" w:rsidP="005C5A75">
            <w:pPr>
              <w:jc w:val="both"/>
              <w:rPr>
                <w:color w:val="000000"/>
              </w:rPr>
            </w:pPr>
            <w:r w:rsidRPr="005C5A75">
              <w:rPr>
                <w:rFonts w:cs="Courier New"/>
                <w:color w:val="000000"/>
              </w:rPr>
              <w:t>Total</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u w:val="double"/>
              </w:rPr>
            </w:pPr>
            <w:r w:rsidRPr="005C5A75">
              <w:rPr>
                <w:rFonts w:cs="Courier New"/>
                <w:color w:val="000000"/>
                <w:u w:val="double"/>
              </w:rPr>
              <w:t xml:space="preserve">$340 </w:t>
            </w:r>
          </w:p>
        </w:tc>
        <w:tc>
          <w:tcPr>
            <w:tcW w:w="1456" w:type="dxa"/>
            <w:tcBorders>
              <w:top w:val="nil"/>
              <w:left w:val="nil"/>
              <w:bottom w:val="single" w:sz="8" w:space="0" w:color="auto"/>
              <w:right w:val="single" w:sz="8" w:space="0" w:color="auto"/>
            </w:tcBorders>
            <w:shd w:val="clear" w:color="auto" w:fill="auto"/>
            <w:vAlign w:val="center"/>
            <w:hideMark/>
          </w:tcPr>
          <w:p w:rsidR="005C5A75" w:rsidRPr="005C5A75" w:rsidRDefault="005C5A75" w:rsidP="005C5A75">
            <w:pPr>
              <w:jc w:val="right"/>
              <w:rPr>
                <w:color w:val="000000"/>
                <w:u w:val="double"/>
              </w:rPr>
            </w:pPr>
            <w:r w:rsidRPr="005C5A75">
              <w:rPr>
                <w:rFonts w:cs="Courier New"/>
                <w:color w:val="000000"/>
                <w:u w:val="double"/>
              </w:rPr>
              <w:t>($256)</w:t>
            </w:r>
          </w:p>
        </w:tc>
      </w:tr>
    </w:tbl>
    <w:p w:rsidR="005C5A75" w:rsidRPr="005C5A75" w:rsidRDefault="005C5A75" w:rsidP="005C5A75">
      <w:pPr>
        <w:spacing w:after="240"/>
        <w:jc w:val="center"/>
        <w:rPr>
          <w:rFonts w:ascii="Cambria" w:hAnsi="Cambria" w:cs="Cambria"/>
          <w:b/>
        </w:rPr>
      </w:pPr>
    </w:p>
    <w:p w:rsidR="005C5A75" w:rsidRPr="005C5A75" w:rsidRDefault="00233E6B" w:rsidP="00233E6B">
      <w:pPr>
        <w:spacing w:after="240"/>
        <w:ind w:firstLine="720"/>
        <w:jc w:val="both"/>
      </w:pPr>
      <w:r>
        <w:rPr>
          <w:rFonts w:cs="Courier New"/>
        </w:rPr>
        <w:t>Our</w:t>
      </w:r>
      <w:r w:rsidR="005C5A75" w:rsidRPr="005C5A75">
        <w:rPr>
          <w:rFonts w:cs="Courier New"/>
        </w:rPr>
        <w:t xml:space="preserve"> total adjustment to depreciation expense is a net increase of $208 ($124 + $340 - $256). In addition, </w:t>
      </w:r>
      <w:r>
        <w:rPr>
          <w:rFonts w:cs="Courier New"/>
        </w:rPr>
        <w:t>we</w:t>
      </w:r>
      <w:r w:rsidR="005C5A75" w:rsidRPr="005C5A75">
        <w:rPr>
          <w:rFonts w:cs="Courier New"/>
        </w:rPr>
        <w:t xml:space="preserve"> calculated test year CIAC amortization expense of $149. Accordingly, </w:t>
      </w:r>
      <w:r>
        <w:rPr>
          <w:rFonts w:cs="Courier New"/>
        </w:rPr>
        <w:t>we</w:t>
      </w:r>
      <w:r w:rsidR="005C5A75" w:rsidRPr="005C5A75">
        <w:rPr>
          <w:rFonts w:cs="Courier New"/>
        </w:rPr>
        <w:t xml:space="preserve"> decreased this account by $16 ($133 - $149). </w:t>
      </w:r>
      <w:r w:rsidR="005C5A75" w:rsidRPr="005C5A75">
        <w:t xml:space="preserve">This results in a net depreciation expense of $2,173 ($1,980 + $208 - $16). Therefore, </w:t>
      </w:r>
      <w:r>
        <w:t>we hereby approve a</w:t>
      </w:r>
      <w:r w:rsidR="005C5A75" w:rsidRPr="005C5A75">
        <w:t xml:space="preserve"> net depreciation expense of $2,173.</w:t>
      </w:r>
    </w:p>
    <w:p w:rsidR="005C5A75" w:rsidRDefault="005C5A75" w:rsidP="005C5A75">
      <w:pPr>
        <w:jc w:val="both"/>
        <w:outlineLvl w:val="3"/>
        <w:rPr>
          <w:b/>
          <w:bCs/>
          <w:iCs/>
          <w:szCs w:val="28"/>
        </w:rPr>
      </w:pPr>
      <w:r w:rsidRPr="00233E6B">
        <w:rPr>
          <w:b/>
          <w:bCs/>
          <w:iCs/>
          <w:szCs w:val="28"/>
        </w:rPr>
        <w:t>Taxes Other Than Income (TOTI)</w:t>
      </w:r>
    </w:p>
    <w:p w:rsidR="00233E6B" w:rsidRPr="00233E6B" w:rsidRDefault="00233E6B" w:rsidP="005C5A75">
      <w:pPr>
        <w:jc w:val="both"/>
        <w:outlineLvl w:val="3"/>
        <w:rPr>
          <w:b/>
          <w:bCs/>
          <w:iCs/>
          <w:szCs w:val="28"/>
        </w:rPr>
      </w:pPr>
    </w:p>
    <w:p w:rsidR="005C5A75" w:rsidRPr="005C5A75" w:rsidRDefault="00F94E7B" w:rsidP="005C5A75">
      <w:pPr>
        <w:spacing w:after="240"/>
        <w:jc w:val="both"/>
      </w:pPr>
      <w:r>
        <w:tab/>
      </w:r>
      <w:r w:rsidR="005C5A75" w:rsidRPr="005C5A75">
        <w:t xml:space="preserve">Pine Harbour recorded TOTI of $1,517 for the test year. The Utility </w:t>
      </w:r>
      <w:r w:rsidR="005C5A75" w:rsidRPr="005C5A75">
        <w:rPr>
          <w:rFonts w:cs="Courier New"/>
        </w:rPr>
        <w:t xml:space="preserve">recorded $1,048 for regulatory assessment fees (RAFs). </w:t>
      </w:r>
      <w:r w:rsidR="005C5A75" w:rsidRPr="005C5A75">
        <w:t xml:space="preserve">Based on </w:t>
      </w:r>
      <w:r w:rsidR="000A27C8">
        <w:t>the approved</w:t>
      </w:r>
      <w:r w:rsidR="005C5A75" w:rsidRPr="005C5A75">
        <w:t xml:space="preserve"> test year revenues of $23,887, the Utility’s RAFs should be $1,075. Therefore, </w:t>
      </w:r>
      <w:r w:rsidR="000A27C8">
        <w:t>we</w:t>
      </w:r>
      <w:r w:rsidR="005C5A75" w:rsidRPr="005C5A75">
        <w:t xml:space="preserve"> increased this account by $27 to reflect the appropriate RAFs. Also, the Utility recorded property tax accruals of $469 during the test year. </w:t>
      </w:r>
      <w:r w:rsidR="000A27C8">
        <w:t>We</w:t>
      </w:r>
      <w:r w:rsidR="005C5A75" w:rsidRPr="005C5A75">
        <w:t xml:space="preserve"> increased this account by $29 to reflect the incremental increase in property taxes associated with the pro forma projects discussed in </w:t>
      </w:r>
      <w:r w:rsidR="000A27C8" w:rsidRPr="000A27C8">
        <w:t>the Rate Base section</w:t>
      </w:r>
      <w:r w:rsidR="005C5A75" w:rsidRPr="005C5A75">
        <w:t xml:space="preserve">. Therefore, </w:t>
      </w:r>
      <w:r w:rsidR="000A27C8">
        <w:t>our</w:t>
      </w:r>
      <w:r w:rsidR="005C5A75" w:rsidRPr="005C5A75">
        <w:t xml:space="preserve"> total adjustment to test year TOTI is an increase of $56 ($27 + $29).</w:t>
      </w:r>
    </w:p>
    <w:p w:rsidR="005C5A75" w:rsidRPr="005C5A75" w:rsidRDefault="00F94E7B" w:rsidP="005C5A75">
      <w:pPr>
        <w:spacing w:after="240"/>
        <w:jc w:val="both"/>
      </w:pPr>
      <w:r>
        <w:tab/>
      </w:r>
      <w:r w:rsidR="005C5A75" w:rsidRPr="005C5A75">
        <w:t xml:space="preserve">In addition, </w:t>
      </w:r>
      <w:r w:rsidR="000A27C8">
        <w:t>as we discuss in the Revenue Requirement section</w:t>
      </w:r>
      <w:r w:rsidR="005C5A75" w:rsidRPr="005C5A75">
        <w:t>, revenues have been increased by $10,405 to reflect the change in revenue required to cover expenses and allow the opportunity to earn the recommended rate of return. As a result, TOTI sh</w:t>
      </w:r>
      <w:r w:rsidR="000A27C8">
        <w:t>all</w:t>
      </w:r>
      <w:r w:rsidR="005C5A75" w:rsidRPr="005C5A75">
        <w:t xml:space="preserve"> be increased by $468 to reflect RAFs of 4.5 percent of the change in revenues. Therefore, </w:t>
      </w:r>
      <w:r w:rsidR="000A27C8">
        <w:t>we hereby approve</w:t>
      </w:r>
      <w:r w:rsidR="005C5A75" w:rsidRPr="005C5A75">
        <w:t xml:space="preserve"> TOTI of $2,041.</w:t>
      </w:r>
    </w:p>
    <w:p w:rsidR="00BF6FFC" w:rsidRDefault="00BF6FFC" w:rsidP="005C5A75">
      <w:pPr>
        <w:jc w:val="both"/>
        <w:outlineLvl w:val="3"/>
        <w:rPr>
          <w:b/>
          <w:bCs/>
          <w:iCs/>
          <w:szCs w:val="28"/>
        </w:rPr>
      </w:pPr>
    </w:p>
    <w:p w:rsidR="00BF6FFC" w:rsidRDefault="00BF6FFC" w:rsidP="005C5A75">
      <w:pPr>
        <w:jc w:val="both"/>
        <w:outlineLvl w:val="3"/>
        <w:rPr>
          <w:b/>
          <w:bCs/>
          <w:iCs/>
          <w:szCs w:val="28"/>
        </w:rPr>
      </w:pPr>
    </w:p>
    <w:p w:rsidR="00BF6FFC" w:rsidRDefault="00BF6FFC" w:rsidP="005C5A75">
      <w:pPr>
        <w:jc w:val="both"/>
        <w:outlineLvl w:val="3"/>
        <w:rPr>
          <w:b/>
          <w:bCs/>
          <w:iCs/>
          <w:szCs w:val="28"/>
        </w:rPr>
      </w:pPr>
    </w:p>
    <w:p w:rsidR="00BF6FFC" w:rsidRDefault="00BF6FFC" w:rsidP="005C5A75">
      <w:pPr>
        <w:jc w:val="both"/>
        <w:outlineLvl w:val="3"/>
        <w:rPr>
          <w:b/>
          <w:bCs/>
          <w:iCs/>
          <w:szCs w:val="28"/>
        </w:rPr>
      </w:pPr>
    </w:p>
    <w:p w:rsidR="005C5A75" w:rsidRDefault="005C5A75" w:rsidP="005C5A75">
      <w:pPr>
        <w:jc w:val="both"/>
        <w:outlineLvl w:val="3"/>
        <w:rPr>
          <w:b/>
          <w:bCs/>
          <w:iCs/>
          <w:szCs w:val="28"/>
        </w:rPr>
      </w:pPr>
      <w:r w:rsidRPr="000A27C8">
        <w:rPr>
          <w:b/>
          <w:bCs/>
          <w:iCs/>
          <w:szCs w:val="28"/>
        </w:rPr>
        <w:lastRenderedPageBreak/>
        <w:t>Operating Expenses Summary</w:t>
      </w:r>
    </w:p>
    <w:p w:rsidR="00BF6FFC" w:rsidRPr="000A27C8" w:rsidRDefault="00BF6FFC" w:rsidP="005C5A75">
      <w:pPr>
        <w:jc w:val="both"/>
        <w:outlineLvl w:val="3"/>
        <w:rPr>
          <w:b/>
          <w:bCs/>
          <w:iCs/>
          <w:szCs w:val="28"/>
        </w:rPr>
      </w:pPr>
    </w:p>
    <w:p w:rsidR="005C5A75" w:rsidRDefault="00F94E7B" w:rsidP="00F94E7B">
      <w:pPr>
        <w:jc w:val="both"/>
      </w:pPr>
      <w:r>
        <w:tab/>
      </w:r>
      <w:r w:rsidR="005C5A75" w:rsidRPr="005C5A75">
        <w:t xml:space="preserve">The application of </w:t>
      </w:r>
      <w:r w:rsidR="000A27C8">
        <w:t>the approved</w:t>
      </w:r>
      <w:r w:rsidR="005C5A75" w:rsidRPr="005C5A75">
        <w:t xml:space="preserve"> adjustments to Pine Harbour’s test year operating expenses result in operating expenses of $31,327. Operating expenses are shown on Schedule No. 3-A. The adjustments are shown on Schedule No. 3-B</w:t>
      </w:r>
      <w:r w:rsidR="005C5A75">
        <w:t>.</w:t>
      </w:r>
    </w:p>
    <w:p w:rsidR="005C5A75" w:rsidRDefault="005C5A75" w:rsidP="00F94E7B">
      <w:pPr>
        <w:jc w:val="both"/>
      </w:pPr>
    </w:p>
    <w:p w:rsidR="005C5A75" w:rsidRPr="000A27C8" w:rsidRDefault="000A27C8" w:rsidP="005C5A75">
      <w:pPr>
        <w:spacing w:after="240"/>
        <w:jc w:val="both"/>
        <w:rPr>
          <w:u w:val="single"/>
        </w:rPr>
      </w:pPr>
      <w:r w:rsidRPr="000A27C8">
        <w:rPr>
          <w:bCs/>
          <w:kern w:val="32"/>
          <w:szCs w:val="32"/>
          <w:u w:val="single"/>
        </w:rPr>
        <w:t>7. Revenue Requirement</w:t>
      </w:r>
    </w:p>
    <w:p w:rsidR="005C5A75" w:rsidRPr="005C5A75" w:rsidRDefault="000A27C8" w:rsidP="000A27C8">
      <w:pPr>
        <w:ind w:firstLine="720"/>
        <w:jc w:val="both"/>
      </w:pPr>
      <w:r>
        <w:t>We hereby find that t</w:t>
      </w:r>
      <w:r w:rsidRPr="005C5A75">
        <w:t>he appropriate revenue requirement</w:t>
      </w:r>
      <w:r>
        <w:t xml:space="preserve"> for Pine Harbour</w:t>
      </w:r>
      <w:r w:rsidRPr="005C5A75">
        <w:t xml:space="preserve"> is $34,292, resulting in an annual increase of $10,405 (43.56 percent).</w:t>
      </w:r>
      <w:r w:rsidR="005C5A75" w:rsidRPr="005C5A75">
        <w:t xml:space="preserve"> The calculations are as follows in Table </w:t>
      </w:r>
      <w:r>
        <w:t>3</w:t>
      </w:r>
      <w:r w:rsidR="005C5A75" w:rsidRPr="005C5A75">
        <w:t xml:space="preserve"> below:</w:t>
      </w:r>
    </w:p>
    <w:p w:rsidR="005C5A75" w:rsidRPr="005C5A75" w:rsidRDefault="005C5A75" w:rsidP="005C5A75">
      <w:pPr>
        <w:jc w:val="center"/>
        <w:rPr>
          <w:rFonts w:ascii="Arial" w:hAnsi="Arial" w:cs="Arial"/>
          <w:b/>
        </w:rPr>
      </w:pPr>
    </w:p>
    <w:p w:rsidR="005C5A75" w:rsidRPr="000A27C8" w:rsidRDefault="005C5A75" w:rsidP="005C5A75">
      <w:pPr>
        <w:jc w:val="center"/>
        <w:rPr>
          <w:b/>
        </w:rPr>
      </w:pPr>
      <w:r w:rsidRPr="000A27C8">
        <w:rPr>
          <w:b/>
        </w:rPr>
        <w:t xml:space="preserve">Table </w:t>
      </w:r>
      <w:r w:rsidR="000A27C8" w:rsidRPr="000A27C8">
        <w:rPr>
          <w:b/>
        </w:rPr>
        <w:t>3</w:t>
      </w:r>
    </w:p>
    <w:p w:rsidR="005C5A75" w:rsidRPr="000A27C8" w:rsidRDefault="005C5A75" w:rsidP="005C5A75">
      <w:pPr>
        <w:jc w:val="center"/>
        <w:rPr>
          <w:b/>
        </w:rPr>
      </w:pPr>
      <w:r w:rsidRPr="000A27C8">
        <w:rPr>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5C5A75" w:rsidRPr="005C5A75" w:rsidTr="00FE758E">
        <w:trPr>
          <w:cantSplit/>
          <w:jc w:val="center"/>
        </w:trPr>
        <w:tc>
          <w:tcPr>
            <w:tcW w:w="3681" w:type="dxa"/>
            <w:tcBorders>
              <w:top w:val="single" w:sz="4" w:space="0" w:color="auto"/>
              <w:left w:val="single" w:sz="4" w:space="0" w:color="auto"/>
              <w:bottom w:val="nil"/>
              <w:right w:val="nil"/>
            </w:tcBorders>
            <w:hideMark/>
          </w:tcPr>
          <w:p w:rsidR="005C5A75" w:rsidRPr="005C5A75" w:rsidRDefault="005C5A75" w:rsidP="005C5A75">
            <w:pPr>
              <w:spacing w:before="116" w:after="44"/>
            </w:pPr>
            <w:r w:rsidRPr="005C5A75">
              <w:t>Adjusted Rate Base</w:t>
            </w:r>
          </w:p>
        </w:tc>
        <w:tc>
          <w:tcPr>
            <w:tcW w:w="881" w:type="dxa"/>
            <w:tcBorders>
              <w:top w:val="single" w:sz="4" w:space="0" w:color="auto"/>
              <w:left w:val="nil"/>
              <w:bottom w:val="nil"/>
              <w:right w:val="nil"/>
            </w:tcBorders>
          </w:tcPr>
          <w:p w:rsidR="005C5A75" w:rsidRPr="005C5A75" w:rsidRDefault="005C5A75" w:rsidP="005C5A75">
            <w:pPr>
              <w:spacing w:before="116" w:after="44"/>
              <w:jc w:val="center"/>
            </w:pPr>
          </w:p>
        </w:tc>
        <w:tc>
          <w:tcPr>
            <w:tcW w:w="1141" w:type="dxa"/>
            <w:tcBorders>
              <w:top w:val="single" w:sz="4" w:space="0" w:color="auto"/>
              <w:left w:val="nil"/>
              <w:bottom w:val="nil"/>
              <w:right w:val="single" w:sz="4" w:space="0" w:color="auto"/>
            </w:tcBorders>
            <w:hideMark/>
          </w:tcPr>
          <w:p w:rsidR="005C5A75" w:rsidRPr="005C5A75" w:rsidRDefault="005C5A75" w:rsidP="005C5A75">
            <w:pPr>
              <w:spacing w:before="116" w:after="44"/>
              <w:jc w:val="right"/>
            </w:pPr>
            <w:r w:rsidRPr="005C5A75">
              <w:t>$36,616</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Rate of Return</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nil"/>
              <w:left w:val="nil"/>
              <w:bottom w:val="single" w:sz="4" w:space="0" w:color="auto"/>
              <w:right w:val="single" w:sz="4" w:space="0" w:color="auto"/>
            </w:tcBorders>
            <w:hideMark/>
          </w:tcPr>
          <w:p w:rsidR="005C5A75" w:rsidRPr="005C5A75" w:rsidRDefault="005C5A75" w:rsidP="005C5A75">
            <w:pPr>
              <w:spacing w:before="116" w:after="44"/>
              <w:jc w:val="right"/>
            </w:pPr>
            <w:r w:rsidRPr="005C5A75">
              <w:t>x 8.10%</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Return on Rate Base</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single" w:sz="4" w:space="0" w:color="auto"/>
              <w:left w:val="nil"/>
              <w:bottom w:val="nil"/>
              <w:right w:val="single" w:sz="4" w:space="0" w:color="auto"/>
            </w:tcBorders>
            <w:hideMark/>
          </w:tcPr>
          <w:p w:rsidR="005C5A75" w:rsidRPr="005C5A75" w:rsidRDefault="005C5A75" w:rsidP="005C5A75">
            <w:pPr>
              <w:spacing w:before="116" w:after="44"/>
              <w:jc w:val="right"/>
            </w:pPr>
            <w:r w:rsidRPr="005C5A75">
              <w:t xml:space="preserve">$2,966 </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Adjusted O&amp;M Expense</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nil"/>
              <w:left w:val="nil"/>
              <w:bottom w:val="nil"/>
              <w:right w:val="single" w:sz="4" w:space="0" w:color="auto"/>
            </w:tcBorders>
            <w:hideMark/>
          </w:tcPr>
          <w:p w:rsidR="005C5A75" w:rsidRPr="005C5A75" w:rsidRDefault="005C5A75" w:rsidP="005C5A75">
            <w:pPr>
              <w:spacing w:before="116" w:after="44"/>
              <w:jc w:val="right"/>
            </w:pPr>
            <w:r w:rsidRPr="005C5A75">
              <w:t>27,113</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 xml:space="preserve">Depreciation Expense (Net) </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nil"/>
              <w:left w:val="nil"/>
              <w:bottom w:val="nil"/>
              <w:right w:val="single" w:sz="4" w:space="0" w:color="auto"/>
            </w:tcBorders>
            <w:hideMark/>
          </w:tcPr>
          <w:p w:rsidR="005C5A75" w:rsidRPr="005C5A75" w:rsidRDefault="005C5A75" w:rsidP="005C5A75">
            <w:pPr>
              <w:spacing w:before="116" w:after="44"/>
              <w:jc w:val="right"/>
            </w:pPr>
            <w:r w:rsidRPr="005C5A75">
              <w:t>2,173</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Taxes Other Than Income</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nil"/>
              <w:left w:val="nil"/>
              <w:bottom w:val="nil"/>
              <w:right w:val="single" w:sz="4" w:space="0" w:color="auto"/>
            </w:tcBorders>
            <w:hideMark/>
          </w:tcPr>
          <w:p w:rsidR="005C5A75" w:rsidRPr="005C5A75" w:rsidRDefault="005C5A75" w:rsidP="005C5A75">
            <w:pPr>
              <w:spacing w:before="116" w:after="44"/>
              <w:jc w:val="right"/>
            </w:pPr>
            <w:r w:rsidRPr="005C5A75">
              <w:t>2,041</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Income Taxes</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nil"/>
              <w:left w:val="nil"/>
              <w:bottom w:val="single" w:sz="4" w:space="0" w:color="auto"/>
              <w:right w:val="single" w:sz="4" w:space="0" w:color="auto"/>
            </w:tcBorders>
            <w:hideMark/>
          </w:tcPr>
          <w:p w:rsidR="005C5A75" w:rsidRPr="005C5A75" w:rsidRDefault="005C5A75" w:rsidP="005C5A75">
            <w:pPr>
              <w:spacing w:before="116" w:after="44"/>
              <w:jc w:val="right"/>
            </w:pPr>
            <w:r w:rsidRPr="005C5A75">
              <w:t>0</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 xml:space="preserve">Revenue Requirement </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single" w:sz="4" w:space="0" w:color="auto"/>
              <w:left w:val="nil"/>
              <w:bottom w:val="nil"/>
              <w:right w:val="single" w:sz="4" w:space="0" w:color="auto"/>
            </w:tcBorders>
            <w:hideMark/>
          </w:tcPr>
          <w:p w:rsidR="005C5A75" w:rsidRPr="005C5A75" w:rsidRDefault="005C5A75" w:rsidP="005C5A75">
            <w:pPr>
              <w:spacing w:before="116" w:after="44"/>
              <w:jc w:val="right"/>
            </w:pPr>
            <w:r w:rsidRPr="005C5A75">
              <w:t>$34,292</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Less Adjusted Test Year Revenues</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nil"/>
              <w:left w:val="nil"/>
              <w:bottom w:val="single" w:sz="4" w:space="0" w:color="auto"/>
              <w:right w:val="single" w:sz="4" w:space="0" w:color="auto"/>
            </w:tcBorders>
            <w:hideMark/>
          </w:tcPr>
          <w:p w:rsidR="005C5A75" w:rsidRPr="005C5A75" w:rsidRDefault="005C5A75" w:rsidP="005C5A75">
            <w:pPr>
              <w:spacing w:before="116" w:after="44"/>
              <w:jc w:val="right"/>
            </w:pPr>
            <w:r w:rsidRPr="005C5A75">
              <w:t>23,887</w:t>
            </w:r>
          </w:p>
        </w:tc>
      </w:tr>
      <w:tr w:rsidR="005C5A75" w:rsidRPr="005C5A75" w:rsidTr="00FE758E">
        <w:trPr>
          <w:cantSplit/>
          <w:jc w:val="center"/>
        </w:trPr>
        <w:tc>
          <w:tcPr>
            <w:tcW w:w="3681" w:type="dxa"/>
            <w:tcBorders>
              <w:top w:val="nil"/>
              <w:left w:val="single" w:sz="4" w:space="0" w:color="auto"/>
              <w:bottom w:val="nil"/>
              <w:right w:val="nil"/>
            </w:tcBorders>
            <w:hideMark/>
          </w:tcPr>
          <w:p w:rsidR="005C5A75" w:rsidRPr="005C5A75" w:rsidRDefault="005C5A75" w:rsidP="005C5A75">
            <w:pPr>
              <w:spacing w:before="116" w:after="44"/>
            </w:pPr>
            <w:r w:rsidRPr="005C5A75">
              <w:t>Annual Increase</w:t>
            </w:r>
          </w:p>
        </w:tc>
        <w:tc>
          <w:tcPr>
            <w:tcW w:w="881" w:type="dxa"/>
            <w:tcBorders>
              <w:top w:val="nil"/>
              <w:left w:val="nil"/>
              <w:bottom w:val="nil"/>
              <w:right w:val="nil"/>
            </w:tcBorders>
          </w:tcPr>
          <w:p w:rsidR="005C5A75" w:rsidRPr="005C5A75" w:rsidRDefault="005C5A75" w:rsidP="005C5A75">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5C5A75" w:rsidRPr="005C5A75" w:rsidRDefault="005C5A75" w:rsidP="005C5A75">
            <w:pPr>
              <w:spacing w:before="116" w:after="44"/>
              <w:jc w:val="right"/>
            </w:pPr>
            <w:r w:rsidRPr="005C5A75">
              <w:t>$10,405</w:t>
            </w:r>
          </w:p>
        </w:tc>
      </w:tr>
      <w:tr w:rsidR="005C5A75" w:rsidRPr="005C5A75" w:rsidTr="00FE758E">
        <w:trPr>
          <w:cantSplit/>
          <w:trHeight w:val="372"/>
          <w:jc w:val="center"/>
        </w:trPr>
        <w:tc>
          <w:tcPr>
            <w:tcW w:w="3681" w:type="dxa"/>
            <w:tcBorders>
              <w:top w:val="nil"/>
              <w:left w:val="single" w:sz="4" w:space="0" w:color="auto"/>
              <w:bottom w:val="single" w:sz="4" w:space="0" w:color="auto"/>
              <w:right w:val="nil"/>
            </w:tcBorders>
            <w:hideMark/>
          </w:tcPr>
          <w:p w:rsidR="005C5A75" w:rsidRPr="005C5A75" w:rsidRDefault="005C5A75" w:rsidP="005C5A75">
            <w:pPr>
              <w:spacing w:before="116" w:after="44"/>
            </w:pPr>
            <w:r w:rsidRPr="005C5A75">
              <w:t>Percent Increase</w:t>
            </w:r>
          </w:p>
        </w:tc>
        <w:tc>
          <w:tcPr>
            <w:tcW w:w="881" w:type="dxa"/>
            <w:tcBorders>
              <w:top w:val="nil"/>
              <w:left w:val="nil"/>
              <w:bottom w:val="single" w:sz="4" w:space="0" w:color="auto"/>
              <w:right w:val="nil"/>
            </w:tcBorders>
          </w:tcPr>
          <w:p w:rsidR="005C5A75" w:rsidRPr="005C5A75" w:rsidRDefault="005C5A75" w:rsidP="005C5A75">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5C5A75" w:rsidRPr="005C5A75" w:rsidRDefault="005C5A75" w:rsidP="005C5A75">
            <w:pPr>
              <w:spacing w:before="116" w:after="44"/>
              <w:jc w:val="right"/>
            </w:pPr>
            <w:r w:rsidRPr="005C5A75">
              <w:t>43.56%</w:t>
            </w:r>
          </w:p>
        </w:tc>
      </w:tr>
    </w:tbl>
    <w:p w:rsidR="007D61E2" w:rsidRDefault="007D61E2" w:rsidP="005C5A75">
      <w:pPr>
        <w:spacing w:after="240"/>
        <w:jc w:val="both"/>
        <w:outlineLvl w:val="0"/>
      </w:pPr>
    </w:p>
    <w:p w:rsidR="005C5A75" w:rsidRPr="00BE2CE4" w:rsidRDefault="00BE2CE4" w:rsidP="005C5A75">
      <w:pPr>
        <w:spacing w:after="240"/>
        <w:jc w:val="both"/>
        <w:rPr>
          <w:u w:val="single"/>
        </w:rPr>
      </w:pPr>
      <w:r w:rsidRPr="00BE2CE4">
        <w:rPr>
          <w:bCs/>
          <w:kern w:val="32"/>
          <w:szCs w:val="32"/>
          <w:u w:val="single"/>
        </w:rPr>
        <w:t>8. Rates and Rate Structure</w:t>
      </w:r>
    </w:p>
    <w:p w:rsidR="005C5A75" w:rsidRPr="005C5A75" w:rsidRDefault="005C5A75" w:rsidP="00BE2CE4">
      <w:pPr>
        <w:spacing w:after="240"/>
        <w:ind w:firstLine="720"/>
        <w:jc w:val="both"/>
      </w:pPr>
      <w:r w:rsidRPr="005C5A75">
        <w:t>Pine Harbour is located in Lake County within the SJRWMD and provides water service to approximately 62 residential and 2 general service customers. Approximately 5.23 percent of the residential monthly customer bills during the test year had zero gallons indicating a non-seasonal customer base. The average residential water demand is 5,608 gallons per month. The Utility’s current water system rate structure for residential customers consists of a base facility charge (BFC) based on meter size and a gallonage charge of $2.17 per 1,000 gallons. The Utility currently does not have any general service rates and has been charging its two general service customers its Commission-approved rates for residential service.</w:t>
      </w:r>
    </w:p>
    <w:p w:rsidR="005C5A75" w:rsidRPr="005C5A75" w:rsidRDefault="00BE2CE4" w:rsidP="00BE2CE4">
      <w:pPr>
        <w:ind w:firstLine="720"/>
        <w:jc w:val="both"/>
      </w:pPr>
      <w:r>
        <w:lastRenderedPageBreak/>
        <w:t>We</w:t>
      </w:r>
      <w:r w:rsidR="005C5A75" w:rsidRPr="005C5A75">
        <w:t xml:space="preserve">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w:t>
      </w:r>
      <w:r>
        <w:t>our</w:t>
      </w:r>
      <w:r w:rsidR="005C5A75" w:rsidRPr="005C5A75">
        <w:t xml:space="preserve"> practice.</w:t>
      </w:r>
    </w:p>
    <w:p w:rsidR="005C5A75" w:rsidRPr="005C5A75" w:rsidRDefault="005C5A75" w:rsidP="005C5A75">
      <w:pPr>
        <w:jc w:val="both"/>
      </w:pPr>
    </w:p>
    <w:p w:rsidR="005C5A75" w:rsidRPr="005C5A75" w:rsidRDefault="00F94E7B" w:rsidP="005C5A75">
      <w:pPr>
        <w:jc w:val="both"/>
      </w:pPr>
      <w:r>
        <w:tab/>
      </w:r>
      <w:r w:rsidR="005C5A75" w:rsidRPr="005C5A75">
        <w:t xml:space="preserve">In order to design gallonage charges that will send the appropriate pricing signals to target non-discretionary usage, </w:t>
      </w:r>
      <w:r w:rsidR="00BE2CE4">
        <w:t>we find that</w:t>
      </w:r>
      <w:r w:rsidR="005C5A75" w:rsidRPr="005C5A75">
        <w:t xml:space="preserve"> 43 percent of the revenue requirement sh</w:t>
      </w:r>
      <w:r w:rsidR="00BE2CE4">
        <w:t>all</w:t>
      </w:r>
      <w:r w:rsidR="005C5A75" w:rsidRPr="005C5A75">
        <w:t xml:space="preserve"> be recovered through the BFC to reflect the non-seasonal customer base and avoid a reduction to the current BFC. The average number of people per household served by the water system is 2.5; therefore, based on the number of persons per household, 50 gallons per day per person, and the number of days per month, the non-discretionary usage threshold should be 4,000 gallons per month. </w:t>
      </w:r>
      <w:r w:rsidR="00BE2CE4">
        <w:t>We hereby approve</w:t>
      </w:r>
      <w:r w:rsidR="005C5A75" w:rsidRPr="005C5A75">
        <w:t xml:space="preserve"> a BFC and a two-tier gallonage charge rate structure for residential customers. The rate tiers sh</w:t>
      </w:r>
      <w:r w:rsidR="00BE2CE4">
        <w:t>all</w:t>
      </w:r>
      <w:r w:rsidR="005C5A75" w:rsidRPr="005C5A75">
        <w:t xml:space="preserve"> be: (1) 0-4,000 gallons and (2) all usage in excess of 4,000 gallons per month. </w:t>
      </w:r>
      <w:r w:rsidR="00BE2CE4">
        <w:t>We find</w:t>
      </w:r>
      <w:r w:rsidR="005C5A75" w:rsidRPr="005C5A75">
        <w:t xml:space="preserve"> that transitioning the Utility from a uniform gallonage charge to a two-tier gallonage rate structure for residential customers will encourage water conservation and mitigate the impact of the recommended revenue requirement increase for customers using 4,000 gallons of water or less per month. Further, </w:t>
      </w:r>
      <w:r w:rsidR="00BE2CE4">
        <w:t>we hereby approve</w:t>
      </w:r>
      <w:r w:rsidR="005C5A75" w:rsidRPr="005C5A75">
        <w:t xml:space="preserve"> a BFC and uniform gallonage charge rate structure for general service customers as shown in Schedule No. 4.</w:t>
      </w:r>
    </w:p>
    <w:p w:rsidR="005C5A75" w:rsidRPr="005C5A75" w:rsidRDefault="005C5A75" w:rsidP="005C5A75">
      <w:pPr>
        <w:jc w:val="both"/>
      </w:pPr>
    </w:p>
    <w:p w:rsidR="005C5A75" w:rsidRPr="005C5A75" w:rsidRDefault="00F94E7B" w:rsidP="005C5A75">
      <w:pPr>
        <w:jc w:val="both"/>
        <w:rPr>
          <w:color w:val="1F497D"/>
        </w:rPr>
      </w:pPr>
      <w:r>
        <w:tab/>
      </w:r>
      <w:r w:rsidR="005C5A75" w:rsidRPr="005C5A75">
        <w:t xml:space="preserve">Based on the </w:t>
      </w:r>
      <w:r w:rsidR="00BE2CE4">
        <w:t>approved</w:t>
      </w:r>
      <w:r w:rsidR="005C5A75" w:rsidRPr="005C5A75">
        <w:t xml:space="preserve"> revenue increase of approximately 43.56 percent, the residential consumption can be expected to decline by 681,000 gallons resulting in anticipated average residential demand of 4,717 gallons per month. </w:t>
      </w:r>
      <w:r w:rsidR="00BE2CE4">
        <w:t>We hereby approve</w:t>
      </w:r>
      <w:r w:rsidR="005C5A75" w:rsidRPr="005C5A75">
        <w:t xml:space="preserve"> a 15.9 percent reduction in total test year residential gallons for rate setting purposes and corresponding reductions of $133 for purchased power, $77 for chemicals, and $10 for RAFs to reflect anticipated repression. These adjustments result in a post repression revenue requirement of $33,204.</w:t>
      </w:r>
      <w:r w:rsidR="005C5A75" w:rsidRPr="005C5A75">
        <w:rPr>
          <w:color w:val="1F497D"/>
        </w:rPr>
        <w:t xml:space="preserve"> </w:t>
      </w:r>
    </w:p>
    <w:p w:rsidR="00117529" w:rsidRDefault="00117529"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A941D3" w:rsidRDefault="00A941D3" w:rsidP="005C5A75">
      <w:pPr>
        <w:jc w:val="center"/>
        <w:rPr>
          <w:b/>
        </w:rPr>
      </w:pPr>
    </w:p>
    <w:p w:rsidR="005C5A75" w:rsidRPr="00BE2CE4" w:rsidRDefault="005C5A75" w:rsidP="005C5A75">
      <w:pPr>
        <w:jc w:val="center"/>
        <w:rPr>
          <w:b/>
        </w:rPr>
      </w:pPr>
      <w:r w:rsidRPr="00BE2CE4">
        <w:rPr>
          <w:b/>
        </w:rPr>
        <w:lastRenderedPageBreak/>
        <w:t xml:space="preserve">Table </w:t>
      </w:r>
      <w:r w:rsidR="00BE2CE4" w:rsidRPr="00BE2CE4">
        <w:rPr>
          <w:b/>
        </w:rPr>
        <w:t>4</w:t>
      </w:r>
    </w:p>
    <w:p w:rsidR="005C5A75" w:rsidRPr="00BE2CE4" w:rsidRDefault="005C5A75" w:rsidP="005C5A75">
      <w:pPr>
        <w:jc w:val="center"/>
      </w:pPr>
      <w:r w:rsidRPr="00BE2CE4">
        <w:rPr>
          <w:b/>
        </w:rPr>
        <w:t>Water Rate Structures and Rates</w:t>
      </w:r>
    </w:p>
    <w:tbl>
      <w:tblPr>
        <w:tblW w:w="5928"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60"/>
        <w:gridCol w:w="1885"/>
        <w:gridCol w:w="12"/>
      </w:tblGrid>
      <w:tr w:rsidR="00117529" w:rsidRPr="005C5A75" w:rsidTr="00117529">
        <w:trPr>
          <w:gridAfter w:val="1"/>
          <w:wAfter w:w="12" w:type="dxa"/>
          <w:trHeight w:val="262"/>
          <w:jc w:val="center"/>
        </w:trPr>
        <w:tc>
          <w:tcPr>
            <w:tcW w:w="2271" w:type="dxa"/>
            <w:tcBorders>
              <w:top w:val="single" w:sz="4" w:space="0" w:color="auto"/>
              <w:left w:val="single" w:sz="4" w:space="0" w:color="auto"/>
              <w:bottom w:val="nil"/>
              <w:right w:val="nil"/>
            </w:tcBorders>
            <w:shd w:val="clear" w:color="000000" w:fill="auto"/>
            <w:noWrap/>
            <w:vAlign w:val="bottom"/>
            <w:hideMark/>
          </w:tcPr>
          <w:p w:rsidR="00117529" w:rsidRPr="005C5A75" w:rsidRDefault="00117529" w:rsidP="005C5A75">
            <w:pPr>
              <w:rPr>
                <w:b/>
                <w:bCs/>
                <w:sz w:val="20"/>
                <w:szCs w:val="20"/>
              </w:rPr>
            </w:pPr>
            <w:r w:rsidRPr="005C5A75">
              <w:rPr>
                <w:b/>
                <w:bCs/>
                <w:sz w:val="20"/>
                <w:szCs w:val="20"/>
              </w:rPr>
              <w:t> </w:t>
            </w:r>
          </w:p>
        </w:tc>
        <w:tc>
          <w:tcPr>
            <w:tcW w:w="1760" w:type="dxa"/>
            <w:tcBorders>
              <w:top w:val="single" w:sz="4" w:space="0" w:color="auto"/>
              <w:left w:val="nil"/>
              <w:bottom w:val="nil"/>
              <w:right w:val="nil"/>
            </w:tcBorders>
            <w:shd w:val="clear" w:color="000000" w:fill="auto"/>
            <w:noWrap/>
            <w:vAlign w:val="bottom"/>
          </w:tcPr>
          <w:p w:rsidR="00117529" w:rsidRPr="005C5A75" w:rsidRDefault="00117529" w:rsidP="005C5A75">
            <w:pPr>
              <w:jc w:val="center"/>
              <w:rPr>
                <w:b/>
                <w:bCs/>
                <w:color w:val="000000"/>
                <w:sz w:val="20"/>
                <w:szCs w:val="20"/>
              </w:rPr>
            </w:pPr>
          </w:p>
        </w:tc>
        <w:tc>
          <w:tcPr>
            <w:tcW w:w="1885" w:type="dxa"/>
            <w:tcBorders>
              <w:top w:val="single" w:sz="4" w:space="0" w:color="auto"/>
              <w:left w:val="nil"/>
              <w:bottom w:val="nil"/>
              <w:right w:val="single" w:sz="4" w:space="0" w:color="auto"/>
            </w:tcBorders>
            <w:shd w:val="clear" w:color="000000" w:fill="auto"/>
            <w:noWrap/>
            <w:vAlign w:val="bottom"/>
          </w:tcPr>
          <w:p w:rsidR="00117529" w:rsidRPr="005C5A75" w:rsidRDefault="00117529" w:rsidP="005C5A75">
            <w:pPr>
              <w:jc w:val="center"/>
              <w:rPr>
                <w:b/>
                <w:bCs/>
                <w:color w:val="000000"/>
                <w:sz w:val="20"/>
                <w:szCs w:val="20"/>
              </w:rPr>
            </w:pPr>
            <w:r>
              <w:rPr>
                <w:b/>
                <w:bCs/>
                <w:color w:val="000000"/>
                <w:sz w:val="20"/>
                <w:szCs w:val="20"/>
              </w:rPr>
              <w:t>COMMISSION</w:t>
            </w:r>
          </w:p>
        </w:tc>
      </w:tr>
      <w:tr w:rsidR="00117529" w:rsidRPr="005C5A75" w:rsidTr="00117529">
        <w:trPr>
          <w:gridAfter w:val="1"/>
          <w:wAfter w:w="12" w:type="dxa"/>
          <w:trHeight w:val="262"/>
          <w:jc w:val="center"/>
        </w:trPr>
        <w:tc>
          <w:tcPr>
            <w:tcW w:w="2271" w:type="dxa"/>
            <w:tcBorders>
              <w:top w:val="nil"/>
              <w:left w:val="single" w:sz="4" w:space="0" w:color="auto"/>
              <w:bottom w:val="nil"/>
              <w:right w:val="nil"/>
            </w:tcBorders>
            <w:shd w:val="clear" w:color="000000" w:fill="auto"/>
            <w:noWrap/>
            <w:vAlign w:val="bottom"/>
            <w:hideMark/>
          </w:tcPr>
          <w:p w:rsidR="00117529" w:rsidRPr="005C5A75" w:rsidRDefault="00117529" w:rsidP="005C5A75">
            <w:pPr>
              <w:rPr>
                <w:b/>
                <w:bCs/>
                <w:sz w:val="20"/>
                <w:szCs w:val="20"/>
                <w:u w:val="single"/>
              </w:rPr>
            </w:pPr>
          </w:p>
        </w:tc>
        <w:tc>
          <w:tcPr>
            <w:tcW w:w="1760" w:type="dxa"/>
            <w:tcBorders>
              <w:top w:val="nil"/>
              <w:left w:val="nil"/>
              <w:bottom w:val="nil"/>
              <w:right w:val="nil"/>
            </w:tcBorders>
            <w:shd w:val="clear" w:color="000000" w:fill="auto"/>
            <w:noWrap/>
            <w:vAlign w:val="bottom"/>
          </w:tcPr>
          <w:p w:rsidR="00117529" w:rsidRPr="005C5A75" w:rsidRDefault="00117529" w:rsidP="005C5A75">
            <w:pPr>
              <w:jc w:val="center"/>
              <w:rPr>
                <w:b/>
                <w:bCs/>
                <w:color w:val="000000"/>
                <w:sz w:val="20"/>
                <w:szCs w:val="20"/>
              </w:rPr>
            </w:pPr>
            <w:r w:rsidRPr="005C5A75">
              <w:rPr>
                <w:b/>
                <w:bCs/>
                <w:color w:val="000000"/>
                <w:sz w:val="20"/>
                <w:szCs w:val="20"/>
              </w:rPr>
              <w:t>RATES AT</w:t>
            </w:r>
          </w:p>
        </w:tc>
        <w:tc>
          <w:tcPr>
            <w:tcW w:w="1885" w:type="dxa"/>
            <w:tcBorders>
              <w:top w:val="nil"/>
              <w:left w:val="nil"/>
              <w:bottom w:val="nil"/>
              <w:right w:val="single" w:sz="4" w:space="0" w:color="auto"/>
            </w:tcBorders>
            <w:shd w:val="clear" w:color="000000" w:fill="auto"/>
            <w:noWrap/>
            <w:vAlign w:val="bottom"/>
          </w:tcPr>
          <w:p w:rsidR="00117529" w:rsidRPr="005C5A75" w:rsidRDefault="00117529" w:rsidP="005C5A75">
            <w:pPr>
              <w:jc w:val="center"/>
              <w:rPr>
                <w:b/>
                <w:bCs/>
                <w:color w:val="000000"/>
                <w:sz w:val="20"/>
                <w:szCs w:val="20"/>
              </w:rPr>
            </w:pPr>
            <w:r>
              <w:rPr>
                <w:b/>
                <w:bCs/>
                <w:color w:val="000000"/>
                <w:sz w:val="20"/>
                <w:szCs w:val="20"/>
              </w:rPr>
              <w:t>APPROVED</w:t>
            </w:r>
          </w:p>
        </w:tc>
      </w:tr>
      <w:tr w:rsidR="00117529" w:rsidRPr="005C5A75" w:rsidTr="00117529">
        <w:trPr>
          <w:gridAfter w:val="1"/>
          <w:wAfter w:w="12" w:type="dxa"/>
          <w:trHeight w:val="275"/>
          <w:jc w:val="center"/>
        </w:trPr>
        <w:tc>
          <w:tcPr>
            <w:tcW w:w="2271" w:type="dxa"/>
            <w:tcBorders>
              <w:top w:val="nil"/>
              <w:left w:val="single" w:sz="4" w:space="0" w:color="auto"/>
              <w:bottom w:val="nil"/>
              <w:right w:val="nil"/>
            </w:tcBorders>
            <w:shd w:val="clear" w:color="000000" w:fill="auto"/>
            <w:noWrap/>
            <w:vAlign w:val="bottom"/>
            <w:hideMark/>
          </w:tcPr>
          <w:p w:rsidR="00117529" w:rsidRPr="005C5A75" w:rsidRDefault="00117529" w:rsidP="005C5A75">
            <w:pPr>
              <w:rPr>
                <w:b/>
                <w:bCs/>
                <w:sz w:val="20"/>
                <w:szCs w:val="20"/>
                <w:u w:val="single"/>
              </w:rPr>
            </w:pPr>
          </w:p>
        </w:tc>
        <w:tc>
          <w:tcPr>
            <w:tcW w:w="1760" w:type="dxa"/>
            <w:tcBorders>
              <w:top w:val="nil"/>
              <w:left w:val="nil"/>
              <w:bottom w:val="nil"/>
              <w:right w:val="nil"/>
            </w:tcBorders>
            <w:shd w:val="clear" w:color="000000" w:fill="auto"/>
            <w:noWrap/>
            <w:vAlign w:val="bottom"/>
          </w:tcPr>
          <w:p w:rsidR="00117529" w:rsidRPr="005C5A75" w:rsidRDefault="00117529" w:rsidP="005C5A75">
            <w:pPr>
              <w:jc w:val="center"/>
              <w:rPr>
                <w:b/>
                <w:bCs/>
                <w:color w:val="000000"/>
                <w:sz w:val="20"/>
                <w:szCs w:val="20"/>
              </w:rPr>
            </w:pPr>
            <w:r w:rsidRPr="005C5A75">
              <w:rPr>
                <w:b/>
                <w:bCs/>
                <w:color w:val="000000"/>
                <w:sz w:val="20"/>
                <w:szCs w:val="20"/>
              </w:rPr>
              <w:t>TIME OF</w:t>
            </w:r>
          </w:p>
        </w:tc>
        <w:tc>
          <w:tcPr>
            <w:tcW w:w="1885" w:type="dxa"/>
            <w:tcBorders>
              <w:top w:val="nil"/>
              <w:left w:val="nil"/>
              <w:bottom w:val="nil"/>
              <w:right w:val="single" w:sz="4" w:space="0" w:color="auto"/>
            </w:tcBorders>
            <w:shd w:val="clear" w:color="000000" w:fill="auto"/>
            <w:noWrap/>
            <w:vAlign w:val="bottom"/>
          </w:tcPr>
          <w:p w:rsidR="00117529" w:rsidRPr="005C5A75" w:rsidRDefault="00117529" w:rsidP="005C5A75">
            <w:pPr>
              <w:jc w:val="center"/>
              <w:rPr>
                <w:b/>
                <w:bCs/>
                <w:color w:val="000000"/>
                <w:sz w:val="20"/>
                <w:szCs w:val="20"/>
              </w:rPr>
            </w:pPr>
            <w:r w:rsidRPr="005C5A75">
              <w:rPr>
                <w:b/>
                <w:bCs/>
                <w:color w:val="000000"/>
                <w:sz w:val="20"/>
                <w:szCs w:val="20"/>
              </w:rPr>
              <w:t>RATES</w:t>
            </w:r>
          </w:p>
        </w:tc>
      </w:tr>
      <w:tr w:rsidR="00117529" w:rsidRPr="005C5A75" w:rsidTr="00117529">
        <w:trPr>
          <w:gridAfter w:val="1"/>
          <w:wAfter w:w="12" w:type="dxa"/>
          <w:trHeight w:val="275"/>
          <w:jc w:val="center"/>
        </w:trPr>
        <w:tc>
          <w:tcPr>
            <w:tcW w:w="2271" w:type="dxa"/>
            <w:tcBorders>
              <w:top w:val="nil"/>
              <w:left w:val="single" w:sz="4" w:space="0" w:color="auto"/>
              <w:bottom w:val="single" w:sz="4" w:space="0" w:color="auto"/>
              <w:right w:val="nil"/>
            </w:tcBorders>
            <w:shd w:val="clear" w:color="000000" w:fill="auto"/>
            <w:noWrap/>
            <w:vAlign w:val="bottom"/>
          </w:tcPr>
          <w:p w:rsidR="00117529" w:rsidRPr="005C5A75" w:rsidRDefault="00117529" w:rsidP="005C5A75">
            <w:pPr>
              <w:rPr>
                <w:b/>
                <w:bCs/>
                <w:sz w:val="20"/>
                <w:szCs w:val="20"/>
                <w:u w:val="single"/>
              </w:rPr>
            </w:pPr>
          </w:p>
        </w:tc>
        <w:tc>
          <w:tcPr>
            <w:tcW w:w="1760" w:type="dxa"/>
            <w:tcBorders>
              <w:top w:val="nil"/>
              <w:left w:val="nil"/>
              <w:bottom w:val="single" w:sz="4" w:space="0" w:color="auto"/>
              <w:right w:val="nil"/>
            </w:tcBorders>
            <w:shd w:val="clear" w:color="000000" w:fill="auto"/>
            <w:noWrap/>
            <w:vAlign w:val="bottom"/>
          </w:tcPr>
          <w:p w:rsidR="00117529" w:rsidRPr="005C5A75" w:rsidRDefault="00117529" w:rsidP="005C5A75">
            <w:pPr>
              <w:jc w:val="center"/>
              <w:rPr>
                <w:b/>
                <w:bCs/>
                <w:color w:val="000000"/>
                <w:sz w:val="20"/>
                <w:szCs w:val="20"/>
              </w:rPr>
            </w:pPr>
            <w:r w:rsidRPr="005C5A75">
              <w:rPr>
                <w:b/>
                <w:bCs/>
                <w:color w:val="000000"/>
                <w:sz w:val="20"/>
                <w:szCs w:val="20"/>
              </w:rPr>
              <w:t>FILING</w:t>
            </w:r>
          </w:p>
        </w:tc>
        <w:tc>
          <w:tcPr>
            <w:tcW w:w="1885" w:type="dxa"/>
            <w:tcBorders>
              <w:top w:val="nil"/>
              <w:left w:val="nil"/>
              <w:bottom w:val="single" w:sz="4" w:space="0" w:color="auto"/>
              <w:right w:val="single" w:sz="4" w:space="0" w:color="auto"/>
            </w:tcBorders>
            <w:shd w:val="clear" w:color="000000" w:fill="auto"/>
            <w:noWrap/>
            <w:vAlign w:val="bottom"/>
          </w:tcPr>
          <w:p w:rsidR="00117529" w:rsidRPr="005C5A75" w:rsidRDefault="00117529" w:rsidP="005C5A75">
            <w:pPr>
              <w:jc w:val="center"/>
              <w:rPr>
                <w:b/>
                <w:bCs/>
                <w:color w:val="000000"/>
                <w:sz w:val="20"/>
                <w:szCs w:val="20"/>
              </w:rPr>
            </w:pPr>
            <w:r w:rsidRPr="005C5A75">
              <w:rPr>
                <w:b/>
                <w:bCs/>
                <w:color w:val="000000"/>
                <w:sz w:val="20"/>
                <w:szCs w:val="20"/>
              </w:rPr>
              <w:t>(43% BFC)</w:t>
            </w:r>
          </w:p>
        </w:tc>
      </w:tr>
      <w:tr w:rsidR="005C5A75" w:rsidRPr="005C5A75" w:rsidTr="00117529">
        <w:trPr>
          <w:trHeight w:val="262"/>
          <w:jc w:val="center"/>
        </w:trPr>
        <w:tc>
          <w:tcPr>
            <w:tcW w:w="5928" w:type="dxa"/>
            <w:gridSpan w:val="4"/>
            <w:tcBorders>
              <w:top w:val="single" w:sz="4" w:space="0" w:color="auto"/>
            </w:tcBorders>
            <w:shd w:val="clear" w:color="auto" w:fill="auto"/>
            <w:noWrap/>
            <w:vAlign w:val="bottom"/>
            <w:hideMark/>
          </w:tcPr>
          <w:p w:rsidR="005C5A75" w:rsidRPr="005C5A75" w:rsidRDefault="005C5A75" w:rsidP="005C5A75">
            <w:pPr>
              <w:rPr>
                <w:b/>
                <w:bCs/>
                <w:color w:val="000000"/>
                <w:sz w:val="20"/>
                <w:szCs w:val="20"/>
              </w:rPr>
            </w:pPr>
            <w:r w:rsidRPr="005C5A75">
              <w:rPr>
                <w:b/>
                <w:bCs/>
                <w:color w:val="000000"/>
                <w:sz w:val="20"/>
                <w:szCs w:val="20"/>
                <w:u w:val="single"/>
              </w:rPr>
              <w:t>Residential</w:t>
            </w:r>
          </w:p>
        </w:tc>
      </w:tr>
      <w:tr w:rsidR="00BE2CE4" w:rsidRPr="005C5A75" w:rsidTr="00117529">
        <w:trPr>
          <w:gridAfter w:val="1"/>
          <w:wAfter w:w="12" w:type="dxa"/>
          <w:trHeight w:val="262"/>
          <w:jc w:val="center"/>
        </w:trPr>
        <w:tc>
          <w:tcPr>
            <w:tcW w:w="2271" w:type="dxa"/>
            <w:shd w:val="clear" w:color="auto" w:fill="auto"/>
            <w:noWrap/>
            <w:vAlign w:val="bottom"/>
            <w:hideMark/>
          </w:tcPr>
          <w:p w:rsidR="00BE2CE4" w:rsidRPr="005C5A75" w:rsidRDefault="00BE2CE4" w:rsidP="005C5A75">
            <w:pPr>
              <w:rPr>
                <w:color w:val="000000"/>
                <w:sz w:val="20"/>
                <w:szCs w:val="20"/>
              </w:rPr>
            </w:pPr>
            <w:r w:rsidRPr="005C5A75">
              <w:rPr>
                <w:color w:val="000000"/>
                <w:sz w:val="20"/>
                <w:szCs w:val="20"/>
              </w:rPr>
              <w:t>5/8” x 3/4”  Meter Size</w:t>
            </w:r>
          </w:p>
        </w:tc>
        <w:tc>
          <w:tcPr>
            <w:tcW w:w="1760" w:type="dxa"/>
            <w:shd w:val="clear" w:color="auto" w:fill="auto"/>
            <w:noWrap/>
            <w:vAlign w:val="bottom"/>
            <w:hideMark/>
          </w:tcPr>
          <w:p w:rsidR="00BE2CE4" w:rsidRPr="005C5A75" w:rsidRDefault="00BE2CE4" w:rsidP="005C5A75">
            <w:pPr>
              <w:jc w:val="right"/>
              <w:rPr>
                <w:color w:val="000000"/>
                <w:sz w:val="20"/>
                <w:szCs w:val="20"/>
              </w:rPr>
            </w:pPr>
            <w:r w:rsidRPr="005C5A75">
              <w:rPr>
                <w:color w:val="000000"/>
                <w:sz w:val="20"/>
                <w:szCs w:val="20"/>
              </w:rPr>
              <w:t>$17.28</w:t>
            </w:r>
          </w:p>
        </w:tc>
        <w:tc>
          <w:tcPr>
            <w:tcW w:w="1885" w:type="dxa"/>
            <w:shd w:val="clear" w:color="auto" w:fill="auto"/>
            <w:noWrap/>
            <w:vAlign w:val="bottom"/>
          </w:tcPr>
          <w:p w:rsidR="00BE2CE4" w:rsidRPr="005C5A75" w:rsidRDefault="00BE2CE4" w:rsidP="005C5A75">
            <w:pPr>
              <w:jc w:val="right"/>
              <w:rPr>
                <w:color w:val="000000"/>
                <w:sz w:val="20"/>
                <w:szCs w:val="20"/>
              </w:rPr>
            </w:pPr>
            <w:r w:rsidRPr="005C5A75">
              <w:rPr>
                <w:color w:val="000000"/>
                <w:sz w:val="20"/>
                <w:szCs w:val="20"/>
              </w:rPr>
              <w:t>$17.78</w:t>
            </w:r>
          </w:p>
        </w:tc>
      </w:tr>
      <w:tr w:rsidR="00BE2CE4" w:rsidRPr="005C5A75" w:rsidTr="00117529">
        <w:trPr>
          <w:gridAfter w:val="1"/>
          <w:wAfter w:w="12" w:type="dxa"/>
          <w:trHeight w:val="262"/>
          <w:jc w:val="center"/>
        </w:trPr>
        <w:tc>
          <w:tcPr>
            <w:tcW w:w="2271" w:type="dxa"/>
            <w:shd w:val="clear" w:color="auto" w:fill="auto"/>
            <w:noWrap/>
            <w:vAlign w:val="bottom"/>
            <w:hideMark/>
          </w:tcPr>
          <w:p w:rsidR="00BE2CE4" w:rsidRPr="005C5A75" w:rsidRDefault="00BE2CE4" w:rsidP="005C5A75">
            <w:pPr>
              <w:rPr>
                <w:color w:val="000000"/>
                <w:sz w:val="20"/>
                <w:szCs w:val="20"/>
              </w:rPr>
            </w:pPr>
            <w:r w:rsidRPr="005C5A75">
              <w:rPr>
                <w:color w:val="000000"/>
                <w:sz w:val="20"/>
                <w:szCs w:val="20"/>
              </w:rPr>
              <w:t> </w:t>
            </w:r>
          </w:p>
        </w:tc>
        <w:tc>
          <w:tcPr>
            <w:tcW w:w="1760" w:type="dxa"/>
            <w:shd w:val="clear" w:color="auto" w:fill="auto"/>
            <w:noWrap/>
            <w:vAlign w:val="bottom"/>
            <w:hideMark/>
          </w:tcPr>
          <w:p w:rsidR="00BE2CE4" w:rsidRPr="005C5A75" w:rsidRDefault="00BE2CE4" w:rsidP="005C5A75">
            <w:pPr>
              <w:jc w:val="right"/>
              <w:rPr>
                <w:color w:val="000000"/>
                <w:sz w:val="20"/>
                <w:szCs w:val="20"/>
              </w:rPr>
            </w:pPr>
          </w:p>
        </w:tc>
        <w:tc>
          <w:tcPr>
            <w:tcW w:w="1885" w:type="dxa"/>
            <w:shd w:val="clear" w:color="auto" w:fill="auto"/>
            <w:noWrap/>
            <w:vAlign w:val="bottom"/>
            <w:hideMark/>
          </w:tcPr>
          <w:p w:rsidR="00BE2CE4" w:rsidRPr="005C5A75" w:rsidRDefault="00BE2CE4" w:rsidP="005C5A75">
            <w:pPr>
              <w:jc w:val="right"/>
              <w:rPr>
                <w:color w:val="000000"/>
                <w:sz w:val="20"/>
                <w:szCs w:val="20"/>
              </w:rPr>
            </w:pPr>
          </w:p>
        </w:tc>
      </w:tr>
      <w:tr w:rsidR="00BE2CE4" w:rsidRPr="005C5A75" w:rsidTr="00117529">
        <w:trPr>
          <w:gridAfter w:val="1"/>
          <w:wAfter w:w="12" w:type="dxa"/>
          <w:trHeight w:val="262"/>
          <w:jc w:val="center"/>
        </w:trPr>
        <w:tc>
          <w:tcPr>
            <w:tcW w:w="2271" w:type="dxa"/>
            <w:shd w:val="clear" w:color="auto" w:fill="auto"/>
            <w:noWrap/>
            <w:vAlign w:val="bottom"/>
          </w:tcPr>
          <w:p w:rsidR="00BE2CE4" w:rsidRPr="005C5A75" w:rsidRDefault="00BE2CE4" w:rsidP="005C5A75">
            <w:pPr>
              <w:rPr>
                <w:color w:val="000000"/>
                <w:sz w:val="20"/>
                <w:szCs w:val="20"/>
              </w:rPr>
            </w:pPr>
            <w:r w:rsidRPr="005C5A75">
              <w:rPr>
                <w:color w:val="000000"/>
                <w:sz w:val="20"/>
                <w:szCs w:val="20"/>
              </w:rPr>
              <w:t>Charge per 1,000 gallons</w:t>
            </w:r>
          </w:p>
        </w:tc>
        <w:tc>
          <w:tcPr>
            <w:tcW w:w="1760" w:type="dxa"/>
            <w:shd w:val="clear" w:color="auto" w:fill="auto"/>
            <w:noWrap/>
            <w:vAlign w:val="bottom"/>
          </w:tcPr>
          <w:p w:rsidR="00BE2CE4" w:rsidRPr="005C5A75" w:rsidRDefault="00BE2CE4" w:rsidP="005C5A75">
            <w:pPr>
              <w:jc w:val="right"/>
              <w:rPr>
                <w:color w:val="000000"/>
                <w:sz w:val="20"/>
                <w:szCs w:val="20"/>
              </w:rPr>
            </w:pPr>
            <w:r w:rsidRPr="005C5A75">
              <w:rPr>
                <w:color w:val="000000"/>
                <w:sz w:val="20"/>
                <w:szCs w:val="20"/>
              </w:rPr>
              <w:t>$2.17</w:t>
            </w:r>
          </w:p>
        </w:tc>
        <w:tc>
          <w:tcPr>
            <w:tcW w:w="1885" w:type="dxa"/>
            <w:shd w:val="clear" w:color="auto" w:fill="auto"/>
            <w:noWrap/>
            <w:vAlign w:val="bottom"/>
          </w:tcPr>
          <w:p w:rsidR="00BE2CE4" w:rsidRPr="005C5A75" w:rsidRDefault="00BE2CE4" w:rsidP="005C5A75">
            <w:pPr>
              <w:jc w:val="right"/>
              <w:rPr>
                <w:color w:val="000000"/>
                <w:sz w:val="20"/>
                <w:szCs w:val="20"/>
              </w:rPr>
            </w:pPr>
          </w:p>
        </w:tc>
      </w:tr>
      <w:tr w:rsidR="00BE2CE4" w:rsidRPr="005C5A75" w:rsidTr="00117529">
        <w:trPr>
          <w:gridAfter w:val="1"/>
          <w:wAfter w:w="12" w:type="dxa"/>
          <w:trHeight w:val="262"/>
          <w:jc w:val="center"/>
        </w:trPr>
        <w:tc>
          <w:tcPr>
            <w:tcW w:w="2271" w:type="dxa"/>
            <w:shd w:val="clear" w:color="auto" w:fill="auto"/>
            <w:noWrap/>
            <w:vAlign w:val="bottom"/>
          </w:tcPr>
          <w:p w:rsidR="00BE2CE4" w:rsidRPr="005C5A75" w:rsidRDefault="00BE2CE4" w:rsidP="005C5A75">
            <w:pPr>
              <w:rPr>
                <w:color w:val="000000"/>
                <w:sz w:val="20"/>
                <w:szCs w:val="20"/>
              </w:rPr>
            </w:pPr>
          </w:p>
        </w:tc>
        <w:tc>
          <w:tcPr>
            <w:tcW w:w="1760" w:type="dxa"/>
            <w:shd w:val="clear" w:color="auto" w:fill="auto"/>
            <w:noWrap/>
            <w:vAlign w:val="bottom"/>
          </w:tcPr>
          <w:p w:rsidR="00BE2CE4" w:rsidRPr="005C5A75" w:rsidRDefault="00BE2CE4" w:rsidP="005C5A75">
            <w:pPr>
              <w:jc w:val="right"/>
              <w:rPr>
                <w:color w:val="000000"/>
                <w:sz w:val="20"/>
                <w:szCs w:val="20"/>
              </w:rPr>
            </w:pPr>
          </w:p>
        </w:tc>
        <w:tc>
          <w:tcPr>
            <w:tcW w:w="1885" w:type="dxa"/>
            <w:shd w:val="clear" w:color="auto" w:fill="auto"/>
            <w:noWrap/>
            <w:vAlign w:val="bottom"/>
          </w:tcPr>
          <w:p w:rsidR="00BE2CE4" w:rsidRPr="005C5A75" w:rsidRDefault="00BE2CE4" w:rsidP="005C5A75">
            <w:pPr>
              <w:jc w:val="right"/>
              <w:rPr>
                <w:color w:val="000000"/>
                <w:sz w:val="20"/>
                <w:szCs w:val="20"/>
              </w:rPr>
            </w:pPr>
          </w:p>
        </w:tc>
      </w:tr>
      <w:tr w:rsidR="00BE2CE4" w:rsidRPr="005C5A75" w:rsidTr="00117529">
        <w:trPr>
          <w:gridAfter w:val="1"/>
          <w:wAfter w:w="12" w:type="dxa"/>
          <w:trHeight w:val="262"/>
          <w:jc w:val="center"/>
        </w:trPr>
        <w:tc>
          <w:tcPr>
            <w:tcW w:w="2271" w:type="dxa"/>
            <w:shd w:val="clear" w:color="auto" w:fill="auto"/>
            <w:noWrap/>
            <w:vAlign w:val="bottom"/>
          </w:tcPr>
          <w:p w:rsidR="00BE2CE4" w:rsidRPr="005C5A75" w:rsidRDefault="00BE2CE4" w:rsidP="005C5A75">
            <w:pPr>
              <w:rPr>
                <w:sz w:val="20"/>
                <w:szCs w:val="20"/>
              </w:rPr>
            </w:pPr>
            <w:r w:rsidRPr="005C5A75">
              <w:rPr>
                <w:sz w:val="20"/>
                <w:szCs w:val="20"/>
              </w:rPr>
              <w:t>0-4,000 gallons</w:t>
            </w:r>
          </w:p>
        </w:tc>
        <w:tc>
          <w:tcPr>
            <w:tcW w:w="1760" w:type="dxa"/>
            <w:shd w:val="clear" w:color="auto" w:fill="auto"/>
            <w:noWrap/>
            <w:vAlign w:val="bottom"/>
          </w:tcPr>
          <w:p w:rsidR="00BE2CE4" w:rsidRPr="005C5A75" w:rsidRDefault="00BE2CE4" w:rsidP="005C5A75">
            <w:pPr>
              <w:jc w:val="right"/>
              <w:rPr>
                <w:color w:val="000000"/>
                <w:sz w:val="20"/>
                <w:szCs w:val="20"/>
              </w:rPr>
            </w:pPr>
          </w:p>
        </w:tc>
        <w:tc>
          <w:tcPr>
            <w:tcW w:w="1885" w:type="dxa"/>
            <w:shd w:val="clear" w:color="auto" w:fill="auto"/>
            <w:noWrap/>
            <w:vAlign w:val="bottom"/>
          </w:tcPr>
          <w:p w:rsidR="00BE2CE4" w:rsidRPr="005C5A75" w:rsidRDefault="00BE2CE4" w:rsidP="005C5A75">
            <w:pPr>
              <w:jc w:val="right"/>
              <w:rPr>
                <w:color w:val="000000"/>
                <w:sz w:val="20"/>
                <w:szCs w:val="20"/>
              </w:rPr>
            </w:pPr>
            <w:r w:rsidRPr="005C5A75">
              <w:rPr>
                <w:color w:val="000000"/>
                <w:sz w:val="20"/>
                <w:szCs w:val="20"/>
              </w:rPr>
              <w:t>$4.42</w:t>
            </w:r>
          </w:p>
        </w:tc>
      </w:tr>
      <w:tr w:rsidR="00BE2CE4" w:rsidRPr="005C5A75" w:rsidTr="00117529">
        <w:trPr>
          <w:gridAfter w:val="1"/>
          <w:wAfter w:w="12" w:type="dxa"/>
          <w:trHeight w:val="262"/>
          <w:jc w:val="center"/>
        </w:trPr>
        <w:tc>
          <w:tcPr>
            <w:tcW w:w="2271" w:type="dxa"/>
            <w:shd w:val="clear" w:color="auto" w:fill="auto"/>
            <w:noWrap/>
            <w:vAlign w:val="bottom"/>
          </w:tcPr>
          <w:p w:rsidR="00BE2CE4" w:rsidRPr="005C5A75" w:rsidRDefault="00BE2CE4" w:rsidP="005C5A75">
            <w:pPr>
              <w:rPr>
                <w:sz w:val="20"/>
                <w:szCs w:val="20"/>
              </w:rPr>
            </w:pPr>
            <w:r w:rsidRPr="005C5A75">
              <w:rPr>
                <w:sz w:val="20"/>
                <w:szCs w:val="20"/>
              </w:rPr>
              <w:t>Over 4,000 gallons</w:t>
            </w:r>
          </w:p>
        </w:tc>
        <w:tc>
          <w:tcPr>
            <w:tcW w:w="1760" w:type="dxa"/>
            <w:shd w:val="clear" w:color="auto" w:fill="auto"/>
            <w:noWrap/>
            <w:vAlign w:val="bottom"/>
          </w:tcPr>
          <w:p w:rsidR="00BE2CE4" w:rsidRPr="005C5A75" w:rsidRDefault="00BE2CE4" w:rsidP="005C5A75">
            <w:pPr>
              <w:jc w:val="right"/>
              <w:rPr>
                <w:color w:val="000000"/>
                <w:sz w:val="20"/>
                <w:szCs w:val="20"/>
              </w:rPr>
            </w:pPr>
          </w:p>
        </w:tc>
        <w:tc>
          <w:tcPr>
            <w:tcW w:w="1885" w:type="dxa"/>
            <w:shd w:val="clear" w:color="auto" w:fill="auto"/>
            <w:noWrap/>
            <w:vAlign w:val="bottom"/>
          </w:tcPr>
          <w:p w:rsidR="00BE2CE4" w:rsidRPr="005C5A75" w:rsidRDefault="00BE2CE4" w:rsidP="005C5A75">
            <w:pPr>
              <w:jc w:val="right"/>
              <w:rPr>
                <w:color w:val="000000"/>
                <w:sz w:val="20"/>
                <w:szCs w:val="20"/>
              </w:rPr>
            </w:pPr>
            <w:r w:rsidRPr="005C5A75">
              <w:rPr>
                <w:color w:val="000000"/>
                <w:sz w:val="20"/>
                <w:szCs w:val="20"/>
              </w:rPr>
              <w:t>$6.40</w:t>
            </w:r>
          </w:p>
        </w:tc>
      </w:tr>
      <w:tr w:rsidR="00BE2CE4" w:rsidRPr="005C5A75" w:rsidTr="00117529">
        <w:trPr>
          <w:gridAfter w:val="1"/>
          <w:wAfter w:w="12" w:type="dxa"/>
          <w:trHeight w:val="262"/>
          <w:jc w:val="center"/>
        </w:trPr>
        <w:tc>
          <w:tcPr>
            <w:tcW w:w="2271" w:type="dxa"/>
            <w:shd w:val="clear" w:color="auto" w:fill="auto"/>
            <w:noWrap/>
            <w:vAlign w:val="bottom"/>
          </w:tcPr>
          <w:p w:rsidR="00BE2CE4" w:rsidRPr="005C5A75" w:rsidRDefault="00BE2CE4" w:rsidP="005C5A75">
            <w:pPr>
              <w:rPr>
                <w:sz w:val="20"/>
                <w:szCs w:val="20"/>
              </w:rPr>
            </w:pPr>
          </w:p>
        </w:tc>
        <w:tc>
          <w:tcPr>
            <w:tcW w:w="1760" w:type="dxa"/>
            <w:shd w:val="clear" w:color="auto" w:fill="auto"/>
            <w:noWrap/>
            <w:vAlign w:val="bottom"/>
          </w:tcPr>
          <w:p w:rsidR="00BE2CE4" w:rsidRPr="005C5A75" w:rsidRDefault="00BE2CE4" w:rsidP="005C5A75">
            <w:pPr>
              <w:jc w:val="right"/>
              <w:rPr>
                <w:sz w:val="20"/>
                <w:szCs w:val="20"/>
              </w:rPr>
            </w:pPr>
          </w:p>
        </w:tc>
        <w:tc>
          <w:tcPr>
            <w:tcW w:w="1885" w:type="dxa"/>
            <w:shd w:val="clear" w:color="auto" w:fill="auto"/>
            <w:noWrap/>
            <w:vAlign w:val="bottom"/>
          </w:tcPr>
          <w:p w:rsidR="00BE2CE4" w:rsidRPr="005C5A75" w:rsidRDefault="00BE2CE4" w:rsidP="005C5A75">
            <w:pPr>
              <w:jc w:val="right"/>
              <w:rPr>
                <w:color w:val="000000"/>
                <w:sz w:val="20"/>
                <w:szCs w:val="20"/>
              </w:rPr>
            </w:pPr>
          </w:p>
        </w:tc>
      </w:tr>
      <w:tr w:rsidR="00BE2CE4" w:rsidRPr="005C5A75" w:rsidTr="00117529">
        <w:trPr>
          <w:gridAfter w:val="1"/>
          <w:wAfter w:w="12" w:type="dxa"/>
          <w:trHeight w:val="262"/>
          <w:jc w:val="center"/>
        </w:trPr>
        <w:tc>
          <w:tcPr>
            <w:tcW w:w="2271" w:type="dxa"/>
            <w:shd w:val="clear" w:color="auto" w:fill="auto"/>
            <w:noWrap/>
            <w:vAlign w:val="bottom"/>
          </w:tcPr>
          <w:p w:rsidR="00BE2CE4" w:rsidRPr="005C5A75" w:rsidRDefault="00BE2CE4" w:rsidP="005C5A75">
            <w:pPr>
              <w:rPr>
                <w:sz w:val="20"/>
                <w:szCs w:val="20"/>
              </w:rPr>
            </w:pPr>
            <w:r w:rsidRPr="005C5A75">
              <w:rPr>
                <w:sz w:val="20"/>
                <w:szCs w:val="20"/>
              </w:rPr>
              <w:t>0-5,000 gallons</w:t>
            </w:r>
          </w:p>
        </w:tc>
        <w:tc>
          <w:tcPr>
            <w:tcW w:w="1760" w:type="dxa"/>
            <w:shd w:val="clear" w:color="auto" w:fill="auto"/>
            <w:noWrap/>
            <w:vAlign w:val="bottom"/>
          </w:tcPr>
          <w:p w:rsidR="00BE2CE4" w:rsidRPr="005C5A75" w:rsidRDefault="00BE2CE4" w:rsidP="005C5A75">
            <w:pPr>
              <w:jc w:val="right"/>
              <w:rPr>
                <w:sz w:val="20"/>
                <w:szCs w:val="20"/>
              </w:rPr>
            </w:pPr>
          </w:p>
        </w:tc>
        <w:tc>
          <w:tcPr>
            <w:tcW w:w="1885" w:type="dxa"/>
            <w:shd w:val="clear" w:color="auto" w:fill="auto"/>
            <w:noWrap/>
            <w:vAlign w:val="bottom"/>
          </w:tcPr>
          <w:p w:rsidR="00BE2CE4" w:rsidRPr="005C5A75" w:rsidRDefault="00BE2CE4" w:rsidP="005C5A75">
            <w:pPr>
              <w:jc w:val="right"/>
              <w:rPr>
                <w:color w:val="000000"/>
                <w:sz w:val="20"/>
                <w:szCs w:val="20"/>
              </w:rPr>
            </w:pPr>
          </w:p>
        </w:tc>
      </w:tr>
      <w:tr w:rsidR="00BE2CE4" w:rsidRPr="005C5A75" w:rsidTr="00117529">
        <w:trPr>
          <w:gridAfter w:val="1"/>
          <w:wAfter w:w="12" w:type="dxa"/>
          <w:trHeight w:val="262"/>
          <w:jc w:val="center"/>
        </w:trPr>
        <w:tc>
          <w:tcPr>
            <w:tcW w:w="2271" w:type="dxa"/>
            <w:shd w:val="clear" w:color="auto" w:fill="auto"/>
            <w:noWrap/>
            <w:vAlign w:val="bottom"/>
          </w:tcPr>
          <w:p w:rsidR="00BE2CE4" w:rsidRPr="005C5A75" w:rsidRDefault="00BE2CE4" w:rsidP="005C5A75">
            <w:pPr>
              <w:rPr>
                <w:sz w:val="20"/>
                <w:szCs w:val="20"/>
              </w:rPr>
            </w:pPr>
            <w:r w:rsidRPr="005C5A75">
              <w:rPr>
                <w:sz w:val="20"/>
                <w:szCs w:val="20"/>
              </w:rPr>
              <w:t>Over 5,000 gallons</w:t>
            </w:r>
          </w:p>
        </w:tc>
        <w:tc>
          <w:tcPr>
            <w:tcW w:w="1760" w:type="dxa"/>
            <w:shd w:val="clear" w:color="auto" w:fill="auto"/>
            <w:noWrap/>
            <w:vAlign w:val="bottom"/>
          </w:tcPr>
          <w:p w:rsidR="00BE2CE4" w:rsidRPr="005C5A75" w:rsidRDefault="00BE2CE4" w:rsidP="005C5A75">
            <w:pPr>
              <w:jc w:val="right"/>
              <w:rPr>
                <w:sz w:val="20"/>
                <w:szCs w:val="20"/>
              </w:rPr>
            </w:pPr>
          </w:p>
        </w:tc>
        <w:tc>
          <w:tcPr>
            <w:tcW w:w="1885" w:type="dxa"/>
            <w:shd w:val="clear" w:color="auto" w:fill="auto"/>
            <w:noWrap/>
            <w:vAlign w:val="bottom"/>
          </w:tcPr>
          <w:p w:rsidR="00BE2CE4" w:rsidRPr="005C5A75" w:rsidRDefault="00BE2CE4" w:rsidP="005C5A75">
            <w:pPr>
              <w:jc w:val="right"/>
              <w:rPr>
                <w:color w:val="000000"/>
                <w:sz w:val="20"/>
                <w:szCs w:val="20"/>
              </w:rPr>
            </w:pPr>
          </w:p>
        </w:tc>
      </w:tr>
      <w:tr w:rsidR="00BE2CE4" w:rsidRPr="005C5A75" w:rsidTr="00117529">
        <w:trPr>
          <w:gridAfter w:val="1"/>
          <w:wAfter w:w="12" w:type="dxa"/>
          <w:trHeight w:val="262"/>
          <w:jc w:val="center"/>
        </w:trPr>
        <w:tc>
          <w:tcPr>
            <w:tcW w:w="2271" w:type="dxa"/>
            <w:shd w:val="clear" w:color="auto" w:fill="auto"/>
            <w:noWrap/>
            <w:vAlign w:val="bottom"/>
          </w:tcPr>
          <w:p w:rsidR="00BE2CE4" w:rsidRPr="005C5A75" w:rsidRDefault="00BE2CE4" w:rsidP="005C5A75">
            <w:pPr>
              <w:rPr>
                <w:sz w:val="20"/>
                <w:szCs w:val="20"/>
              </w:rPr>
            </w:pPr>
          </w:p>
        </w:tc>
        <w:tc>
          <w:tcPr>
            <w:tcW w:w="1760" w:type="dxa"/>
            <w:shd w:val="clear" w:color="auto" w:fill="auto"/>
            <w:noWrap/>
            <w:vAlign w:val="bottom"/>
          </w:tcPr>
          <w:p w:rsidR="00BE2CE4" w:rsidRPr="005C5A75" w:rsidRDefault="00BE2CE4" w:rsidP="005C5A75">
            <w:pPr>
              <w:jc w:val="right"/>
              <w:rPr>
                <w:sz w:val="20"/>
                <w:szCs w:val="20"/>
              </w:rPr>
            </w:pPr>
          </w:p>
        </w:tc>
        <w:tc>
          <w:tcPr>
            <w:tcW w:w="1885" w:type="dxa"/>
            <w:shd w:val="clear" w:color="auto" w:fill="auto"/>
            <w:noWrap/>
            <w:vAlign w:val="bottom"/>
          </w:tcPr>
          <w:p w:rsidR="00BE2CE4" w:rsidRPr="005C5A75" w:rsidRDefault="00BE2CE4" w:rsidP="005C5A75">
            <w:pPr>
              <w:jc w:val="right"/>
              <w:rPr>
                <w:color w:val="000000"/>
                <w:sz w:val="20"/>
                <w:szCs w:val="20"/>
              </w:rPr>
            </w:pPr>
          </w:p>
        </w:tc>
      </w:tr>
      <w:tr w:rsidR="005C5A75" w:rsidRPr="005C5A75" w:rsidTr="00117529">
        <w:trPr>
          <w:trHeight w:val="242"/>
          <w:jc w:val="center"/>
        </w:trPr>
        <w:tc>
          <w:tcPr>
            <w:tcW w:w="5928" w:type="dxa"/>
            <w:gridSpan w:val="4"/>
            <w:shd w:val="clear" w:color="auto" w:fill="auto"/>
            <w:noWrap/>
            <w:vAlign w:val="bottom"/>
            <w:hideMark/>
          </w:tcPr>
          <w:p w:rsidR="005C5A75" w:rsidRPr="005C5A75" w:rsidRDefault="005C5A75" w:rsidP="005C5A75">
            <w:pPr>
              <w:rPr>
                <w:color w:val="000000"/>
                <w:sz w:val="20"/>
                <w:szCs w:val="20"/>
              </w:rPr>
            </w:pPr>
            <w:r w:rsidRPr="005C5A75">
              <w:rPr>
                <w:b/>
                <w:bCs/>
                <w:color w:val="000000"/>
                <w:sz w:val="20"/>
                <w:szCs w:val="20"/>
                <w:u w:val="single"/>
              </w:rPr>
              <w:t>Typical Residential 5/8" x 3/4" Meter Bill Comparison</w:t>
            </w:r>
          </w:p>
        </w:tc>
      </w:tr>
      <w:tr w:rsidR="00BE2CE4" w:rsidRPr="005C5A75" w:rsidTr="00117529">
        <w:trPr>
          <w:gridAfter w:val="1"/>
          <w:wAfter w:w="12" w:type="dxa"/>
          <w:trHeight w:val="262"/>
          <w:jc w:val="center"/>
        </w:trPr>
        <w:tc>
          <w:tcPr>
            <w:tcW w:w="2271" w:type="dxa"/>
            <w:shd w:val="clear" w:color="auto" w:fill="auto"/>
            <w:noWrap/>
            <w:vAlign w:val="bottom"/>
            <w:hideMark/>
          </w:tcPr>
          <w:p w:rsidR="00BE2CE4" w:rsidRPr="005C5A75" w:rsidRDefault="00BE2CE4" w:rsidP="005C5A75">
            <w:pPr>
              <w:rPr>
                <w:color w:val="000000"/>
                <w:sz w:val="20"/>
                <w:szCs w:val="20"/>
              </w:rPr>
            </w:pPr>
            <w:r w:rsidRPr="005C5A75">
              <w:rPr>
                <w:color w:val="000000"/>
                <w:sz w:val="20"/>
                <w:szCs w:val="20"/>
              </w:rPr>
              <w:t>4,000 Gallons</w:t>
            </w:r>
          </w:p>
        </w:tc>
        <w:tc>
          <w:tcPr>
            <w:tcW w:w="1760" w:type="dxa"/>
            <w:shd w:val="clear" w:color="auto" w:fill="auto"/>
            <w:noWrap/>
            <w:vAlign w:val="bottom"/>
            <w:hideMark/>
          </w:tcPr>
          <w:p w:rsidR="00BE2CE4" w:rsidRPr="005C5A75" w:rsidRDefault="00BE2CE4" w:rsidP="005C5A75">
            <w:pPr>
              <w:jc w:val="right"/>
              <w:rPr>
                <w:color w:val="000000"/>
                <w:sz w:val="20"/>
                <w:szCs w:val="20"/>
              </w:rPr>
            </w:pPr>
            <w:r w:rsidRPr="005C5A75">
              <w:rPr>
                <w:color w:val="000000"/>
                <w:sz w:val="20"/>
                <w:szCs w:val="20"/>
              </w:rPr>
              <w:t xml:space="preserve">$25.96 </w:t>
            </w:r>
          </w:p>
        </w:tc>
        <w:tc>
          <w:tcPr>
            <w:tcW w:w="1885" w:type="dxa"/>
            <w:shd w:val="clear" w:color="auto" w:fill="auto"/>
            <w:noWrap/>
            <w:vAlign w:val="bottom"/>
          </w:tcPr>
          <w:p w:rsidR="00BE2CE4" w:rsidRPr="005C5A75" w:rsidRDefault="00BE2CE4" w:rsidP="005C5A75">
            <w:pPr>
              <w:jc w:val="right"/>
              <w:rPr>
                <w:color w:val="000000"/>
                <w:sz w:val="20"/>
                <w:szCs w:val="20"/>
              </w:rPr>
            </w:pPr>
            <w:r w:rsidRPr="005C5A75">
              <w:rPr>
                <w:color w:val="000000"/>
                <w:sz w:val="20"/>
                <w:szCs w:val="20"/>
              </w:rPr>
              <w:t>$35.46</w:t>
            </w:r>
          </w:p>
        </w:tc>
      </w:tr>
      <w:tr w:rsidR="00BE2CE4" w:rsidRPr="005C5A75" w:rsidTr="00117529">
        <w:trPr>
          <w:gridAfter w:val="1"/>
          <w:wAfter w:w="12" w:type="dxa"/>
          <w:trHeight w:val="262"/>
          <w:jc w:val="center"/>
        </w:trPr>
        <w:tc>
          <w:tcPr>
            <w:tcW w:w="2271" w:type="dxa"/>
            <w:shd w:val="clear" w:color="auto" w:fill="auto"/>
            <w:noWrap/>
            <w:vAlign w:val="bottom"/>
            <w:hideMark/>
          </w:tcPr>
          <w:p w:rsidR="00BE2CE4" w:rsidRPr="005C5A75" w:rsidRDefault="00BE2CE4" w:rsidP="005C5A75">
            <w:pPr>
              <w:rPr>
                <w:color w:val="000000"/>
                <w:sz w:val="20"/>
                <w:szCs w:val="20"/>
              </w:rPr>
            </w:pPr>
            <w:r w:rsidRPr="005C5A75">
              <w:rPr>
                <w:color w:val="000000"/>
                <w:sz w:val="20"/>
                <w:szCs w:val="20"/>
              </w:rPr>
              <w:t>6,000 Gallons</w:t>
            </w:r>
          </w:p>
        </w:tc>
        <w:tc>
          <w:tcPr>
            <w:tcW w:w="1760" w:type="dxa"/>
            <w:shd w:val="clear" w:color="auto" w:fill="auto"/>
            <w:noWrap/>
            <w:vAlign w:val="bottom"/>
            <w:hideMark/>
          </w:tcPr>
          <w:p w:rsidR="00BE2CE4" w:rsidRPr="005C5A75" w:rsidRDefault="00BE2CE4" w:rsidP="005C5A75">
            <w:pPr>
              <w:jc w:val="right"/>
              <w:rPr>
                <w:color w:val="000000"/>
                <w:sz w:val="20"/>
                <w:szCs w:val="20"/>
              </w:rPr>
            </w:pPr>
            <w:r w:rsidRPr="005C5A75">
              <w:rPr>
                <w:color w:val="000000"/>
                <w:sz w:val="20"/>
                <w:szCs w:val="20"/>
              </w:rPr>
              <w:t xml:space="preserve">$30.30 </w:t>
            </w:r>
          </w:p>
        </w:tc>
        <w:tc>
          <w:tcPr>
            <w:tcW w:w="1885" w:type="dxa"/>
            <w:shd w:val="clear" w:color="auto" w:fill="auto"/>
            <w:noWrap/>
            <w:vAlign w:val="bottom"/>
          </w:tcPr>
          <w:p w:rsidR="00BE2CE4" w:rsidRPr="005C5A75" w:rsidRDefault="00BE2CE4" w:rsidP="005C5A75">
            <w:pPr>
              <w:jc w:val="right"/>
              <w:rPr>
                <w:color w:val="000000"/>
                <w:sz w:val="20"/>
                <w:szCs w:val="20"/>
              </w:rPr>
            </w:pPr>
            <w:r w:rsidRPr="005C5A75">
              <w:rPr>
                <w:color w:val="000000"/>
                <w:sz w:val="20"/>
                <w:szCs w:val="20"/>
              </w:rPr>
              <w:t>$48.26</w:t>
            </w:r>
          </w:p>
        </w:tc>
      </w:tr>
      <w:tr w:rsidR="00117529" w:rsidRPr="005C5A75" w:rsidTr="00117529">
        <w:trPr>
          <w:gridAfter w:val="1"/>
          <w:wAfter w:w="12" w:type="dxa"/>
          <w:trHeight w:val="262"/>
          <w:jc w:val="center"/>
        </w:trPr>
        <w:tc>
          <w:tcPr>
            <w:tcW w:w="2271" w:type="dxa"/>
            <w:shd w:val="clear" w:color="auto" w:fill="auto"/>
            <w:noWrap/>
            <w:vAlign w:val="bottom"/>
            <w:hideMark/>
          </w:tcPr>
          <w:p w:rsidR="00117529" w:rsidRPr="005C5A75" w:rsidRDefault="00117529" w:rsidP="005C5A75">
            <w:pPr>
              <w:rPr>
                <w:color w:val="000000"/>
                <w:sz w:val="20"/>
                <w:szCs w:val="20"/>
              </w:rPr>
            </w:pPr>
            <w:r w:rsidRPr="005C5A75">
              <w:rPr>
                <w:color w:val="000000"/>
                <w:sz w:val="20"/>
                <w:szCs w:val="20"/>
              </w:rPr>
              <w:t>8,000 Gallons</w:t>
            </w:r>
          </w:p>
        </w:tc>
        <w:tc>
          <w:tcPr>
            <w:tcW w:w="1760" w:type="dxa"/>
            <w:shd w:val="clear" w:color="auto" w:fill="auto"/>
            <w:noWrap/>
            <w:vAlign w:val="bottom"/>
            <w:hideMark/>
          </w:tcPr>
          <w:p w:rsidR="00117529" w:rsidRPr="005C5A75" w:rsidRDefault="00117529" w:rsidP="005C5A75">
            <w:pPr>
              <w:jc w:val="right"/>
              <w:rPr>
                <w:color w:val="000000"/>
                <w:sz w:val="20"/>
                <w:szCs w:val="20"/>
              </w:rPr>
            </w:pPr>
            <w:r w:rsidRPr="005C5A75">
              <w:rPr>
                <w:color w:val="000000"/>
                <w:sz w:val="20"/>
                <w:szCs w:val="20"/>
              </w:rPr>
              <w:t xml:space="preserve">$34.64 </w:t>
            </w:r>
          </w:p>
        </w:tc>
        <w:tc>
          <w:tcPr>
            <w:tcW w:w="1885" w:type="dxa"/>
            <w:shd w:val="clear" w:color="auto" w:fill="auto"/>
            <w:noWrap/>
            <w:vAlign w:val="bottom"/>
          </w:tcPr>
          <w:p w:rsidR="00117529" w:rsidRPr="005C5A75" w:rsidRDefault="00117529" w:rsidP="005C5A75">
            <w:pPr>
              <w:jc w:val="right"/>
              <w:rPr>
                <w:color w:val="000000"/>
                <w:sz w:val="20"/>
                <w:szCs w:val="20"/>
              </w:rPr>
            </w:pPr>
            <w:r w:rsidRPr="005C5A75">
              <w:rPr>
                <w:color w:val="000000"/>
                <w:sz w:val="20"/>
                <w:szCs w:val="20"/>
              </w:rPr>
              <w:t>$61.06</w:t>
            </w:r>
          </w:p>
        </w:tc>
      </w:tr>
    </w:tbl>
    <w:p w:rsidR="005C5A75" w:rsidRPr="005C5A75" w:rsidRDefault="005C5A75" w:rsidP="005C5A75">
      <w:pPr>
        <w:jc w:val="both"/>
      </w:pPr>
    </w:p>
    <w:p w:rsidR="005C5A75" w:rsidRPr="005C5A75" w:rsidRDefault="005C5A75" w:rsidP="00F94E7B">
      <w:pPr>
        <w:jc w:val="both"/>
      </w:pPr>
    </w:p>
    <w:p w:rsidR="005C5A75" w:rsidRDefault="00F94E7B" w:rsidP="00F94E7B">
      <w:pPr>
        <w:jc w:val="both"/>
      </w:pPr>
      <w:r>
        <w:tab/>
      </w:r>
      <w:r w:rsidR="005C5A75" w:rsidRPr="005C5A75">
        <w:t xml:space="preserve">Based on the above, the </w:t>
      </w:r>
      <w:r w:rsidR="00117529">
        <w:t>approved</w:t>
      </w:r>
      <w:r w:rsidR="005C5A75" w:rsidRPr="005C5A75">
        <w:t xml:space="preserve"> rate structure and monthly water rates are shown on Schedule No. 4. The Utility sh</w:t>
      </w:r>
      <w:r w:rsidR="00117529">
        <w:t>all</w:t>
      </w:r>
      <w:r w:rsidR="005C5A75" w:rsidRPr="005C5A75">
        <w:t xml:space="preserve"> file revised tariff sheets and a proposed customer notice to reflect the Commission-approved rates. The approved rates sh</w:t>
      </w:r>
      <w:r w:rsidR="00117529">
        <w:t>all</w:t>
      </w:r>
      <w:r w:rsidR="005C5A75" w:rsidRPr="005C5A75">
        <w:t xml:space="preserve"> be effective for service rendered on or after the stamped approval date on the tariff sheets pursuant to Rule 25-30.475(1), F.A.C. In addition, the approved rates sh</w:t>
      </w:r>
      <w:r w:rsidR="00117529">
        <w:t>all</w:t>
      </w:r>
      <w:r w:rsidR="005C5A75" w:rsidRPr="005C5A75">
        <w:t xml:space="preserve"> not be implemented until </w:t>
      </w:r>
      <w:r w:rsidR="00117529">
        <w:t xml:space="preserve">our </w:t>
      </w:r>
      <w:r w:rsidR="005C5A75" w:rsidRPr="005C5A75">
        <w:t>staff has approved the proposed customer notice and the notice has been received by the customers. The Utility sh</w:t>
      </w:r>
      <w:r w:rsidR="00117529">
        <w:t>all</w:t>
      </w:r>
      <w:r w:rsidR="005C5A75" w:rsidRPr="005C5A75">
        <w:t xml:space="preserve"> provide proof of the date notice was given within 10 days of the date of the notice</w:t>
      </w:r>
      <w:r w:rsidR="005C5A75">
        <w:t>.</w:t>
      </w:r>
    </w:p>
    <w:p w:rsidR="005C5A75" w:rsidRDefault="005C5A75" w:rsidP="00F94E7B">
      <w:pPr>
        <w:jc w:val="both"/>
      </w:pPr>
    </w:p>
    <w:p w:rsidR="005C5A75" w:rsidRPr="00117529" w:rsidRDefault="00117529" w:rsidP="005C5A75">
      <w:pPr>
        <w:spacing w:after="240"/>
        <w:jc w:val="both"/>
        <w:rPr>
          <w:u w:val="single"/>
        </w:rPr>
      </w:pPr>
      <w:r w:rsidRPr="00117529">
        <w:rPr>
          <w:bCs/>
          <w:kern w:val="32"/>
          <w:szCs w:val="32"/>
          <w:u w:val="single"/>
        </w:rPr>
        <w:t>9. Customer Deposits</w:t>
      </w:r>
    </w:p>
    <w:p w:rsidR="005C5A75" w:rsidRPr="005C5A75" w:rsidRDefault="005C5A75" w:rsidP="00117529">
      <w:pPr>
        <w:ind w:firstLine="720"/>
        <w:jc w:val="both"/>
      </w:pPr>
      <w:r w:rsidRPr="005C5A75">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w:t>
      </w:r>
      <w:r w:rsidR="007D2667">
        <w:t>e cost causer. Historically, this</w:t>
      </w:r>
      <w:r w:rsidRPr="005C5A75">
        <w:t xml:space="preserve"> Commission has set initial customer deposits equal to two times the average estimated bill.</w:t>
      </w:r>
      <w:r w:rsidRPr="005C5A75">
        <w:rPr>
          <w:vertAlign w:val="superscript"/>
        </w:rPr>
        <w:footnoteReference w:id="18"/>
      </w:r>
      <w:r w:rsidRPr="005C5A75">
        <w:t xml:space="preserve"> Currently, the Utility has an initial customer deposit of $56. However, this amount does not cover two months’ average bills based on </w:t>
      </w:r>
      <w:r w:rsidR="007D2667">
        <w:t>the approved</w:t>
      </w:r>
      <w:r w:rsidRPr="005C5A75">
        <w:t xml:space="preserve"> rates. The post-repression average monthly residential usage is approximately 4,703 gallons per customer. Therefore, the average residential monthly bill based on </w:t>
      </w:r>
      <w:r w:rsidR="007D2667">
        <w:t>the approved</w:t>
      </w:r>
      <w:r w:rsidRPr="005C5A75">
        <w:t xml:space="preserve"> rates is approximately $40.25.</w:t>
      </w:r>
    </w:p>
    <w:p w:rsidR="005C5A75" w:rsidRPr="005C5A75" w:rsidRDefault="005C5A75" w:rsidP="005C5A75">
      <w:pPr>
        <w:jc w:val="both"/>
      </w:pPr>
    </w:p>
    <w:p w:rsidR="005C5A75" w:rsidRDefault="00F94E7B" w:rsidP="00F94E7B">
      <w:pPr>
        <w:jc w:val="both"/>
      </w:pPr>
      <w:r>
        <w:lastRenderedPageBreak/>
        <w:tab/>
      </w:r>
      <w:r w:rsidR="007D2667">
        <w:t>We hereby find that</w:t>
      </w:r>
      <w:r w:rsidR="005C5A75" w:rsidRPr="005C5A75">
        <w:t xml:space="preserve"> the appropriate initial customer deposits sh</w:t>
      </w:r>
      <w:r w:rsidR="007D2667">
        <w:t>all</w:t>
      </w:r>
      <w:r w:rsidR="005C5A75" w:rsidRPr="005C5A75">
        <w:t xml:space="preserve"> be $80 for the residential 5/8 inch x 3/4 inch meter size. The initial customer deposits for all other residential meter sizes and all general service meter sizes sh</w:t>
      </w:r>
      <w:r w:rsidR="007D2667">
        <w:t>all</w:t>
      </w:r>
      <w:r w:rsidR="005C5A75" w:rsidRPr="005C5A75">
        <w:t xml:space="preserve"> be two times the average estimated monthly bill. The approved initial customer deposits sh</w:t>
      </w:r>
      <w:r w:rsidR="007D2667">
        <w:t>all</w:t>
      </w:r>
      <w:r w:rsidR="005C5A75" w:rsidRPr="005C5A75">
        <w:t xml:space="preserve"> be effective for service rendered or connections made on or after the stamped approval date on the tariff sheets pursuant to Rule 25-30.475, F.A.C. The Utility sh</w:t>
      </w:r>
      <w:r w:rsidR="007D2667">
        <w:t>all</w:t>
      </w:r>
      <w:r w:rsidR="005C5A75" w:rsidRPr="005C5A75">
        <w:t xml:space="preserve"> be required to collect the approved deposits until authorized to change them by </w:t>
      </w:r>
      <w:r w:rsidR="007D2667">
        <w:t>us</w:t>
      </w:r>
      <w:r w:rsidR="005C5A75" w:rsidRPr="005C5A75">
        <w:t xml:space="preserve"> in a subsequent proceeding.</w:t>
      </w:r>
    </w:p>
    <w:p w:rsidR="00925414" w:rsidRDefault="00925414" w:rsidP="005C5A75"/>
    <w:p w:rsidR="00925414" w:rsidRPr="007D2667" w:rsidRDefault="007D2667" w:rsidP="00925414">
      <w:pPr>
        <w:spacing w:after="240"/>
        <w:jc w:val="both"/>
      </w:pPr>
      <w:r w:rsidRPr="007D2667">
        <w:rPr>
          <w:bCs/>
          <w:kern w:val="32"/>
          <w:szCs w:val="32"/>
          <w:u w:val="single"/>
        </w:rPr>
        <w:t>10. Rate Case Expense</w:t>
      </w:r>
      <w:r>
        <w:rPr>
          <w:bCs/>
          <w:kern w:val="32"/>
          <w:szCs w:val="32"/>
        </w:rPr>
        <w:tab/>
        <w:t>(Final Agency Action)</w:t>
      </w:r>
    </w:p>
    <w:p w:rsidR="00925414" w:rsidRDefault="00925414" w:rsidP="007D2667">
      <w:pPr>
        <w:ind w:firstLine="720"/>
        <w:jc w:val="both"/>
      </w:pPr>
      <w:r w:rsidRPr="00925414">
        <w:t>Pine Harbour’s water rates sh</w:t>
      </w:r>
      <w:r w:rsidR="007D2667">
        <w:t>all</w:t>
      </w:r>
      <w:r w:rsidRPr="00925414">
        <w:t xml:space="preserve"> be reduced immediately following the expiration of the four-year rate case expense recovery period by the amount of the rate case expense previously included in the rates, pursuant to Section 367.081(8), F.S. The reduction will reflect the removal of revenues associated with the amortization of rate case expense and the gross-up for RAFs which is $282 for water. Using the Utility’s current revenues, expenses, and customer base, the reduction in revenues will result in the rate decrease shown on Schedule No. 4.</w:t>
      </w:r>
    </w:p>
    <w:p w:rsidR="007D2667" w:rsidRPr="00925414" w:rsidRDefault="007D2667" w:rsidP="007D2667">
      <w:pPr>
        <w:ind w:firstLine="720"/>
        <w:jc w:val="both"/>
      </w:pPr>
    </w:p>
    <w:p w:rsidR="00925414" w:rsidRDefault="00F94E7B" w:rsidP="007D2667">
      <w:pPr>
        <w:jc w:val="both"/>
      </w:pPr>
      <w:r>
        <w:rPr>
          <w:color w:val="000000"/>
        </w:rPr>
        <w:tab/>
      </w:r>
      <w:r w:rsidR="00925414" w:rsidRPr="00925414">
        <w:rPr>
          <w:color w:val="000000"/>
        </w:rPr>
        <w:t xml:space="preserve">Pine Harbour </w:t>
      </w:r>
      <w:r w:rsidR="00925414" w:rsidRPr="00925414">
        <w:t>s</w:t>
      </w:r>
      <w:r w:rsidR="007D2667">
        <w:t>hall</w:t>
      </w:r>
      <w:r w:rsidR="00925414" w:rsidRPr="00925414">
        <w:t xml:space="preserve"> be required to file revised tariff sheets no later than one month prior to the actual date of the required rate reduction. The Utility also sh</w:t>
      </w:r>
      <w:r w:rsidR="007D2667">
        <w:t>all</w:t>
      </w:r>
      <w:r w:rsidR="00925414" w:rsidRPr="00925414">
        <w:t xml:space="preserve"> be required to file a proposed customer notice setting forth the lower rates and the reason for the reduction. If Pine Harbour files this reduction in conjunction with a price index or pass-through rate adjustment, separate data sh</w:t>
      </w:r>
      <w:r w:rsidR="007D2667">
        <w:t>all</w:t>
      </w:r>
      <w:r w:rsidR="00925414" w:rsidRPr="00925414">
        <w:t xml:space="preserve"> be filed for the price index and/or pass-through increase or decrease and the reduction in the rates due to the amortized rate case expense</w:t>
      </w:r>
      <w:r w:rsidR="00925414">
        <w:t>.</w:t>
      </w:r>
    </w:p>
    <w:p w:rsidR="00925414" w:rsidRDefault="00925414" w:rsidP="00925414"/>
    <w:p w:rsidR="00925414" w:rsidRPr="007D2667" w:rsidRDefault="007D2667" w:rsidP="00925414">
      <w:pPr>
        <w:spacing w:after="240"/>
        <w:jc w:val="both"/>
      </w:pPr>
      <w:r w:rsidRPr="007D2667">
        <w:rPr>
          <w:bCs/>
          <w:kern w:val="32"/>
          <w:szCs w:val="32"/>
          <w:u w:val="single"/>
        </w:rPr>
        <w:t>11. Temporary Rates</w:t>
      </w:r>
      <w:r>
        <w:rPr>
          <w:bCs/>
          <w:kern w:val="32"/>
          <w:szCs w:val="32"/>
        </w:rPr>
        <w:tab/>
      </w:r>
      <w:r>
        <w:rPr>
          <w:bCs/>
          <w:kern w:val="32"/>
          <w:szCs w:val="32"/>
        </w:rPr>
        <w:tab/>
        <w:t>(Final Agency Action)</w:t>
      </w:r>
    </w:p>
    <w:p w:rsidR="00925414" w:rsidRPr="00925414" w:rsidRDefault="00925414" w:rsidP="00833E33">
      <w:pPr>
        <w:spacing w:after="240"/>
        <w:ind w:firstLine="720"/>
        <w:jc w:val="both"/>
      </w:pPr>
      <w:r w:rsidRPr="00925414">
        <w:t xml:space="preserve">This </w:t>
      </w:r>
      <w:r w:rsidR="00833E33">
        <w:t>Order approves</w:t>
      </w:r>
      <w:r w:rsidRPr="00925414">
        <w:t xml:space="preserve"> an increase in rates. A timely protest might delay what may be a justified rate increase resulting in an unrecoverable loss of revenue to the Utility. Therefore, pursuant to Section 367.0814(7), F.S., in the event of a protest filed by a party other than the Utility, </w:t>
      </w:r>
      <w:r w:rsidR="00833E33">
        <w:t>the Commission-approved</w:t>
      </w:r>
      <w:r w:rsidRPr="00925414">
        <w:t xml:space="preserve"> rates</w:t>
      </w:r>
      <w:r w:rsidR="00833E33">
        <w:t xml:space="preserve"> shall</w:t>
      </w:r>
      <w:r w:rsidRPr="00925414">
        <w:t xml:space="preserve"> be approved as temporary rates. The Utility sh</w:t>
      </w:r>
      <w:r w:rsidR="00833E33">
        <w:t>all</w:t>
      </w:r>
      <w:r w:rsidRPr="00925414">
        <w:t xml:space="preserve"> file revised tariff sheets and a proposed customer notice to reflect the Commission-approved rates. The approved rates sh</w:t>
      </w:r>
      <w:r w:rsidR="00833E33">
        <w:t>all</w:t>
      </w:r>
      <w:r w:rsidRPr="00925414">
        <w:t xml:space="preserve"> be effective for service rendered on or after the stamped approval date on the tariff sheet, pursuant to Rule 25-30.475(1), F.A.C. In addition, the temporary rates sh</w:t>
      </w:r>
      <w:r w:rsidR="00833E33">
        <w:t>all</w:t>
      </w:r>
      <w:r w:rsidRPr="00925414">
        <w:t xml:space="preserve"> not be implemented until </w:t>
      </w:r>
      <w:r w:rsidR="00833E33">
        <w:t xml:space="preserve">our </w:t>
      </w:r>
      <w:r w:rsidRPr="00925414">
        <w:t xml:space="preserve">staff has approved the proposed notice, and the notice has been received by the customers. The </w:t>
      </w:r>
      <w:r w:rsidR="00833E33">
        <w:t>Commission-approved</w:t>
      </w:r>
      <w:r w:rsidRPr="00925414">
        <w:t xml:space="preserve"> rates collected by the Utility sh</w:t>
      </w:r>
      <w:r w:rsidR="00833E33">
        <w:t>all</w:t>
      </w:r>
      <w:r w:rsidRPr="00925414">
        <w:t xml:space="preserve"> be subject to the refund provisions discussed below.</w:t>
      </w:r>
    </w:p>
    <w:p w:rsidR="00925414" w:rsidRPr="00925414" w:rsidRDefault="00F94E7B" w:rsidP="00925414">
      <w:pPr>
        <w:spacing w:after="240"/>
        <w:jc w:val="both"/>
      </w:pPr>
      <w:r>
        <w:tab/>
      </w:r>
      <w:r w:rsidR="00925414" w:rsidRPr="00925414">
        <w:t>The Utility sh</w:t>
      </w:r>
      <w:r w:rsidR="00833E33">
        <w:t>all</w:t>
      </w:r>
      <w:r w:rsidR="00925414" w:rsidRPr="00925414">
        <w:t xml:space="preserve"> be authorized to collect the temporary rates upon </w:t>
      </w:r>
      <w:r w:rsidR="00833E33">
        <w:t xml:space="preserve">our </w:t>
      </w:r>
      <w:r w:rsidR="00925414" w:rsidRPr="00925414">
        <w:t>staff’s approval of an appropriate security for the potential refund and the proposed customer notice. Security sh</w:t>
      </w:r>
      <w:r w:rsidR="00833E33">
        <w:t>all</w:t>
      </w:r>
      <w:r w:rsidR="00925414" w:rsidRPr="00925414">
        <w:t xml:space="preserve"> be in the form of a bond or letter of credit in the amount of $7,028. Alternatively, the Utility could establish an escrow agreement with an independent financial institution.</w:t>
      </w:r>
    </w:p>
    <w:p w:rsidR="00925414" w:rsidRPr="00925414" w:rsidRDefault="00F94E7B" w:rsidP="00925414">
      <w:pPr>
        <w:jc w:val="both"/>
      </w:pPr>
      <w:r>
        <w:tab/>
      </w:r>
      <w:r w:rsidR="00925414" w:rsidRPr="00925414">
        <w:t>If the Utility chooses a bond as security, the bond sh</w:t>
      </w:r>
      <w:r w:rsidR="00833E33">
        <w:t>all</w:t>
      </w:r>
      <w:r w:rsidR="00925414" w:rsidRPr="00925414">
        <w:t xml:space="preserve"> contain wording to the effect that it will be terminated only under the following conditions:</w:t>
      </w:r>
    </w:p>
    <w:p w:rsidR="00925414" w:rsidRPr="00925414" w:rsidRDefault="00925414" w:rsidP="00925414">
      <w:pPr>
        <w:numPr>
          <w:ilvl w:val="0"/>
          <w:numId w:val="1"/>
        </w:numPr>
        <w:jc w:val="both"/>
      </w:pPr>
      <w:r w:rsidRPr="00925414">
        <w:t>The Commission approves the rate increase; or,</w:t>
      </w:r>
    </w:p>
    <w:p w:rsidR="00925414" w:rsidRPr="00925414" w:rsidRDefault="00925414" w:rsidP="00925414">
      <w:pPr>
        <w:numPr>
          <w:ilvl w:val="0"/>
          <w:numId w:val="1"/>
        </w:numPr>
        <w:spacing w:after="240"/>
        <w:jc w:val="both"/>
      </w:pPr>
      <w:r w:rsidRPr="00925414">
        <w:lastRenderedPageBreak/>
        <w:t>If the Commission denies the increase, the Utility shall refund the amount collected that is attributable to the increase.</w:t>
      </w:r>
    </w:p>
    <w:p w:rsidR="00925414" w:rsidRPr="00925414" w:rsidRDefault="00F94E7B" w:rsidP="00925414">
      <w:pPr>
        <w:jc w:val="both"/>
      </w:pPr>
      <w:r>
        <w:tab/>
      </w:r>
      <w:r w:rsidR="00925414" w:rsidRPr="00925414">
        <w:t>If the Utility chooses a letter of credit as a security, it sh</w:t>
      </w:r>
      <w:r w:rsidR="00833E33">
        <w:t>all</w:t>
      </w:r>
      <w:r w:rsidR="00925414" w:rsidRPr="00925414">
        <w:t xml:space="preserve"> contain the following conditions:</w:t>
      </w:r>
    </w:p>
    <w:p w:rsidR="00925414" w:rsidRPr="00925414" w:rsidRDefault="00925414" w:rsidP="00925414">
      <w:pPr>
        <w:numPr>
          <w:ilvl w:val="0"/>
          <w:numId w:val="2"/>
        </w:numPr>
        <w:jc w:val="both"/>
      </w:pPr>
      <w:r w:rsidRPr="00925414">
        <w:t>The letter of credit is irrevocable for the period it is in effect.</w:t>
      </w:r>
    </w:p>
    <w:p w:rsidR="00925414" w:rsidRPr="00925414" w:rsidRDefault="00925414" w:rsidP="00925414">
      <w:pPr>
        <w:numPr>
          <w:ilvl w:val="0"/>
          <w:numId w:val="2"/>
        </w:numPr>
        <w:jc w:val="both"/>
      </w:pPr>
      <w:r w:rsidRPr="00925414">
        <w:t>The letter of credit will be in effect until a final Commission order is rendered, either approving or denying the rate increase.</w:t>
      </w:r>
    </w:p>
    <w:p w:rsidR="00925414" w:rsidRPr="00925414" w:rsidRDefault="00925414" w:rsidP="00925414">
      <w:pPr>
        <w:ind w:left="1080"/>
        <w:jc w:val="both"/>
      </w:pPr>
    </w:p>
    <w:p w:rsidR="00925414" w:rsidRPr="00925414" w:rsidRDefault="00F94E7B" w:rsidP="00925414">
      <w:pPr>
        <w:jc w:val="both"/>
      </w:pPr>
      <w:r>
        <w:tab/>
      </w:r>
      <w:r w:rsidR="00925414" w:rsidRPr="00925414">
        <w:t>If security is provided through an escrow agreement, the following conditions sh</w:t>
      </w:r>
      <w:r w:rsidR="00833E33">
        <w:t>all</w:t>
      </w:r>
      <w:r w:rsidR="00925414" w:rsidRPr="00925414">
        <w:t xml:space="preserve"> be part of the agreement:</w:t>
      </w:r>
    </w:p>
    <w:p w:rsidR="00925414" w:rsidRPr="00925414" w:rsidRDefault="00925414" w:rsidP="00925414">
      <w:pPr>
        <w:numPr>
          <w:ilvl w:val="0"/>
          <w:numId w:val="3"/>
        </w:numPr>
        <w:jc w:val="both"/>
      </w:pPr>
      <w:r w:rsidRPr="00925414">
        <w:t>The Commission Clerk, or his or her designee, must be a signatory to the escrow agreement.</w:t>
      </w:r>
    </w:p>
    <w:p w:rsidR="00925414" w:rsidRPr="00925414" w:rsidRDefault="00925414" w:rsidP="00925414">
      <w:pPr>
        <w:numPr>
          <w:ilvl w:val="0"/>
          <w:numId w:val="3"/>
        </w:numPr>
        <w:jc w:val="both"/>
      </w:pPr>
      <w:r w:rsidRPr="00925414">
        <w:t xml:space="preserve">No monies in the escrow account may be withdrawn by the Utility without the prior written authorization of the Commission Clerk, or his or her designee. </w:t>
      </w:r>
    </w:p>
    <w:p w:rsidR="00925414" w:rsidRPr="00925414" w:rsidRDefault="00925414" w:rsidP="00925414">
      <w:pPr>
        <w:numPr>
          <w:ilvl w:val="0"/>
          <w:numId w:val="3"/>
        </w:numPr>
        <w:jc w:val="both"/>
      </w:pPr>
      <w:r w:rsidRPr="00925414">
        <w:t>The escrow account shall be an interest bearing account.</w:t>
      </w:r>
    </w:p>
    <w:p w:rsidR="00925414" w:rsidRPr="00925414" w:rsidRDefault="00925414" w:rsidP="00925414">
      <w:pPr>
        <w:numPr>
          <w:ilvl w:val="0"/>
          <w:numId w:val="3"/>
        </w:numPr>
        <w:jc w:val="both"/>
      </w:pPr>
      <w:r w:rsidRPr="00925414">
        <w:t>If a refund to the customers is required, all interest earned by the escrow account shall be distributed to the customers.</w:t>
      </w:r>
    </w:p>
    <w:p w:rsidR="00925414" w:rsidRPr="00925414" w:rsidRDefault="00925414" w:rsidP="00925414">
      <w:pPr>
        <w:numPr>
          <w:ilvl w:val="0"/>
          <w:numId w:val="3"/>
        </w:numPr>
        <w:jc w:val="both"/>
      </w:pPr>
      <w:r w:rsidRPr="00925414">
        <w:t>If a refund to the customers is not required, the interest earned by the escrow account shall revert to the Utility.</w:t>
      </w:r>
    </w:p>
    <w:p w:rsidR="00925414" w:rsidRPr="00925414" w:rsidRDefault="00925414" w:rsidP="00925414">
      <w:pPr>
        <w:numPr>
          <w:ilvl w:val="0"/>
          <w:numId w:val="3"/>
        </w:numPr>
        <w:jc w:val="both"/>
      </w:pPr>
      <w:r w:rsidRPr="00925414">
        <w:t>All information on the escrow account shall be available from the holder of the escrow account to a Commission representative at all times.</w:t>
      </w:r>
    </w:p>
    <w:p w:rsidR="00925414" w:rsidRPr="00925414" w:rsidRDefault="00925414" w:rsidP="00925414">
      <w:pPr>
        <w:numPr>
          <w:ilvl w:val="0"/>
          <w:numId w:val="3"/>
        </w:numPr>
        <w:jc w:val="both"/>
      </w:pPr>
      <w:r w:rsidRPr="00925414">
        <w:t>The amount of revenue subject to refund shall be deposited in the escrow account within seven days of receipt.</w:t>
      </w:r>
    </w:p>
    <w:p w:rsidR="00925414" w:rsidRPr="00925414" w:rsidRDefault="00925414" w:rsidP="00925414">
      <w:pPr>
        <w:numPr>
          <w:ilvl w:val="0"/>
          <w:numId w:val="3"/>
        </w:numPr>
        <w:jc w:val="both"/>
      </w:pPr>
      <w:r w:rsidRPr="00925414">
        <w:t xml:space="preserve">This escrow account is established by the direction of the Florida Public Service Commission for the purpose(s) set forth in its order requiring such account. Pursuant to </w:t>
      </w:r>
      <w:r w:rsidRPr="00925414">
        <w:rPr>
          <w:i/>
        </w:rPr>
        <w:t>Cosentino v. Elson</w:t>
      </w:r>
      <w:r w:rsidRPr="00925414">
        <w:t>, 263 So. 2d 253 (Fla. 3d DCA 1972), escrow accounts are not subject to garnishments.</w:t>
      </w:r>
    </w:p>
    <w:p w:rsidR="00925414" w:rsidRPr="00925414" w:rsidRDefault="00925414" w:rsidP="00925414">
      <w:pPr>
        <w:numPr>
          <w:ilvl w:val="0"/>
          <w:numId w:val="3"/>
        </w:numPr>
        <w:jc w:val="both"/>
      </w:pPr>
      <w:r w:rsidRPr="00925414">
        <w:t>The account must specify by whom and on whose behalf such monies were paid.</w:t>
      </w:r>
    </w:p>
    <w:p w:rsidR="00925414" w:rsidRPr="00925414" w:rsidRDefault="00925414" w:rsidP="00925414">
      <w:pPr>
        <w:ind w:left="720"/>
        <w:contextualSpacing/>
        <w:jc w:val="both"/>
      </w:pPr>
    </w:p>
    <w:p w:rsidR="00925414" w:rsidRPr="00925414" w:rsidRDefault="00F94E7B" w:rsidP="00925414">
      <w:pPr>
        <w:spacing w:after="240"/>
        <w:jc w:val="both"/>
      </w:pPr>
      <w:r>
        <w:tab/>
      </w:r>
      <w:r w:rsidR="00925414" w:rsidRPr="00925414">
        <w:t>In no instance sh</w:t>
      </w:r>
      <w:r w:rsidR="00707858">
        <w:t>all</w:t>
      </w:r>
      <w:r w:rsidR="00925414" w:rsidRPr="00925414">
        <w:t xml:space="preserve"> the maintenance and administrative costs associated with the refund be borne by the customers. These costs are the responsibility of, and sh</w:t>
      </w:r>
      <w:r w:rsidR="00707858">
        <w:t>all</w:t>
      </w:r>
      <w:r w:rsidR="00925414" w:rsidRPr="00925414">
        <w:t xml:space="preserve"> be borne by, the Utility. Irrespective of the form of security chosen by the Utility, an account of all monies received as a result of the rate increase sh</w:t>
      </w:r>
      <w:r w:rsidR="00707858">
        <w:t>all</w:t>
      </w:r>
      <w:r w:rsidR="00925414" w:rsidRPr="00925414">
        <w:t xml:space="preserve"> be maintained by the Utility. If a refund is ultimately required, it sh</w:t>
      </w:r>
      <w:r w:rsidR="00707858">
        <w:t>all</w:t>
      </w:r>
      <w:r w:rsidR="00925414" w:rsidRPr="00925414">
        <w:t xml:space="preserve"> be paid with interest calculated pursuant to Rule 25-30.360(4), F.A.C.</w:t>
      </w:r>
    </w:p>
    <w:p w:rsidR="00925414" w:rsidRDefault="00F94E7B" w:rsidP="00F94E7B">
      <w:pPr>
        <w:jc w:val="both"/>
      </w:pPr>
      <w:r>
        <w:tab/>
      </w:r>
      <w:r w:rsidR="00925414" w:rsidRPr="00925414">
        <w:t>The Utility sh</w:t>
      </w:r>
      <w:r w:rsidR="00707858">
        <w:t>all</w:t>
      </w:r>
      <w:r w:rsidR="00925414" w:rsidRPr="00925414">
        <w:t xml:space="preserve"> maintain a record of the amount of the bond, and the amount of revenues that are subject to refund. In addition, after the increased rates are in effect, pursuant to Rule 25-30.360(6), F.A.C., the Utility sh</w:t>
      </w:r>
      <w:r w:rsidR="00707858">
        <w:t>all</w:t>
      </w:r>
      <w:r w:rsidR="00925414" w:rsidRPr="00925414">
        <w:t xml:space="preserve"> file reports with the Office of Commission Clerk no later than the 20th of every month indicating the monthly and total amount of money subject to refund at the end of the preceding month. The report filed sh</w:t>
      </w:r>
      <w:r w:rsidR="00707858">
        <w:t>all</w:t>
      </w:r>
      <w:r w:rsidR="00925414" w:rsidRPr="00925414">
        <w:t xml:space="preserve"> also indicate the status of the security being used to guarantee repayment of any potential refund.</w:t>
      </w:r>
    </w:p>
    <w:p w:rsidR="00925414" w:rsidRDefault="00925414" w:rsidP="00925414"/>
    <w:p w:rsidR="00925414" w:rsidRPr="00707858" w:rsidRDefault="00707858" w:rsidP="00925414">
      <w:pPr>
        <w:spacing w:after="240"/>
        <w:jc w:val="both"/>
      </w:pPr>
      <w:r w:rsidRPr="00707858">
        <w:rPr>
          <w:bCs/>
          <w:kern w:val="32"/>
          <w:szCs w:val="32"/>
          <w:u w:val="single"/>
        </w:rPr>
        <w:lastRenderedPageBreak/>
        <w:t>12. Adjustments to National Association of Regulatory Commissioners (NARUC) Uniform System of Accounts (USOA) Primary Accounts</w:t>
      </w:r>
      <w:r>
        <w:rPr>
          <w:bCs/>
          <w:kern w:val="32"/>
          <w:szCs w:val="32"/>
        </w:rPr>
        <w:tab/>
      </w:r>
      <w:r>
        <w:rPr>
          <w:bCs/>
          <w:kern w:val="32"/>
          <w:szCs w:val="32"/>
        </w:rPr>
        <w:tab/>
        <w:t>(Final Agency Action)</w:t>
      </w:r>
    </w:p>
    <w:p w:rsidR="00925414" w:rsidRDefault="00925414" w:rsidP="00646202">
      <w:pPr>
        <w:ind w:firstLine="720"/>
        <w:jc w:val="both"/>
      </w:pPr>
      <w:r w:rsidRPr="00925414">
        <w:t>The Utility sh</w:t>
      </w:r>
      <w:r w:rsidR="00646202">
        <w:t>all</w:t>
      </w:r>
      <w:r w:rsidRPr="00925414">
        <w:t xml:space="preserve"> be required to notify </w:t>
      </w:r>
      <w:r w:rsidR="00646202">
        <w:t>us</w:t>
      </w:r>
      <w:r w:rsidRPr="00925414">
        <w:t xml:space="preserve">, in writing that it has adjusted its books in accordance with the </w:t>
      </w:r>
      <w:r w:rsidR="00646202">
        <w:t>our</w:t>
      </w:r>
      <w:r w:rsidRPr="00925414">
        <w:t xml:space="preserve"> decision. Schedule No. 5 reflects the accumulated plant, depreciation, CIAC, and amortization of CIAC balances as of December 31, 2017. Pine Harbour sh</w:t>
      </w:r>
      <w:r w:rsidR="00646202">
        <w:t>all</w:t>
      </w:r>
      <w:r w:rsidRPr="00925414">
        <w:t xml:space="preserve"> submit a letter within 90 days of the final order in this docket, confirming that the adjustments to all the applicable NARUC USOA primary accounts, as shown on Schedule No. 5, have been made to the Utility’s books and records. In the event the Utility needs additional time to complete the adjustments, notice sh</w:t>
      </w:r>
      <w:r w:rsidR="00646202">
        <w:t>all</w:t>
      </w:r>
      <w:r w:rsidRPr="00925414">
        <w:t xml:space="preserve"> be provided within seven days prior to the deadline. Upon providing good cause, </w:t>
      </w:r>
      <w:r w:rsidR="0029346C">
        <w:t xml:space="preserve">our </w:t>
      </w:r>
      <w:r w:rsidRPr="00925414">
        <w:t xml:space="preserve">staff </w:t>
      </w:r>
      <w:r w:rsidR="00937C0A">
        <w:t>is hereby</w:t>
      </w:r>
      <w:r w:rsidRPr="00925414">
        <w:t xml:space="preserve"> given administrative authority to grant an extension of up to 60 days</w:t>
      </w:r>
      <w:r>
        <w:t>.</w:t>
      </w:r>
    </w:p>
    <w:p w:rsidR="00925414" w:rsidRDefault="00925414" w:rsidP="00F94E7B">
      <w:pPr>
        <w:jc w:val="both"/>
      </w:pPr>
    </w:p>
    <w:p w:rsidR="00925414" w:rsidRDefault="00925414" w:rsidP="00925414">
      <w:pPr>
        <w:pStyle w:val="OrderBody"/>
      </w:pPr>
      <w:r>
        <w:tab/>
        <w:t>Based on the foregoing, it is</w:t>
      </w:r>
    </w:p>
    <w:p w:rsidR="00925414" w:rsidRDefault="00925414" w:rsidP="00925414">
      <w:pPr>
        <w:pStyle w:val="OrderBody"/>
      </w:pPr>
    </w:p>
    <w:p w:rsidR="00925414" w:rsidRDefault="00925414" w:rsidP="00925414">
      <w:pPr>
        <w:pStyle w:val="OrderBody"/>
      </w:pPr>
      <w:r>
        <w:tab/>
        <w:t>ORDERED by the Florida Public Service Commission that</w:t>
      </w:r>
      <w:r w:rsidR="00646202">
        <w:t xml:space="preserve"> </w:t>
      </w:r>
      <w:r w:rsidR="00646202" w:rsidRPr="005C5A75">
        <w:t>the overall quality of service provided by Pine Harbour</w:t>
      </w:r>
      <w:r w:rsidR="00646202">
        <w:t xml:space="preserve"> Waterworks Inc.</w:t>
      </w:r>
      <w:r w:rsidR="00646202" w:rsidRPr="005C5A75">
        <w:t xml:space="preserve"> </w:t>
      </w:r>
      <w:r w:rsidR="00646202">
        <w:t>is</w:t>
      </w:r>
      <w:r w:rsidR="00646202" w:rsidRPr="005C5A75">
        <w:t xml:space="preserve"> satisfactory</w:t>
      </w:r>
      <w:r w:rsidR="00646202">
        <w:t>.  It is further</w:t>
      </w:r>
    </w:p>
    <w:p w:rsidR="00646202" w:rsidRDefault="00646202" w:rsidP="00925414">
      <w:pPr>
        <w:pStyle w:val="OrderBody"/>
      </w:pPr>
    </w:p>
    <w:p w:rsidR="00646202" w:rsidRDefault="00646202" w:rsidP="00925414">
      <w:pPr>
        <w:pStyle w:val="OrderBody"/>
      </w:pPr>
      <w:r>
        <w:tab/>
        <w:t xml:space="preserve">ORDERED that </w:t>
      </w:r>
      <w:r w:rsidRPr="005C5A75">
        <w:t>Pine Harbour</w:t>
      </w:r>
      <w:r>
        <w:t xml:space="preserve"> Waterworks Inc.’s water treatment plant</w:t>
      </w:r>
      <w:r w:rsidRPr="005C5A75">
        <w:t>, storage</w:t>
      </w:r>
      <w:r>
        <w:t>,</w:t>
      </w:r>
      <w:r w:rsidRPr="005C5A75">
        <w:t xml:space="preserve"> and water distribution system sh</w:t>
      </w:r>
      <w:r>
        <w:t>all</w:t>
      </w:r>
      <w:r w:rsidRPr="005C5A75">
        <w:t xml:space="preserve"> be considered 100 percent U&amp;U</w:t>
      </w:r>
      <w:r>
        <w:t>.  It is further</w:t>
      </w:r>
    </w:p>
    <w:p w:rsidR="00646202" w:rsidRDefault="00646202" w:rsidP="00925414">
      <w:pPr>
        <w:pStyle w:val="OrderBody"/>
      </w:pPr>
    </w:p>
    <w:p w:rsidR="00646202" w:rsidRDefault="00646202" w:rsidP="00925414">
      <w:pPr>
        <w:pStyle w:val="OrderBody"/>
      </w:pPr>
      <w:r>
        <w:tab/>
        <w:t xml:space="preserve">ORDERED that </w:t>
      </w:r>
      <w:r w:rsidRPr="005C5A75">
        <w:t>that a 10.1 percent adjustment to operating expenses for chemicals and purchased power sh</w:t>
      </w:r>
      <w:r>
        <w:t>all be made for excessive unaccounted for water.  It is further</w:t>
      </w:r>
    </w:p>
    <w:p w:rsidR="00646202" w:rsidRDefault="00646202" w:rsidP="00925414">
      <w:pPr>
        <w:pStyle w:val="OrderBody"/>
      </w:pPr>
    </w:p>
    <w:p w:rsidR="00646202" w:rsidRDefault="00646202" w:rsidP="00925414">
      <w:pPr>
        <w:pStyle w:val="OrderBody"/>
      </w:pPr>
      <w:r>
        <w:tab/>
        <w:t xml:space="preserve">ORDERED that </w:t>
      </w:r>
      <w:r w:rsidRPr="005C5A75">
        <w:t>the appropriate average test year rate base</w:t>
      </w:r>
      <w:r>
        <w:t xml:space="preserve"> for </w:t>
      </w:r>
      <w:r w:rsidRPr="005C5A75">
        <w:t>Pine Harbour</w:t>
      </w:r>
      <w:r>
        <w:t xml:space="preserve"> Waterworks Inc. is </w:t>
      </w:r>
      <w:r w:rsidRPr="005C5A75">
        <w:t>$36,616</w:t>
      </w:r>
      <w:r>
        <w:t>.  It is further</w:t>
      </w:r>
    </w:p>
    <w:p w:rsidR="00646202" w:rsidRDefault="00646202" w:rsidP="00925414">
      <w:pPr>
        <w:pStyle w:val="OrderBody"/>
      </w:pPr>
    </w:p>
    <w:p w:rsidR="00646202" w:rsidRDefault="00646202" w:rsidP="00925414">
      <w:pPr>
        <w:pStyle w:val="OrderBody"/>
      </w:pPr>
      <w:r>
        <w:tab/>
        <w:t xml:space="preserve">ORDERED that the approved return on equity for </w:t>
      </w:r>
      <w:r w:rsidRPr="005C5A75">
        <w:t>Pine Harbour</w:t>
      </w:r>
      <w:r>
        <w:t xml:space="preserve"> Waterworks Inc.</w:t>
      </w:r>
      <w:r w:rsidRPr="005C5A75">
        <w:t xml:space="preserve"> </w:t>
      </w:r>
      <w:r>
        <w:t>is</w:t>
      </w:r>
      <w:r w:rsidRPr="005C5A75">
        <w:t xml:space="preserve"> 8.11 percent, with a range </w:t>
      </w:r>
      <w:r>
        <w:t>of 7.11 percent to 9.11 percent.  The approved</w:t>
      </w:r>
      <w:r w:rsidRPr="005C5A75">
        <w:t xml:space="preserve"> overall rate of return of 8.10 percent.</w:t>
      </w:r>
      <w:r>
        <w:t xml:space="preserve">  It is further</w:t>
      </w:r>
    </w:p>
    <w:p w:rsidR="00646202" w:rsidRDefault="00646202" w:rsidP="00925414">
      <w:pPr>
        <w:pStyle w:val="OrderBody"/>
      </w:pPr>
    </w:p>
    <w:p w:rsidR="00646202" w:rsidRDefault="00646202" w:rsidP="00925414">
      <w:pPr>
        <w:pStyle w:val="OrderBody"/>
      </w:pPr>
      <w:r>
        <w:tab/>
        <w:t xml:space="preserve">ORDERED </w:t>
      </w:r>
      <w:r w:rsidR="00ED7E47">
        <w:t xml:space="preserve">that </w:t>
      </w:r>
      <w:r w:rsidR="00ED7E47" w:rsidRPr="005C5A75">
        <w:t xml:space="preserve">the appropriate test year revenues for Pine Harbour </w:t>
      </w:r>
      <w:r w:rsidR="00ED7E47">
        <w:t xml:space="preserve">Waterworks Inc. </w:t>
      </w:r>
      <w:r w:rsidR="00ED7E47" w:rsidRPr="005C5A75">
        <w:t>are $23,887</w:t>
      </w:r>
      <w:r w:rsidR="00ED7E47">
        <w:t>.  It is further</w:t>
      </w:r>
    </w:p>
    <w:p w:rsidR="00ED7E47" w:rsidRDefault="00ED7E47" w:rsidP="00925414">
      <w:pPr>
        <w:pStyle w:val="OrderBody"/>
      </w:pPr>
    </w:p>
    <w:p w:rsidR="00ED7E47" w:rsidRDefault="00ED7E47" w:rsidP="00925414">
      <w:pPr>
        <w:pStyle w:val="OrderBody"/>
      </w:pPr>
      <w:r>
        <w:tab/>
        <w:t xml:space="preserve">ORDERED </w:t>
      </w:r>
      <w:r w:rsidR="00F91F15">
        <w:t xml:space="preserve">that Pine Harbour Waterworks Inc.’s approved operating expense is </w:t>
      </w:r>
      <w:r w:rsidR="00F91F15" w:rsidRPr="005C5A75">
        <w:t>$31,327</w:t>
      </w:r>
      <w:r w:rsidR="00F91F15">
        <w:t>.  It is further</w:t>
      </w:r>
    </w:p>
    <w:p w:rsidR="00F91F15" w:rsidRDefault="00F91F15" w:rsidP="00925414">
      <w:pPr>
        <w:pStyle w:val="OrderBody"/>
      </w:pPr>
    </w:p>
    <w:p w:rsidR="00F91F15" w:rsidRDefault="00F91F15" w:rsidP="00925414">
      <w:pPr>
        <w:pStyle w:val="OrderBody"/>
      </w:pPr>
      <w:r>
        <w:tab/>
        <w:t>ORDERED that t</w:t>
      </w:r>
      <w:r w:rsidRPr="005C5A75">
        <w:t>he appropriate revenue requirement</w:t>
      </w:r>
      <w:r>
        <w:t xml:space="preserve"> for Pine Harbour</w:t>
      </w:r>
      <w:r w:rsidRPr="005C5A75">
        <w:t xml:space="preserve"> </w:t>
      </w:r>
      <w:r>
        <w:t xml:space="preserve">Waterworks Inc. </w:t>
      </w:r>
      <w:r w:rsidRPr="005C5A75">
        <w:t>is $34,292, resulting in an annual increase of $10,405 (43.56 percent)</w:t>
      </w:r>
      <w:r>
        <w:t>.  It is further</w:t>
      </w:r>
    </w:p>
    <w:p w:rsidR="00F91F15" w:rsidRDefault="00F91F15" w:rsidP="00925414">
      <w:pPr>
        <w:pStyle w:val="OrderBody"/>
      </w:pPr>
    </w:p>
    <w:p w:rsidR="00F91F15" w:rsidRDefault="00F91F15" w:rsidP="00925414">
      <w:pPr>
        <w:pStyle w:val="OrderBody"/>
      </w:pPr>
      <w:r>
        <w:tab/>
        <w:t>ORDERED that Pine Harbour</w:t>
      </w:r>
      <w:r w:rsidRPr="005C5A75">
        <w:t xml:space="preserve"> </w:t>
      </w:r>
      <w:r>
        <w:t>Waterworks Inc.’s</w:t>
      </w:r>
      <w:r w:rsidRPr="005C5A75">
        <w:t xml:space="preserve"> </w:t>
      </w:r>
      <w:r>
        <w:t>approved</w:t>
      </w:r>
      <w:r w:rsidRPr="005C5A75">
        <w:t xml:space="preserve"> rate structure and monthly water rates are shown on Schedule No. 4</w:t>
      </w:r>
      <w:r>
        <w:t>.  It is further</w:t>
      </w:r>
    </w:p>
    <w:p w:rsidR="00F91F15" w:rsidRDefault="00F91F15" w:rsidP="00925414">
      <w:pPr>
        <w:pStyle w:val="OrderBody"/>
      </w:pPr>
    </w:p>
    <w:p w:rsidR="00F91F15" w:rsidRDefault="00F91F15" w:rsidP="00925414">
      <w:pPr>
        <w:pStyle w:val="OrderBody"/>
      </w:pPr>
      <w:r>
        <w:tab/>
        <w:t xml:space="preserve">ORDERED </w:t>
      </w:r>
      <w:r w:rsidR="00E30549">
        <w:t>that Pine Harbour</w:t>
      </w:r>
      <w:r w:rsidR="00E30549" w:rsidRPr="005C5A75">
        <w:t xml:space="preserve"> </w:t>
      </w:r>
      <w:r w:rsidR="00E30549">
        <w:t xml:space="preserve">Waterworks Inc. </w:t>
      </w:r>
      <w:r w:rsidR="00E30549" w:rsidRPr="005C5A75">
        <w:t>sh</w:t>
      </w:r>
      <w:r w:rsidR="00E30549">
        <w:t>all</w:t>
      </w:r>
      <w:r w:rsidR="00E30549" w:rsidRPr="005C5A75">
        <w:t xml:space="preserve"> file revised tariff sheets and a proposed customer notice to reflect the Commission-approved rates. The approved rates sh</w:t>
      </w:r>
      <w:r w:rsidR="00E30549">
        <w:t>all</w:t>
      </w:r>
      <w:r w:rsidR="00E30549" w:rsidRPr="005C5A75">
        <w:t xml:space="preserve"> be </w:t>
      </w:r>
      <w:r w:rsidR="00E30549" w:rsidRPr="005C5A75">
        <w:lastRenderedPageBreak/>
        <w:t xml:space="preserve">effective for service rendered on or after the stamped approval date on the tariff sheets pursuant to Rule 25-30.475(1), F.A.C. </w:t>
      </w:r>
      <w:r w:rsidR="00E30549">
        <w:t xml:space="preserve"> </w:t>
      </w:r>
      <w:r w:rsidR="00E30549" w:rsidRPr="005C5A75">
        <w:t>In addition, the approved rates sh</w:t>
      </w:r>
      <w:r w:rsidR="00E30549">
        <w:t>all</w:t>
      </w:r>
      <w:r w:rsidR="00E30549" w:rsidRPr="005C5A75">
        <w:t xml:space="preserve"> not be implemented until </w:t>
      </w:r>
      <w:r w:rsidR="00E30549">
        <w:t xml:space="preserve">our </w:t>
      </w:r>
      <w:r w:rsidR="00E30549" w:rsidRPr="005C5A75">
        <w:t>staff has approved the proposed customer notice and the notice has been received by the customers. The Utility sh</w:t>
      </w:r>
      <w:r w:rsidR="00E30549">
        <w:t>all</w:t>
      </w:r>
      <w:r w:rsidR="00E30549" w:rsidRPr="005C5A75">
        <w:t xml:space="preserve"> provide proof of the date notice was given within 10 days of the date of the notice</w:t>
      </w:r>
      <w:r w:rsidR="00E30549">
        <w:t>.  It is further</w:t>
      </w:r>
    </w:p>
    <w:p w:rsidR="00E30549" w:rsidRDefault="00E30549" w:rsidP="00925414">
      <w:pPr>
        <w:pStyle w:val="OrderBody"/>
      </w:pPr>
    </w:p>
    <w:p w:rsidR="00E30549" w:rsidRDefault="00E30549" w:rsidP="00925414">
      <w:pPr>
        <w:pStyle w:val="OrderBody"/>
      </w:pPr>
      <w:r>
        <w:tab/>
        <w:t xml:space="preserve">ORDERED that </w:t>
      </w:r>
      <w:r w:rsidRPr="005C5A75">
        <w:t>the appropriate initial customer deposits sh</w:t>
      </w:r>
      <w:r>
        <w:t>all</w:t>
      </w:r>
      <w:r w:rsidRPr="005C5A75">
        <w:t xml:space="preserve"> be $80 for the residential 5/8 inch x 3/4 inch meter size. The initial customer deposits for all other residential meter sizes and all general service meter sizes sh</w:t>
      </w:r>
      <w:r>
        <w:t>all</w:t>
      </w:r>
      <w:r w:rsidRPr="005C5A75">
        <w:t xml:space="preserve"> be two times the average estimated monthly bill. The approved initial customer deposits sh</w:t>
      </w:r>
      <w:r>
        <w:t>all</w:t>
      </w:r>
      <w:r w:rsidRPr="005C5A75">
        <w:t xml:space="preserve"> be effective for service rendered or connections made on or after the stamped approval date on the tariff sheets pursuant to Rule 25-30.475, F.A.C. </w:t>
      </w:r>
      <w:r w:rsidR="00981DDE">
        <w:t>Pine Harbour</w:t>
      </w:r>
      <w:r w:rsidR="00981DDE" w:rsidRPr="005C5A75">
        <w:t xml:space="preserve"> </w:t>
      </w:r>
      <w:r w:rsidR="00981DDE">
        <w:t>Waterworks Inc.</w:t>
      </w:r>
      <w:r w:rsidRPr="005C5A75">
        <w:t xml:space="preserve"> sh</w:t>
      </w:r>
      <w:r>
        <w:t>all</w:t>
      </w:r>
      <w:r w:rsidRPr="005C5A75">
        <w:t xml:space="preserve"> be required to collect the approved deposits until authorized to change them by </w:t>
      </w:r>
      <w:r>
        <w:t>us</w:t>
      </w:r>
      <w:r w:rsidRPr="005C5A75">
        <w:t xml:space="preserve"> in a subsequent proceeding.</w:t>
      </w:r>
      <w:r>
        <w:t xml:space="preserve">  It is further</w:t>
      </w:r>
    </w:p>
    <w:p w:rsidR="00981DDE" w:rsidRDefault="00981DDE" w:rsidP="00925414">
      <w:pPr>
        <w:pStyle w:val="OrderBody"/>
      </w:pPr>
    </w:p>
    <w:p w:rsidR="00981DDE" w:rsidRDefault="00981DDE" w:rsidP="00925414">
      <w:pPr>
        <w:pStyle w:val="OrderBody"/>
      </w:pPr>
      <w:r>
        <w:tab/>
        <w:t>ORDERED that Pine Harbour</w:t>
      </w:r>
      <w:r w:rsidRPr="005C5A75">
        <w:t xml:space="preserve"> </w:t>
      </w:r>
      <w:r>
        <w:t xml:space="preserve">Waterworks Inc.’s rates shall be reduced as shown on Schedule No. 4, to remove rate case expense grossed-up for RAFs and amortized over a four-year period.  </w:t>
      </w:r>
      <w:r w:rsidRPr="00981DDE">
        <w:t>The decrease in rates sh</w:t>
      </w:r>
      <w:r>
        <w:t>all</w:t>
      </w:r>
      <w:r w:rsidRPr="00981DDE">
        <w:t xml:space="preserve"> become effective immediately following the expiration of the four-year rate case expense recovery period. </w:t>
      </w:r>
      <w:r w:rsidR="00937C0A">
        <w:t>Pine Harbour</w:t>
      </w:r>
      <w:r w:rsidR="00937C0A" w:rsidRPr="005C5A75">
        <w:t xml:space="preserve"> </w:t>
      </w:r>
      <w:r w:rsidR="00937C0A">
        <w:t>Waterworks Inc.</w:t>
      </w:r>
      <w:r w:rsidRPr="00981DDE">
        <w:t xml:space="preserve"> sh</w:t>
      </w:r>
      <w:r w:rsidR="00937C0A">
        <w:t>all</w:t>
      </w:r>
      <w:r w:rsidRPr="00981DDE">
        <w:t xml:space="preserve"> be required to file revised tariffs and a proposed customer notice setting forth the lower rates and the reason for the reduction no later than one month prior to the actual date of the required rate reduction. If </w:t>
      </w:r>
      <w:r w:rsidR="00937C0A">
        <w:t>Pine Harbour</w:t>
      </w:r>
      <w:r w:rsidR="00937C0A" w:rsidRPr="005C5A75">
        <w:t xml:space="preserve"> </w:t>
      </w:r>
      <w:r w:rsidR="00937C0A">
        <w:t>Waterworks Inc.</w:t>
      </w:r>
      <w:r w:rsidRPr="00981DDE">
        <w:t xml:space="preserve"> files this reduction in conjunction with a price index or pass-through rate </w:t>
      </w:r>
      <w:r w:rsidR="00937C0A">
        <w:t>adjustment, separate data shall</w:t>
      </w:r>
      <w:r w:rsidRPr="00981DDE">
        <w:t xml:space="preserve"> be filed for the price index and/or pass-through increase or decrease and the reduction in the rates due to the amortized rate case expense</w:t>
      </w:r>
      <w:r>
        <w:t>.</w:t>
      </w:r>
      <w:r w:rsidR="00750297">
        <w:t xml:space="preserve"> (</w:t>
      </w:r>
      <w:r w:rsidR="00750297" w:rsidRPr="00750297">
        <w:rPr>
          <w:i/>
        </w:rPr>
        <w:t>Final Agency Action</w:t>
      </w:r>
      <w:r w:rsidR="00750297">
        <w:t>)</w:t>
      </w:r>
      <w:r>
        <w:t xml:space="preserve">  It is further</w:t>
      </w:r>
    </w:p>
    <w:p w:rsidR="00937C0A" w:rsidRDefault="00937C0A" w:rsidP="00925414">
      <w:pPr>
        <w:pStyle w:val="OrderBody"/>
      </w:pPr>
    </w:p>
    <w:p w:rsidR="00937C0A" w:rsidRDefault="00937C0A" w:rsidP="00925414">
      <w:pPr>
        <w:pStyle w:val="OrderBody"/>
      </w:pPr>
      <w:r>
        <w:tab/>
        <w:t>ORDERED that the rates for Pine Harbour</w:t>
      </w:r>
      <w:r w:rsidRPr="005C5A75">
        <w:t xml:space="preserve"> </w:t>
      </w:r>
      <w:r>
        <w:t xml:space="preserve">Waterworks Inc. are approved </w:t>
      </w:r>
      <w:r w:rsidRPr="00937C0A">
        <w:t xml:space="preserve">on a temporary basis, subject to refund, in the event of a protest filed by a party other than the Utility. </w:t>
      </w:r>
      <w:r>
        <w:t>Pine Harbour</w:t>
      </w:r>
      <w:r w:rsidRPr="005C5A75">
        <w:t xml:space="preserve"> </w:t>
      </w:r>
      <w:r>
        <w:t>Waterworks Inc.</w:t>
      </w:r>
      <w:r w:rsidRPr="00937C0A">
        <w:t xml:space="preserve"> sh</w:t>
      </w:r>
      <w:r>
        <w:t>all</w:t>
      </w:r>
      <w:r w:rsidRPr="00937C0A">
        <w:t xml:space="preserve"> file revised tariff sheets and a proposed customer notice to reflect the Commission-approved rates. The approved rates sh</w:t>
      </w:r>
      <w:r>
        <w:t>all</w:t>
      </w:r>
      <w:r w:rsidRPr="00937C0A">
        <w:t xml:space="preserve"> be effective for service rendered on or after the stamped approval date on the tariff sheet, pursuant to Rule 25-30.475(1), F.A.C. </w:t>
      </w:r>
      <w:r>
        <w:t>T</w:t>
      </w:r>
      <w:r w:rsidRPr="00937C0A">
        <w:t>he temporary rates sh</w:t>
      </w:r>
      <w:r>
        <w:t>all</w:t>
      </w:r>
      <w:r w:rsidRPr="00937C0A">
        <w:t xml:space="preserve"> not be implemented until </w:t>
      </w:r>
      <w:r>
        <w:t xml:space="preserve">our </w:t>
      </w:r>
      <w:r w:rsidRPr="00937C0A">
        <w:t>staff has approved the proposed notice, and the notice has been received by the customers</w:t>
      </w:r>
      <w:r>
        <w:t>.</w:t>
      </w:r>
      <w:r w:rsidR="00750297">
        <w:t xml:space="preserve">  (</w:t>
      </w:r>
      <w:r w:rsidR="00750297" w:rsidRPr="00750297">
        <w:rPr>
          <w:i/>
        </w:rPr>
        <w:t>Final Agency Action</w:t>
      </w:r>
      <w:r w:rsidR="00750297">
        <w:t>)</w:t>
      </w:r>
      <w:r>
        <w:t xml:space="preserve">  It is further</w:t>
      </w:r>
    </w:p>
    <w:p w:rsidR="00937C0A" w:rsidRDefault="00937C0A" w:rsidP="00925414">
      <w:pPr>
        <w:pStyle w:val="OrderBody"/>
      </w:pPr>
    </w:p>
    <w:p w:rsidR="00937C0A" w:rsidRDefault="00937C0A" w:rsidP="00925414">
      <w:pPr>
        <w:pStyle w:val="OrderBody"/>
      </w:pPr>
      <w:r>
        <w:tab/>
        <w:t>ORDERED that Pine Harbour</w:t>
      </w:r>
      <w:r w:rsidRPr="005C5A75">
        <w:t xml:space="preserve"> </w:t>
      </w:r>
      <w:r>
        <w:t>Waterworks Inc. shall provide appropriate security.  Temporary rates collected by Pine Harbour</w:t>
      </w:r>
      <w:r w:rsidRPr="005C5A75">
        <w:t xml:space="preserve"> </w:t>
      </w:r>
      <w:r>
        <w:t>Waterworks Inc. shall be subject to refund as provided in the body of this Order.</w:t>
      </w:r>
      <w:r w:rsidR="00750297">
        <w:t xml:space="preserve">  (</w:t>
      </w:r>
      <w:r w:rsidR="00750297" w:rsidRPr="00750297">
        <w:rPr>
          <w:i/>
        </w:rPr>
        <w:t>Final Agency Action</w:t>
      </w:r>
      <w:r w:rsidR="00750297">
        <w:t>)</w:t>
      </w:r>
      <w:r>
        <w:t xml:space="preserve">  It is further</w:t>
      </w:r>
    </w:p>
    <w:p w:rsidR="00937C0A" w:rsidRDefault="00937C0A" w:rsidP="00925414">
      <w:pPr>
        <w:pStyle w:val="OrderBody"/>
      </w:pPr>
    </w:p>
    <w:p w:rsidR="00937C0A" w:rsidRDefault="00937C0A" w:rsidP="00925414">
      <w:pPr>
        <w:pStyle w:val="OrderBody"/>
      </w:pPr>
      <w:r>
        <w:tab/>
        <w:t xml:space="preserve">ORDERED that </w:t>
      </w:r>
      <w:r w:rsidRPr="00937C0A">
        <w:t xml:space="preserve">after the increased rates are in effect, pursuant to Rule 25-30.360(6), F.A.C., </w:t>
      </w:r>
      <w:r>
        <w:t>Pine Harbour</w:t>
      </w:r>
      <w:r w:rsidRPr="005C5A75">
        <w:t xml:space="preserve"> </w:t>
      </w:r>
      <w:r>
        <w:t>Waterworks Inc.</w:t>
      </w:r>
      <w:r w:rsidRPr="00937C0A">
        <w:t xml:space="preserve"> sh</w:t>
      </w:r>
      <w:r>
        <w:t>all</w:t>
      </w:r>
      <w:r w:rsidRPr="00937C0A">
        <w:t xml:space="preserve"> file reports with the Office of Commission Clerk no later than the 20th of every month indicating the monthly and total amount of money subject to refund at the end of the preceding month. The report filed sh</w:t>
      </w:r>
      <w:r>
        <w:t>all</w:t>
      </w:r>
      <w:r w:rsidRPr="00937C0A">
        <w:t xml:space="preserve"> also indicate the status of the security being used to guarantee repayment of any potential refund</w:t>
      </w:r>
      <w:r>
        <w:t>.</w:t>
      </w:r>
      <w:r w:rsidR="00750297">
        <w:t xml:space="preserve">  (</w:t>
      </w:r>
      <w:r w:rsidR="00750297" w:rsidRPr="00750297">
        <w:rPr>
          <w:i/>
        </w:rPr>
        <w:t>Final Agency Action</w:t>
      </w:r>
      <w:r w:rsidR="00750297">
        <w:t>)</w:t>
      </w:r>
      <w:r>
        <w:t xml:space="preserve">  It is further</w:t>
      </w:r>
    </w:p>
    <w:p w:rsidR="00937C0A" w:rsidRDefault="00937C0A" w:rsidP="00925414">
      <w:pPr>
        <w:pStyle w:val="OrderBody"/>
      </w:pPr>
    </w:p>
    <w:p w:rsidR="00937C0A" w:rsidRDefault="00937C0A" w:rsidP="00925414">
      <w:pPr>
        <w:pStyle w:val="OrderBody"/>
      </w:pPr>
      <w:r>
        <w:lastRenderedPageBreak/>
        <w:tab/>
        <w:t>ORDERED that Pine Harbour</w:t>
      </w:r>
      <w:r w:rsidRPr="005C5A75">
        <w:t xml:space="preserve"> </w:t>
      </w:r>
      <w:r>
        <w:t xml:space="preserve">Waterworks Inc. </w:t>
      </w:r>
      <w:r w:rsidRPr="00925414">
        <w:t>sh</w:t>
      </w:r>
      <w:r>
        <w:t>all</w:t>
      </w:r>
      <w:r w:rsidRPr="00925414">
        <w:t xml:space="preserve"> be required to notify </w:t>
      </w:r>
      <w:r>
        <w:t>this Commission</w:t>
      </w:r>
      <w:r w:rsidRPr="00925414">
        <w:t xml:space="preserve">, in writing that it has adjusted its books in accordance with the </w:t>
      </w:r>
      <w:r>
        <w:t>our</w:t>
      </w:r>
      <w:r w:rsidRPr="00925414">
        <w:t xml:space="preserve"> decision. </w:t>
      </w:r>
      <w:r>
        <w:t>Pine Harbour</w:t>
      </w:r>
      <w:r w:rsidRPr="005C5A75">
        <w:t xml:space="preserve"> </w:t>
      </w:r>
      <w:r>
        <w:t>Waterworks Inc.</w:t>
      </w:r>
      <w:r w:rsidRPr="00925414">
        <w:t xml:space="preserve"> sh</w:t>
      </w:r>
      <w:r>
        <w:t>all</w:t>
      </w:r>
      <w:r w:rsidRPr="00925414">
        <w:t xml:space="preserve"> submit a letter within 90 days of the final order in this docket, confirming that the adjustments to all the applicable </w:t>
      </w:r>
      <w:r w:rsidRPr="00937C0A">
        <w:t xml:space="preserve">National Association of Regulatory Commissioners Uniform System of Accounts </w:t>
      </w:r>
      <w:r w:rsidRPr="00925414">
        <w:t xml:space="preserve">primary accounts, as shown on Schedule No. 5, have been made to the Utility’s books and records. In the event </w:t>
      </w:r>
      <w:r>
        <w:t>Pine Harbour</w:t>
      </w:r>
      <w:r w:rsidRPr="005C5A75">
        <w:t xml:space="preserve"> </w:t>
      </w:r>
      <w:r>
        <w:t>Waterworks Inc.</w:t>
      </w:r>
      <w:r w:rsidRPr="00925414">
        <w:t xml:space="preserve"> needs additional time to complete the adjustments, notice sh</w:t>
      </w:r>
      <w:r>
        <w:t>all</w:t>
      </w:r>
      <w:r w:rsidRPr="00925414">
        <w:t xml:space="preserve"> be provided within seven days prior to the deadline. Upon providing good cause, </w:t>
      </w:r>
      <w:r>
        <w:t xml:space="preserve">our </w:t>
      </w:r>
      <w:r w:rsidRPr="00925414">
        <w:t xml:space="preserve">staff </w:t>
      </w:r>
      <w:r>
        <w:t>is hereby</w:t>
      </w:r>
      <w:r w:rsidRPr="00925414">
        <w:t xml:space="preserve"> given administrative authority to grant an extension of up to 60 days</w:t>
      </w:r>
      <w:r>
        <w:t>.</w:t>
      </w:r>
      <w:r w:rsidR="00750297">
        <w:t xml:space="preserve">  (</w:t>
      </w:r>
      <w:r w:rsidR="00750297" w:rsidRPr="00750297">
        <w:rPr>
          <w:i/>
        </w:rPr>
        <w:t>Final Agency Action</w:t>
      </w:r>
      <w:r w:rsidR="00750297">
        <w:t>)</w:t>
      </w:r>
      <w:r>
        <w:t xml:space="preserve">  It is further</w:t>
      </w:r>
    </w:p>
    <w:p w:rsidR="00925414" w:rsidRDefault="00925414" w:rsidP="00925414">
      <w:pPr>
        <w:pStyle w:val="OrderBody"/>
      </w:pPr>
    </w:p>
    <w:p w:rsidR="00925414" w:rsidRDefault="00925414" w:rsidP="0092541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25414" w:rsidRDefault="00925414" w:rsidP="00925414">
      <w:pPr>
        <w:pStyle w:val="OrderBody"/>
      </w:pPr>
    </w:p>
    <w:p w:rsidR="00925414" w:rsidRDefault="00925414" w:rsidP="00925414">
      <w:pPr>
        <w:pStyle w:val="OrderBody"/>
      </w:pPr>
      <w:r>
        <w:tab/>
        <w:t xml:space="preserve">ORDERED that </w:t>
      </w:r>
      <w:r w:rsidR="00646202">
        <w:rPr>
          <w:rFonts w:eastAsia="Calibri"/>
        </w:rPr>
        <w:t>i</w:t>
      </w:r>
      <w:r w:rsidR="00646202" w:rsidRPr="00925414">
        <w:rPr>
          <w:rFonts w:eastAsia="Calibri"/>
        </w:rPr>
        <w:t>f no person whose substantial interests are affected by the proposed agency action files a protest within 21 days of the issuance of the order, a consummating order sh</w:t>
      </w:r>
      <w:r w:rsidR="0029346C">
        <w:rPr>
          <w:rFonts w:eastAsia="Calibri"/>
        </w:rPr>
        <w:t>all</w:t>
      </w:r>
      <w:r w:rsidR="00646202" w:rsidRPr="00925414">
        <w:rPr>
          <w:rFonts w:eastAsia="Calibri"/>
        </w:rPr>
        <w:t xml:space="preserve"> be issued. The docket sh</w:t>
      </w:r>
      <w:r w:rsidR="00937C0A">
        <w:rPr>
          <w:rFonts w:eastAsia="Calibri"/>
        </w:rPr>
        <w:t>all</w:t>
      </w:r>
      <w:r w:rsidR="00646202" w:rsidRPr="00925414">
        <w:rPr>
          <w:rFonts w:eastAsia="Calibri"/>
        </w:rPr>
        <w:t xml:space="preserve"> remain open for </w:t>
      </w:r>
      <w:r w:rsidR="00937C0A">
        <w:rPr>
          <w:rFonts w:eastAsia="Calibri"/>
        </w:rPr>
        <w:t xml:space="preserve">our </w:t>
      </w:r>
      <w:r w:rsidR="00646202" w:rsidRPr="00925414">
        <w:rPr>
          <w:rFonts w:eastAsia="Calibri"/>
        </w:rPr>
        <w:t xml:space="preserve">staff’s verification that the revised tariff sheets and customer notice have been filed by the Utility and approved by </w:t>
      </w:r>
      <w:r w:rsidR="00937C0A">
        <w:rPr>
          <w:rFonts w:eastAsia="Calibri"/>
        </w:rPr>
        <w:t xml:space="preserve">our </w:t>
      </w:r>
      <w:r w:rsidR="00646202" w:rsidRPr="00925414">
        <w:rPr>
          <w:rFonts w:eastAsia="Calibri"/>
        </w:rPr>
        <w:t xml:space="preserve">staff, and the Utility has submitted a letter to </w:t>
      </w:r>
      <w:r w:rsidR="00937C0A">
        <w:rPr>
          <w:rFonts w:eastAsia="Calibri"/>
        </w:rPr>
        <w:t xml:space="preserve">our </w:t>
      </w:r>
      <w:r w:rsidR="00646202" w:rsidRPr="00925414">
        <w:rPr>
          <w:rFonts w:eastAsia="Calibri"/>
        </w:rPr>
        <w:t xml:space="preserve">staff </w:t>
      </w:r>
      <w:r w:rsidR="00646202" w:rsidRPr="00925414">
        <w:t xml:space="preserve">confirming that the adjustments to all the applicable </w:t>
      </w:r>
      <w:r w:rsidR="00937C0A" w:rsidRPr="00937C0A">
        <w:t>National Association of Regulatory Commissioners Uniform System of Accounts</w:t>
      </w:r>
      <w:r w:rsidR="00646202" w:rsidRPr="00925414">
        <w:t xml:space="preserve"> primary accounts as shown on Schedule No. 5 have been made to the Utility’s books and records.</w:t>
      </w:r>
      <w:r w:rsidR="00646202" w:rsidRPr="00925414">
        <w:rPr>
          <w:rFonts w:eastAsia="Calibri"/>
        </w:rPr>
        <w:t xml:space="preserve"> Once these actions are complete, this docket sh</w:t>
      </w:r>
      <w:r w:rsidR="00937C0A">
        <w:rPr>
          <w:rFonts w:eastAsia="Calibri"/>
        </w:rPr>
        <w:t>all</w:t>
      </w:r>
      <w:r w:rsidR="00646202" w:rsidRPr="00925414">
        <w:rPr>
          <w:rFonts w:eastAsia="Calibri"/>
        </w:rPr>
        <w:t xml:space="preserve"> be closed administratively</w:t>
      </w:r>
      <w:r w:rsidR="00646202">
        <w:rPr>
          <w:rFonts w:eastAsia="Calibri"/>
        </w:rPr>
        <w:t>.</w:t>
      </w:r>
    </w:p>
    <w:p w:rsidR="005C5A75" w:rsidRDefault="005C5A75" w:rsidP="005C5A75"/>
    <w:p w:rsidR="00925414" w:rsidRDefault="00925414" w:rsidP="00F94E7B">
      <w:pPr>
        <w:keepNext/>
        <w:keepLines/>
        <w:jc w:val="both"/>
      </w:pPr>
      <w:r>
        <w:lastRenderedPageBreak/>
        <w:tab/>
        <w:t xml:space="preserve">By ORDER of the Florida Public Service Commission this </w:t>
      </w:r>
      <w:bookmarkStart w:id="10" w:name="replaceDate"/>
      <w:bookmarkEnd w:id="10"/>
      <w:r w:rsidR="00282161">
        <w:rPr>
          <w:u w:val="single"/>
        </w:rPr>
        <w:t>19th</w:t>
      </w:r>
      <w:r w:rsidR="00282161">
        <w:t xml:space="preserve"> day of </w:t>
      </w:r>
      <w:r w:rsidR="00282161">
        <w:rPr>
          <w:u w:val="single"/>
        </w:rPr>
        <w:t>November</w:t>
      </w:r>
      <w:r w:rsidR="00282161">
        <w:t xml:space="preserve">, </w:t>
      </w:r>
      <w:r w:rsidR="00282161">
        <w:rPr>
          <w:u w:val="single"/>
        </w:rPr>
        <w:t>2018</w:t>
      </w:r>
      <w:r w:rsidR="00282161">
        <w:t>.</w:t>
      </w:r>
    </w:p>
    <w:p w:rsidR="00282161" w:rsidRPr="00282161" w:rsidRDefault="00282161" w:rsidP="00F94E7B">
      <w:pPr>
        <w:keepNext/>
        <w:keepLines/>
        <w:jc w:val="both"/>
      </w:pPr>
    </w:p>
    <w:p w:rsidR="00925414" w:rsidRDefault="00925414" w:rsidP="00925414">
      <w:pPr>
        <w:keepNext/>
        <w:keepLines/>
      </w:pPr>
    </w:p>
    <w:p w:rsidR="00925414" w:rsidRDefault="00925414" w:rsidP="00925414">
      <w:pPr>
        <w:keepNext/>
        <w:keepLines/>
      </w:pPr>
    </w:p>
    <w:tbl>
      <w:tblPr>
        <w:tblW w:w="4720" w:type="dxa"/>
        <w:tblInd w:w="3800" w:type="dxa"/>
        <w:tblLayout w:type="fixed"/>
        <w:tblLook w:val="0000" w:firstRow="0" w:lastRow="0" w:firstColumn="0" w:lastColumn="0" w:noHBand="0" w:noVBand="0"/>
      </w:tblPr>
      <w:tblGrid>
        <w:gridCol w:w="686"/>
        <w:gridCol w:w="4034"/>
      </w:tblGrid>
      <w:tr w:rsidR="00925414" w:rsidTr="00925414">
        <w:tc>
          <w:tcPr>
            <w:tcW w:w="720" w:type="dxa"/>
            <w:shd w:val="clear" w:color="auto" w:fill="auto"/>
          </w:tcPr>
          <w:p w:rsidR="00925414" w:rsidRDefault="00925414" w:rsidP="00925414">
            <w:pPr>
              <w:keepNext/>
              <w:keepLines/>
            </w:pPr>
            <w:bookmarkStart w:id="11" w:name="bkmrkSignature" w:colFirst="0" w:colLast="0"/>
          </w:p>
        </w:tc>
        <w:tc>
          <w:tcPr>
            <w:tcW w:w="4320" w:type="dxa"/>
            <w:tcBorders>
              <w:bottom w:val="single" w:sz="4" w:space="0" w:color="auto"/>
            </w:tcBorders>
            <w:shd w:val="clear" w:color="auto" w:fill="auto"/>
          </w:tcPr>
          <w:p w:rsidR="00925414" w:rsidRDefault="00282161" w:rsidP="00925414">
            <w:pPr>
              <w:keepNext/>
              <w:keepLines/>
            </w:pPr>
            <w:r>
              <w:t>/s/ Carlotta S. Stauffer</w:t>
            </w:r>
            <w:bookmarkStart w:id="12" w:name="_GoBack"/>
            <w:bookmarkEnd w:id="12"/>
          </w:p>
        </w:tc>
      </w:tr>
      <w:bookmarkEnd w:id="11"/>
      <w:tr w:rsidR="00925414" w:rsidTr="00925414">
        <w:tc>
          <w:tcPr>
            <w:tcW w:w="720" w:type="dxa"/>
            <w:shd w:val="clear" w:color="auto" w:fill="auto"/>
          </w:tcPr>
          <w:p w:rsidR="00925414" w:rsidRDefault="00925414" w:rsidP="00925414">
            <w:pPr>
              <w:keepNext/>
              <w:keepLines/>
            </w:pPr>
          </w:p>
        </w:tc>
        <w:tc>
          <w:tcPr>
            <w:tcW w:w="4320" w:type="dxa"/>
            <w:tcBorders>
              <w:top w:val="single" w:sz="4" w:space="0" w:color="auto"/>
            </w:tcBorders>
            <w:shd w:val="clear" w:color="auto" w:fill="auto"/>
          </w:tcPr>
          <w:p w:rsidR="00925414" w:rsidRDefault="00925414" w:rsidP="00925414">
            <w:pPr>
              <w:keepNext/>
              <w:keepLines/>
            </w:pPr>
            <w:r>
              <w:t>CARLOTTA S. STAUFFER</w:t>
            </w:r>
          </w:p>
          <w:p w:rsidR="00925414" w:rsidRDefault="00925414" w:rsidP="00925414">
            <w:pPr>
              <w:keepNext/>
              <w:keepLines/>
            </w:pPr>
            <w:r>
              <w:t>Commission Clerk</w:t>
            </w:r>
          </w:p>
        </w:tc>
      </w:tr>
    </w:tbl>
    <w:p w:rsidR="00925414" w:rsidRDefault="00925414" w:rsidP="00925414">
      <w:pPr>
        <w:pStyle w:val="OrderSigInfo"/>
        <w:keepNext/>
        <w:keepLines/>
      </w:pPr>
      <w:r>
        <w:t>Florida Public Service Commission</w:t>
      </w:r>
    </w:p>
    <w:p w:rsidR="00925414" w:rsidRDefault="00925414" w:rsidP="00925414">
      <w:pPr>
        <w:pStyle w:val="OrderSigInfo"/>
        <w:keepNext/>
        <w:keepLines/>
      </w:pPr>
      <w:r>
        <w:t>2540 Shumard Oak Boulevard</w:t>
      </w:r>
    </w:p>
    <w:p w:rsidR="00925414" w:rsidRDefault="00925414" w:rsidP="00925414">
      <w:pPr>
        <w:pStyle w:val="OrderSigInfo"/>
        <w:keepNext/>
        <w:keepLines/>
      </w:pPr>
      <w:r>
        <w:t>Tallahassee, Florida 32399</w:t>
      </w:r>
    </w:p>
    <w:p w:rsidR="00925414" w:rsidRDefault="00925414" w:rsidP="00925414">
      <w:pPr>
        <w:pStyle w:val="OrderSigInfo"/>
        <w:keepNext/>
        <w:keepLines/>
      </w:pPr>
      <w:r>
        <w:t>(850) 413</w:t>
      </w:r>
      <w:r>
        <w:noBreakHyphen/>
        <w:t>6770</w:t>
      </w:r>
    </w:p>
    <w:p w:rsidR="00925414" w:rsidRDefault="00925414" w:rsidP="00925414">
      <w:pPr>
        <w:pStyle w:val="OrderSigInfo"/>
        <w:keepNext/>
        <w:keepLines/>
      </w:pPr>
      <w:r>
        <w:t>www.floridapsc.com</w:t>
      </w:r>
    </w:p>
    <w:p w:rsidR="00925414" w:rsidRDefault="00925414" w:rsidP="00925414">
      <w:pPr>
        <w:pStyle w:val="OrderSigInfo"/>
        <w:keepNext/>
        <w:keepLines/>
      </w:pPr>
    </w:p>
    <w:p w:rsidR="00925414" w:rsidRDefault="00925414" w:rsidP="00925414">
      <w:pPr>
        <w:pStyle w:val="OrderSigInfo"/>
        <w:keepNext/>
        <w:keepLines/>
      </w:pPr>
      <w:r>
        <w:t>Copies furnished:  A copy of this document is provided to the parties of record at the time of issuance and, if applicable, interested persons.</w:t>
      </w:r>
    </w:p>
    <w:p w:rsidR="00925414" w:rsidRDefault="00925414" w:rsidP="00925414">
      <w:pPr>
        <w:pStyle w:val="OrderBody"/>
        <w:keepNext/>
        <w:keepLines/>
      </w:pPr>
    </w:p>
    <w:p w:rsidR="00925414" w:rsidRDefault="00925414" w:rsidP="00925414">
      <w:pPr>
        <w:keepNext/>
        <w:keepLines/>
      </w:pPr>
    </w:p>
    <w:p w:rsidR="00925414" w:rsidRDefault="00925414" w:rsidP="00925414">
      <w:pPr>
        <w:keepNext/>
        <w:keepLines/>
      </w:pPr>
      <w:r>
        <w:t>MAD</w:t>
      </w:r>
    </w:p>
    <w:p w:rsidR="00925414" w:rsidRDefault="00925414" w:rsidP="00B41039"/>
    <w:p w:rsidR="00937C0A" w:rsidRDefault="00937C0A" w:rsidP="00937C0A">
      <w:pPr>
        <w:pStyle w:val="CenterUnderline"/>
      </w:pPr>
      <w:r>
        <w:t>NOTICE OF FURTHER PROCEEDINGS OR JUDICIAL REVIEW</w:t>
      </w:r>
    </w:p>
    <w:p w:rsidR="00937C0A" w:rsidRDefault="00937C0A" w:rsidP="00937C0A">
      <w:pPr>
        <w:pStyle w:val="CenterUnderline"/>
      </w:pPr>
    </w:p>
    <w:p w:rsidR="00937C0A" w:rsidRDefault="00937C0A" w:rsidP="00937C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7C0A" w:rsidRDefault="00937C0A" w:rsidP="00937C0A">
      <w:pPr>
        <w:pStyle w:val="OrderBody"/>
      </w:pPr>
    </w:p>
    <w:p w:rsidR="00937C0A" w:rsidRDefault="00937C0A" w:rsidP="00937C0A">
      <w:pPr>
        <w:pStyle w:val="OrderBody"/>
      </w:pPr>
      <w:r>
        <w:tab/>
        <w:t>As identified in the body of this order, our action</w:t>
      </w:r>
      <w:r w:rsidR="00726AFA">
        <w:t>s, except for</w:t>
      </w:r>
      <w:r>
        <w:t xml:space="preserve"> </w:t>
      </w:r>
      <w:r w:rsidR="00726AFA">
        <w:t xml:space="preserve">(1) the reduction of rates after four years based upon the recovery of rate case expense, (2) the granting of temporary rates in the event of protest, and (3) the requirement for proof of adjustment of books and records, are </w:t>
      </w:r>
      <w:r>
        <w:t xml:space="preserve">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82161">
        <w:rPr>
          <w:u w:val="single"/>
        </w:rPr>
        <w:t>December 10,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37C0A" w:rsidRDefault="00937C0A" w:rsidP="00937C0A">
      <w:pPr>
        <w:pStyle w:val="OrderBody"/>
      </w:pPr>
    </w:p>
    <w:p w:rsidR="00937C0A" w:rsidRDefault="00937C0A" w:rsidP="00937C0A">
      <w:pPr>
        <w:pStyle w:val="OrderBody"/>
      </w:pPr>
      <w:r>
        <w:tab/>
        <w:t>Any objection or protest filed in this docket before the issuance date of this order is considered abandoned unless it satisfies the foregoing conditions and is renewed within the specified protest period.</w:t>
      </w:r>
    </w:p>
    <w:p w:rsidR="00937C0A" w:rsidRDefault="00937C0A" w:rsidP="00937C0A">
      <w:pPr>
        <w:pStyle w:val="OrderBody"/>
      </w:pPr>
    </w:p>
    <w:p w:rsidR="00937C0A" w:rsidRDefault="00937C0A" w:rsidP="00937C0A">
      <w:pPr>
        <w:pStyle w:val="OrderBody"/>
      </w:pPr>
      <w:r>
        <w:lastRenderedPageBreak/>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37C0A" w:rsidRDefault="00937C0A" w:rsidP="00937C0A">
      <w:pPr>
        <w:pStyle w:val="OrderBody"/>
      </w:pPr>
    </w:p>
    <w:p w:rsidR="00937C0A" w:rsidRDefault="00937C0A" w:rsidP="00937C0A">
      <w:pPr>
        <w:pStyle w:val="OrderBody"/>
      </w:pPr>
    </w:p>
    <w:p w:rsidR="00937C0A" w:rsidRPr="00937C0A" w:rsidRDefault="00937C0A" w:rsidP="00937C0A">
      <w:pPr>
        <w:pStyle w:val="OrderBody"/>
      </w:pPr>
    </w:p>
    <w:p w:rsidR="00925414" w:rsidRDefault="00925414" w:rsidP="00925414">
      <w:pPr>
        <w:pStyle w:val="OrderBody"/>
      </w:pPr>
    </w:p>
    <w:p w:rsidR="0005008E" w:rsidRDefault="0005008E" w:rsidP="00925414">
      <w:pPr>
        <w:pStyle w:val="OrderBody"/>
        <w:sectPr w:rsidR="0005008E">
          <w:headerReference w:type="default" r:id="rId8"/>
          <w:footerReference w:type="first" r:id="rId9"/>
          <w:pgSz w:w="12240" w:h="15840" w:code="1"/>
          <w:pgMar w:top="1440" w:right="1440" w:bottom="1440" w:left="1440" w:header="720" w:footer="720" w:gutter="0"/>
          <w:cols w:space="720"/>
          <w:titlePg/>
          <w:docGrid w:linePitch="360"/>
        </w:sectPr>
      </w:pPr>
    </w:p>
    <w:tbl>
      <w:tblPr>
        <w:tblpPr w:leftFromText="180" w:rightFromText="180" w:horzAnchor="margin" w:tblpXSpec="center" w:tblpY="480"/>
        <w:tblW w:w="9375"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1710"/>
        <w:gridCol w:w="1620"/>
      </w:tblGrid>
      <w:tr w:rsidR="0005008E" w:rsidRPr="00E022F8" w:rsidTr="00FE758E">
        <w:trPr>
          <w:trHeight w:val="301"/>
        </w:trPr>
        <w:tc>
          <w:tcPr>
            <w:tcW w:w="375" w:type="dxa"/>
            <w:tcBorders>
              <w:top w:val="single" w:sz="4" w:space="0" w:color="auto"/>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lastRenderedPageBreak/>
              <w:t> </w:t>
            </w:r>
          </w:p>
        </w:tc>
        <w:tc>
          <w:tcPr>
            <w:tcW w:w="5541" w:type="dxa"/>
            <w:gridSpan w:val="3"/>
            <w:tcBorders>
              <w:top w:val="single" w:sz="4"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24364F">
              <w:rPr>
                <w:rFonts w:ascii="SWISS" w:hAnsi="SWISS" w:cs="Arial"/>
                <w:b/>
                <w:bCs/>
                <w:color w:val="000000"/>
                <w:sz w:val="20"/>
                <w:szCs w:val="20"/>
              </w:rPr>
              <w:t>PINE HA</w:t>
            </w:r>
            <w:r>
              <w:rPr>
                <w:rFonts w:ascii="SWISS" w:hAnsi="SWISS" w:cs="Arial"/>
                <w:b/>
                <w:bCs/>
                <w:color w:val="000000"/>
                <w:sz w:val="20"/>
                <w:szCs w:val="20"/>
              </w:rPr>
              <w:t xml:space="preserve">RBOUR </w:t>
            </w:r>
            <w:r w:rsidRPr="00E022F8">
              <w:rPr>
                <w:rFonts w:ascii="SWISS" w:hAnsi="SWISS" w:cs="Arial"/>
                <w:b/>
                <w:bCs/>
                <w:color w:val="000000"/>
                <w:sz w:val="20"/>
                <w:szCs w:val="20"/>
              </w:rPr>
              <w:t>WATERWORKS, INC.</w:t>
            </w:r>
          </w:p>
        </w:tc>
        <w:tc>
          <w:tcPr>
            <w:tcW w:w="3459" w:type="dxa"/>
            <w:gridSpan w:val="3"/>
            <w:tcBorders>
              <w:top w:val="single" w:sz="4" w:space="0" w:color="auto"/>
              <w:left w:val="nil"/>
              <w:bottom w:val="nil"/>
              <w:right w:val="single" w:sz="4" w:space="0" w:color="auto"/>
            </w:tcBorders>
            <w:noWrap/>
            <w:vAlign w:val="bottom"/>
            <w:hideMark/>
          </w:tcPr>
          <w:p w:rsidR="0005008E" w:rsidRPr="00E022F8" w:rsidRDefault="0005008E" w:rsidP="00FE758E">
            <w:pPr>
              <w:jc w:val="right"/>
              <w:rPr>
                <w:sz w:val="20"/>
                <w:szCs w:val="20"/>
              </w:rPr>
            </w:pPr>
            <w:r w:rsidRPr="00E022F8">
              <w:rPr>
                <w:rFonts w:ascii="SWISS" w:hAnsi="SWISS" w:cs="Arial"/>
                <w:b/>
                <w:bCs/>
                <w:color w:val="000000"/>
                <w:sz w:val="20"/>
                <w:szCs w:val="20"/>
              </w:rPr>
              <w:t>SCHEDULE NO. 1-A</w:t>
            </w:r>
            <w:r w:rsidRPr="00E022F8">
              <w:rPr>
                <w:sz w:val="20"/>
                <w:szCs w:val="20"/>
              </w:rPr>
              <w:fldChar w:fldCharType="begin"/>
            </w:r>
            <w:r w:rsidRPr="00E022F8">
              <w:rPr>
                <w:sz w:val="20"/>
                <w:szCs w:val="20"/>
              </w:rPr>
              <w:instrText xml:space="preserve"> TC " Schedule No. 1-A Water Rate Base”l 1 </w:instrText>
            </w:r>
            <w:r w:rsidRPr="00E022F8">
              <w:rPr>
                <w:sz w:val="20"/>
                <w:szCs w:val="20"/>
              </w:rPr>
              <w:fldChar w:fldCharType="end"/>
            </w: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3812" w:type="dxa"/>
            <w:tcBorders>
              <w:top w:val="nil"/>
              <w:left w:val="nil"/>
              <w:bottom w:val="nil"/>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TEST YEAR ENDED </w:t>
            </w:r>
            <w:r>
              <w:rPr>
                <w:rFonts w:ascii="SWISS" w:hAnsi="SWISS" w:cs="Arial"/>
                <w:b/>
                <w:bCs/>
                <w:color w:val="000000"/>
                <w:sz w:val="20"/>
                <w:szCs w:val="20"/>
              </w:rPr>
              <w:t>12</w:t>
            </w:r>
            <w:r w:rsidRPr="00E022F8">
              <w:rPr>
                <w:rFonts w:ascii="SWISS" w:hAnsi="SWISS" w:cs="Arial"/>
                <w:b/>
                <w:bCs/>
                <w:color w:val="000000"/>
                <w:sz w:val="20"/>
                <w:szCs w:val="20"/>
              </w:rPr>
              <w:t>/31/1</w:t>
            </w:r>
            <w:r>
              <w:rPr>
                <w:rFonts w:ascii="SWISS" w:hAnsi="SWISS" w:cs="Arial"/>
                <w:b/>
                <w:bCs/>
                <w:color w:val="000000"/>
                <w:sz w:val="20"/>
                <w:szCs w:val="20"/>
              </w:rPr>
              <w:t>7</w:t>
            </w:r>
          </w:p>
        </w:tc>
        <w:tc>
          <w:tcPr>
            <w:tcW w:w="5188" w:type="dxa"/>
            <w:gridSpan w:val="5"/>
            <w:tcBorders>
              <w:top w:val="nil"/>
              <w:left w:val="nil"/>
              <w:bottom w:val="nil"/>
              <w:right w:val="single" w:sz="4" w:space="0" w:color="auto"/>
            </w:tcBorders>
            <w:noWrap/>
            <w:vAlign w:val="bottom"/>
          </w:tcPr>
          <w:p w:rsidR="0005008E" w:rsidRPr="00E022F8" w:rsidRDefault="0005008E" w:rsidP="00FE758E">
            <w:pPr>
              <w:jc w:val="right"/>
              <w:rPr>
                <w:rFonts w:ascii="SWISS" w:hAnsi="SWISS" w:cs="Arial"/>
                <w:b/>
                <w:bCs/>
                <w:color w:val="000000"/>
                <w:sz w:val="20"/>
                <w:szCs w:val="20"/>
              </w:rPr>
            </w:pPr>
            <w:r w:rsidRPr="00E022F8">
              <w:rPr>
                <w:rFonts w:ascii="SWISS" w:hAnsi="SWISS" w:cs="Arial"/>
                <w:b/>
                <w:bCs/>
                <w:color w:val="000000"/>
                <w:sz w:val="20"/>
                <w:szCs w:val="20"/>
              </w:rPr>
              <w:t xml:space="preserve">DOCKET NO. </w:t>
            </w:r>
            <w:r>
              <w:rPr>
                <w:rFonts w:ascii="SWISS" w:hAnsi="SWISS" w:cs="Arial"/>
                <w:b/>
                <w:bCs/>
                <w:color w:val="000000"/>
                <w:sz w:val="20"/>
                <w:szCs w:val="20"/>
              </w:rPr>
              <w:t>20180022</w:t>
            </w:r>
            <w:r w:rsidRPr="00E022F8">
              <w:rPr>
                <w:rFonts w:ascii="SWISS" w:hAnsi="SWISS" w:cs="Arial"/>
                <w:b/>
                <w:bCs/>
                <w:color w:val="000000"/>
                <w:sz w:val="20"/>
                <w:szCs w:val="20"/>
              </w:rPr>
              <w:t>-WU</w:t>
            </w:r>
          </w:p>
        </w:tc>
      </w:tr>
      <w:tr w:rsidR="0005008E" w:rsidRPr="00E022F8" w:rsidTr="00FE758E">
        <w:trPr>
          <w:trHeight w:val="301"/>
        </w:trPr>
        <w:tc>
          <w:tcPr>
            <w:tcW w:w="375" w:type="dxa"/>
            <w:tcBorders>
              <w:top w:val="nil"/>
              <w:left w:val="single" w:sz="4" w:space="0" w:color="auto"/>
              <w:bottom w:val="single" w:sz="4"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5670" w:type="dxa"/>
            <w:gridSpan w:val="4"/>
            <w:tcBorders>
              <w:top w:val="nil"/>
              <w:left w:val="nil"/>
              <w:bottom w:val="single" w:sz="4"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b/>
                <w:bCs/>
                <w:color w:val="000000"/>
                <w:sz w:val="20"/>
                <w:szCs w:val="20"/>
              </w:rPr>
              <w:t>SCHEDULE OF WATER RATE BASE</w:t>
            </w:r>
          </w:p>
        </w:tc>
        <w:tc>
          <w:tcPr>
            <w:tcW w:w="1710" w:type="dxa"/>
            <w:tcBorders>
              <w:top w:val="nil"/>
              <w:left w:val="nil"/>
              <w:bottom w:val="single" w:sz="4" w:space="0" w:color="auto"/>
              <w:right w:val="nil"/>
            </w:tcBorders>
            <w:noWrap/>
            <w:vAlign w:val="bottom"/>
          </w:tcPr>
          <w:p w:rsidR="0005008E" w:rsidRPr="00E022F8" w:rsidRDefault="0005008E" w:rsidP="00FE758E">
            <w:pPr>
              <w:rPr>
                <w:rFonts w:ascii="SWISS" w:hAnsi="SWISS" w:cs="Arial"/>
                <w:color w:val="000000"/>
                <w:sz w:val="20"/>
                <w:szCs w:val="20"/>
              </w:rPr>
            </w:pPr>
          </w:p>
        </w:tc>
        <w:tc>
          <w:tcPr>
            <w:tcW w:w="1620" w:type="dxa"/>
            <w:tcBorders>
              <w:top w:val="nil"/>
              <w:left w:val="nil"/>
              <w:bottom w:val="single" w:sz="4" w:space="0" w:color="auto"/>
              <w:right w:val="single" w:sz="4" w:space="0" w:color="auto"/>
            </w:tcBorders>
            <w:noWrap/>
            <w:vAlign w:val="bottom"/>
          </w:tcPr>
          <w:p w:rsidR="0005008E" w:rsidRPr="00E022F8" w:rsidRDefault="0005008E" w:rsidP="00FE758E">
            <w:pPr>
              <w:rPr>
                <w:rFonts w:ascii="SWISS" w:hAnsi="SWISS" w:cs="Arial"/>
                <w:color w:val="000000"/>
                <w:sz w:val="20"/>
                <w:szCs w:val="20"/>
              </w:rPr>
            </w:pPr>
          </w:p>
        </w:tc>
      </w:tr>
      <w:tr w:rsidR="0005008E" w:rsidRPr="00E022F8" w:rsidTr="00FE758E">
        <w:trPr>
          <w:trHeight w:val="301"/>
        </w:trPr>
        <w:tc>
          <w:tcPr>
            <w:tcW w:w="375" w:type="dxa"/>
            <w:tcBorders>
              <w:top w:val="single" w:sz="4" w:space="0" w:color="auto"/>
              <w:left w:val="single" w:sz="4" w:space="0" w:color="auto"/>
              <w:bottom w:val="nil"/>
              <w:right w:val="nil"/>
            </w:tcBorders>
            <w:noWrap/>
            <w:vAlign w:val="bottom"/>
            <w:hideMark/>
          </w:tcPr>
          <w:p w:rsidR="0005008E" w:rsidRPr="00E022F8" w:rsidRDefault="0005008E" w:rsidP="00FE758E">
            <w:pPr>
              <w:rPr>
                <w:rFonts w:ascii="SWISS" w:hAnsi="SWISS" w:cs="Arial"/>
                <w:b/>
                <w:color w:val="000000"/>
                <w:sz w:val="20"/>
                <w:szCs w:val="20"/>
              </w:rPr>
            </w:pPr>
            <w:r w:rsidRPr="00E022F8">
              <w:rPr>
                <w:rFonts w:ascii="SWISS" w:hAnsi="SWISS" w:cs="Arial"/>
                <w:b/>
                <w:color w:val="000000"/>
                <w:sz w:val="20"/>
                <w:szCs w:val="20"/>
              </w:rPr>
              <w:t> </w:t>
            </w:r>
          </w:p>
        </w:tc>
        <w:tc>
          <w:tcPr>
            <w:tcW w:w="4050" w:type="dxa"/>
            <w:gridSpan w:val="2"/>
            <w:tcBorders>
              <w:top w:val="single" w:sz="4" w:space="0" w:color="auto"/>
              <w:left w:val="nil"/>
              <w:bottom w:val="nil"/>
              <w:right w:val="nil"/>
            </w:tcBorders>
            <w:noWrap/>
            <w:vAlign w:val="bottom"/>
            <w:hideMark/>
          </w:tcPr>
          <w:p w:rsidR="0005008E" w:rsidRPr="00E022F8" w:rsidRDefault="0005008E" w:rsidP="00FE758E">
            <w:pPr>
              <w:rPr>
                <w:rFonts w:ascii="SWISS" w:hAnsi="SWISS" w:cs="Arial"/>
                <w:b/>
                <w:color w:val="000000"/>
                <w:sz w:val="20"/>
                <w:szCs w:val="20"/>
              </w:rPr>
            </w:pPr>
            <w:r w:rsidRPr="00E022F8">
              <w:rPr>
                <w:rFonts w:ascii="SWISS" w:hAnsi="SWISS" w:cs="Arial"/>
                <w:b/>
                <w:color w:val="000000"/>
                <w:sz w:val="20"/>
                <w:szCs w:val="20"/>
              </w:rPr>
              <w:t> </w:t>
            </w:r>
          </w:p>
        </w:tc>
        <w:tc>
          <w:tcPr>
            <w:tcW w:w="1620" w:type="dxa"/>
            <w:gridSpan w:val="2"/>
            <w:tcBorders>
              <w:top w:val="single" w:sz="4" w:space="0" w:color="auto"/>
              <w:left w:val="nil"/>
              <w:bottom w:val="nil"/>
              <w:right w:val="nil"/>
            </w:tcBorders>
            <w:noWrap/>
            <w:vAlign w:val="bottom"/>
          </w:tcPr>
          <w:p w:rsidR="0005008E" w:rsidRPr="00E022F8" w:rsidRDefault="0005008E" w:rsidP="00FE758E">
            <w:pPr>
              <w:jc w:val="center"/>
              <w:rPr>
                <w:rFonts w:ascii="SWISS" w:hAnsi="SWISS" w:cs="Arial"/>
                <w:b/>
                <w:bCs/>
                <w:color w:val="000000"/>
                <w:sz w:val="20"/>
                <w:szCs w:val="20"/>
              </w:rPr>
            </w:pPr>
          </w:p>
        </w:tc>
        <w:tc>
          <w:tcPr>
            <w:tcW w:w="1710" w:type="dxa"/>
            <w:tcBorders>
              <w:top w:val="single" w:sz="4" w:space="0" w:color="auto"/>
              <w:left w:val="nil"/>
              <w:bottom w:val="nil"/>
              <w:right w:val="nil"/>
            </w:tcBorders>
            <w:noWrap/>
            <w:vAlign w:val="bottom"/>
            <w:hideMark/>
          </w:tcPr>
          <w:p w:rsidR="0005008E" w:rsidRPr="00E022F8" w:rsidRDefault="00937C0A" w:rsidP="00FE758E">
            <w:pPr>
              <w:jc w:val="center"/>
              <w:rPr>
                <w:rFonts w:ascii="SWISS" w:hAnsi="SWISS" w:cs="Arial"/>
                <w:b/>
                <w:bCs/>
                <w:color w:val="000000"/>
                <w:sz w:val="20"/>
                <w:szCs w:val="20"/>
              </w:rPr>
            </w:pPr>
            <w:r>
              <w:rPr>
                <w:rFonts w:ascii="SWISS" w:hAnsi="SWISS" w:cs="Arial"/>
                <w:b/>
                <w:bCs/>
                <w:color w:val="000000"/>
                <w:sz w:val="20"/>
                <w:szCs w:val="20"/>
              </w:rPr>
              <w:t>COMMISSION</w:t>
            </w:r>
          </w:p>
        </w:tc>
        <w:tc>
          <w:tcPr>
            <w:tcW w:w="1620" w:type="dxa"/>
            <w:tcBorders>
              <w:top w:val="single" w:sz="4" w:space="0" w:color="auto"/>
              <w:left w:val="nil"/>
              <w:bottom w:val="nil"/>
              <w:right w:val="single" w:sz="4" w:space="0" w:color="auto"/>
            </w:tcBorders>
            <w:noWrap/>
            <w:vAlign w:val="bottom"/>
          </w:tcPr>
          <w:p w:rsidR="0005008E" w:rsidRPr="00E022F8" w:rsidRDefault="0005008E" w:rsidP="00FE758E">
            <w:pPr>
              <w:jc w:val="center"/>
              <w:rPr>
                <w:rFonts w:ascii="SWISS" w:hAnsi="SWISS" w:cs="Arial"/>
                <w:b/>
                <w:bCs/>
                <w:color w:val="000000"/>
                <w:sz w:val="20"/>
                <w:szCs w:val="20"/>
              </w:rPr>
            </w:pP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b/>
                <w:color w:val="000000"/>
                <w:sz w:val="20"/>
                <w:szCs w:val="20"/>
              </w:rPr>
            </w:pPr>
            <w:r w:rsidRPr="00E022F8">
              <w:rPr>
                <w:rFonts w:ascii="SWISS" w:hAnsi="SWISS" w:cs="Arial"/>
                <w:b/>
                <w:color w:val="000000"/>
                <w:sz w:val="20"/>
                <w:szCs w:val="20"/>
              </w:rPr>
              <w:t> </w:t>
            </w: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b/>
                <w:color w:val="000000"/>
              </w:rPr>
            </w:pPr>
          </w:p>
        </w:tc>
        <w:tc>
          <w:tcPr>
            <w:tcW w:w="1620" w:type="dxa"/>
            <w:gridSpan w:val="2"/>
            <w:tcBorders>
              <w:top w:val="nil"/>
              <w:left w:val="nil"/>
              <w:bottom w:val="nil"/>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BALANCE</w:t>
            </w:r>
          </w:p>
        </w:tc>
        <w:tc>
          <w:tcPr>
            <w:tcW w:w="1710" w:type="dxa"/>
            <w:tcBorders>
              <w:top w:val="nil"/>
              <w:left w:val="nil"/>
              <w:bottom w:val="nil"/>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ADJUSTMENTS</w:t>
            </w:r>
          </w:p>
        </w:tc>
        <w:tc>
          <w:tcPr>
            <w:tcW w:w="1620" w:type="dxa"/>
            <w:tcBorders>
              <w:top w:val="nil"/>
              <w:left w:val="nil"/>
              <w:bottom w:val="nil"/>
              <w:right w:val="single" w:sz="4" w:space="0" w:color="auto"/>
            </w:tcBorders>
            <w:noWrap/>
            <w:vAlign w:val="bottom"/>
            <w:hideMark/>
          </w:tcPr>
          <w:p w:rsidR="0005008E" w:rsidRPr="00E022F8" w:rsidRDefault="00937C0A" w:rsidP="00FE758E">
            <w:pPr>
              <w:jc w:val="center"/>
              <w:rPr>
                <w:rFonts w:ascii="SWISS" w:hAnsi="SWISS" w:cs="Arial"/>
                <w:b/>
                <w:bCs/>
                <w:color w:val="000000"/>
                <w:sz w:val="20"/>
                <w:szCs w:val="20"/>
              </w:rPr>
            </w:pPr>
            <w:r>
              <w:rPr>
                <w:rFonts w:ascii="SWISS" w:hAnsi="SWISS" w:cs="Arial"/>
                <w:b/>
                <w:bCs/>
                <w:color w:val="000000"/>
                <w:sz w:val="20"/>
                <w:szCs w:val="20"/>
              </w:rPr>
              <w:t>COMMISSION</w:t>
            </w:r>
          </w:p>
        </w:tc>
      </w:tr>
      <w:tr w:rsidR="0005008E" w:rsidRPr="00E022F8" w:rsidTr="00FE758E">
        <w:trPr>
          <w:trHeight w:val="301"/>
        </w:trPr>
        <w:tc>
          <w:tcPr>
            <w:tcW w:w="375" w:type="dxa"/>
            <w:tcBorders>
              <w:top w:val="nil"/>
              <w:left w:val="single" w:sz="4" w:space="0" w:color="auto"/>
              <w:bottom w:val="nil"/>
              <w:right w:val="nil"/>
            </w:tcBorders>
            <w:noWrap/>
            <w:vAlign w:val="bottom"/>
          </w:tcPr>
          <w:p w:rsidR="0005008E" w:rsidRPr="00E022F8" w:rsidRDefault="0005008E" w:rsidP="00FE758E">
            <w:pPr>
              <w:rPr>
                <w:rFonts w:ascii="SWISS" w:hAnsi="SWISS" w:cs="Arial"/>
                <w:b/>
                <w:color w:val="000000"/>
                <w:sz w:val="20"/>
                <w:szCs w:val="20"/>
              </w:rPr>
            </w:pP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b/>
                <w:color w:val="000000"/>
              </w:rPr>
            </w:pPr>
          </w:p>
        </w:tc>
        <w:tc>
          <w:tcPr>
            <w:tcW w:w="1620" w:type="dxa"/>
            <w:gridSpan w:val="2"/>
            <w:tcBorders>
              <w:top w:val="nil"/>
              <w:left w:val="nil"/>
              <w:bottom w:val="nil"/>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PER</w:t>
            </w:r>
          </w:p>
        </w:tc>
        <w:tc>
          <w:tcPr>
            <w:tcW w:w="1710" w:type="dxa"/>
            <w:tcBorders>
              <w:top w:val="nil"/>
              <w:left w:val="nil"/>
              <w:bottom w:val="nil"/>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TO UTILITY</w:t>
            </w:r>
          </w:p>
        </w:tc>
        <w:tc>
          <w:tcPr>
            <w:tcW w:w="1620" w:type="dxa"/>
            <w:tcBorders>
              <w:top w:val="nil"/>
              <w:left w:val="nil"/>
              <w:bottom w:val="nil"/>
              <w:right w:val="single" w:sz="4" w:space="0" w:color="auto"/>
            </w:tcBorders>
            <w:noWrap/>
            <w:vAlign w:val="bottom"/>
            <w:hideMark/>
          </w:tcPr>
          <w:p w:rsidR="0005008E" w:rsidRPr="00E022F8" w:rsidRDefault="00937C0A" w:rsidP="00FE758E">
            <w:pPr>
              <w:jc w:val="center"/>
              <w:rPr>
                <w:rFonts w:ascii="SWISS" w:hAnsi="SWISS" w:cs="Arial"/>
                <w:b/>
                <w:bCs/>
                <w:color w:val="000000"/>
                <w:sz w:val="20"/>
                <w:szCs w:val="20"/>
              </w:rPr>
            </w:pPr>
            <w:r>
              <w:rPr>
                <w:rFonts w:ascii="SWISS" w:hAnsi="SWISS" w:cs="Arial"/>
                <w:b/>
                <w:bCs/>
                <w:color w:val="000000"/>
                <w:sz w:val="20"/>
                <w:szCs w:val="20"/>
              </w:rPr>
              <w:t>APPROVED</w:t>
            </w:r>
          </w:p>
        </w:tc>
      </w:tr>
      <w:tr w:rsidR="0005008E" w:rsidRPr="00E022F8" w:rsidTr="00FE758E">
        <w:trPr>
          <w:trHeight w:val="301"/>
        </w:trPr>
        <w:tc>
          <w:tcPr>
            <w:tcW w:w="375" w:type="dxa"/>
            <w:tcBorders>
              <w:top w:val="nil"/>
              <w:left w:val="single" w:sz="4" w:space="0" w:color="auto"/>
              <w:bottom w:val="single" w:sz="4" w:space="0" w:color="auto"/>
              <w:right w:val="nil"/>
            </w:tcBorders>
            <w:noWrap/>
            <w:vAlign w:val="bottom"/>
            <w:hideMark/>
          </w:tcPr>
          <w:p w:rsidR="0005008E" w:rsidRPr="00E022F8" w:rsidRDefault="0005008E" w:rsidP="00FE758E">
            <w:pPr>
              <w:rPr>
                <w:rFonts w:ascii="SWISS" w:hAnsi="SWISS" w:cs="Arial"/>
                <w:b/>
                <w:color w:val="000000"/>
                <w:sz w:val="20"/>
                <w:szCs w:val="20"/>
              </w:rPr>
            </w:pPr>
            <w:r w:rsidRPr="00E022F8">
              <w:rPr>
                <w:rFonts w:ascii="SWISS" w:hAnsi="SWISS" w:cs="Arial"/>
                <w:b/>
                <w:color w:val="000000"/>
                <w:sz w:val="20"/>
                <w:szCs w:val="20"/>
              </w:rPr>
              <w:t> </w:t>
            </w:r>
          </w:p>
        </w:tc>
        <w:tc>
          <w:tcPr>
            <w:tcW w:w="4050" w:type="dxa"/>
            <w:gridSpan w:val="2"/>
            <w:tcBorders>
              <w:top w:val="nil"/>
              <w:left w:val="nil"/>
              <w:bottom w:val="single" w:sz="4" w:space="0" w:color="auto"/>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DESCRIPTION</w:t>
            </w:r>
          </w:p>
        </w:tc>
        <w:tc>
          <w:tcPr>
            <w:tcW w:w="1620" w:type="dxa"/>
            <w:gridSpan w:val="2"/>
            <w:tcBorders>
              <w:top w:val="nil"/>
              <w:left w:val="nil"/>
              <w:bottom w:val="single" w:sz="4"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UTILITY</w:t>
            </w:r>
          </w:p>
        </w:tc>
        <w:tc>
          <w:tcPr>
            <w:tcW w:w="1710" w:type="dxa"/>
            <w:tcBorders>
              <w:top w:val="nil"/>
              <w:left w:val="nil"/>
              <w:bottom w:val="single" w:sz="4"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BALANCE</w:t>
            </w:r>
          </w:p>
        </w:tc>
        <w:tc>
          <w:tcPr>
            <w:tcW w:w="1620" w:type="dxa"/>
            <w:tcBorders>
              <w:top w:val="nil"/>
              <w:left w:val="nil"/>
              <w:bottom w:val="single" w:sz="4" w:space="0" w:color="auto"/>
              <w:right w:val="single" w:sz="4" w:space="0" w:color="auto"/>
            </w:tcBorders>
            <w:noWrap/>
            <w:vAlign w:val="bottom"/>
            <w:hideMark/>
          </w:tcPr>
          <w:p w:rsidR="0005008E" w:rsidRPr="00E022F8" w:rsidRDefault="00937C0A" w:rsidP="00FE758E">
            <w:pPr>
              <w:jc w:val="center"/>
              <w:rPr>
                <w:rFonts w:ascii="SWISS" w:hAnsi="SWISS" w:cs="Arial"/>
                <w:b/>
                <w:bCs/>
                <w:color w:val="000000"/>
                <w:sz w:val="20"/>
                <w:szCs w:val="20"/>
              </w:rPr>
            </w:pPr>
            <w:r>
              <w:rPr>
                <w:rFonts w:ascii="SWISS" w:hAnsi="SWISS" w:cs="Arial"/>
                <w:b/>
                <w:bCs/>
                <w:color w:val="000000"/>
                <w:sz w:val="20"/>
                <w:szCs w:val="20"/>
              </w:rPr>
              <w:t>BALANCE</w:t>
            </w:r>
          </w:p>
        </w:tc>
      </w:tr>
      <w:tr w:rsidR="0005008E" w:rsidRPr="00E022F8" w:rsidTr="00FE758E">
        <w:trPr>
          <w:trHeight w:val="301"/>
        </w:trPr>
        <w:tc>
          <w:tcPr>
            <w:tcW w:w="375" w:type="dxa"/>
            <w:tcBorders>
              <w:top w:val="single" w:sz="4" w:space="0" w:color="auto"/>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single" w:sz="4"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620" w:type="dxa"/>
            <w:gridSpan w:val="2"/>
            <w:tcBorders>
              <w:top w:val="single" w:sz="4"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710" w:type="dxa"/>
            <w:tcBorders>
              <w:top w:val="single" w:sz="4"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620" w:type="dxa"/>
            <w:tcBorders>
              <w:top w:val="single" w:sz="4" w:space="0" w:color="auto"/>
              <w:left w:val="nil"/>
              <w:bottom w:val="nil"/>
              <w:right w:val="single" w:sz="4"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1.</w:t>
            </w:r>
          </w:p>
        </w:tc>
        <w:tc>
          <w:tcPr>
            <w:tcW w:w="4050" w:type="dxa"/>
            <w:gridSpan w:val="2"/>
            <w:tcBorders>
              <w:top w:val="nil"/>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UTILITY PLANT IN SERVICE</w:t>
            </w:r>
          </w:p>
        </w:tc>
        <w:tc>
          <w:tcPr>
            <w:tcW w:w="1620" w:type="dxa"/>
            <w:gridSpan w:val="2"/>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w:t>
            </w:r>
            <w:r>
              <w:rPr>
                <w:rFonts w:ascii="SWISS" w:hAnsi="SWISS" w:cs="Arial"/>
                <w:color w:val="000000"/>
                <w:sz w:val="20"/>
                <w:szCs w:val="20"/>
              </w:rPr>
              <w:t>93</w:t>
            </w:r>
            <w:r w:rsidRPr="00E022F8">
              <w:rPr>
                <w:rFonts w:ascii="SWISS" w:hAnsi="SWISS" w:cs="Arial"/>
                <w:color w:val="000000"/>
                <w:sz w:val="20"/>
                <w:szCs w:val="20"/>
              </w:rPr>
              <w:t>,</w:t>
            </w:r>
            <w:r>
              <w:rPr>
                <w:rFonts w:ascii="SWISS" w:hAnsi="SWISS" w:cs="Arial"/>
                <w:color w:val="000000"/>
                <w:sz w:val="20"/>
                <w:szCs w:val="20"/>
              </w:rPr>
              <w:t>021</w:t>
            </w:r>
            <w:r w:rsidRPr="00E022F8">
              <w:rPr>
                <w:rFonts w:ascii="SWISS" w:hAnsi="SWISS" w:cs="Arial"/>
                <w:color w:val="000000"/>
                <w:sz w:val="20"/>
                <w:szCs w:val="20"/>
              </w:rPr>
              <w:t xml:space="preserve"> </w:t>
            </w:r>
          </w:p>
        </w:tc>
        <w:tc>
          <w:tcPr>
            <w:tcW w:w="1710" w:type="dxa"/>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w:t>
            </w:r>
            <w:r>
              <w:rPr>
                <w:rFonts w:ascii="SWISS" w:hAnsi="SWISS" w:cs="Arial"/>
                <w:color w:val="000000"/>
                <w:sz w:val="20"/>
                <w:szCs w:val="20"/>
              </w:rPr>
              <w:t>4,434</w:t>
            </w:r>
          </w:p>
        </w:tc>
        <w:tc>
          <w:tcPr>
            <w:tcW w:w="162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w:t>
            </w:r>
            <w:r>
              <w:rPr>
                <w:rFonts w:ascii="SWISS" w:hAnsi="SWISS" w:cs="Arial"/>
                <w:color w:val="000000"/>
                <w:sz w:val="20"/>
                <w:szCs w:val="20"/>
              </w:rPr>
              <w:t>97,455</w:t>
            </w:r>
            <w:r w:rsidRPr="00E022F8">
              <w:rPr>
                <w:rFonts w:ascii="SWISS" w:hAnsi="SWISS" w:cs="Arial"/>
                <w:color w:val="000000"/>
                <w:sz w:val="20"/>
                <w:szCs w:val="20"/>
              </w:rPr>
              <w:t xml:space="preserve"> </w:t>
            </w: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620" w:type="dxa"/>
            <w:tcBorders>
              <w:top w:val="nil"/>
              <w:left w:val="nil"/>
              <w:bottom w:val="nil"/>
              <w:right w:val="single" w:sz="4" w:space="0" w:color="auto"/>
            </w:tcBorders>
            <w:noWrap/>
            <w:vAlign w:val="bottom"/>
          </w:tcPr>
          <w:p w:rsidR="0005008E" w:rsidRPr="00E022F8" w:rsidRDefault="0005008E" w:rsidP="00FE758E">
            <w:pPr>
              <w:jc w:val="right"/>
              <w:rPr>
                <w:rFonts w:ascii="SWISS" w:hAnsi="SWISS" w:cs="Arial"/>
                <w:color w:val="000000"/>
                <w:sz w:val="20"/>
                <w:szCs w:val="20"/>
              </w:rPr>
            </w:pP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2.</w:t>
            </w:r>
          </w:p>
        </w:tc>
        <w:tc>
          <w:tcPr>
            <w:tcW w:w="4050" w:type="dxa"/>
            <w:gridSpan w:val="2"/>
            <w:tcBorders>
              <w:top w:val="nil"/>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LAND &amp; LAND RIGHTS</w:t>
            </w:r>
          </w:p>
        </w:tc>
        <w:tc>
          <w:tcPr>
            <w:tcW w:w="1620" w:type="dxa"/>
            <w:gridSpan w:val="2"/>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5,</w:t>
            </w:r>
            <w:r>
              <w:rPr>
                <w:rFonts w:ascii="SWISS" w:hAnsi="SWISS" w:cs="Arial"/>
                <w:color w:val="000000"/>
                <w:sz w:val="20"/>
                <w:szCs w:val="20"/>
              </w:rPr>
              <w:t>000</w:t>
            </w:r>
            <w:r w:rsidRPr="00E022F8">
              <w:rPr>
                <w:rFonts w:ascii="SWISS" w:hAnsi="SWISS" w:cs="Arial"/>
                <w:color w:val="000000"/>
                <w:sz w:val="20"/>
                <w:szCs w:val="20"/>
              </w:rPr>
              <w:t xml:space="preserve"> </w:t>
            </w:r>
          </w:p>
        </w:tc>
        <w:tc>
          <w:tcPr>
            <w:tcW w:w="1710" w:type="dxa"/>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xml:space="preserve">0 </w:t>
            </w:r>
          </w:p>
        </w:tc>
        <w:tc>
          <w:tcPr>
            <w:tcW w:w="162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5,</w:t>
            </w:r>
            <w:r>
              <w:rPr>
                <w:rFonts w:ascii="SWISS" w:hAnsi="SWISS" w:cs="Arial"/>
                <w:color w:val="000000"/>
                <w:sz w:val="20"/>
                <w:szCs w:val="20"/>
              </w:rPr>
              <w:t>000</w:t>
            </w: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620" w:type="dxa"/>
            <w:tcBorders>
              <w:top w:val="nil"/>
              <w:left w:val="nil"/>
              <w:bottom w:val="nil"/>
              <w:right w:val="single" w:sz="4" w:space="0" w:color="auto"/>
            </w:tcBorders>
            <w:noWrap/>
            <w:vAlign w:val="bottom"/>
          </w:tcPr>
          <w:p w:rsidR="0005008E" w:rsidRPr="00E022F8" w:rsidRDefault="0005008E" w:rsidP="00FE758E">
            <w:pPr>
              <w:jc w:val="right"/>
              <w:rPr>
                <w:rFonts w:ascii="SWISS" w:hAnsi="SWISS" w:cs="Arial"/>
                <w:color w:val="000000"/>
                <w:sz w:val="20"/>
                <w:szCs w:val="20"/>
              </w:rPr>
            </w:pP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3.</w:t>
            </w:r>
          </w:p>
        </w:tc>
        <w:tc>
          <w:tcPr>
            <w:tcW w:w="4050" w:type="dxa"/>
            <w:gridSpan w:val="2"/>
            <w:tcBorders>
              <w:top w:val="nil"/>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NON-USED AND USEFUL COMPONENTS</w:t>
            </w:r>
          </w:p>
        </w:tc>
        <w:tc>
          <w:tcPr>
            <w:tcW w:w="1620" w:type="dxa"/>
            <w:gridSpan w:val="2"/>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xml:space="preserve">0 </w:t>
            </w:r>
          </w:p>
        </w:tc>
        <w:tc>
          <w:tcPr>
            <w:tcW w:w="1710" w:type="dxa"/>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xml:space="preserve">0 </w:t>
            </w:r>
          </w:p>
        </w:tc>
        <w:tc>
          <w:tcPr>
            <w:tcW w:w="162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xml:space="preserve">0 </w:t>
            </w: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620" w:type="dxa"/>
            <w:tcBorders>
              <w:top w:val="nil"/>
              <w:left w:val="nil"/>
              <w:bottom w:val="nil"/>
              <w:right w:val="single" w:sz="4" w:space="0" w:color="auto"/>
            </w:tcBorders>
            <w:noWrap/>
            <w:vAlign w:val="bottom"/>
          </w:tcPr>
          <w:p w:rsidR="0005008E" w:rsidRPr="00E022F8" w:rsidRDefault="0005008E" w:rsidP="00FE758E">
            <w:pPr>
              <w:jc w:val="right"/>
              <w:rPr>
                <w:rFonts w:ascii="SWISS" w:hAnsi="SWISS" w:cs="Arial"/>
                <w:color w:val="000000"/>
                <w:sz w:val="20"/>
                <w:szCs w:val="20"/>
              </w:rPr>
            </w:pP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4.</w:t>
            </w:r>
          </w:p>
        </w:tc>
        <w:tc>
          <w:tcPr>
            <w:tcW w:w="4050" w:type="dxa"/>
            <w:gridSpan w:val="2"/>
            <w:tcBorders>
              <w:top w:val="nil"/>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CIAC</w:t>
            </w:r>
          </w:p>
        </w:tc>
        <w:tc>
          <w:tcPr>
            <w:tcW w:w="1620" w:type="dxa"/>
            <w:gridSpan w:val="2"/>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w:t>
            </w:r>
            <w:r>
              <w:rPr>
                <w:rFonts w:ascii="SWISS" w:hAnsi="SWISS" w:cs="Arial"/>
                <w:color w:val="000000"/>
                <w:sz w:val="20"/>
                <w:szCs w:val="20"/>
              </w:rPr>
              <w:t>62</w:t>
            </w:r>
            <w:r w:rsidRPr="00E022F8">
              <w:rPr>
                <w:rFonts w:ascii="SWISS" w:hAnsi="SWISS" w:cs="Arial"/>
                <w:color w:val="000000"/>
                <w:sz w:val="20"/>
                <w:szCs w:val="20"/>
              </w:rPr>
              <w:t>,</w:t>
            </w:r>
            <w:r>
              <w:rPr>
                <w:rFonts w:ascii="SWISS" w:hAnsi="SWISS" w:cs="Arial"/>
                <w:color w:val="000000"/>
                <w:sz w:val="20"/>
                <w:szCs w:val="20"/>
              </w:rPr>
              <w:t>440</w:t>
            </w:r>
            <w:r w:rsidRPr="00E022F8">
              <w:rPr>
                <w:rFonts w:ascii="SWISS" w:hAnsi="SWISS" w:cs="Arial"/>
                <w:color w:val="000000"/>
                <w:sz w:val="20"/>
                <w:szCs w:val="20"/>
              </w:rPr>
              <w:t>)</w:t>
            </w:r>
          </w:p>
        </w:tc>
        <w:tc>
          <w:tcPr>
            <w:tcW w:w="1710" w:type="dxa"/>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xml:space="preserve">0 </w:t>
            </w:r>
          </w:p>
        </w:tc>
        <w:tc>
          <w:tcPr>
            <w:tcW w:w="162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w:t>
            </w:r>
            <w:r>
              <w:rPr>
                <w:rFonts w:ascii="SWISS" w:hAnsi="SWISS" w:cs="Arial"/>
                <w:color w:val="000000"/>
                <w:sz w:val="20"/>
                <w:szCs w:val="20"/>
              </w:rPr>
              <w:t>62</w:t>
            </w:r>
            <w:r w:rsidRPr="00E022F8">
              <w:rPr>
                <w:rFonts w:ascii="SWISS" w:hAnsi="SWISS" w:cs="Arial"/>
                <w:color w:val="000000"/>
                <w:sz w:val="20"/>
                <w:szCs w:val="20"/>
              </w:rPr>
              <w:t>,</w:t>
            </w:r>
            <w:r>
              <w:rPr>
                <w:rFonts w:ascii="SWISS" w:hAnsi="SWISS" w:cs="Arial"/>
                <w:color w:val="000000"/>
                <w:sz w:val="20"/>
                <w:szCs w:val="20"/>
              </w:rPr>
              <w:t>440</w:t>
            </w:r>
            <w:r w:rsidRPr="00E022F8">
              <w:rPr>
                <w:rFonts w:ascii="SWISS" w:hAnsi="SWISS" w:cs="Arial"/>
                <w:color w:val="000000"/>
                <w:sz w:val="20"/>
                <w:szCs w:val="20"/>
              </w:rPr>
              <w:t>)</w:t>
            </w: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620" w:type="dxa"/>
            <w:tcBorders>
              <w:top w:val="nil"/>
              <w:left w:val="nil"/>
              <w:bottom w:val="nil"/>
              <w:right w:val="single" w:sz="4" w:space="0" w:color="auto"/>
            </w:tcBorders>
            <w:noWrap/>
            <w:vAlign w:val="bottom"/>
          </w:tcPr>
          <w:p w:rsidR="0005008E" w:rsidRPr="00E022F8" w:rsidRDefault="0005008E" w:rsidP="00FE758E">
            <w:pPr>
              <w:jc w:val="right"/>
              <w:rPr>
                <w:rFonts w:ascii="SWISS" w:hAnsi="SWISS" w:cs="Arial"/>
                <w:color w:val="000000"/>
                <w:sz w:val="20"/>
                <w:szCs w:val="20"/>
              </w:rPr>
            </w:pPr>
          </w:p>
        </w:tc>
      </w:tr>
      <w:tr w:rsidR="0005008E" w:rsidRPr="00E022F8" w:rsidTr="00FE758E">
        <w:trPr>
          <w:trHeight w:val="313"/>
        </w:trPr>
        <w:tc>
          <w:tcPr>
            <w:tcW w:w="375"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5.</w:t>
            </w:r>
          </w:p>
        </w:tc>
        <w:tc>
          <w:tcPr>
            <w:tcW w:w="4050" w:type="dxa"/>
            <w:gridSpan w:val="2"/>
            <w:tcBorders>
              <w:top w:val="nil"/>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ACCUMULATED DEPRECIATION</w:t>
            </w:r>
          </w:p>
        </w:tc>
        <w:tc>
          <w:tcPr>
            <w:tcW w:w="1620" w:type="dxa"/>
            <w:gridSpan w:val="2"/>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w:t>
            </w:r>
            <w:r>
              <w:rPr>
                <w:rFonts w:ascii="SWISS" w:hAnsi="SWISS" w:cs="Arial"/>
                <w:color w:val="000000"/>
                <w:sz w:val="20"/>
                <w:szCs w:val="20"/>
              </w:rPr>
              <w:t>70</w:t>
            </w:r>
            <w:r w:rsidRPr="00E022F8">
              <w:rPr>
                <w:rFonts w:ascii="SWISS" w:hAnsi="SWISS" w:cs="Arial"/>
                <w:color w:val="000000"/>
                <w:sz w:val="20"/>
                <w:szCs w:val="20"/>
              </w:rPr>
              <w:t>,</w:t>
            </w:r>
            <w:r>
              <w:rPr>
                <w:rFonts w:ascii="SWISS" w:hAnsi="SWISS" w:cs="Arial"/>
                <w:color w:val="000000"/>
                <w:sz w:val="20"/>
                <w:szCs w:val="20"/>
              </w:rPr>
              <w:t>927</w:t>
            </w:r>
            <w:r w:rsidRPr="00E022F8">
              <w:rPr>
                <w:rFonts w:ascii="SWISS" w:hAnsi="SWISS" w:cs="Arial"/>
                <w:color w:val="000000"/>
                <w:sz w:val="20"/>
                <w:szCs w:val="20"/>
              </w:rPr>
              <w:t>)</w:t>
            </w:r>
          </w:p>
        </w:tc>
        <w:tc>
          <w:tcPr>
            <w:tcW w:w="1710" w:type="dxa"/>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Pr>
                <w:rFonts w:ascii="SWISS" w:hAnsi="SWISS" w:cs="Arial"/>
                <w:color w:val="000000"/>
                <w:sz w:val="20"/>
                <w:szCs w:val="20"/>
              </w:rPr>
              <w:t>7,202</w:t>
            </w:r>
          </w:p>
        </w:tc>
        <w:tc>
          <w:tcPr>
            <w:tcW w:w="162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w:t>
            </w:r>
            <w:r>
              <w:rPr>
                <w:rFonts w:ascii="SWISS" w:hAnsi="SWISS" w:cs="Arial"/>
                <w:color w:val="000000"/>
                <w:sz w:val="20"/>
                <w:szCs w:val="20"/>
              </w:rPr>
              <w:t>63,725</w:t>
            </w:r>
            <w:r w:rsidRPr="00E022F8">
              <w:rPr>
                <w:rFonts w:ascii="SWISS" w:hAnsi="SWISS" w:cs="Arial"/>
                <w:color w:val="000000"/>
                <w:sz w:val="20"/>
                <w:szCs w:val="20"/>
              </w:rPr>
              <w:t>)</w:t>
            </w:r>
          </w:p>
        </w:tc>
      </w:tr>
      <w:tr w:rsidR="0005008E" w:rsidRPr="00E022F8" w:rsidTr="00FE758E">
        <w:trPr>
          <w:trHeight w:val="313"/>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620" w:type="dxa"/>
            <w:tcBorders>
              <w:top w:val="nil"/>
              <w:left w:val="nil"/>
              <w:bottom w:val="nil"/>
              <w:right w:val="single" w:sz="4" w:space="0" w:color="auto"/>
            </w:tcBorders>
            <w:noWrap/>
            <w:vAlign w:val="bottom"/>
          </w:tcPr>
          <w:p w:rsidR="0005008E" w:rsidRPr="00E022F8" w:rsidRDefault="0005008E" w:rsidP="00FE758E">
            <w:pPr>
              <w:jc w:val="right"/>
              <w:rPr>
                <w:rFonts w:ascii="SWISS" w:hAnsi="SWISS" w:cs="Arial"/>
                <w:color w:val="000000"/>
                <w:sz w:val="20"/>
                <w:szCs w:val="20"/>
              </w:rPr>
            </w:pPr>
          </w:p>
        </w:tc>
      </w:tr>
      <w:tr w:rsidR="0005008E" w:rsidRPr="00E022F8" w:rsidTr="00FE758E">
        <w:trPr>
          <w:trHeight w:val="313"/>
        </w:trPr>
        <w:tc>
          <w:tcPr>
            <w:tcW w:w="375"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6.</w:t>
            </w:r>
          </w:p>
        </w:tc>
        <w:tc>
          <w:tcPr>
            <w:tcW w:w="4050" w:type="dxa"/>
            <w:gridSpan w:val="2"/>
            <w:tcBorders>
              <w:top w:val="nil"/>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AMORTIZATION OF CIAC</w:t>
            </w:r>
          </w:p>
        </w:tc>
        <w:tc>
          <w:tcPr>
            <w:tcW w:w="1620" w:type="dxa"/>
            <w:gridSpan w:val="2"/>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Pr>
                <w:rFonts w:ascii="SWISS" w:hAnsi="SWISS" w:cs="Arial"/>
                <w:color w:val="000000"/>
                <w:sz w:val="20"/>
                <w:szCs w:val="20"/>
              </w:rPr>
              <w:t>57</w:t>
            </w:r>
            <w:r w:rsidRPr="00E022F8">
              <w:rPr>
                <w:rFonts w:ascii="SWISS" w:hAnsi="SWISS" w:cs="Arial"/>
                <w:color w:val="000000"/>
                <w:sz w:val="20"/>
                <w:szCs w:val="20"/>
              </w:rPr>
              <w:t>,</w:t>
            </w:r>
            <w:r>
              <w:rPr>
                <w:rFonts w:ascii="SWISS" w:hAnsi="SWISS" w:cs="Arial"/>
                <w:color w:val="000000"/>
                <w:sz w:val="20"/>
                <w:szCs w:val="20"/>
              </w:rPr>
              <w:t>037</w:t>
            </w:r>
          </w:p>
        </w:tc>
        <w:tc>
          <w:tcPr>
            <w:tcW w:w="1710" w:type="dxa"/>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(6</w:t>
            </w:r>
            <w:r>
              <w:rPr>
                <w:rFonts w:ascii="SWISS" w:hAnsi="SWISS" w:cs="Arial"/>
                <w:color w:val="000000"/>
                <w:sz w:val="20"/>
                <w:szCs w:val="20"/>
              </w:rPr>
              <w:t>7</w:t>
            </w:r>
            <w:r w:rsidRPr="00E022F8">
              <w:rPr>
                <w:rFonts w:ascii="SWISS" w:hAnsi="SWISS" w:cs="Arial"/>
                <w:color w:val="000000"/>
                <w:sz w:val="20"/>
                <w:szCs w:val="20"/>
              </w:rPr>
              <w:t>)</w:t>
            </w:r>
          </w:p>
        </w:tc>
        <w:tc>
          <w:tcPr>
            <w:tcW w:w="162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rPr>
            </w:pPr>
            <w:r>
              <w:rPr>
                <w:rFonts w:ascii="SWISS" w:hAnsi="SWISS" w:cs="Arial"/>
                <w:color w:val="000000"/>
                <w:sz w:val="20"/>
                <w:szCs w:val="20"/>
              </w:rPr>
              <w:t>56</w:t>
            </w:r>
            <w:r w:rsidRPr="00E022F8">
              <w:rPr>
                <w:rFonts w:ascii="SWISS" w:hAnsi="SWISS" w:cs="Arial"/>
                <w:color w:val="000000"/>
                <w:sz w:val="20"/>
                <w:szCs w:val="20"/>
              </w:rPr>
              <w:t>,</w:t>
            </w:r>
            <w:r>
              <w:rPr>
                <w:rFonts w:ascii="SWISS" w:hAnsi="SWISS" w:cs="Arial"/>
                <w:color w:val="000000"/>
                <w:sz w:val="20"/>
                <w:szCs w:val="20"/>
              </w:rPr>
              <w:t>970</w:t>
            </w:r>
            <w:r w:rsidRPr="00E022F8">
              <w:rPr>
                <w:rFonts w:ascii="SWISS" w:hAnsi="SWISS" w:cs="Arial"/>
                <w:color w:val="000000"/>
                <w:sz w:val="20"/>
                <w:szCs w:val="20"/>
              </w:rPr>
              <w:t xml:space="preserve"> </w:t>
            </w: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620" w:type="dxa"/>
            <w:tcBorders>
              <w:top w:val="nil"/>
              <w:left w:val="nil"/>
              <w:bottom w:val="nil"/>
              <w:right w:val="single" w:sz="4" w:space="0" w:color="auto"/>
            </w:tcBorders>
            <w:noWrap/>
            <w:vAlign w:val="bottom"/>
          </w:tcPr>
          <w:p w:rsidR="0005008E" w:rsidRPr="00E022F8" w:rsidRDefault="0005008E" w:rsidP="00FE758E">
            <w:pPr>
              <w:jc w:val="right"/>
              <w:rPr>
                <w:rFonts w:ascii="SWISS" w:hAnsi="SWISS" w:cs="Arial"/>
                <w:color w:val="000000"/>
                <w:sz w:val="20"/>
                <w:szCs w:val="20"/>
              </w:rPr>
            </w:pP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7.</w:t>
            </w:r>
          </w:p>
        </w:tc>
        <w:tc>
          <w:tcPr>
            <w:tcW w:w="4050" w:type="dxa"/>
            <w:gridSpan w:val="2"/>
            <w:tcBorders>
              <w:top w:val="nil"/>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WORKING CAPITAL ALLOWANCE</w:t>
            </w:r>
          </w:p>
        </w:tc>
        <w:tc>
          <w:tcPr>
            <w:tcW w:w="1620" w:type="dxa"/>
            <w:gridSpan w:val="2"/>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u w:val="single"/>
              </w:rPr>
            </w:pPr>
            <w:r w:rsidRPr="00E022F8">
              <w:rPr>
                <w:rFonts w:ascii="SWISS" w:hAnsi="SWISS" w:cs="Arial"/>
                <w:color w:val="000000"/>
                <w:sz w:val="20"/>
                <w:szCs w:val="20"/>
                <w:u w:val="single"/>
              </w:rPr>
              <w:t xml:space="preserve">0 </w:t>
            </w:r>
          </w:p>
        </w:tc>
        <w:tc>
          <w:tcPr>
            <w:tcW w:w="1710" w:type="dxa"/>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u w:val="single"/>
              </w:rPr>
            </w:pPr>
            <w:r>
              <w:rPr>
                <w:rFonts w:ascii="SWISS" w:hAnsi="SWISS" w:cs="Arial"/>
                <w:color w:val="000000"/>
                <w:sz w:val="20"/>
                <w:szCs w:val="20"/>
                <w:u w:val="single"/>
              </w:rPr>
              <w:t>3</w:t>
            </w:r>
            <w:r w:rsidRPr="00E022F8">
              <w:rPr>
                <w:rFonts w:ascii="SWISS" w:hAnsi="SWISS" w:cs="Arial"/>
                <w:color w:val="000000"/>
                <w:sz w:val="20"/>
                <w:szCs w:val="20"/>
                <w:u w:val="single"/>
              </w:rPr>
              <w:t>,</w:t>
            </w:r>
            <w:r>
              <w:rPr>
                <w:rFonts w:ascii="SWISS" w:hAnsi="SWISS" w:cs="Arial"/>
                <w:color w:val="000000"/>
                <w:sz w:val="20"/>
                <w:szCs w:val="20"/>
                <w:u w:val="single"/>
              </w:rPr>
              <w:t>355</w:t>
            </w:r>
            <w:r w:rsidRPr="00E022F8">
              <w:rPr>
                <w:rFonts w:ascii="SWISS" w:hAnsi="SWISS" w:cs="Arial"/>
                <w:color w:val="000000"/>
                <w:sz w:val="20"/>
                <w:szCs w:val="20"/>
                <w:u w:val="single"/>
              </w:rPr>
              <w:t xml:space="preserve"> </w:t>
            </w:r>
          </w:p>
        </w:tc>
        <w:tc>
          <w:tcPr>
            <w:tcW w:w="162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u w:val="single"/>
              </w:rPr>
            </w:pPr>
            <w:r>
              <w:rPr>
                <w:rFonts w:ascii="SWISS" w:hAnsi="SWISS" w:cs="Arial"/>
                <w:color w:val="000000"/>
                <w:sz w:val="20"/>
                <w:szCs w:val="20"/>
                <w:u w:val="single"/>
              </w:rPr>
              <w:t>3</w:t>
            </w:r>
            <w:r w:rsidRPr="00E022F8">
              <w:rPr>
                <w:rFonts w:ascii="SWISS" w:hAnsi="SWISS" w:cs="Arial"/>
                <w:color w:val="000000"/>
                <w:sz w:val="20"/>
                <w:szCs w:val="20"/>
                <w:u w:val="single"/>
              </w:rPr>
              <w:t>,</w:t>
            </w:r>
            <w:r>
              <w:rPr>
                <w:rFonts w:ascii="SWISS" w:hAnsi="SWISS" w:cs="Arial"/>
                <w:color w:val="000000"/>
                <w:sz w:val="20"/>
                <w:szCs w:val="20"/>
                <w:u w:val="single"/>
              </w:rPr>
              <w:t>355</w:t>
            </w: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05008E" w:rsidRPr="00E022F8" w:rsidRDefault="0005008E" w:rsidP="00FE758E">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05008E" w:rsidRPr="00E022F8" w:rsidRDefault="0005008E" w:rsidP="00FE758E">
            <w:pPr>
              <w:jc w:val="right"/>
              <w:rPr>
                <w:rFonts w:ascii="SWISS" w:hAnsi="SWISS" w:cs="Arial"/>
                <w:color w:val="000000"/>
                <w:sz w:val="20"/>
                <w:szCs w:val="20"/>
              </w:rPr>
            </w:pPr>
          </w:p>
        </w:tc>
        <w:tc>
          <w:tcPr>
            <w:tcW w:w="1620" w:type="dxa"/>
            <w:tcBorders>
              <w:top w:val="nil"/>
              <w:left w:val="nil"/>
              <w:bottom w:val="nil"/>
              <w:right w:val="single" w:sz="4" w:space="0" w:color="auto"/>
            </w:tcBorders>
            <w:noWrap/>
            <w:vAlign w:val="bottom"/>
          </w:tcPr>
          <w:p w:rsidR="0005008E" w:rsidRPr="00E022F8" w:rsidRDefault="0005008E" w:rsidP="00FE758E">
            <w:pPr>
              <w:jc w:val="right"/>
              <w:rPr>
                <w:rFonts w:ascii="SWISS" w:hAnsi="SWISS" w:cs="Arial"/>
                <w:color w:val="000000"/>
                <w:sz w:val="20"/>
                <w:szCs w:val="20"/>
              </w:rPr>
            </w:pPr>
          </w:p>
        </w:tc>
      </w:tr>
      <w:tr w:rsidR="0005008E" w:rsidRPr="00E022F8" w:rsidTr="00FE758E">
        <w:trPr>
          <w:trHeight w:val="301"/>
        </w:trPr>
        <w:tc>
          <w:tcPr>
            <w:tcW w:w="375"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8.</w:t>
            </w:r>
          </w:p>
        </w:tc>
        <w:tc>
          <w:tcPr>
            <w:tcW w:w="4050" w:type="dxa"/>
            <w:gridSpan w:val="2"/>
            <w:tcBorders>
              <w:top w:val="nil"/>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WATER RATE BASE</w:t>
            </w:r>
          </w:p>
        </w:tc>
        <w:tc>
          <w:tcPr>
            <w:tcW w:w="1620" w:type="dxa"/>
            <w:gridSpan w:val="2"/>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u w:val="double"/>
              </w:rPr>
            </w:pPr>
            <w:r w:rsidRPr="00E022F8">
              <w:rPr>
                <w:rFonts w:ascii="SWISS" w:hAnsi="SWISS" w:cs="Arial"/>
                <w:color w:val="000000"/>
                <w:sz w:val="20"/>
                <w:szCs w:val="20"/>
                <w:u w:val="double"/>
              </w:rPr>
              <w:t>$</w:t>
            </w:r>
            <w:r>
              <w:rPr>
                <w:rFonts w:ascii="SWISS" w:hAnsi="SWISS" w:cs="Arial"/>
                <w:color w:val="000000"/>
                <w:sz w:val="20"/>
                <w:szCs w:val="20"/>
                <w:u w:val="double"/>
              </w:rPr>
              <w:t>21</w:t>
            </w:r>
            <w:r w:rsidRPr="00E022F8">
              <w:rPr>
                <w:rFonts w:ascii="SWISS" w:hAnsi="SWISS" w:cs="Arial"/>
                <w:color w:val="000000"/>
                <w:sz w:val="20"/>
                <w:szCs w:val="20"/>
                <w:u w:val="double"/>
              </w:rPr>
              <w:t>,</w:t>
            </w:r>
            <w:r>
              <w:rPr>
                <w:rFonts w:ascii="SWISS" w:hAnsi="SWISS" w:cs="Arial"/>
                <w:color w:val="000000"/>
                <w:sz w:val="20"/>
                <w:szCs w:val="20"/>
                <w:u w:val="double"/>
              </w:rPr>
              <w:t>691</w:t>
            </w:r>
            <w:r w:rsidRPr="00E022F8">
              <w:rPr>
                <w:rFonts w:ascii="SWISS" w:hAnsi="SWISS" w:cs="Arial"/>
                <w:color w:val="000000"/>
                <w:sz w:val="20"/>
                <w:szCs w:val="20"/>
                <w:u w:val="double"/>
              </w:rPr>
              <w:t xml:space="preserve"> </w:t>
            </w:r>
          </w:p>
        </w:tc>
        <w:tc>
          <w:tcPr>
            <w:tcW w:w="1710" w:type="dxa"/>
            <w:tcBorders>
              <w:top w:val="nil"/>
              <w:left w:val="nil"/>
              <w:bottom w:val="nil"/>
              <w:right w:val="nil"/>
            </w:tcBorders>
            <w:noWrap/>
            <w:vAlign w:val="bottom"/>
            <w:hideMark/>
          </w:tcPr>
          <w:p w:rsidR="0005008E" w:rsidRPr="00E022F8" w:rsidRDefault="0005008E" w:rsidP="00FE758E">
            <w:pPr>
              <w:jc w:val="right"/>
              <w:rPr>
                <w:rFonts w:ascii="SWISS" w:hAnsi="SWISS" w:cs="Arial"/>
                <w:color w:val="000000"/>
                <w:sz w:val="20"/>
                <w:szCs w:val="20"/>
                <w:u w:val="double"/>
              </w:rPr>
            </w:pPr>
            <w:r w:rsidRPr="00E022F8">
              <w:rPr>
                <w:rFonts w:ascii="SWISS" w:hAnsi="SWISS" w:cs="Arial"/>
                <w:color w:val="000000"/>
                <w:sz w:val="20"/>
                <w:szCs w:val="20"/>
                <w:u w:val="double"/>
              </w:rPr>
              <w:t>$</w:t>
            </w:r>
            <w:r>
              <w:rPr>
                <w:rFonts w:ascii="SWISS" w:hAnsi="SWISS" w:cs="Arial"/>
                <w:color w:val="000000"/>
                <w:sz w:val="20"/>
                <w:szCs w:val="20"/>
                <w:u w:val="double"/>
              </w:rPr>
              <w:t>14,925</w:t>
            </w:r>
          </w:p>
        </w:tc>
        <w:tc>
          <w:tcPr>
            <w:tcW w:w="162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u w:val="double"/>
              </w:rPr>
            </w:pPr>
            <w:r w:rsidRPr="00E022F8">
              <w:rPr>
                <w:rFonts w:ascii="SWISS" w:hAnsi="SWISS" w:cs="Arial"/>
                <w:color w:val="000000"/>
                <w:sz w:val="20"/>
                <w:szCs w:val="20"/>
                <w:u w:val="double"/>
              </w:rPr>
              <w:t>$</w:t>
            </w:r>
            <w:r>
              <w:rPr>
                <w:rFonts w:ascii="SWISS" w:hAnsi="SWISS" w:cs="Arial"/>
                <w:color w:val="000000"/>
                <w:sz w:val="20"/>
                <w:szCs w:val="20"/>
                <w:u w:val="double"/>
              </w:rPr>
              <w:t>36,616</w:t>
            </w:r>
            <w:r w:rsidRPr="00E022F8">
              <w:rPr>
                <w:rFonts w:ascii="SWISS" w:hAnsi="SWISS" w:cs="Arial"/>
                <w:color w:val="000000"/>
                <w:sz w:val="20"/>
                <w:szCs w:val="20"/>
                <w:u w:val="double"/>
              </w:rPr>
              <w:t xml:space="preserve"> </w:t>
            </w:r>
          </w:p>
        </w:tc>
      </w:tr>
      <w:tr w:rsidR="0005008E" w:rsidRPr="00E022F8" w:rsidTr="00FE758E">
        <w:trPr>
          <w:trHeight w:val="301"/>
        </w:trPr>
        <w:tc>
          <w:tcPr>
            <w:tcW w:w="375" w:type="dxa"/>
            <w:tcBorders>
              <w:top w:val="nil"/>
              <w:left w:val="single" w:sz="4" w:space="0" w:color="auto"/>
              <w:bottom w:val="single" w:sz="4"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4050" w:type="dxa"/>
            <w:gridSpan w:val="2"/>
            <w:tcBorders>
              <w:top w:val="nil"/>
              <w:left w:val="nil"/>
              <w:bottom w:val="single" w:sz="4"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620" w:type="dxa"/>
            <w:gridSpan w:val="2"/>
            <w:tcBorders>
              <w:top w:val="nil"/>
              <w:left w:val="nil"/>
              <w:bottom w:val="single" w:sz="4"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710" w:type="dxa"/>
            <w:tcBorders>
              <w:top w:val="nil"/>
              <w:left w:val="nil"/>
              <w:bottom w:val="single" w:sz="4"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620" w:type="dxa"/>
            <w:tcBorders>
              <w:top w:val="nil"/>
              <w:left w:val="nil"/>
              <w:bottom w:val="single" w:sz="4" w:space="0" w:color="auto"/>
              <w:right w:val="single" w:sz="4"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bl>
    <w:p w:rsidR="0005008E" w:rsidRDefault="0005008E" w:rsidP="00925414">
      <w:pPr>
        <w:pStyle w:val="OrderBody"/>
        <w:sectPr w:rsidR="0005008E">
          <w:headerReference w:type="first" r:id="rId10"/>
          <w:pgSz w:w="12240" w:h="15840" w:code="1"/>
          <w:pgMar w:top="1440" w:right="1440" w:bottom="1440" w:left="1440" w:header="720" w:footer="720" w:gutter="0"/>
          <w:cols w:space="720"/>
          <w:titlePg/>
          <w:docGrid w:linePitch="360"/>
        </w:sectPr>
      </w:pPr>
    </w:p>
    <w:tbl>
      <w:tblPr>
        <w:tblpPr w:leftFromText="180" w:rightFromText="180" w:horzAnchor="margin" w:tblpXSpec="center" w:tblpY="563"/>
        <w:tblW w:w="9648" w:type="dxa"/>
        <w:tblLook w:val="04A0" w:firstRow="1" w:lastRow="0" w:firstColumn="1" w:lastColumn="0" w:noHBand="0" w:noVBand="1"/>
      </w:tblPr>
      <w:tblGrid>
        <w:gridCol w:w="482"/>
        <w:gridCol w:w="6286"/>
        <w:gridCol w:w="2880"/>
      </w:tblGrid>
      <w:tr w:rsidR="0005008E" w:rsidRPr="00E022F8" w:rsidTr="00FE758E">
        <w:trPr>
          <w:trHeight w:val="264"/>
        </w:trPr>
        <w:tc>
          <w:tcPr>
            <w:tcW w:w="482" w:type="dxa"/>
            <w:tcBorders>
              <w:top w:val="single" w:sz="4" w:space="0" w:color="auto"/>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lastRenderedPageBreak/>
              <w:t> </w:t>
            </w:r>
          </w:p>
        </w:tc>
        <w:tc>
          <w:tcPr>
            <w:tcW w:w="6286" w:type="dxa"/>
            <w:tcBorders>
              <w:top w:val="single" w:sz="4" w:space="0" w:color="auto"/>
              <w:left w:val="nil"/>
              <w:bottom w:val="nil"/>
              <w:right w:val="nil"/>
            </w:tcBorders>
            <w:noWrap/>
            <w:vAlign w:val="bottom"/>
            <w:hideMark/>
          </w:tcPr>
          <w:p w:rsidR="0005008E" w:rsidRPr="000E3063" w:rsidRDefault="0005008E" w:rsidP="00FE758E">
            <w:pPr>
              <w:rPr>
                <w:rFonts w:ascii="SWISS" w:hAnsi="SWISS" w:cs="Arial"/>
                <w:color w:val="000000"/>
                <w:sz w:val="20"/>
                <w:szCs w:val="20"/>
                <w:highlight w:val="yellow"/>
              </w:rPr>
            </w:pPr>
            <w:r w:rsidRPr="005E4FF2">
              <w:rPr>
                <w:rFonts w:ascii="SWISS" w:hAnsi="SWISS" w:cs="Arial"/>
                <w:b/>
                <w:bCs/>
                <w:color w:val="000000"/>
                <w:sz w:val="20"/>
                <w:szCs w:val="20"/>
              </w:rPr>
              <w:t>PINE HARBOUR WATERWORKS, INC.</w:t>
            </w:r>
          </w:p>
        </w:tc>
        <w:tc>
          <w:tcPr>
            <w:tcW w:w="2880" w:type="dxa"/>
            <w:tcBorders>
              <w:top w:val="single" w:sz="4" w:space="0" w:color="auto"/>
              <w:left w:val="nil"/>
              <w:bottom w:val="nil"/>
              <w:right w:val="single" w:sz="4" w:space="0" w:color="auto"/>
            </w:tcBorders>
            <w:noWrap/>
            <w:vAlign w:val="bottom"/>
            <w:hideMark/>
          </w:tcPr>
          <w:p w:rsidR="0005008E" w:rsidRPr="00E022F8" w:rsidRDefault="0005008E" w:rsidP="00FE758E">
            <w:pPr>
              <w:rPr>
                <w:rFonts w:ascii="SWISS" w:hAnsi="SWISS" w:cs="Arial"/>
                <w:b/>
                <w:bCs/>
                <w:color w:val="000000"/>
                <w:sz w:val="20"/>
                <w:szCs w:val="20"/>
              </w:rPr>
            </w:pPr>
            <w:r>
              <w:rPr>
                <w:rFonts w:ascii="SWISS" w:hAnsi="SWISS" w:cs="Arial"/>
                <w:b/>
                <w:bCs/>
                <w:color w:val="000000"/>
                <w:sz w:val="20"/>
                <w:szCs w:val="20"/>
              </w:rPr>
              <w:t xml:space="preserve">                </w:t>
            </w:r>
            <w:r w:rsidRPr="00E022F8">
              <w:rPr>
                <w:rFonts w:ascii="SWISS" w:hAnsi="SWISS" w:cs="Arial"/>
                <w:b/>
                <w:bCs/>
                <w:color w:val="000000"/>
                <w:sz w:val="20"/>
                <w:szCs w:val="20"/>
              </w:rPr>
              <w:t>SCHEDULE NO. 1-B</w:t>
            </w:r>
            <w:r w:rsidRPr="00E022F8">
              <w:rPr>
                <w:sz w:val="20"/>
                <w:szCs w:val="20"/>
              </w:rPr>
              <w:fldChar w:fldCharType="begin"/>
            </w:r>
            <w:r w:rsidRPr="00E022F8">
              <w:rPr>
                <w:sz w:val="20"/>
                <w:szCs w:val="20"/>
              </w:rPr>
              <w:instrText xml:space="preserve"> TC "</w:instrText>
            </w:r>
            <w:bookmarkStart w:id="14" w:name="_Toc399147317"/>
            <w:r w:rsidRPr="00E022F8">
              <w:rPr>
                <w:sz w:val="20"/>
                <w:szCs w:val="20"/>
              </w:rPr>
              <w:instrText xml:space="preserve"> </w:instrText>
            </w:r>
            <w:bookmarkStart w:id="15" w:name="_Toc443384729"/>
            <w:bookmarkStart w:id="16" w:name="_Toc441233994"/>
            <w:bookmarkStart w:id="17" w:name="_Toc422220887"/>
            <w:bookmarkStart w:id="18" w:name="_Toc451766978"/>
            <w:bookmarkStart w:id="19" w:name="_Toc516844166"/>
            <w:r w:rsidRPr="00E022F8">
              <w:rPr>
                <w:sz w:val="20"/>
                <w:szCs w:val="20"/>
              </w:rPr>
              <w:instrText>Schedule No. 1-B Adjustments to Rate Base</w:instrText>
            </w:r>
            <w:bookmarkEnd w:id="14"/>
            <w:bookmarkEnd w:id="15"/>
            <w:bookmarkEnd w:id="16"/>
            <w:bookmarkEnd w:id="17"/>
            <w:bookmarkEnd w:id="18"/>
            <w:bookmarkEnd w:id="19"/>
            <w:r w:rsidRPr="00E022F8">
              <w:rPr>
                <w:sz w:val="20"/>
                <w:szCs w:val="20"/>
              </w:rPr>
              <w:instrText xml:space="preserve">”\l 1 </w:instrText>
            </w:r>
            <w:r w:rsidRPr="00E022F8">
              <w:rPr>
                <w:sz w:val="20"/>
                <w:szCs w:val="20"/>
              </w:rPr>
              <w:fldChar w:fldCharType="end"/>
            </w:r>
          </w:p>
        </w:tc>
      </w:tr>
      <w:tr w:rsidR="0005008E" w:rsidRPr="00E022F8" w:rsidTr="00FE758E">
        <w:trPr>
          <w:trHeight w:val="264"/>
        </w:trPr>
        <w:tc>
          <w:tcPr>
            <w:tcW w:w="482"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6286"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TEST YEAR ENDED </w:t>
            </w:r>
            <w:r>
              <w:rPr>
                <w:rFonts w:ascii="SWISS" w:hAnsi="SWISS" w:cs="Arial"/>
                <w:b/>
                <w:bCs/>
                <w:color w:val="000000"/>
                <w:sz w:val="20"/>
                <w:szCs w:val="20"/>
              </w:rPr>
              <w:t>12</w:t>
            </w:r>
            <w:r w:rsidRPr="00E022F8">
              <w:rPr>
                <w:rFonts w:ascii="SWISS" w:hAnsi="SWISS" w:cs="Arial"/>
                <w:b/>
                <w:bCs/>
                <w:color w:val="000000"/>
                <w:sz w:val="20"/>
                <w:szCs w:val="20"/>
              </w:rPr>
              <w:t>/31/1</w:t>
            </w:r>
            <w:r>
              <w:rPr>
                <w:rFonts w:ascii="SWISS" w:hAnsi="SWISS" w:cs="Arial"/>
                <w:b/>
                <w:bCs/>
                <w:color w:val="000000"/>
                <w:sz w:val="20"/>
                <w:szCs w:val="20"/>
              </w:rPr>
              <w:t>7</w:t>
            </w:r>
          </w:p>
        </w:tc>
        <w:tc>
          <w:tcPr>
            <w:tcW w:w="2880" w:type="dxa"/>
            <w:tcBorders>
              <w:top w:val="nil"/>
              <w:left w:val="nil"/>
              <w:bottom w:val="nil"/>
              <w:right w:val="single" w:sz="4" w:space="0" w:color="auto"/>
            </w:tcBorders>
            <w:noWrap/>
            <w:vAlign w:val="center"/>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DOCKET NO. 1</w:t>
            </w:r>
            <w:r>
              <w:rPr>
                <w:rFonts w:ascii="SWISS" w:hAnsi="SWISS" w:cs="Arial"/>
                <w:b/>
                <w:bCs/>
                <w:color w:val="000000"/>
                <w:sz w:val="20"/>
                <w:szCs w:val="20"/>
              </w:rPr>
              <w:t>20180022</w:t>
            </w:r>
            <w:r w:rsidRPr="00E022F8">
              <w:rPr>
                <w:rFonts w:ascii="SWISS" w:hAnsi="SWISS" w:cs="Arial"/>
                <w:b/>
                <w:bCs/>
                <w:color w:val="000000"/>
                <w:sz w:val="20"/>
                <w:szCs w:val="20"/>
              </w:rPr>
              <w:t>-WU</w:t>
            </w:r>
          </w:p>
        </w:tc>
      </w:tr>
      <w:tr w:rsidR="0005008E" w:rsidRPr="00E022F8" w:rsidTr="00FE758E">
        <w:trPr>
          <w:trHeight w:val="264"/>
        </w:trPr>
        <w:tc>
          <w:tcPr>
            <w:tcW w:w="482" w:type="dxa"/>
            <w:tcBorders>
              <w:top w:val="nil"/>
              <w:left w:val="single" w:sz="4" w:space="0" w:color="auto"/>
              <w:bottom w:val="single" w:sz="4"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6286" w:type="dxa"/>
            <w:tcBorders>
              <w:top w:val="nil"/>
              <w:left w:val="nil"/>
              <w:bottom w:val="single" w:sz="4" w:space="0" w:color="auto"/>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ADJUSTMENTS TO RATE BASE</w:t>
            </w:r>
          </w:p>
        </w:tc>
        <w:tc>
          <w:tcPr>
            <w:tcW w:w="2880" w:type="dxa"/>
            <w:tcBorders>
              <w:top w:val="nil"/>
              <w:left w:val="nil"/>
              <w:bottom w:val="single" w:sz="4" w:space="0" w:color="auto"/>
              <w:right w:val="single" w:sz="4" w:space="0" w:color="auto"/>
            </w:tcBorders>
            <w:noWrap/>
            <w:vAlign w:val="bottom"/>
          </w:tcPr>
          <w:p w:rsidR="0005008E" w:rsidRPr="00E022F8" w:rsidRDefault="0005008E" w:rsidP="00FE758E">
            <w:pPr>
              <w:rPr>
                <w:rFonts w:ascii="SWISS" w:hAnsi="SWISS" w:cs="Arial"/>
                <w:b/>
                <w:bCs/>
                <w:color w:val="000000"/>
                <w:sz w:val="20"/>
                <w:szCs w:val="20"/>
              </w:rPr>
            </w:pPr>
          </w:p>
        </w:tc>
      </w:tr>
      <w:tr w:rsidR="0005008E" w:rsidRPr="00E022F8" w:rsidTr="00FE758E">
        <w:trPr>
          <w:trHeight w:val="264"/>
        </w:trPr>
        <w:tc>
          <w:tcPr>
            <w:tcW w:w="482" w:type="dxa"/>
            <w:tcBorders>
              <w:top w:val="single" w:sz="4" w:space="0" w:color="auto"/>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6286" w:type="dxa"/>
            <w:tcBorders>
              <w:top w:val="single" w:sz="4" w:space="0" w:color="auto"/>
              <w:left w:val="nil"/>
              <w:bottom w:val="nil"/>
              <w:right w:val="nil"/>
            </w:tcBorders>
            <w:noWrap/>
            <w:vAlign w:val="bottom"/>
          </w:tcPr>
          <w:p w:rsidR="0005008E" w:rsidRPr="00E022F8" w:rsidRDefault="0005008E" w:rsidP="00FE758E">
            <w:pPr>
              <w:rPr>
                <w:rFonts w:ascii="SWISS" w:hAnsi="SWISS" w:cs="Arial"/>
                <w:b/>
                <w:bCs/>
                <w:color w:val="000000"/>
                <w:sz w:val="20"/>
                <w:szCs w:val="20"/>
              </w:rPr>
            </w:pPr>
          </w:p>
        </w:tc>
        <w:tc>
          <w:tcPr>
            <w:tcW w:w="2880" w:type="dxa"/>
            <w:tcBorders>
              <w:top w:val="single" w:sz="4" w:space="0" w:color="auto"/>
              <w:left w:val="nil"/>
              <w:bottom w:val="nil"/>
              <w:right w:val="single" w:sz="4" w:space="0" w:color="auto"/>
            </w:tcBorders>
            <w:noWrap/>
            <w:vAlign w:val="bottom"/>
          </w:tcPr>
          <w:p w:rsidR="0005008E" w:rsidRPr="00E022F8" w:rsidRDefault="0005008E" w:rsidP="00FE758E">
            <w:pPr>
              <w:rPr>
                <w:rFonts w:ascii="SWISS" w:hAnsi="SWISS" w:cs="Arial"/>
                <w:b/>
                <w:bCs/>
                <w:color w:val="000000"/>
                <w:sz w:val="20"/>
                <w:szCs w:val="20"/>
              </w:rPr>
            </w:pP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rPr>
                <w:rFonts w:ascii="SWISS" w:hAnsi="SWISS" w:cs="Arial"/>
                <w:color w:val="000000"/>
                <w:sz w:val="20"/>
                <w:szCs w:val="20"/>
              </w:rPr>
            </w:pPr>
          </w:p>
        </w:tc>
        <w:tc>
          <w:tcPr>
            <w:tcW w:w="6286" w:type="dxa"/>
            <w:noWrap/>
            <w:vAlign w:val="bottom"/>
          </w:tcPr>
          <w:p w:rsidR="0005008E" w:rsidRPr="00E022F8" w:rsidRDefault="0005008E" w:rsidP="00FE758E">
            <w:pPr>
              <w:rPr>
                <w:rFonts w:ascii="SWISS" w:hAnsi="SWISS" w:cs="Arial"/>
                <w:b/>
                <w:bCs/>
                <w:color w:val="000000"/>
                <w:sz w:val="20"/>
                <w:szCs w:val="20"/>
                <w:u w:val="single"/>
              </w:rPr>
            </w:pPr>
          </w:p>
        </w:tc>
        <w:tc>
          <w:tcPr>
            <w:tcW w:w="2880" w:type="dxa"/>
            <w:tcBorders>
              <w:top w:val="nil"/>
              <w:left w:val="nil"/>
              <w:bottom w:val="nil"/>
              <w:right w:val="single" w:sz="4" w:space="0" w:color="auto"/>
            </w:tcBorders>
            <w:noWrap/>
            <w:vAlign w:val="bottom"/>
            <w:hideMark/>
          </w:tcPr>
          <w:p w:rsidR="0005008E" w:rsidRPr="00E022F8" w:rsidRDefault="0005008E" w:rsidP="00FE758E">
            <w:pPr>
              <w:jc w:val="center"/>
              <w:rPr>
                <w:rFonts w:ascii="SWISS" w:hAnsi="SWISS" w:cs="Arial"/>
                <w:b/>
                <w:color w:val="000000"/>
                <w:sz w:val="20"/>
                <w:szCs w:val="20"/>
                <w:u w:val="single"/>
              </w:rPr>
            </w:pPr>
            <w:r w:rsidRPr="00E022F8">
              <w:rPr>
                <w:rFonts w:ascii="SWISS" w:hAnsi="SWISS" w:cs="Arial"/>
                <w:color w:val="000000"/>
                <w:sz w:val="20"/>
                <w:szCs w:val="20"/>
              </w:rPr>
              <w:t xml:space="preserve">                                   </w:t>
            </w:r>
            <w:r w:rsidRPr="00E022F8">
              <w:rPr>
                <w:rFonts w:ascii="SWISS" w:hAnsi="SWISS" w:cs="Arial"/>
                <w:b/>
                <w:color w:val="000000"/>
                <w:sz w:val="20"/>
                <w:szCs w:val="20"/>
                <w:u w:val="single"/>
              </w:rPr>
              <w:t>WATER</w:t>
            </w:r>
          </w:p>
        </w:tc>
      </w:tr>
      <w:tr w:rsidR="0005008E" w:rsidRPr="00E022F8" w:rsidTr="00FE758E">
        <w:trPr>
          <w:trHeight w:val="264"/>
        </w:trPr>
        <w:tc>
          <w:tcPr>
            <w:tcW w:w="482" w:type="dxa"/>
            <w:tcBorders>
              <w:top w:val="nil"/>
              <w:left w:val="single" w:sz="4"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6286" w:type="dxa"/>
            <w:noWrap/>
            <w:vAlign w:val="bottom"/>
            <w:hideMark/>
          </w:tcPr>
          <w:p w:rsidR="0005008E" w:rsidRPr="00E022F8" w:rsidRDefault="0005008E" w:rsidP="00FE758E">
            <w:pPr>
              <w:rPr>
                <w:rFonts w:ascii="SWISS" w:hAnsi="SWISS" w:cs="Arial"/>
                <w:b/>
                <w:bCs/>
                <w:color w:val="000000"/>
                <w:sz w:val="20"/>
                <w:szCs w:val="20"/>
                <w:u w:val="single"/>
              </w:rPr>
            </w:pPr>
            <w:r w:rsidRPr="00E022F8">
              <w:rPr>
                <w:rFonts w:ascii="SWISS" w:hAnsi="SWISS" w:cs="Arial"/>
                <w:b/>
                <w:bCs/>
                <w:color w:val="000000"/>
                <w:sz w:val="20"/>
                <w:szCs w:val="20"/>
                <w:u w:val="single"/>
              </w:rPr>
              <w:t>UTILITY PLANT IN SERVICE</w:t>
            </w:r>
          </w:p>
        </w:tc>
        <w:tc>
          <w:tcPr>
            <w:tcW w:w="2880" w:type="dxa"/>
            <w:tcBorders>
              <w:top w:val="nil"/>
              <w:left w:val="nil"/>
              <w:bottom w:val="nil"/>
              <w:right w:val="single" w:sz="4"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64"/>
        </w:trPr>
        <w:tc>
          <w:tcPr>
            <w:tcW w:w="482"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1.</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water line installation for new customer to Acct. No. 331.</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Pr>
                <w:rFonts w:ascii="SWISS" w:hAnsi="SWISS" w:cs="Arial"/>
                <w:color w:val="000000"/>
                <w:sz w:val="20"/>
                <w:szCs w:val="20"/>
              </w:rPr>
              <w:t>$</w:t>
            </w:r>
            <w:r w:rsidRPr="005E4FF2">
              <w:rPr>
                <w:rFonts w:ascii="SWISS" w:hAnsi="SWISS" w:cs="Arial"/>
                <w:color w:val="000000"/>
                <w:sz w:val="20"/>
                <w:szCs w:val="20"/>
              </w:rPr>
              <w:t xml:space="preserve">5,475 </w:t>
            </w:r>
          </w:p>
        </w:tc>
      </w:tr>
      <w:tr w:rsidR="0005008E" w:rsidRPr="00E022F8" w:rsidTr="00FE758E">
        <w:trPr>
          <w:trHeight w:val="264"/>
        </w:trPr>
        <w:tc>
          <w:tcPr>
            <w:tcW w:w="482"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2.</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 xml:space="preserve">To reflect meter installation for new customer to Acct. No. </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 xml:space="preserve">82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3.</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reclassify shed roof repair from Acct. No. 320 to Acct. No. 304.</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 xml:space="preserve">1,077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pPr>
            <w:r>
              <w:rPr>
                <w:rFonts w:ascii="SWISS" w:hAnsi="SWISS" w:cs="Arial"/>
                <w:color w:val="000000"/>
                <w:sz w:val="20"/>
                <w:szCs w:val="20"/>
              </w:rPr>
              <w:t>4</w:t>
            </w:r>
            <w:r w:rsidRPr="00C724BD">
              <w:rPr>
                <w:rFonts w:ascii="SWISS" w:hAnsi="SWISS" w:cs="Arial"/>
                <w:color w:val="000000"/>
                <w:sz w:val="20"/>
                <w:szCs w:val="20"/>
              </w:rPr>
              <w:t>.</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reclassify shed roof repair to Acct. No. 304 from Acct. No. 320.</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(1,077)</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pPr>
            <w:r>
              <w:rPr>
                <w:rFonts w:ascii="SWISS" w:hAnsi="SWISS" w:cs="Arial"/>
                <w:color w:val="000000"/>
                <w:sz w:val="20"/>
                <w:szCs w:val="20"/>
              </w:rPr>
              <w:t>5</w:t>
            </w:r>
            <w:r w:rsidRPr="00C724BD">
              <w:rPr>
                <w:rFonts w:ascii="SWISS" w:hAnsi="SWISS" w:cs="Arial"/>
                <w:color w:val="000000"/>
                <w:sz w:val="20"/>
                <w:szCs w:val="20"/>
              </w:rPr>
              <w:t>.</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pro forma meter replacements to Acct. No. 334.</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 xml:space="preserve">1,930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pPr>
            <w:r>
              <w:rPr>
                <w:rFonts w:ascii="SWISS" w:hAnsi="SWISS" w:cs="Arial"/>
                <w:color w:val="000000"/>
                <w:sz w:val="20"/>
                <w:szCs w:val="20"/>
              </w:rPr>
              <w:t>6</w:t>
            </w:r>
            <w:r w:rsidRPr="00C724BD">
              <w:rPr>
                <w:rFonts w:ascii="SWISS" w:hAnsi="SWISS" w:cs="Arial"/>
                <w:color w:val="000000"/>
                <w:sz w:val="20"/>
                <w:szCs w:val="20"/>
              </w:rPr>
              <w:t>.</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retirement of replaced meters.</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(1,448)</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pPr>
            <w:r>
              <w:rPr>
                <w:rFonts w:ascii="SWISS" w:hAnsi="SWISS" w:cs="Arial"/>
                <w:color w:val="000000"/>
                <w:sz w:val="20"/>
                <w:szCs w:val="20"/>
              </w:rPr>
              <w:t>7</w:t>
            </w:r>
            <w:r w:rsidRPr="00C724BD">
              <w:rPr>
                <w:rFonts w:ascii="SWISS" w:hAnsi="SWISS" w:cs="Arial"/>
                <w:color w:val="000000"/>
                <w:sz w:val="20"/>
                <w:szCs w:val="20"/>
              </w:rPr>
              <w:t>.</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pro forma well meter replacement to Acct. No. 309.</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 xml:space="preserve">2,370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pPr>
            <w:r>
              <w:rPr>
                <w:rFonts w:ascii="SWISS" w:hAnsi="SWISS" w:cs="Arial"/>
                <w:color w:val="000000"/>
                <w:sz w:val="20"/>
                <w:szCs w:val="20"/>
              </w:rPr>
              <w:t>8</w:t>
            </w:r>
            <w:r w:rsidRPr="00C724BD">
              <w:rPr>
                <w:rFonts w:ascii="SWISS" w:hAnsi="SWISS" w:cs="Arial"/>
                <w:color w:val="000000"/>
                <w:sz w:val="20"/>
                <w:szCs w:val="20"/>
              </w:rPr>
              <w:t>.</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retirement of replaced well meter.</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(1,778)</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9.</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pro forma exterior lighting/timer replacement to Acct. No. 304.</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 xml:space="preserve">927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10.</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retirement of replaced exterior lighting/timer.</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(695)</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11.</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pro forma fence replacement to Acct. No. 307.</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 xml:space="preserve">3,200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12.</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retirement of replaced fence.</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rPr>
            </w:pPr>
            <w:r w:rsidRPr="005E4FF2">
              <w:rPr>
                <w:rFonts w:ascii="SWISS" w:hAnsi="SWISS" w:cs="Arial"/>
                <w:color w:val="000000"/>
                <w:sz w:val="20"/>
                <w:szCs w:val="20"/>
              </w:rPr>
              <w:t>(2,400)</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pPr>
            <w:r>
              <w:rPr>
                <w:rFonts w:ascii="SWISS" w:hAnsi="SWISS" w:cs="Arial"/>
                <w:color w:val="000000"/>
                <w:sz w:val="20"/>
                <w:szCs w:val="20"/>
              </w:rPr>
              <w:t>13</w:t>
            </w:r>
            <w:r w:rsidRPr="00C724BD">
              <w:rPr>
                <w:rFonts w:ascii="SWISS" w:hAnsi="SWISS" w:cs="Arial"/>
                <w:color w:val="000000"/>
                <w:sz w:val="20"/>
                <w:szCs w:val="20"/>
              </w:rPr>
              <w:t>.</w:t>
            </w:r>
          </w:p>
        </w:tc>
        <w:tc>
          <w:tcPr>
            <w:tcW w:w="6286" w:type="dxa"/>
            <w:noWrap/>
            <w:vAlign w:val="bottom"/>
          </w:tcPr>
          <w:p w:rsidR="0005008E" w:rsidRPr="005E4FF2" w:rsidRDefault="0005008E" w:rsidP="00FE758E">
            <w:pPr>
              <w:rPr>
                <w:rFonts w:ascii="SWISS" w:hAnsi="SWISS" w:cs="Arial"/>
                <w:color w:val="000000"/>
                <w:sz w:val="20"/>
                <w:szCs w:val="20"/>
              </w:rPr>
            </w:pPr>
            <w:r w:rsidRPr="005E4FF2">
              <w:rPr>
                <w:rFonts w:ascii="SWISS" w:hAnsi="SWISS" w:cs="Arial"/>
                <w:color w:val="000000"/>
                <w:sz w:val="20"/>
                <w:szCs w:val="20"/>
              </w:rPr>
              <w:t>To reflect an averaging adjustment.</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color w:val="000000"/>
                <w:sz w:val="20"/>
                <w:szCs w:val="20"/>
                <w:u w:val="single"/>
              </w:rPr>
            </w:pPr>
            <w:r w:rsidRPr="005E4FF2">
              <w:rPr>
                <w:rFonts w:ascii="SWISS" w:hAnsi="SWISS" w:cs="Arial"/>
                <w:color w:val="000000"/>
                <w:sz w:val="20"/>
                <w:szCs w:val="20"/>
                <w:u w:val="single"/>
              </w:rPr>
              <w:t>(3,230)</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286" w:type="dxa"/>
            <w:noWrap/>
            <w:vAlign w:val="bottom"/>
          </w:tcPr>
          <w:p w:rsidR="0005008E" w:rsidRPr="005E4FF2" w:rsidRDefault="0005008E" w:rsidP="00FE758E">
            <w:pPr>
              <w:rPr>
                <w:rFonts w:ascii="SWISS" w:hAnsi="SWISS" w:cs="Arial"/>
                <w:b/>
                <w:bCs/>
                <w:color w:val="000000"/>
                <w:sz w:val="20"/>
                <w:szCs w:val="20"/>
                <w:u w:val="single"/>
              </w:rPr>
            </w:pPr>
            <w:r w:rsidRPr="005E4FF2">
              <w:rPr>
                <w:rFonts w:ascii="SWISS" w:hAnsi="SWISS" w:cs="Arial"/>
                <w:color w:val="000000"/>
                <w:sz w:val="20"/>
                <w:szCs w:val="20"/>
              </w:rPr>
              <w:t xml:space="preserve">     Total</w:t>
            </w:r>
          </w:p>
        </w:tc>
        <w:tc>
          <w:tcPr>
            <w:tcW w:w="2880" w:type="dxa"/>
            <w:tcBorders>
              <w:top w:val="nil"/>
              <w:left w:val="nil"/>
              <w:bottom w:val="nil"/>
              <w:right w:val="single" w:sz="4" w:space="0" w:color="auto"/>
            </w:tcBorders>
            <w:noWrap/>
            <w:vAlign w:val="bottom"/>
          </w:tcPr>
          <w:p w:rsidR="0005008E" w:rsidRPr="005E4FF2" w:rsidRDefault="0005008E" w:rsidP="00FE758E">
            <w:pPr>
              <w:jc w:val="right"/>
              <w:rPr>
                <w:rFonts w:ascii="SWISS" w:hAnsi="SWISS" w:cs="Arial"/>
                <w:sz w:val="20"/>
                <w:szCs w:val="20"/>
              </w:rPr>
            </w:pPr>
            <w:r w:rsidRPr="005E4FF2">
              <w:rPr>
                <w:rFonts w:ascii="SWISS" w:hAnsi="SWISS" w:cs="Arial"/>
                <w:sz w:val="20"/>
                <w:szCs w:val="20"/>
                <w:u w:val="double"/>
              </w:rPr>
              <w:t xml:space="preserve">$4,434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286" w:type="dxa"/>
            <w:noWrap/>
            <w:vAlign w:val="bottom"/>
          </w:tcPr>
          <w:p w:rsidR="0005008E" w:rsidRPr="00E022F8" w:rsidRDefault="0005008E" w:rsidP="00FE758E">
            <w:pPr>
              <w:rPr>
                <w:rFonts w:ascii="SWISS" w:hAnsi="SWISS" w:cs="Arial"/>
                <w:b/>
                <w:bCs/>
                <w:color w:val="000000"/>
                <w:sz w:val="20"/>
                <w:szCs w:val="20"/>
                <w:u w:val="single"/>
              </w:rPr>
            </w:pPr>
          </w:p>
        </w:tc>
        <w:tc>
          <w:tcPr>
            <w:tcW w:w="2880" w:type="dxa"/>
            <w:tcBorders>
              <w:top w:val="nil"/>
              <w:left w:val="nil"/>
              <w:bottom w:val="nil"/>
              <w:right w:val="single" w:sz="4" w:space="0" w:color="auto"/>
            </w:tcBorders>
            <w:noWrap/>
            <w:vAlign w:val="bottom"/>
          </w:tcPr>
          <w:p w:rsidR="0005008E" w:rsidRPr="00E022F8" w:rsidRDefault="0005008E" w:rsidP="00FE758E">
            <w:pPr>
              <w:rPr>
                <w:rFonts w:ascii="SWISS" w:hAnsi="SWISS" w:cs="Arial"/>
                <w:sz w:val="20"/>
                <w:szCs w:val="20"/>
              </w:rPr>
            </w:pP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286" w:type="dxa"/>
            <w:noWrap/>
            <w:vAlign w:val="bottom"/>
            <w:hideMark/>
          </w:tcPr>
          <w:p w:rsidR="0005008E" w:rsidRPr="00E022F8" w:rsidRDefault="0005008E" w:rsidP="00FE758E">
            <w:pPr>
              <w:rPr>
                <w:rFonts w:ascii="SWISS" w:hAnsi="SWISS" w:cs="Arial"/>
                <w:b/>
                <w:bCs/>
                <w:color w:val="000000"/>
                <w:sz w:val="20"/>
                <w:szCs w:val="20"/>
                <w:u w:val="single"/>
              </w:rPr>
            </w:pPr>
            <w:r w:rsidRPr="00E022F8">
              <w:rPr>
                <w:rFonts w:ascii="SWISS" w:hAnsi="SWISS" w:cs="Arial"/>
                <w:b/>
                <w:bCs/>
                <w:color w:val="000000"/>
                <w:sz w:val="20"/>
                <w:szCs w:val="20"/>
                <w:u w:val="single"/>
              </w:rPr>
              <w:t>ACCUMULATED DEPRECIATION</w:t>
            </w:r>
          </w:p>
        </w:tc>
        <w:tc>
          <w:tcPr>
            <w:tcW w:w="2880" w:type="dxa"/>
            <w:tcBorders>
              <w:top w:val="nil"/>
              <w:left w:val="nil"/>
              <w:bottom w:val="nil"/>
              <w:right w:val="single" w:sz="4"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64"/>
        </w:trPr>
        <w:tc>
          <w:tcPr>
            <w:tcW w:w="482"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1.</w:t>
            </w:r>
          </w:p>
        </w:tc>
        <w:tc>
          <w:tcPr>
            <w:tcW w:w="6286" w:type="dxa"/>
            <w:noWrap/>
            <w:vAlign w:val="bottom"/>
            <w:hideMark/>
          </w:tcPr>
          <w:p w:rsidR="0005008E" w:rsidRPr="00B53A66" w:rsidRDefault="0005008E" w:rsidP="00FE758E">
            <w:pPr>
              <w:rPr>
                <w:rFonts w:ascii="SWISS" w:hAnsi="SWISS" w:cs="Arial"/>
                <w:color w:val="000000"/>
                <w:sz w:val="20"/>
                <w:szCs w:val="20"/>
              </w:rPr>
            </w:pPr>
            <w:r w:rsidRPr="00B53A66">
              <w:rPr>
                <w:rFonts w:ascii="SWISS" w:hAnsi="SWISS" w:cs="Arial"/>
                <w:color w:val="000000"/>
                <w:sz w:val="20"/>
                <w:szCs w:val="20"/>
              </w:rPr>
              <w:t>To reflect accumulated depreciation per Rule 25-30.140, F.A.C.</w:t>
            </w:r>
          </w:p>
        </w:tc>
        <w:tc>
          <w:tcPr>
            <w:tcW w:w="2880" w:type="dxa"/>
            <w:tcBorders>
              <w:top w:val="nil"/>
              <w:left w:val="nil"/>
              <w:bottom w:val="nil"/>
              <w:right w:val="single" w:sz="4" w:space="0" w:color="auto"/>
            </w:tcBorders>
            <w:noWrap/>
            <w:vAlign w:val="bottom"/>
            <w:hideMark/>
          </w:tcPr>
          <w:p w:rsidR="0005008E" w:rsidRDefault="0005008E" w:rsidP="00FE758E">
            <w:pPr>
              <w:jc w:val="right"/>
              <w:rPr>
                <w:rFonts w:ascii="SWISS" w:hAnsi="SWISS" w:cs="Arial"/>
                <w:color w:val="000000"/>
                <w:sz w:val="20"/>
                <w:szCs w:val="20"/>
              </w:rPr>
            </w:pPr>
            <w:r>
              <w:rPr>
                <w:rFonts w:ascii="SWISS" w:hAnsi="SWISS" w:cs="Arial"/>
                <w:color w:val="000000"/>
                <w:sz w:val="20"/>
                <w:szCs w:val="20"/>
              </w:rPr>
              <w:t>($135)</w:t>
            </w:r>
          </w:p>
        </w:tc>
      </w:tr>
      <w:tr w:rsidR="0005008E" w:rsidRPr="00E022F8" w:rsidTr="00FE758E">
        <w:trPr>
          <w:trHeight w:val="264"/>
        </w:trPr>
        <w:tc>
          <w:tcPr>
            <w:tcW w:w="482"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2.</w:t>
            </w:r>
          </w:p>
        </w:tc>
        <w:tc>
          <w:tcPr>
            <w:tcW w:w="6286" w:type="dxa"/>
            <w:noWrap/>
            <w:vAlign w:val="bottom"/>
            <w:hideMark/>
          </w:tcPr>
          <w:p w:rsidR="0005008E" w:rsidRDefault="0005008E" w:rsidP="00FE758E">
            <w:pPr>
              <w:rPr>
                <w:rFonts w:ascii="SWISS" w:hAnsi="SWISS" w:cs="Arial"/>
                <w:color w:val="000000"/>
                <w:sz w:val="20"/>
                <w:szCs w:val="20"/>
              </w:rPr>
            </w:pPr>
            <w:r>
              <w:rPr>
                <w:rFonts w:ascii="SWISS" w:hAnsi="SWISS" w:cs="Arial"/>
                <w:color w:val="000000"/>
                <w:sz w:val="20"/>
                <w:szCs w:val="20"/>
              </w:rPr>
              <w:t>To reflect pro forma meter replacements.</w:t>
            </w:r>
          </w:p>
        </w:tc>
        <w:tc>
          <w:tcPr>
            <w:tcW w:w="2880" w:type="dxa"/>
            <w:tcBorders>
              <w:top w:val="nil"/>
              <w:left w:val="nil"/>
              <w:bottom w:val="nil"/>
              <w:right w:val="single" w:sz="4" w:space="0" w:color="auto"/>
            </w:tcBorders>
            <w:noWrap/>
            <w:vAlign w:val="bottom"/>
            <w:hideMark/>
          </w:tcPr>
          <w:p w:rsidR="0005008E" w:rsidRDefault="0005008E" w:rsidP="00FE758E">
            <w:pPr>
              <w:jc w:val="right"/>
              <w:rPr>
                <w:rFonts w:ascii="SWISS" w:hAnsi="SWISS" w:cs="Arial"/>
                <w:color w:val="000000"/>
                <w:sz w:val="20"/>
                <w:szCs w:val="20"/>
              </w:rPr>
            </w:pPr>
            <w:r>
              <w:rPr>
                <w:rFonts w:ascii="SWISS" w:hAnsi="SWISS" w:cs="Arial"/>
                <w:color w:val="000000"/>
                <w:sz w:val="20"/>
                <w:szCs w:val="20"/>
              </w:rPr>
              <w:t>(28)</w:t>
            </w:r>
          </w:p>
        </w:tc>
      </w:tr>
      <w:tr w:rsidR="0005008E" w:rsidRPr="00E022F8" w:rsidTr="00FE758E">
        <w:trPr>
          <w:trHeight w:val="264"/>
        </w:trPr>
        <w:tc>
          <w:tcPr>
            <w:tcW w:w="482" w:type="dxa"/>
            <w:tcBorders>
              <w:top w:val="nil"/>
              <w:left w:val="single" w:sz="4" w:space="0" w:color="auto"/>
              <w:bottom w:val="nil"/>
              <w:right w:val="nil"/>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3.</w:t>
            </w:r>
          </w:p>
        </w:tc>
        <w:tc>
          <w:tcPr>
            <w:tcW w:w="6286" w:type="dxa"/>
            <w:noWrap/>
            <w:vAlign w:val="bottom"/>
            <w:hideMark/>
          </w:tcPr>
          <w:p w:rsidR="0005008E" w:rsidRDefault="0005008E" w:rsidP="00FE758E">
            <w:pPr>
              <w:rPr>
                <w:rFonts w:ascii="SWISS" w:hAnsi="SWISS" w:cs="Arial"/>
                <w:color w:val="000000"/>
                <w:sz w:val="20"/>
                <w:szCs w:val="20"/>
              </w:rPr>
            </w:pPr>
            <w:r>
              <w:rPr>
                <w:rFonts w:ascii="SWISS" w:hAnsi="SWISS" w:cs="Arial"/>
                <w:color w:val="000000"/>
                <w:sz w:val="20"/>
                <w:szCs w:val="20"/>
              </w:rPr>
              <w:t>To reflect retirement of replaced meters.</w:t>
            </w:r>
          </w:p>
        </w:tc>
        <w:tc>
          <w:tcPr>
            <w:tcW w:w="2880" w:type="dxa"/>
            <w:tcBorders>
              <w:top w:val="nil"/>
              <w:left w:val="nil"/>
              <w:bottom w:val="nil"/>
              <w:right w:val="single" w:sz="4" w:space="0" w:color="auto"/>
            </w:tcBorders>
            <w:noWrap/>
            <w:vAlign w:val="bottom"/>
            <w:hideMark/>
          </w:tcPr>
          <w:p w:rsidR="0005008E" w:rsidRDefault="0005008E" w:rsidP="00FE758E">
            <w:pPr>
              <w:jc w:val="right"/>
              <w:rPr>
                <w:rFonts w:ascii="SWISS" w:hAnsi="SWISS" w:cs="Arial"/>
                <w:color w:val="000000"/>
                <w:sz w:val="20"/>
                <w:szCs w:val="20"/>
              </w:rPr>
            </w:pPr>
            <w:r>
              <w:rPr>
                <w:rFonts w:ascii="SWISS" w:hAnsi="SWISS" w:cs="Arial"/>
                <w:color w:val="000000"/>
                <w:sz w:val="20"/>
                <w:szCs w:val="20"/>
              </w:rPr>
              <w:t xml:space="preserve">1,448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B53A66" w:rsidRDefault="0005008E" w:rsidP="00FE758E">
            <w:pPr>
              <w:jc w:val="right"/>
              <w:rPr>
                <w:rFonts w:ascii="SWISS" w:hAnsi="SWISS" w:cs="Arial"/>
                <w:sz w:val="20"/>
                <w:szCs w:val="20"/>
              </w:rPr>
            </w:pPr>
            <w:r>
              <w:rPr>
                <w:rFonts w:ascii="SWISS" w:hAnsi="SWISS" w:cs="Arial"/>
                <w:sz w:val="20"/>
                <w:szCs w:val="20"/>
              </w:rPr>
              <w:t>4</w:t>
            </w:r>
            <w:r w:rsidRPr="001426F7">
              <w:rPr>
                <w:rFonts w:ascii="SWISS" w:hAnsi="SWISS" w:cs="Arial"/>
                <w:sz w:val="20"/>
                <w:szCs w:val="20"/>
              </w:rPr>
              <w:t>.</w:t>
            </w:r>
          </w:p>
        </w:tc>
        <w:tc>
          <w:tcPr>
            <w:tcW w:w="6286" w:type="dxa"/>
            <w:noWrap/>
            <w:vAlign w:val="bottom"/>
            <w:hideMark/>
          </w:tcPr>
          <w:p w:rsidR="0005008E" w:rsidRDefault="0005008E" w:rsidP="00FE758E">
            <w:pPr>
              <w:rPr>
                <w:rFonts w:ascii="SWISS" w:hAnsi="SWISS" w:cs="Arial"/>
                <w:color w:val="000000"/>
                <w:sz w:val="20"/>
                <w:szCs w:val="20"/>
              </w:rPr>
            </w:pPr>
            <w:r>
              <w:rPr>
                <w:rFonts w:ascii="SWISS" w:hAnsi="SWISS" w:cs="Arial"/>
                <w:color w:val="000000"/>
                <w:sz w:val="20"/>
                <w:szCs w:val="20"/>
              </w:rPr>
              <w:t>To reflect pro forma well meter replacement.</w:t>
            </w:r>
          </w:p>
        </w:tc>
        <w:tc>
          <w:tcPr>
            <w:tcW w:w="2880" w:type="dxa"/>
            <w:tcBorders>
              <w:top w:val="nil"/>
              <w:left w:val="nil"/>
              <w:bottom w:val="nil"/>
              <w:right w:val="single" w:sz="4" w:space="0" w:color="auto"/>
            </w:tcBorders>
            <w:noWrap/>
            <w:vAlign w:val="bottom"/>
            <w:hideMark/>
          </w:tcPr>
          <w:p w:rsidR="0005008E" w:rsidRDefault="0005008E" w:rsidP="00FE758E">
            <w:pPr>
              <w:jc w:val="right"/>
              <w:rPr>
                <w:rFonts w:ascii="SWISS" w:hAnsi="SWISS" w:cs="Arial"/>
                <w:color w:val="000000"/>
                <w:sz w:val="20"/>
                <w:szCs w:val="20"/>
              </w:rPr>
            </w:pPr>
            <w:r>
              <w:rPr>
                <w:rFonts w:ascii="SWISS" w:hAnsi="SWISS" w:cs="Arial"/>
                <w:color w:val="000000"/>
                <w:sz w:val="20"/>
                <w:szCs w:val="20"/>
              </w:rPr>
              <w:t>(19)</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B53A66" w:rsidRDefault="0005008E" w:rsidP="00FE758E">
            <w:pPr>
              <w:jc w:val="right"/>
              <w:rPr>
                <w:rFonts w:ascii="SWISS" w:hAnsi="SWISS" w:cs="Arial"/>
                <w:sz w:val="20"/>
                <w:szCs w:val="20"/>
              </w:rPr>
            </w:pPr>
            <w:r>
              <w:rPr>
                <w:rFonts w:ascii="SWISS" w:hAnsi="SWISS" w:cs="Arial"/>
                <w:sz w:val="20"/>
                <w:szCs w:val="20"/>
              </w:rPr>
              <w:t>5</w:t>
            </w:r>
            <w:r w:rsidRPr="001426F7">
              <w:rPr>
                <w:rFonts w:ascii="SWISS" w:hAnsi="SWISS" w:cs="Arial"/>
                <w:sz w:val="20"/>
                <w:szCs w:val="20"/>
              </w:rPr>
              <w:t>.</w:t>
            </w:r>
          </w:p>
        </w:tc>
        <w:tc>
          <w:tcPr>
            <w:tcW w:w="6286"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retirement of replaced well meter.</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 xml:space="preserve">1,778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rPr>
                <w:rFonts w:ascii="SWISS" w:hAnsi="SWISS" w:cs="Arial"/>
                <w:sz w:val="20"/>
                <w:szCs w:val="20"/>
              </w:rPr>
            </w:pPr>
            <w:r>
              <w:rPr>
                <w:rFonts w:ascii="SWISS" w:hAnsi="SWISS" w:cs="Arial"/>
                <w:sz w:val="20"/>
                <w:szCs w:val="20"/>
              </w:rPr>
              <w:t>6.</w:t>
            </w:r>
          </w:p>
        </w:tc>
        <w:tc>
          <w:tcPr>
            <w:tcW w:w="6286"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pro forma exterior lighting/timer replacement.</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(9)</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rPr>
                <w:rFonts w:ascii="SWISS" w:hAnsi="SWISS" w:cs="Arial"/>
                <w:sz w:val="20"/>
                <w:szCs w:val="20"/>
              </w:rPr>
            </w:pPr>
            <w:r>
              <w:rPr>
                <w:rFonts w:ascii="SWISS" w:hAnsi="SWISS" w:cs="Arial"/>
                <w:sz w:val="20"/>
                <w:szCs w:val="20"/>
              </w:rPr>
              <w:t>7.</w:t>
            </w:r>
          </w:p>
        </w:tc>
        <w:tc>
          <w:tcPr>
            <w:tcW w:w="6286"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retirement of replaced exterior lighting/timer.</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 xml:space="preserve">695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rPr>
                <w:rFonts w:ascii="SWISS" w:hAnsi="SWISS" w:cs="Arial"/>
                <w:sz w:val="20"/>
                <w:szCs w:val="20"/>
              </w:rPr>
            </w:pPr>
            <w:r>
              <w:rPr>
                <w:rFonts w:ascii="SWISS" w:hAnsi="SWISS" w:cs="Arial"/>
                <w:sz w:val="20"/>
                <w:szCs w:val="20"/>
              </w:rPr>
              <w:t>8.</w:t>
            </w:r>
          </w:p>
        </w:tc>
        <w:tc>
          <w:tcPr>
            <w:tcW w:w="6286"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pro forma fence replacement.</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(30)</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Default="0005008E" w:rsidP="00FE758E">
            <w:pPr>
              <w:jc w:val="right"/>
              <w:rPr>
                <w:rFonts w:ascii="SWISS" w:hAnsi="SWISS" w:cs="Arial"/>
                <w:sz w:val="20"/>
                <w:szCs w:val="20"/>
              </w:rPr>
            </w:pPr>
            <w:r>
              <w:rPr>
                <w:rFonts w:ascii="SWISS" w:hAnsi="SWISS" w:cs="Arial"/>
                <w:sz w:val="20"/>
                <w:szCs w:val="20"/>
              </w:rPr>
              <w:t>9.</w:t>
            </w:r>
          </w:p>
        </w:tc>
        <w:tc>
          <w:tcPr>
            <w:tcW w:w="6286"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retirement of replaced fence.</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 xml:space="preserve">2,400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B53A66" w:rsidRDefault="0005008E" w:rsidP="00FE758E">
            <w:pPr>
              <w:jc w:val="right"/>
              <w:rPr>
                <w:rFonts w:ascii="SWISS" w:hAnsi="SWISS" w:cs="Arial"/>
                <w:sz w:val="20"/>
                <w:szCs w:val="20"/>
              </w:rPr>
            </w:pPr>
            <w:r>
              <w:rPr>
                <w:rFonts w:ascii="SWISS" w:hAnsi="SWISS" w:cs="Arial"/>
                <w:sz w:val="20"/>
                <w:szCs w:val="20"/>
              </w:rPr>
              <w:t>10</w:t>
            </w:r>
            <w:r w:rsidRPr="001426F7">
              <w:rPr>
                <w:rFonts w:ascii="SWISS" w:hAnsi="SWISS" w:cs="Arial"/>
                <w:sz w:val="20"/>
                <w:szCs w:val="20"/>
              </w:rPr>
              <w:t>.</w:t>
            </w:r>
          </w:p>
        </w:tc>
        <w:tc>
          <w:tcPr>
            <w:tcW w:w="6286"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an averaging adjustment.</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00"/>
                <w:sz w:val="20"/>
                <w:szCs w:val="20"/>
                <w:u w:val="single"/>
              </w:rPr>
            </w:pPr>
            <w:r>
              <w:rPr>
                <w:rFonts w:ascii="SWISS" w:hAnsi="SWISS" w:cs="Arial"/>
                <w:color w:val="000000"/>
                <w:sz w:val="20"/>
                <w:szCs w:val="20"/>
                <w:u w:val="single"/>
              </w:rPr>
              <w:t xml:space="preserve">1,102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286" w:type="dxa"/>
            <w:noWrap/>
            <w:vAlign w:val="bottom"/>
          </w:tcPr>
          <w:p w:rsidR="0005008E" w:rsidRPr="00E022F8" w:rsidRDefault="0005008E" w:rsidP="00FE758E">
            <w:pPr>
              <w:rPr>
                <w:rFonts w:ascii="SWISS" w:hAnsi="SWISS" w:cs="Arial"/>
                <w:color w:val="000000"/>
                <w:sz w:val="20"/>
                <w:szCs w:val="20"/>
              </w:rPr>
            </w:pPr>
            <w:r>
              <w:rPr>
                <w:rFonts w:ascii="SWISS" w:hAnsi="SWISS" w:cs="Arial"/>
                <w:color w:val="000000"/>
                <w:sz w:val="20"/>
                <w:szCs w:val="20"/>
              </w:rPr>
              <w:t xml:space="preserve">     Total</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FF"/>
                <w:sz w:val="20"/>
                <w:szCs w:val="20"/>
                <w:u w:val="double"/>
              </w:rPr>
            </w:pPr>
            <w:r w:rsidRPr="00975678">
              <w:rPr>
                <w:rFonts w:ascii="SWISS" w:hAnsi="SWISS" w:cs="Arial"/>
                <w:sz w:val="20"/>
                <w:szCs w:val="20"/>
                <w:u w:val="double"/>
              </w:rPr>
              <w:t>$</w:t>
            </w:r>
            <w:r>
              <w:rPr>
                <w:rFonts w:ascii="SWISS" w:hAnsi="SWISS" w:cs="Arial"/>
                <w:sz w:val="20"/>
                <w:szCs w:val="20"/>
                <w:u w:val="double"/>
              </w:rPr>
              <w:t>7,202</w:t>
            </w:r>
            <w:r w:rsidRPr="00975678">
              <w:rPr>
                <w:rFonts w:ascii="SWISS" w:hAnsi="SWISS" w:cs="Arial"/>
                <w:sz w:val="20"/>
                <w:szCs w:val="20"/>
                <w:u w:val="double"/>
              </w:rPr>
              <w:t xml:space="preserve">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286" w:type="dxa"/>
            <w:noWrap/>
            <w:vAlign w:val="bottom"/>
          </w:tcPr>
          <w:p w:rsidR="0005008E" w:rsidRPr="00E022F8" w:rsidRDefault="0005008E" w:rsidP="00FE758E">
            <w:pPr>
              <w:rPr>
                <w:rFonts w:ascii="SWISS" w:hAnsi="SWISS" w:cs="Arial"/>
                <w:color w:val="000000"/>
                <w:sz w:val="20"/>
                <w:szCs w:val="20"/>
              </w:rPr>
            </w:pPr>
          </w:p>
        </w:tc>
        <w:tc>
          <w:tcPr>
            <w:tcW w:w="2880" w:type="dxa"/>
            <w:tcBorders>
              <w:top w:val="nil"/>
              <w:left w:val="nil"/>
              <w:bottom w:val="nil"/>
              <w:right w:val="single" w:sz="4" w:space="0" w:color="auto"/>
            </w:tcBorders>
            <w:noWrap/>
            <w:vAlign w:val="bottom"/>
          </w:tcPr>
          <w:p w:rsidR="0005008E" w:rsidRPr="00E022F8" w:rsidRDefault="0005008E" w:rsidP="00FE758E">
            <w:pPr>
              <w:jc w:val="right"/>
              <w:rPr>
                <w:rFonts w:ascii="SWISS" w:hAnsi="SWISS" w:cs="Arial"/>
                <w:sz w:val="20"/>
                <w:szCs w:val="20"/>
              </w:rPr>
            </w:pP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286" w:type="dxa"/>
            <w:noWrap/>
            <w:vAlign w:val="bottom"/>
            <w:hideMark/>
          </w:tcPr>
          <w:p w:rsidR="0005008E" w:rsidRPr="00E022F8" w:rsidRDefault="0005008E" w:rsidP="00FE758E">
            <w:pPr>
              <w:rPr>
                <w:rFonts w:ascii="SWISS" w:hAnsi="SWISS" w:cs="Arial"/>
                <w:b/>
                <w:bCs/>
                <w:color w:val="000000"/>
                <w:sz w:val="20"/>
                <w:szCs w:val="20"/>
                <w:u w:val="single"/>
              </w:rPr>
            </w:pPr>
            <w:r w:rsidRPr="00E022F8">
              <w:rPr>
                <w:rFonts w:ascii="SWISS" w:hAnsi="SWISS" w:cs="Arial"/>
                <w:b/>
                <w:bCs/>
                <w:color w:val="000000"/>
                <w:sz w:val="20"/>
                <w:szCs w:val="20"/>
                <w:u w:val="single"/>
              </w:rPr>
              <w:t>AMORTIZATION OF CIAC</w:t>
            </w:r>
          </w:p>
        </w:tc>
        <w:tc>
          <w:tcPr>
            <w:tcW w:w="2880" w:type="dxa"/>
            <w:tcBorders>
              <w:top w:val="nil"/>
              <w:left w:val="nil"/>
              <w:bottom w:val="nil"/>
              <w:right w:val="single" w:sz="4"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r w:rsidRPr="00E022F8">
              <w:rPr>
                <w:rFonts w:ascii="SWISS" w:hAnsi="SWISS" w:cs="Arial"/>
                <w:sz w:val="20"/>
                <w:szCs w:val="20"/>
              </w:rPr>
              <w:t>1.</w:t>
            </w:r>
          </w:p>
        </w:tc>
        <w:tc>
          <w:tcPr>
            <w:tcW w:w="6286"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appropriate amortization of CIAC</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00"/>
                <w:sz w:val="20"/>
                <w:szCs w:val="20"/>
              </w:rPr>
            </w:pPr>
            <w:r>
              <w:rPr>
                <w:rFonts w:ascii="SWISS" w:hAnsi="SWISS" w:cs="Arial"/>
                <w:color w:val="000000"/>
                <w:sz w:val="20"/>
                <w:szCs w:val="20"/>
              </w:rPr>
              <w:t xml:space="preserve">$7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r w:rsidRPr="00E022F8">
              <w:rPr>
                <w:rFonts w:ascii="SWISS" w:hAnsi="SWISS" w:cs="Arial"/>
                <w:sz w:val="20"/>
                <w:szCs w:val="20"/>
              </w:rPr>
              <w:t>2.</w:t>
            </w:r>
          </w:p>
        </w:tc>
        <w:tc>
          <w:tcPr>
            <w:tcW w:w="6286"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an averaging adjustment</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00"/>
                <w:sz w:val="20"/>
                <w:szCs w:val="20"/>
                <w:u w:val="single"/>
              </w:rPr>
            </w:pPr>
            <w:r>
              <w:rPr>
                <w:rFonts w:ascii="SWISS" w:hAnsi="SWISS" w:cs="Arial"/>
                <w:color w:val="000000"/>
                <w:sz w:val="20"/>
                <w:szCs w:val="20"/>
                <w:u w:val="single"/>
              </w:rPr>
              <w:t>(74)</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286" w:type="dxa"/>
            <w:noWrap/>
            <w:vAlign w:val="bottom"/>
          </w:tcPr>
          <w:p w:rsidR="0005008E" w:rsidRPr="00E022F8" w:rsidRDefault="0005008E" w:rsidP="00FE758E">
            <w:pPr>
              <w:rPr>
                <w:rFonts w:ascii="SWISS" w:hAnsi="SWISS" w:cs="Arial"/>
                <w:color w:val="000000"/>
                <w:sz w:val="20"/>
                <w:szCs w:val="20"/>
              </w:rPr>
            </w:pPr>
            <w:r>
              <w:rPr>
                <w:rFonts w:ascii="SWISS" w:hAnsi="SWISS" w:cs="Arial"/>
                <w:color w:val="000000"/>
                <w:sz w:val="20"/>
                <w:szCs w:val="20"/>
              </w:rPr>
              <w:t xml:space="preserve">     Total</w:t>
            </w:r>
          </w:p>
        </w:tc>
        <w:tc>
          <w:tcPr>
            <w:tcW w:w="2880" w:type="dxa"/>
            <w:tcBorders>
              <w:top w:val="nil"/>
              <w:left w:val="nil"/>
              <w:bottom w:val="nil"/>
              <w:right w:val="single" w:sz="4" w:space="0" w:color="auto"/>
            </w:tcBorders>
            <w:noWrap/>
            <w:vAlign w:val="bottom"/>
          </w:tcPr>
          <w:p w:rsidR="0005008E" w:rsidRDefault="0005008E" w:rsidP="00FE758E">
            <w:pPr>
              <w:jc w:val="right"/>
              <w:rPr>
                <w:rFonts w:ascii="SWISS" w:hAnsi="SWISS" w:cs="Arial"/>
                <w:color w:val="0000FF"/>
                <w:sz w:val="20"/>
                <w:szCs w:val="20"/>
                <w:u w:val="double"/>
              </w:rPr>
            </w:pPr>
            <w:r w:rsidRPr="001845BF">
              <w:rPr>
                <w:rFonts w:ascii="SWISS" w:hAnsi="SWISS" w:cs="Arial"/>
                <w:sz w:val="20"/>
                <w:szCs w:val="20"/>
                <w:u w:val="double"/>
              </w:rPr>
              <w:t>($67)</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jc w:val="right"/>
              <w:rPr>
                <w:rFonts w:ascii="SWISS" w:hAnsi="SWISS" w:cs="Arial"/>
                <w:b/>
                <w:sz w:val="20"/>
                <w:szCs w:val="20"/>
              </w:rPr>
            </w:pPr>
          </w:p>
        </w:tc>
        <w:tc>
          <w:tcPr>
            <w:tcW w:w="6286" w:type="dxa"/>
            <w:noWrap/>
            <w:vAlign w:val="bottom"/>
          </w:tcPr>
          <w:p w:rsidR="0005008E" w:rsidRPr="00E022F8" w:rsidRDefault="0005008E" w:rsidP="00FE758E">
            <w:pPr>
              <w:rPr>
                <w:rFonts w:ascii="SWISS" w:hAnsi="SWISS" w:cs="Arial"/>
                <w:color w:val="000000"/>
                <w:sz w:val="20"/>
                <w:szCs w:val="20"/>
              </w:rPr>
            </w:pPr>
          </w:p>
        </w:tc>
        <w:tc>
          <w:tcPr>
            <w:tcW w:w="288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rPr>
                <w:rFonts w:ascii="SWISS" w:hAnsi="SWISS" w:cs="Arial"/>
              </w:rPr>
            </w:pPr>
          </w:p>
        </w:tc>
        <w:tc>
          <w:tcPr>
            <w:tcW w:w="6286" w:type="dxa"/>
            <w:noWrap/>
            <w:vAlign w:val="bottom"/>
            <w:hideMark/>
          </w:tcPr>
          <w:p w:rsidR="0005008E" w:rsidRPr="00E022F8" w:rsidRDefault="0005008E" w:rsidP="00FE758E">
            <w:pPr>
              <w:rPr>
                <w:rFonts w:ascii="SWISS" w:hAnsi="SWISS" w:cs="Arial"/>
                <w:b/>
                <w:bCs/>
                <w:color w:val="000000"/>
                <w:sz w:val="20"/>
                <w:szCs w:val="20"/>
                <w:u w:val="single"/>
              </w:rPr>
            </w:pPr>
            <w:r w:rsidRPr="00E022F8">
              <w:rPr>
                <w:rFonts w:ascii="SWISS" w:hAnsi="SWISS" w:cs="Arial"/>
                <w:b/>
                <w:bCs/>
                <w:color w:val="000000"/>
                <w:sz w:val="20"/>
                <w:szCs w:val="20"/>
                <w:u w:val="single"/>
              </w:rPr>
              <w:t>WORKING CAPITAL ALLOWANCE</w:t>
            </w:r>
          </w:p>
        </w:tc>
        <w:tc>
          <w:tcPr>
            <w:tcW w:w="288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64"/>
        </w:trPr>
        <w:tc>
          <w:tcPr>
            <w:tcW w:w="482" w:type="dxa"/>
            <w:tcBorders>
              <w:top w:val="nil"/>
              <w:left w:val="single" w:sz="4" w:space="0" w:color="auto"/>
              <w:bottom w:val="nil"/>
              <w:right w:val="nil"/>
            </w:tcBorders>
            <w:noWrap/>
            <w:vAlign w:val="bottom"/>
          </w:tcPr>
          <w:p w:rsidR="0005008E" w:rsidRPr="00E022F8" w:rsidRDefault="0005008E" w:rsidP="00FE758E">
            <w:pPr>
              <w:rPr>
                <w:rFonts w:ascii="SWISS" w:hAnsi="SWISS" w:cs="Arial"/>
              </w:rPr>
            </w:pPr>
          </w:p>
        </w:tc>
        <w:tc>
          <w:tcPr>
            <w:tcW w:w="6286"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To reflect 1/8 of test year O&amp;M expenses.</w:t>
            </w:r>
          </w:p>
        </w:tc>
        <w:tc>
          <w:tcPr>
            <w:tcW w:w="2880" w:type="dxa"/>
            <w:tcBorders>
              <w:top w:val="nil"/>
              <w:left w:val="nil"/>
              <w:bottom w:val="nil"/>
              <w:right w:val="single" w:sz="4" w:space="0" w:color="auto"/>
            </w:tcBorders>
            <w:noWrap/>
            <w:vAlign w:val="bottom"/>
            <w:hideMark/>
          </w:tcPr>
          <w:p w:rsidR="0005008E" w:rsidRPr="00E022F8" w:rsidRDefault="0005008E" w:rsidP="00FE758E">
            <w:pPr>
              <w:jc w:val="right"/>
              <w:rPr>
                <w:rFonts w:ascii="SWISS" w:hAnsi="SWISS" w:cs="Arial"/>
                <w:color w:val="000000"/>
                <w:sz w:val="20"/>
                <w:szCs w:val="20"/>
                <w:u w:val="double"/>
              </w:rPr>
            </w:pPr>
            <w:r w:rsidRPr="00E022F8">
              <w:rPr>
                <w:rFonts w:ascii="SWISS" w:hAnsi="SWISS" w:cs="Arial"/>
                <w:color w:val="000000"/>
                <w:sz w:val="20"/>
                <w:szCs w:val="20"/>
                <w:u w:val="double"/>
              </w:rPr>
              <w:t>$</w:t>
            </w:r>
            <w:r>
              <w:rPr>
                <w:rFonts w:ascii="SWISS" w:hAnsi="SWISS" w:cs="Arial"/>
                <w:color w:val="000000"/>
                <w:sz w:val="20"/>
                <w:szCs w:val="20"/>
                <w:u w:val="double"/>
              </w:rPr>
              <w:t>3</w:t>
            </w:r>
            <w:r w:rsidRPr="00E022F8">
              <w:rPr>
                <w:rFonts w:ascii="SWISS" w:hAnsi="SWISS" w:cs="Arial"/>
                <w:color w:val="000000"/>
                <w:sz w:val="20"/>
                <w:szCs w:val="20"/>
                <w:u w:val="double"/>
              </w:rPr>
              <w:t>,</w:t>
            </w:r>
            <w:r>
              <w:rPr>
                <w:rFonts w:ascii="SWISS" w:hAnsi="SWISS" w:cs="Arial"/>
                <w:color w:val="000000"/>
                <w:sz w:val="20"/>
                <w:szCs w:val="20"/>
                <w:u w:val="double"/>
              </w:rPr>
              <w:t>355</w:t>
            </w:r>
            <w:r w:rsidRPr="00E022F8">
              <w:rPr>
                <w:rFonts w:ascii="SWISS" w:hAnsi="SWISS" w:cs="Arial"/>
                <w:color w:val="000000"/>
                <w:sz w:val="20"/>
                <w:szCs w:val="20"/>
                <w:u w:val="double"/>
              </w:rPr>
              <w:t xml:space="preserve"> </w:t>
            </w:r>
          </w:p>
        </w:tc>
      </w:tr>
      <w:tr w:rsidR="0005008E" w:rsidRPr="00E022F8" w:rsidTr="00FE758E">
        <w:trPr>
          <w:trHeight w:val="264"/>
        </w:trPr>
        <w:tc>
          <w:tcPr>
            <w:tcW w:w="482" w:type="dxa"/>
            <w:tcBorders>
              <w:top w:val="nil"/>
              <w:left w:val="single" w:sz="4" w:space="0" w:color="auto"/>
              <w:bottom w:val="single" w:sz="4" w:space="0" w:color="auto"/>
              <w:right w:val="nil"/>
            </w:tcBorders>
            <w:noWrap/>
            <w:vAlign w:val="bottom"/>
          </w:tcPr>
          <w:p w:rsidR="0005008E" w:rsidRPr="00E022F8" w:rsidRDefault="0005008E" w:rsidP="00FE758E">
            <w:pPr>
              <w:rPr>
                <w:rFonts w:ascii="SWISS" w:hAnsi="SWISS" w:cs="Arial"/>
              </w:rPr>
            </w:pPr>
          </w:p>
        </w:tc>
        <w:tc>
          <w:tcPr>
            <w:tcW w:w="6286" w:type="dxa"/>
            <w:tcBorders>
              <w:top w:val="nil"/>
              <w:left w:val="nil"/>
              <w:bottom w:val="single" w:sz="4" w:space="0" w:color="auto"/>
              <w:right w:val="nil"/>
            </w:tcBorders>
            <w:noWrap/>
            <w:vAlign w:val="bottom"/>
          </w:tcPr>
          <w:p w:rsidR="0005008E" w:rsidRPr="00E022F8" w:rsidRDefault="0005008E" w:rsidP="00FE758E">
            <w:pPr>
              <w:rPr>
                <w:rFonts w:ascii="SWISS" w:hAnsi="SWISS" w:cs="Arial"/>
                <w:color w:val="000000"/>
                <w:sz w:val="20"/>
                <w:szCs w:val="20"/>
              </w:rPr>
            </w:pPr>
          </w:p>
        </w:tc>
        <w:tc>
          <w:tcPr>
            <w:tcW w:w="2880" w:type="dxa"/>
            <w:tcBorders>
              <w:top w:val="nil"/>
              <w:left w:val="nil"/>
              <w:bottom w:val="single" w:sz="4" w:space="0" w:color="auto"/>
              <w:right w:val="single" w:sz="4" w:space="0" w:color="auto"/>
            </w:tcBorders>
            <w:noWrap/>
            <w:vAlign w:val="bottom"/>
          </w:tcPr>
          <w:p w:rsidR="0005008E" w:rsidRPr="00E022F8" w:rsidRDefault="0005008E" w:rsidP="00FE758E">
            <w:pPr>
              <w:jc w:val="right"/>
              <w:rPr>
                <w:rFonts w:ascii="SWISS" w:hAnsi="SWISS" w:cs="Arial"/>
                <w:sz w:val="20"/>
                <w:szCs w:val="20"/>
                <w:u w:val="double"/>
              </w:rPr>
            </w:pPr>
          </w:p>
        </w:tc>
      </w:tr>
    </w:tbl>
    <w:p w:rsidR="0005008E" w:rsidRDefault="0005008E" w:rsidP="00925414">
      <w:pPr>
        <w:pStyle w:val="OrderBody"/>
        <w:sectPr w:rsidR="0005008E">
          <w:headerReference w:type="first" r:id="rId11"/>
          <w:pgSz w:w="12240" w:h="15840" w:code="1"/>
          <w:pgMar w:top="1440" w:right="1440" w:bottom="1440" w:left="1440" w:header="720" w:footer="720" w:gutter="0"/>
          <w:cols w:space="720"/>
          <w:titlePg/>
          <w:docGrid w:linePitch="360"/>
        </w:sectPr>
      </w:pPr>
    </w:p>
    <w:tbl>
      <w:tblPr>
        <w:tblW w:w="13867" w:type="dxa"/>
        <w:jc w:val="center"/>
        <w:tblInd w:w="98" w:type="dxa"/>
        <w:tblLook w:val="04A0" w:firstRow="1" w:lastRow="0" w:firstColumn="1" w:lastColumn="0" w:noHBand="0" w:noVBand="1"/>
      </w:tblPr>
      <w:tblGrid>
        <w:gridCol w:w="483"/>
        <w:gridCol w:w="2855"/>
        <w:gridCol w:w="1124"/>
        <w:gridCol w:w="1213"/>
        <w:gridCol w:w="1755"/>
        <w:gridCol w:w="1256"/>
        <w:gridCol w:w="1572"/>
        <w:gridCol w:w="1255"/>
        <w:gridCol w:w="1183"/>
        <w:gridCol w:w="1460"/>
      </w:tblGrid>
      <w:tr w:rsidR="0005008E" w:rsidRPr="00E022F8" w:rsidTr="00FE758E">
        <w:trPr>
          <w:trHeight w:val="292"/>
          <w:jc w:val="center"/>
        </w:trPr>
        <w:tc>
          <w:tcPr>
            <w:tcW w:w="483" w:type="dxa"/>
            <w:tcBorders>
              <w:top w:val="single" w:sz="8" w:space="0" w:color="auto"/>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lastRenderedPageBreak/>
              <w:br w:type="page"/>
            </w:r>
            <w:r w:rsidRPr="00E022F8">
              <w:rPr>
                <w:rFonts w:ascii="SWISS" w:hAnsi="SWISS" w:cs="Arial"/>
                <w:color w:val="000000"/>
                <w:sz w:val="20"/>
                <w:szCs w:val="20"/>
              </w:rPr>
              <w:t> </w:t>
            </w:r>
          </w:p>
        </w:tc>
        <w:tc>
          <w:tcPr>
            <w:tcW w:w="9486" w:type="dxa"/>
            <w:gridSpan w:val="6"/>
            <w:tcBorders>
              <w:top w:val="single" w:sz="8"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8D1738">
              <w:rPr>
                <w:rFonts w:ascii="SWISS" w:hAnsi="SWISS" w:cs="Arial"/>
                <w:b/>
                <w:bCs/>
                <w:color w:val="000000"/>
                <w:sz w:val="20"/>
                <w:szCs w:val="20"/>
              </w:rPr>
              <w:t>PINE HA</w:t>
            </w:r>
            <w:r>
              <w:rPr>
                <w:rFonts w:ascii="SWISS" w:hAnsi="SWISS" w:cs="Arial"/>
                <w:b/>
                <w:bCs/>
                <w:color w:val="000000"/>
                <w:sz w:val="20"/>
                <w:szCs w:val="20"/>
              </w:rPr>
              <w:t>RBOUR</w:t>
            </w:r>
            <w:r w:rsidRPr="00E022F8">
              <w:rPr>
                <w:rFonts w:ascii="SWISS" w:hAnsi="SWISS" w:cs="Arial"/>
                <w:b/>
                <w:bCs/>
                <w:color w:val="000000"/>
                <w:sz w:val="20"/>
                <w:szCs w:val="20"/>
              </w:rPr>
              <w:t xml:space="preserve"> WATERWORKS, INC.</w:t>
            </w:r>
          </w:p>
        </w:tc>
        <w:tc>
          <w:tcPr>
            <w:tcW w:w="1255"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rPr>
            </w:pPr>
            <w:r w:rsidRPr="00E022F8">
              <w:rPr>
                <w:rFonts w:ascii="SWISS" w:hAnsi="SWISS" w:cs="Arial"/>
              </w:rPr>
              <w:t> </w:t>
            </w:r>
          </w:p>
        </w:tc>
        <w:tc>
          <w:tcPr>
            <w:tcW w:w="2643" w:type="dxa"/>
            <w:gridSpan w:val="2"/>
            <w:tcBorders>
              <w:top w:val="single" w:sz="8" w:space="0" w:color="auto"/>
              <w:left w:val="nil"/>
              <w:bottom w:val="nil"/>
              <w:right w:val="single" w:sz="8" w:space="0" w:color="auto"/>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             SCHEDULE NO. 2</w:t>
            </w:r>
            <w:r w:rsidRPr="00E022F8">
              <w:rPr>
                <w:sz w:val="20"/>
                <w:szCs w:val="20"/>
              </w:rPr>
              <w:fldChar w:fldCharType="begin"/>
            </w:r>
            <w:r w:rsidRPr="00E022F8">
              <w:rPr>
                <w:sz w:val="20"/>
                <w:szCs w:val="20"/>
              </w:rPr>
              <w:instrText xml:space="preserve"> TC " Schedule No. 2 Capital Structure”\l 1 </w:instrText>
            </w:r>
            <w:r w:rsidRPr="00E022F8">
              <w:rPr>
                <w:sz w:val="20"/>
                <w:szCs w:val="20"/>
              </w:rPr>
              <w:fldChar w:fldCharType="end"/>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3979" w:type="dxa"/>
            <w:gridSpan w:val="2"/>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TEST YEAR ENDED </w:t>
            </w:r>
            <w:r>
              <w:rPr>
                <w:rFonts w:ascii="SWISS" w:hAnsi="SWISS" w:cs="Arial"/>
                <w:b/>
                <w:bCs/>
                <w:color w:val="000000"/>
                <w:sz w:val="20"/>
                <w:szCs w:val="20"/>
              </w:rPr>
              <w:t>12</w:t>
            </w:r>
            <w:r w:rsidRPr="00E022F8">
              <w:rPr>
                <w:rFonts w:ascii="SWISS" w:hAnsi="SWISS" w:cs="Arial"/>
                <w:b/>
                <w:bCs/>
                <w:color w:val="000000"/>
                <w:sz w:val="20"/>
                <w:szCs w:val="20"/>
              </w:rPr>
              <w:t>/31/1</w:t>
            </w:r>
            <w:r>
              <w:rPr>
                <w:rFonts w:ascii="SWISS" w:hAnsi="SWISS" w:cs="Arial"/>
                <w:b/>
                <w:bCs/>
                <w:color w:val="000000"/>
                <w:sz w:val="20"/>
                <w:szCs w:val="20"/>
              </w:rPr>
              <w:t>7</w:t>
            </w:r>
          </w:p>
        </w:tc>
        <w:tc>
          <w:tcPr>
            <w:tcW w:w="1213" w:type="dxa"/>
            <w:noWrap/>
            <w:vAlign w:val="bottom"/>
          </w:tcPr>
          <w:p w:rsidR="0005008E" w:rsidRPr="00E022F8" w:rsidRDefault="0005008E" w:rsidP="00FE758E">
            <w:pPr>
              <w:rPr>
                <w:rFonts w:ascii="SWISS" w:hAnsi="SWISS" w:cs="Arial"/>
                <w:color w:val="000000"/>
                <w:sz w:val="20"/>
                <w:szCs w:val="20"/>
              </w:rPr>
            </w:pPr>
          </w:p>
        </w:tc>
        <w:tc>
          <w:tcPr>
            <w:tcW w:w="1755" w:type="dxa"/>
            <w:noWrap/>
            <w:vAlign w:val="bottom"/>
          </w:tcPr>
          <w:p w:rsidR="0005008E" w:rsidRPr="00E022F8" w:rsidRDefault="0005008E" w:rsidP="00FE758E">
            <w:pPr>
              <w:rPr>
                <w:rFonts w:ascii="SWISS" w:hAnsi="SWISS" w:cs="Arial"/>
                <w:color w:val="000000"/>
                <w:sz w:val="20"/>
                <w:szCs w:val="20"/>
              </w:rPr>
            </w:pPr>
          </w:p>
        </w:tc>
        <w:tc>
          <w:tcPr>
            <w:tcW w:w="1256" w:type="dxa"/>
            <w:noWrap/>
            <w:vAlign w:val="bottom"/>
          </w:tcPr>
          <w:p w:rsidR="0005008E" w:rsidRPr="00E022F8" w:rsidRDefault="0005008E" w:rsidP="00FE758E">
            <w:pPr>
              <w:rPr>
                <w:rFonts w:ascii="SWISS" w:hAnsi="SWISS" w:cs="Arial"/>
                <w:color w:val="000000"/>
                <w:sz w:val="20"/>
                <w:szCs w:val="20"/>
              </w:rPr>
            </w:pPr>
          </w:p>
        </w:tc>
        <w:tc>
          <w:tcPr>
            <w:tcW w:w="1283" w:type="dxa"/>
            <w:noWrap/>
            <w:vAlign w:val="bottom"/>
          </w:tcPr>
          <w:p w:rsidR="0005008E" w:rsidRPr="00E022F8" w:rsidRDefault="0005008E" w:rsidP="00FE758E">
            <w:pPr>
              <w:rPr>
                <w:rFonts w:ascii="SWISS" w:hAnsi="SWISS" w:cs="Arial"/>
                <w:color w:val="000000"/>
                <w:sz w:val="20"/>
                <w:szCs w:val="20"/>
              </w:rPr>
            </w:pPr>
          </w:p>
        </w:tc>
        <w:tc>
          <w:tcPr>
            <w:tcW w:w="3898" w:type="dxa"/>
            <w:gridSpan w:val="3"/>
            <w:tcBorders>
              <w:right w:val="single" w:sz="8" w:space="0" w:color="auto"/>
            </w:tcBorders>
            <w:noWrap/>
            <w:vAlign w:val="bottom"/>
          </w:tcPr>
          <w:p w:rsidR="0005008E" w:rsidRPr="00E022F8" w:rsidRDefault="0005008E" w:rsidP="00FE758E">
            <w:pPr>
              <w:rPr>
                <w:rFonts w:ascii="SWISS" w:hAnsi="SWISS" w:cs="Arial"/>
                <w:b/>
                <w:bCs/>
                <w:color w:val="000000"/>
                <w:sz w:val="20"/>
                <w:szCs w:val="20"/>
              </w:rPr>
            </w:pPr>
            <w:r>
              <w:rPr>
                <w:rFonts w:ascii="SWISS" w:hAnsi="SWISS" w:cs="Arial"/>
                <w:b/>
                <w:bCs/>
                <w:color w:val="000000"/>
                <w:sz w:val="20"/>
                <w:szCs w:val="20"/>
              </w:rPr>
              <w:t xml:space="preserve">                    </w:t>
            </w:r>
            <w:r w:rsidRPr="00E022F8">
              <w:rPr>
                <w:rFonts w:ascii="SWISS" w:hAnsi="SWISS" w:cs="Arial"/>
                <w:b/>
                <w:bCs/>
                <w:color w:val="000000"/>
                <w:sz w:val="20"/>
                <w:szCs w:val="20"/>
              </w:rPr>
              <w:t xml:space="preserve">DOCKET NO. </w:t>
            </w:r>
            <w:r>
              <w:rPr>
                <w:rFonts w:ascii="SWISS" w:hAnsi="SWISS" w:cs="Arial"/>
                <w:b/>
                <w:bCs/>
                <w:color w:val="000000"/>
                <w:sz w:val="20"/>
                <w:szCs w:val="20"/>
              </w:rPr>
              <w:t>20180022</w:t>
            </w:r>
            <w:r w:rsidRPr="00E022F8">
              <w:rPr>
                <w:rFonts w:ascii="SWISS" w:hAnsi="SWISS" w:cs="Arial"/>
                <w:b/>
                <w:bCs/>
                <w:color w:val="000000"/>
                <w:sz w:val="20"/>
                <w:szCs w:val="20"/>
              </w:rPr>
              <w:t>-WU</w:t>
            </w:r>
          </w:p>
        </w:tc>
      </w:tr>
      <w:tr w:rsidR="0005008E" w:rsidRPr="00E022F8" w:rsidTr="00FE758E">
        <w:trPr>
          <w:trHeight w:val="303"/>
          <w:jc w:val="center"/>
        </w:trPr>
        <w:tc>
          <w:tcPr>
            <w:tcW w:w="483" w:type="dxa"/>
            <w:tcBorders>
              <w:top w:val="nil"/>
              <w:left w:val="single" w:sz="8" w:space="0" w:color="auto"/>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5192" w:type="dxa"/>
            <w:gridSpan w:val="3"/>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b/>
                <w:bCs/>
                <w:color w:val="000000"/>
                <w:sz w:val="20"/>
                <w:szCs w:val="20"/>
              </w:rPr>
              <w:t>SCHEDULE OF CAPITAL STRUCTURE</w:t>
            </w:r>
          </w:p>
        </w:tc>
        <w:tc>
          <w:tcPr>
            <w:tcW w:w="1755" w:type="dxa"/>
            <w:tcBorders>
              <w:top w:val="nil"/>
              <w:left w:val="nil"/>
              <w:bottom w:val="single" w:sz="8" w:space="0" w:color="auto"/>
              <w:right w:val="nil"/>
            </w:tcBorders>
            <w:noWrap/>
            <w:vAlign w:val="bottom"/>
          </w:tcPr>
          <w:p w:rsidR="0005008E" w:rsidRPr="00E022F8" w:rsidRDefault="0005008E" w:rsidP="00FE758E">
            <w:pPr>
              <w:rPr>
                <w:rFonts w:ascii="SWISS" w:hAnsi="SWISS" w:cs="Arial"/>
                <w:color w:val="000000"/>
                <w:sz w:val="20"/>
                <w:szCs w:val="20"/>
              </w:rPr>
            </w:pPr>
          </w:p>
        </w:tc>
        <w:tc>
          <w:tcPr>
            <w:tcW w:w="1256" w:type="dxa"/>
            <w:tcBorders>
              <w:top w:val="nil"/>
              <w:left w:val="nil"/>
              <w:bottom w:val="single" w:sz="8" w:space="0" w:color="auto"/>
              <w:right w:val="nil"/>
            </w:tcBorders>
            <w:noWrap/>
            <w:vAlign w:val="bottom"/>
          </w:tcPr>
          <w:p w:rsidR="0005008E" w:rsidRPr="00E022F8" w:rsidRDefault="0005008E" w:rsidP="00FE758E">
            <w:pPr>
              <w:rPr>
                <w:rFonts w:ascii="SWISS" w:hAnsi="SWISS" w:cs="Arial"/>
                <w:color w:val="000000"/>
                <w:sz w:val="20"/>
                <w:szCs w:val="20"/>
              </w:rPr>
            </w:pPr>
          </w:p>
        </w:tc>
        <w:tc>
          <w:tcPr>
            <w:tcW w:w="1283" w:type="dxa"/>
            <w:tcBorders>
              <w:top w:val="nil"/>
              <w:left w:val="nil"/>
              <w:bottom w:val="single" w:sz="8" w:space="0" w:color="auto"/>
              <w:right w:val="nil"/>
            </w:tcBorders>
            <w:noWrap/>
            <w:vAlign w:val="bottom"/>
          </w:tcPr>
          <w:p w:rsidR="0005008E" w:rsidRPr="00E022F8" w:rsidRDefault="0005008E" w:rsidP="00FE758E">
            <w:pPr>
              <w:rPr>
                <w:rFonts w:ascii="SWISS" w:hAnsi="SWISS" w:cs="Arial"/>
                <w:color w:val="000000"/>
                <w:sz w:val="20"/>
                <w:szCs w:val="20"/>
              </w:rPr>
            </w:pPr>
          </w:p>
        </w:tc>
        <w:tc>
          <w:tcPr>
            <w:tcW w:w="1255" w:type="dxa"/>
            <w:tcBorders>
              <w:top w:val="nil"/>
              <w:left w:val="nil"/>
              <w:bottom w:val="single" w:sz="8" w:space="0" w:color="auto"/>
              <w:right w:val="nil"/>
            </w:tcBorders>
            <w:noWrap/>
            <w:vAlign w:val="bottom"/>
          </w:tcPr>
          <w:p w:rsidR="0005008E" w:rsidRPr="00E022F8" w:rsidRDefault="0005008E" w:rsidP="00FE758E">
            <w:pPr>
              <w:rPr>
                <w:rFonts w:ascii="SWISS" w:hAnsi="SWISS" w:cs="Arial"/>
                <w:color w:val="000000"/>
                <w:sz w:val="20"/>
                <w:szCs w:val="20"/>
              </w:rPr>
            </w:pPr>
          </w:p>
        </w:tc>
        <w:tc>
          <w:tcPr>
            <w:tcW w:w="1183" w:type="dxa"/>
            <w:tcBorders>
              <w:top w:val="nil"/>
              <w:left w:val="nil"/>
              <w:bottom w:val="single" w:sz="8" w:space="0" w:color="auto"/>
              <w:right w:val="nil"/>
            </w:tcBorders>
            <w:noWrap/>
            <w:vAlign w:val="bottom"/>
          </w:tcPr>
          <w:p w:rsidR="0005008E" w:rsidRPr="00E022F8" w:rsidRDefault="0005008E" w:rsidP="00FE758E">
            <w:pPr>
              <w:rPr>
                <w:rFonts w:ascii="SWISS" w:hAnsi="SWISS" w:cs="Arial"/>
                <w:color w:val="000000"/>
                <w:sz w:val="20"/>
                <w:szCs w:val="20"/>
              </w:rPr>
            </w:pPr>
          </w:p>
        </w:tc>
        <w:tc>
          <w:tcPr>
            <w:tcW w:w="1460" w:type="dxa"/>
            <w:tcBorders>
              <w:top w:val="nil"/>
              <w:left w:val="nil"/>
              <w:bottom w:val="single" w:sz="8" w:space="0" w:color="auto"/>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92"/>
          <w:jc w:val="center"/>
        </w:trPr>
        <w:tc>
          <w:tcPr>
            <w:tcW w:w="483" w:type="dxa"/>
            <w:tcBorders>
              <w:top w:val="single" w:sz="8" w:space="0" w:color="auto"/>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w:t>
            </w:r>
          </w:p>
        </w:tc>
        <w:tc>
          <w:tcPr>
            <w:tcW w:w="2855"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124"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213"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755" w:type="dxa"/>
            <w:tcBorders>
              <w:top w:val="single" w:sz="8" w:space="0" w:color="auto"/>
              <w:left w:val="nil"/>
              <w:bottom w:val="nil"/>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BALANCE</w:t>
            </w:r>
          </w:p>
        </w:tc>
        <w:tc>
          <w:tcPr>
            <w:tcW w:w="1256" w:type="dxa"/>
            <w:tcBorders>
              <w:top w:val="single" w:sz="8" w:space="0" w:color="auto"/>
              <w:left w:val="nil"/>
              <w:bottom w:val="nil"/>
              <w:right w:val="nil"/>
            </w:tcBorders>
            <w:noWrap/>
            <w:vAlign w:val="bottom"/>
          </w:tcPr>
          <w:p w:rsidR="0005008E" w:rsidRPr="00E022F8" w:rsidRDefault="0005008E" w:rsidP="00FE758E">
            <w:pPr>
              <w:jc w:val="center"/>
              <w:rPr>
                <w:rFonts w:ascii="SWISS" w:hAnsi="SWISS" w:cs="Arial"/>
                <w:b/>
                <w:bCs/>
                <w:color w:val="000000"/>
                <w:sz w:val="20"/>
                <w:szCs w:val="20"/>
              </w:rPr>
            </w:pPr>
          </w:p>
        </w:tc>
        <w:tc>
          <w:tcPr>
            <w:tcW w:w="1283"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255"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183"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460" w:type="dxa"/>
            <w:tcBorders>
              <w:top w:val="single" w:sz="8" w:space="0" w:color="auto"/>
              <w:left w:val="nil"/>
              <w:bottom w:val="nil"/>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tcPr>
          <w:p w:rsidR="0005008E" w:rsidRPr="00E022F8" w:rsidRDefault="0005008E" w:rsidP="00FE758E">
            <w:pPr>
              <w:rPr>
                <w:rFonts w:ascii="SWISS" w:hAnsi="SWISS" w:cs="Arial"/>
                <w:b/>
                <w:bCs/>
                <w:color w:val="000000"/>
                <w:sz w:val="20"/>
                <w:szCs w:val="20"/>
              </w:rPr>
            </w:pPr>
          </w:p>
        </w:tc>
        <w:tc>
          <w:tcPr>
            <w:tcW w:w="1213"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SPECIFIC</w:t>
            </w:r>
          </w:p>
        </w:tc>
        <w:tc>
          <w:tcPr>
            <w:tcW w:w="1755"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BEFORE</w:t>
            </w:r>
          </w:p>
        </w:tc>
        <w:tc>
          <w:tcPr>
            <w:tcW w:w="1256" w:type="dxa"/>
            <w:noWrap/>
            <w:vAlign w:val="bottom"/>
          </w:tcPr>
          <w:p w:rsidR="0005008E" w:rsidRPr="00E022F8" w:rsidRDefault="0005008E" w:rsidP="00FE758E">
            <w:pPr>
              <w:jc w:val="center"/>
              <w:rPr>
                <w:rFonts w:ascii="SWISS" w:hAnsi="SWISS" w:cs="Arial"/>
                <w:b/>
                <w:bCs/>
                <w:color w:val="000000"/>
                <w:sz w:val="20"/>
                <w:szCs w:val="20"/>
              </w:rPr>
            </w:pPr>
          </w:p>
        </w:tc>
        <w:tc>
          <w:tcPr>
            <w:tcW w:w="1283"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BALANCE</w:t>
            </w:r>
          </w:p>
        </w:tc>
        <w:tc>
          <w:tcPr>
            <w:tcW w:w="1255"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PERCENT</w:t>
            </w:r>
          </w:p>
        </w:tc>
        <w:tc>
          <w:tcPr>
            <w:tcW w:w="1183" w:type="dxa"/>
            <w:noWrap/>
            <w:vAlign w:val="bottom"/>
          </w:tcPr>
          <w:p w:rsidR="0005008E" w:rsidRPr="00E022F8" w:rsidRDefault="0005008E" w:rsidP="00FE758E">
            <w:pPr>
              <w:rPr>
                <w:rFonts w:ascii="SWISS" w:hAnsi="SWISS" w:cs="Arial"/>
                <w:b/>
                <w:bCs/>
                <w:color w:val="000000"/>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PER</w:t>
            </w:r>
          </w:p>
        </w:tc>
        <w:tc>
          <w:tcPr>
            <w:tcW w:w="1213"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ADJUST-</w:t>
            </w:r>
          </w:p>
        </w:tc>
        <w:tc>
          <w:tcPr>
            <w:tcW w:w="1755"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RECONCILE</w:t>
            </w:r>
          </w:p>
        </w:tc>
        <w:tc>
          <w:tcPr>
            <w:tcW w:w="1256"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ADJUST-</w:t>
            </w:r>
          </w:p>
        </w:tc>
        <w:tc>
          <w:tcPr>
            <w:tcW w:w="1283"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PER</w:t>
            </w:r>
          </w:p>
        </w:tc>
        <w:tc>
          <w:tcPr>
            <w:tcW w:w="1255"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OF</w:t>
            </w:r>
          </w:p>
        </w:tc>
        <w:tc>
          <w:tcPr>
            <w:tcW w:w="1183" w:type="dxa"/>
            <w:noWrap/>
            <w:vAlign w:val="bottom"/>
          </w:tcPr>
          <w:p w:rsidR="0005008E" w:rsidRPr="00E022F8" w:rsidRDefault="0005008E" w:rsidP="00FE758E">
            <w:pPr>
              <w:rPr>
                <w:rFonts w:ascii="SWISS" w:hAnsi="SWISS" w:cs="Arial"/>
                <w:b/>
                <w:bCs/>
                <w:color w:val="000000"/>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WEIGHTED</w:t>
            </w:r>
          </w:p>
        </w:tc>
      </w:tr>
      <w:tr w:rsidR="0005008E" w:rsidRPr="00E022F8" w:rsidTr="00FE758E">
        <w:trPr>
          <w:trHeight w:val="303"/>
          <w:jc w:val="center"/>
        </w:trPr>
        <w:tc>
          <w:tcPr>
            <w:tcW w:w="483" w:type="dxa"/>
            <w:tcBorders>
              <w:top w:val="nil"/>
              <w:left w:val="single" w:sz="8" w:space="0" w:color="auto"/>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CAPITAL COMPONENT</w:t>
            </w:r>
          </w:p>
        </w:tc>
        <w:tc>
          <w:tcPr>
            <w:tcW w:w="1124"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UTILITY</w:t>
            </w:r>
          </w:p>
        </w:tc>
        <w:tc>
          <w:tcPr>
            <w:tcW w:w="1213"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MENTS</w:t>
            </w:r>
          </w:p>
        </w:tc>
        <w:tc>
          <w:tcPr>
            <w:tcW w:w="1755"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TO RATE BASE</w:t>
            </w:r>
          </w:p>
        </w:tc>
        <w:tc>
          <w:tcPr>
            <w:tcW w:w="1256"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MENTS</w:t>
            </w:r>
          </w:p>
        </w:tc>
        <w:tc>
          <w:tcPr>
            <w:tcW w:w="1283" w:type="dxa"/>
            <w:tcBorders>
              <w:top w:val="nil"/>
              <w:left w:val="nil"/>
              <w:bottom w:val="single" w:sz="8" w:space="0" w:color="auto"/>
              <w:right w:val="nil"/>
            </w:tcBorders>
            <w:noWrap/>
            <w:vAlign w:val="bottom"/>
            <w:hideMark/>
          </w:tcPr>
          <w:p w:rsidR="0005008E" w:rsidRPr="00E022F8" w:rsidRDefault="00726AFA" w:rsidP="00FE758E">
            <w:pPr>
              <w:jc w:val="center"/>
              <w:rPr>
                <w:rFonts w:ascii="SWISS" w:hAnsi="SWISS" w:cs="Arial"/>
                <w:b/>
                <w:bCs/>
                <w:color w:val="000000"/>
                <w:sz w:val="20"/>
                <w:szCs w:val="20"/>
              </w:rPr>
            </w:pPr>
            <w:r>
              <w:rPr>
                <w:rFonts w:ascii="SWISS" w:hAnsi="SWISS" w:cs="Arial"/>
                <w:b/>
                <w:bCs/>
                <w:color w:val="000000"/>
                <w:sz w:val="20"/>
                <w:szCs w:val="20"/>
              </w:rPr>
              <w:t>COMMISSION</w:t>
            </w:r>
          </w:p>
        </w:tc>
        <w:tc>
          <w:tcPr>
            <w:tcW w:w="1255"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TOTAL</w:t>
            </w:r>
          </w:p>
        </w:tc>
        <w:tc>
          <w:tcPr>
            <w:tcW w:w="1183"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COST</w:t>
            </w:r>
          </w:p>
        </w:tc>
        <w:tc>
          <w:tcPr>
            <w:tcW w:w="1460" w:type="dxa"/>
            <w:tcBorders>
              <w:top w:val="nil"/>
              <w:left w:val="nil"/>
              <w:bottom w:val="single" w:sz="8" w:space="0" w:color="auto"/>
              <w:right w:val="single" w:sz="8" w:space="0" w:color="auto"/>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COST</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tcPr>
          <w:p w:rsidR="0005008E" w:rsidRPr="00E022F8" w:rsidRDefault="0005008E" w:rsidP="00FE758E">
            <w:pPr>
              <w:rPr>
                <w:rFonts w:ascii="SWISS" w:hAnsi="SWISS" w:cs="Arial"/>
                <w:color w:val="000000"/>
                <w:sz w:val="20"/>
                <w:szCs w:val="20"/>
              </w:rPr>
            </w:pPr>
          </w:p>
        </w:tc>
        <w:tc>
          <w:tcPr>
            <w:tcW w:w="1213" w:type="dxa"/>
            <w:noWrap/>
            <w:vAlign w:val="bottom"/>
          </w:tcPr>
          <w:p w:rsidR="0005008E" w:rsidRPr="00E022F8" w:rsidRDefault="0005008E" w:rsidP="00FE758E">
            <w:pPr>
              <w:rPr>
                <w:rFonts w:ascii="SWISS" w:hAnsi="SWISS" w:cs="Arial"/>
                <w:color w:val="000000"/>
                <w:sz w:val="20"/>
                <w:szCs w:val="20"/>
              </w:rPr>
            </w:pPr>
          </w:p>
        </w:tc>
        <w:tc>
          <w:tcPr>
            <w:tcW w:w="1755" w:type="dxa"/>
            <w:noWrap/>
            <w:vAlign w:val="bottom"/>
          </w:tcPr>
          <w:p w:rsidR="0005008E" w:rsidRPr="00E022F8" w:rsidRDefault="0005008E" w:rsidP="00FE758E">
            <w:pPr>
              <w:rPr>
                <w:rFonts w:ascii="SWISS" w:hAnsi="SWISS" w:cs="Arial"/>
                <w:color w:val="000000"/>
                <w:sz w:val="20"/>
                <w:szCs w:val="20"/>
              </w:rPr>
            </w:pPr>
          </w:p>
        </w:tc>
        <w:tc>
          <w:tcPr>
            <w:tcW w:w="1256" w:type="dxa"/>
            <w:noWrap/>
            <w:vAlign w:val="bottom"/>
          </w:tcPr>
          <w:p w:rsidR="0005008E" w:rsidRPr="00E022F8" w:rsidRDefault="0005008E" w:rsidP="00FE758E">
            <w:pPr>
              <w:rPr>
                <w:rFonts w:ascii="SWISS" w:hAnsi="SWISS" w:cs="Arial"/>
                <w:color w:val="000000"/>
                <w:sz w:val="20"/>
                <w:szCs w:val="20"/>
              </w:rPr>
            </w:pPr>
          </w:p>
        </w:tc>
        <w:tc>
          <w:tcPr>
            <w:tcW w:w="1283" w:type="dxa"/>
            <w:noWrap/>
            <w:vAlign w:val="bottom"/>
          </w:tcPr>
          <w:p w:rsidR="0005008E" w:rsidRPr="00E022F8" w:rsidRDefault="0005008E" w:rsidP="00FE758E">
            <w:pPr>
              <w:rPr>
                <w:rFonts w:ascii="SWISS" w:hAnsi="SWISS" w:cs="Arial"/>
                <w:color w:val="000000"/>
                <w:sz w:val="20"/>
                <w:szCs w:val="20"/>
              </w:rPr>
            </w:pPr>
          </w:p>
        </w:tc>
        <w:tc>
          <w:tcPr>
            <w:tcW w:w="1255" w:type="dxa"/>
            <w:noWrap/>
            <w:vAlign w:val="bottom"/>
          </w:tcPr>
          <w:p w:rsidR="0005008E" w:rsidRPr="00E022F8" w:rsidRDefault="0005008E" w:rsidP="00FE758E">
            <w:pPr>
              <w:rPr>
                <w:rFonts w:ascii="SWISS" w:hAnsi="SWISS" w:cs="Arial"/>
                <w:color w:val="000000"/>
                <w:sz w:val="20"/>
                <w:szCs w:val="20"/>
              </w:rPr>
            </w:pPr>
          </w:p>
        </w:tc>
        <w:tc>
          <w:tcPr>
            <w:tcW w:w="1183" w:type="dxa"/>
            <w:noWrap/>
            <w:vAlign w:val="bottom"/>
          </w:tcPr>
          <w:p w:rsidR="0005008E" w:rsidRPr="00E022F8" w:rsidRDefault="0005008E" w:rsidP="00FE758E">
            <w:pPr>
              <w:rPr>
                <w:rFonts w:ascii="SWISS" w:hAnsi="SWISS" w:cs="Arial"/>
                <w:color w:val="000000"/>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1.</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COMMON STOCK</w:t>
            </w:r>
          </w:p>
        </w:tc>
        <w:tc>
          <w:tcPr>
            <w:tcW w:w="1124"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1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7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6" w:type="dxa"/>
            <w:noWrap/>
            <w:vAlign w:val="bottom"/>
          </w:tcPr>
          <w:p w:rsidR="0005008E" w:rsidRPr="00E022F8" w:rsidRDefault="0005008E" w:rsidP="00FE758E">
            <w:pPr>
              <w:rPr>
                <w:rFonts w:ascii="SWISS" w:hAnsi="SWISS" w:cs="Arial"/>
                <w:sz w:val="20"/>
                <w:szCs w:val="20"/>
              </w:rPr>
            </w:pPr>
          </w:p>
        </w:tc>
        <w:tc>
          <w:tcPr>
            <w:tcW w:w="1283" w:type="dxa"/>
            <w:noWrap/>
            <w:vAlign w:val="bottom"/>
          </w:tcPr>
          <w:p w:rsidR="0005008E" w:rsidRPr="00E022F8" w:rsidRDefault="0005008E" w:rsidP="00FE758E">
            <w:pPr>
              <w:rPr>
                <w:rFonts w:ascii="SWISS" w:hAnsi="SWISS" w:cs="Arial"/>
                <w:sz w:val="20"/>
                <w:szCs w:val="20"/>
              </w:rPr>
            </w:pPr>
          </w:p>
        </w:tc>
        <w:tc>
          <w:tcPr>
            <w:tcW w:w="1255" w:type="dxa"/>
            <w:noWrap/>
            <w:vAlign w:val="bottom"/>
          </w:tcPr>
          <w:p w:rsidR="0005008E" w:rsidRPr="00E022F8" w:rsidRDefault="0005008E" w:rsidP="00FE758E">
            <w:pPr>
              <w:rPr>
                <w:rFonts w:ascii="SWISS" w:hAnsi="SWISS" w:cs="Arial"/>
                <w:sz w:val="20"/>
                <w:szCs w:val="20"/>
              </w:rPr>
            </w:pP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2.</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RETAINED EARNINGS</w:t>
            </w:r>
          </w:p>
        </w:tc>
        <w:tc>
          <w:tcPr>
            <w:tcW w:w="1124"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1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7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6" w:type="dxa"/>
            <w:noWrap/>
            <w:vAlign w:val="bottom"/>
          </w:tcPr>
          <w:p w:rsidR="0005008E" w:rsidRPr="00E022F8" w:rsidRDefault="0005008E" w:rsidP="00FE758E">
            <w:pPr>
              <w:rPr>
                <w:rFonts w:ascii="SWISS" w:hAnsi="SWISS" w:cs="Arial"/>
                <w:sz w:val="20"/>
                <w:szCs w:val="20"/>
              </w:rPr>
            </w:pPr>
          </w:p>
        </w:tc>
        <w:tc>
          <w:tcPr>
            <w:tcW w:w="1283" w:type="dxa"/>
            <w:noWrap/>
            <w:vAlign w:val="bottom"/>
          </w:tcPr>
          <w:p w:rsidR="0005008E" w:rsidRPr="00E022F8" w:rsidRDefault="0005008E" w:rsidP="00FE758E">
            <w:pPr>
              <w:rPr>
                <w:rFonts w:ascii="SWISS" w:hAnsi="SWISS" w:cs="Arial"/>
                <w:sz w:val="20"/>
                <w:szCs w:val="20"/>
              </w:rPr>
            </w:pPr>
          </w:p>
        </w:tc>
        <w:tc>
          <w:tcPr>
            <w:tcW w:w="1255" w:type="dxa"/>
            <w:noWrap/>
            <w:vAlign w:val="bottom"/>
          </w:tcPr>
          <w:p w:rsidR="0005008E" w:rsidRPr="00E022F8" w:rsidRDefault="0005008E" w:rsidP="00FE758E">
            <w:pPr>
              <w:rPr>
                <w:rFonts w:ascii="SWISS" w:hAnsi="SWISS" w:cs="Arial"/>
                <w:sz w:val="20"/>
                <w:szCs w:val="20"/>
              </w:rPr>
            </w:pP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3.</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PAID IN CAPITAL</w:t>
            </w:r>
          </w:p>
        </w:tc>
        <w:tc>
          <w:tcPr>
            <w:tcW w:w="1124"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1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7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6" w:type="dxa"/>
            <w:noWrap/>
            <w:vAlign w:val="bottom"/>
          </w:tcPr>
          <w:p w:rsidR="0005008E" w:rsidRPr="00E022F8" w:rsidRDefault="0005008E" w:rsidP="00FE758E">
            <w:pPr>
              <w:rPr>
                <w:rFonts w:ascii="SWISS" w:hAnsi="SWISS" w:cs="Arial"/>
                <w:sz w:val="20"/>
                <w:szCs w:val="20"/>
              </w:rPr>
            </w:pPr>
          </w:p>
        </w:tc>
        <w:tc>
          <w:tcPr>
            <w:tcW w:w="1283" w:type="dxa"/>
            <w:noWrap/>
            <w:vAlign w:val="bottom"/>
          </w:tcPr>
          <w:p w:rsidR="0005008E" w:rsidRPr="00E022F8" w:rsidRDefault="0005008E" w:rsidP="00FE758E">
            <w:pPr>
              <w:rPr>
                <w:rFonts w:ascii="SWISS" w:hAnsi="SWISS" w:cs="Arial"/>
                <w:sz w:val="20"/>
                <w:szCs w:val="20"/>
              </w:rPr>
            </w:pPr>
          </w:p>
        </w:tc>
        <w:tc>
          <w:tcPr>
            <w:tcW w:w="1255" w:type="dxa"/>
            <w:noWrap/>
            <w:vAlign w:val="bottom"/>
          </w:tcPr>
          <w:p w:rsidR="0005008E" w:rsidRPr="00E022F8" w:rsidRDefault="0005008E" w:rsidP="00FE758E">
            <w:pPr>
              <w:rPr>
                <w:rFonts w:ascii="SWISS" w:hAnsi="SWISS" w:cs="Arial"/>
                <w:sz w:val="20"/>
                <w:szCs w:val="20"/>
              </w:rPr>
            </w:pP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4.</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OTHER COMMON EQUITY</w:t>
            </w:r>
          </w:p>
        </w:tc>
        <w:tc>
          <w:tcPr>
            <w:tcW w:w="1124" w:type="dxa"/>
            <w:noWrap/>
            <w:vAlign w:val="bottom"/>
            <w:hideMark/>
          </w:tcPr>
          <w:p w:rsidR="0005008E" w:rsidRPr="00E022F8" w:rsidRDefault="0005008E" w:rsidP="00FE758E">
            <w:pPr>
              <w:jc w:val="right"/>
              <w:rPr>
                <w:rFonts w:ascii="SWISS" w:hAnsi="SWISS" w:cs="Arial"/>
                <w:sz w:val="20"/>
                <w:szCs w:val="20"/>
                <w:u w:val="single"/>
              </w:rPr>
            </w:pPr>
            <w:r>
              <w:rPr>
                <w:rFonts w:ascii="SWISS" w:hAnsi="SWISS" w:cs="Arial"/>
                <w:sz w:val="20"/>
                <w:szCs w:val="20"/>
                <w:u w:val="single"/>
              </w:rPr>
              <w:t>33</w:t>
            </w:r>
            <w:r w:rsidRPr="00E022F8">
              <w:rPr>
                <w:rFonts w:ascii="SWISS" w:hAnsi="SWISS" w:cs="Arial"/>
                <w:sz w:val="20"/>
                <w:szCs w:val="20"/>
                <w:u w:val="single"/>
              </w:rPr>
              <w:t>,</w:t>
            </w:r>
            <w:r>
              <w:rPr>
                <w:rFonts w:ascii="SWISS" w:hAnsi="SWISS" w:cs="Arial"/>
                <w:sz w:val="20"/>
                <w:szCs w:val="20"/>
                <w:u w:val="single"/>
              </w:rPr>
              <w:t>018</w:t>
            </w:r>
            <w:r w:rsidRPr="00E022F8">
              <w:rPr>
                <w:rFonts w:ascii="SWISS" w:hAnsi="SWISS" w:cs="Arial"/>
                <w:sz w:val="20"/>
                <w:szCs w:val="20"/>
                <w:u w:val="single"/>
              </w:rPr>
              <w:t xml:space="preserve"> </w:t>
            </w:r>
          </w:p>
        </w:tc>
        <w:tc>
          <w:tcPr>
            <w:tcW w:w="1213"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755" w:type="dxa"/>
            <w:noWrap/>
            <w:vAlign w:val="bottom"/>
            <w:hideMark/>
          </w:tcPr>
          <w:p w:rsidR="0005008E" w:rsidRPr="00E022F8" w:rsidRDefault="0005008E" w:rsidP="00FE758E">
            <w:pPr>
              <w:jc w:val="right"/>
              <w:rPr>
                <w:rFonts w:ascii="SWISS" w:hAnsi="SWISS" w:cs="Arial"/>
                <w:sz w:val="20"/>
                <w:szCs w:val="20"/>
                <w:u w:val="single"/>
              </w:rPr>
            </w:pPr>
            <w:r>
              <w:rPr>
                <w:rFonts w:ascii="SWISS" w:hAnsi="SWISS" w:cs="Arial"/>
                <w:sz w:val="20"/>
                <w:szCs w:val="20"/>
                <w:u w:val="single"/>
              </w:rPr>
              <w:t>33</w:t>
            </w:r>
            <w:r w:rsidRPr="00E022F8">
              <w:rPr>
                <w:rFonts w:ascii="SWISS" w:hAnsi="SWISS" w:cs="Arial"/>
                <w:sz w:val="20"/>
                <w:szCs w:val="20"/>
                <w:u w:val="single"/>
              </w:rPr>
              <w:t>,</w:t>
            </w:r>
            <w:r>
              <w:rPr>
                <w:rFonts w:ascii="SWISS" w:hAnsi="SWISS" w:cs="Arial"/>
                <w:sz w:val="20"/>
                <w:szCs w:val="20"/>
                <w:u w:val="single"/>
              </w:rPr>
              <w:t>018</w:t>
            </w:r>
            <w:r w:rsidRPr="00E022F8">
              <w:rPr>
                <w:rFonts w:ascii="SWISS" w:hAnsi="SWISS" w:cs="Arial"/>
                <w:sz w:val="20"/>
                <w:szCs w:val="20"/>
                <w:u w:val="single"/>
              </w:rPr>
              <w:t xml:space="preserve"> </w:t>
            </w:r>
          </w:p>
        </w:tc>
        <w:tc>
          <w:tcPr>
            <w:tcW w:w="1256" w:type="dxa"/>
            <w:noWrap/>
            <w:vAlign w:val="bottom"/>
          </w:tcPr>
          <w:p w:rsidR="0005008E" w:rsidRPr="00E022F8" w:rsidRDefault="0005008E" w:rsidP="00FE758E">
            <w:pPr>
              <w:rPr>
                <w:rFonts w:ascii="SWISS" w:hAnsi="SWISS" w:cs="Arial"/>
                <w:sz w:val="20"/>
                <w:szCs w:val="20"/>
              </w:rPr>
            </w:pPr>
          </w:p>
        </w:tc>
        <w:tc>
          <w:tcPr>
            <w:tcW w:w="1283" w:type="dxa"/>
            <w:noWrap/>
            <w:vAlign w:val="bottom"/>
          </w:tcPr>
          <w:p w:rsidR="0005008E" w:rsidRPr="00E022F8" w:rsidRDefault="0005008E" w:rsidP="00FE758E">
            <w:pPr>
              <w:rPr>
                <w:rFonts w:ascii="SWISS" w:hAnsi="SWISS" w:cs="Arial"/>
                <w:sz w:val="20"/>
                <w:szCs w:val="20"/>
              </w:rPr>
            </w:pPr>
          </w:p>
        </w:tc>
        <w:tc>
          <w:tcPr>
            <w:tcW w:w="1255" w:type="dxa"/>
            <w:noWrap/>
            <w:vAlign w:val="bottom"/>
          </w:tcPr>
          <w:p w:rsidR="0005008E" w:rsidRPr="00E022F8" w:rsidRDefault="0005008E" w:rsidP="00FE758E">
            <w:pPr>
              <w:rPr>
                <w:rFonts w:ascii="SWISS" w:hAnsi="SWISS" w:cs="Arial"/>
                <w:sz w:val="20"/>
                <w:szCs w:val="20"/>
              </w:rPr>
            </w:pP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xml:space="preserve">  TOTAL COMMON EQUITY</w:t>
            </w:r>
          </w:p>
        </w:tc>
        <w:tc>
          <w:tcPr>
            <w:tcW w:w="1124"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33</w:t>
            </w:r>
            <w:r w:rsidRPr="00E022F8">
              <w:rPr>
                <w:rFonts w:ascii="SWISS" w:hAnsi="SWISS" w:cs="Arial"/>
                <w:sz w:val="20"/>
                <w:szCs w:val="20"/>
              </w:rPr>
              <w:t>,</w:t>
            </w:r>
            <w:r>
              <w:rPr>
                <w:rFonts w:ascii="SWISS" w:hAnsi="SWISS" w:cs="Arial"/>
                <w:sz w:val="20"/>
                <w:szCs w:val="20"/>
              </w:rPr>
              <w:t>018</w:t>
            </w:r>
            <w:r w:rsidRPr="00E022F8">
              <w:rPr>
                <w:rFonts w:ascii="SWISS" w:hAnsi="SWISS" w:cs="Arial"/>
                <w:sz w:val="20"/>
                <w:szCs w:val="20"/>
              </w:rPr>
              <w:t xml:space="preserve"> </w:t>
            </w:r>
          </w:p>
        </w:tc>
        <w:tc>
          <w:tcPr>
            <w:tcW w:w="121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7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33</w:t>
            </w:r>
            <w:r w:rsidRPr="00E022F8">
              <w:rPr>
                <w:rFonts w:ascii="SWISS" w:hAnsi="SWISS" w:cs="Arial"/>
                <w:sz w:val="20"/>
                <w:szCs w:val="20"/>
              </w:rPr>
              <w:t>,</w:t>
            </w:r>
            <w:r>
              <w:rPr>
                <w:rFonts w:ascii="SWISS" w:hAnsi="SWISS" w:cs="Arial"/>
                <w:sz w:val="20"/>
                <w:szCs w:val="20"/>
              </w:rPr>
              <w:t>018</w:t>
            </w:r>
            <w:r w:rsidRPr="00E022F8">
              <w:rPr>
                <w:rFonts w:ascii="SWISS" w:hAnsi="SWISS" w:cs="Arial"/>
                <w:sz w:val="20"/>
                <w:szCs w:val="20"/>
              </w:rPr>
              <w:t xml:space="preserve"> </w:t>
            </w:r>
          </w:p>
        </w:tc>
        <w:tc>
          <w:tcPr>
            <w:tcW w:w="1256"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3,542</w:t>
            </w:r>
          </w:p>
        </w:tc>
        <w:tc>
          <w:tcPr>
            <w:tcW w:w="12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36,560</w:t>
            </w:r>
          </w:p>
        </w:tc>
        <w:tc>
          <w:tcPr>
            <w:tcW w:w="1255"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99</w:t>
            </w:r>
            <w:r w:rsidRPr="00E022F8">
              <w:rPr>
                <w:rFonts w:ascii="SWISS" w:hAnsi="SWISS" w:cs="Arial"/>
                <w:sz w:val="20"/>
                <w:szCs w:val="20"/>
              </w:rPr>
              <w:t>.</w:t>
            </w:r>
            <w:r>
              <w:rPr>
                <w:rFonts w:ascii="SWISS" w:hAnsi="SWISS" w:cs="Arial"/>
                <w:sz w:val="20"/>
                <w:szCs w:val="20"/>
              </w:rPr>
              <w:t>85</w:t>
            </w:r>
            <w:r w:rsidRPr="00E022F8">
              <w:rPr>
                <w:rFonts w:ascii="SWISS" w:hAnsi="SWISS" w:cs="Arial"/>
                <w:sz w:val="20"/>
                <w:szCs w:val="20"/>
              </w:rPr>
              <w:t>%</w:t>
            </w:r>
          </w:p>
        </w:tc>
        <w:tc>
          <w:tcPr>
            <w:tcW w:w="11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8.</w:t>
            </w:r>
            <w:r>
              <w:rPr>
                <w:rFonts w:ascii="SWISS" w:hAnsi="SWISS" w:cs="Arial"/>
                <w:sz w:val="20"/>
                <w:szCs w:val="20"/>
              </w:rPr>
              <w:t>11</w:t>
            </w:r>
            <w:r w:rsidRPr="00E022F8">
              <w:rPr>
                <w:rFonts w:ascii="SWISS" w:hAnsi="SWISS" w:cs="Arial"/>
                <w:sz w:val="20"/>
                <w:szCs w:val="20"/>
              </w:rPr>
              <w:t>%</w:t>
            </w:r>
          </w:p>
        </w:tc>
        <w:tc>
          <w:tcPr>
            <w:tcW w:w="1460"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8.</w:t>
            </w:r>
            <w:r>
              <w:rPr>
                <w:rFonts w:ascii="SWISS" w:hAnsi="SWISS" w:cs="Arial"/>
                <w:sz w:val="20"/>
                <w:szCs w:val="20"/>
              </w:rPr>
              <w:t>10</w:t>
            </w:r>
            <w:r w:rsidRPr="00E022F8">
              <w:rPr>
                <w:rFonts w:ascii="SWISS" w:hAnsi="SWISS" w:cs="Arial"/>
                <w:sz w:val="20"/>
                <w:szCs w:val="20"/>
              </w:rPr>
              <w:t>%</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tcPr>
          <w:p w:rsidR="0005008E" w:rsidRPr="00E022F8" w:rsidRDefault="0005008E" w:rsidP="00FE758E">
            <w:pPr>
              <w:rPr>
                <w:rFonts w:ascii="SWISS" w:hAnsi="SWISS" w:cs="Arial"/>
                <w:sz w:val="20"/>
                <w:szCs w:val="20"/>
              </w:rPr>
            </w:pPr>
          </w:p>
        </w:tc>
        <w:tc>
          <w:tcPr>
            <w:tcW w:w="1213" w:type="dxa"/>
            <w:noWrap/>
            <w:vAlign w:val="bottom"/>
          </w:tcPr>
          <w:p w:rsidR="0005008E" w:rsidRPr="00E022F8" w:rsidRDefault="0005008E" w:rsidP="00FE758E">
            <w:pPr>
              <w:rPr>
                <w:rFonts w:ascii="SWISS" w:hAnsi="SWISS" w:cs="Arial"/>
                <w:sz w:val="20"/>
                <w:szCs w:val="20"/>
              </w:rPr>
            </w:pPr>
          </w:p>
        </w:tc>
        <w:tc>
          <w:tcPr>
            <w:tcW w:w="1755" w:type="dxa"/>
            <w:noWrap/>
            <w:vAlign w:val="bottom"/>
          </w:tcPr>
          <w:p w:rsidR="0005008E" w:rsidRPr="00E022F8" w:rsidRDefault="0005008E" w:rsidP="00FE758E">
            <w:pPr>
              <w:rPr>
                <w:rFonts w:ascii="SWISS" w:hAnsi="SWISS" w:cs="Arial"/>
                <w:sz w:val="20"/>
                <w:szCs w:val="20"/>
              </w:rPr>
            </w:pPr>
          </w:p>
        </w:tc>
        <w:tc>
          <w:tcPr>
            <w:tcW w:w="1256" w:type="dxa"/>
            <w:noWrap/>
            <w:vAlign w:val="bottom"/>
          </w:tcPr>
          <w:p w:rsidR="0005008E" w:rsidRPr="00E022F8" w:rsidRDefault="0005008E" w:rsidP="00FE758E">
            <w:pPr>
              <w:rPr>
                <w:rFonts w:ascii="SWISS" w:hAnsi="SWISS" w:cs="Arial"/>
                <w:sz w:val="20"/>
                <w:szCs w:val="20"/>
              </w:rPr>
            </w:pPr>
          </w:p>
        </w:tc>
        <w:tc>
          <w:tcPr>
            <w:tcW w:w="1283" w:type="dxa"/>
            <w:noWrap/>
            <w:vAlign w:val="bottom"/>
          </w:tcPr>
          <w:p w:rsidR="0005008E" w:rsidRPr="00E022F8" w:rsidRDefault="0005008E" w:rsidP="00FE758E">
            <w:pPr>
              <w:rPr>
                <w:rFonts w:ascii="SWISS" w:hAnsi="SWISS" w:cs="Arial"/>
                <w:sz w:val="20"/>
                <w:szCs w:val="20"/>
              </w:rPr>
            </w:pPr>
          </w:p>
        </w:tc>
        <w:tc>
          <w:tcPr>
            <w:tcW w:w="1255" w:type="dxa"/>
            <w:noWrap/>
            <w:vAlign w:val="bottom"/>
          </w:tcPr>
          <w:p w:rsidR="0005008E" w:rsidRPr="00E022F8" w:rsidRDefault="0005008E" w:rsidP="00FE758E">
            <w:pPr>
              <w:rPr>
                <w:rFonts w:ascii="SWISS" w:hAnsi="SWISS" w:cs="Arial"/>
                <w:sz w:val="20"/>
                <w:szCs w:val="20"/>
              </w:rPr>
            </w:pP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5.</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xml:space="preserve">LONG TERM DEBT </w:t>
            </w:r>
          </w:p>
        </w:tc>
        <w:tc>
          <w:tcPr>
            <w:tcW w:w="1124"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1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7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6"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w:t>
            </w:r>
          </w:p>
        </w:tc>
        <w:tc>
          <w:tcPr>
            <w:tcW w:w="12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c>
          <w:tcPr>
            <w:tcW w:w="11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c>
          <w:tcPr>
            <w:tcW w:w="1460"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6.</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SHORT-TERM DEBT</w:t>
            </w:r>
          </w:p>
        </w:tc>
        <w:tc>
          <w:tcPr>
            <w:tcW w:w="1124"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1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7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6"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c>
          <w:tcPr>
            <w:tcW w:w="11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c>
          <w:tcPr>
            <w:tcW w:w="1460"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7.</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PREFERRED STOCK</w:t>
            </w:r>
          </w:p>
        </w:tc>
        <w:tc>
          <w:tcPr>
            <w:tcW w:w="1124"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213"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755"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256"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283"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255"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0.00%</w:t>
            </w:r>
          </w:p>
        </w:tc>
        <w:tc>
          <w:tcPr>
            <w:tcW w:w="11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c>
          <w:tcPr>
            <w:tcW w:w="1460"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TOTAL DEBT</w:t>
            </w:r>
          </w:p>
        </w:tc>
        <w:tc>
          <w:tcPr>
            <w:tcW w:w="1124"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1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7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6"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w:t>
            </w:r>
          </w:p>
        </w:tc>
        <w:tc>
          <w:tcPr>
            <w:tcW w:w="12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255"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0.00%</w:t>
            </w: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rPr>
            </w:pPr>
          </w:p>
        </w:tc>
        <w:tc>
          <w:tcPr>
            <w:tcW w:w="1124" w:type="dxa"/>
            <w:noWrap/>
            <w:vAlign w:val="bottom"/>
          </w:tcPr>
          <w:p w:rsidR="0005008E" w:rsidRPr="00E022F8" w:rsidRDefault="0005008E" w:rsidP="00FE758E">
            <w:pPr>
              <w:rPr>
                <w:rFonts w:ascii="SWISS" w:hAnsi="SWISS" w:cs="Arial"/>
                <w:sz w:val="20"/>
                <w:szCs w:val="20"/>
              </w:rPr>
            </w:pPr>
          </w:p>
        </w:tc>
        <w:tc>
          <w:tcPr>
            <w:tcW w:w="1213" w:type="dxa"/>
            <w:noWrap/>
            <w:vAlign w:val="bottom"/>
          </w:tcPr>
          <w:p w:rsidR="0005008E" w:rsidRPr="00E022F8" w:rsidRDefault="0005008E" w:rsidP="00FE758E">
            <w:pPr>
              <w:rPr>
                <w:rFonts w:ascii="SWISS" w:hAnsi="SWISS" w:cs="Arial"/>
                <w:sz w:val="20"/>
                <w:szCs w:val="20"/>
              </w:rPr>
            </w:pPr>
          </w:p>
        </w:tc>
        <w:tc>
          <w:tcPr>
            <w:tcW w:w="1755" w:type="dxa"/>
            <w:noWrap/>
            <w:vAlign w:val="bottom"/>
          </w:tcPr>
          <w:p w:rsidR="0005008E" w:rsidRPr="00E022F8" w:rsidRDefault="0005008E" w:rsidP="00FE758E">
            <w:pPr>
              <w:rPr>
                <w:rFonts w:ascii="SWISS" w:hAnsi="SWISS" w:cs="Arial"/>
                <w:sz w:val="20"/>
                <w:szCs w:val="20"/>
              </w:rPr>
            </w:pPr>
          </w:p>
        </w:tc>
        <w:tc>
          <w:tcPr>
            <w:tcW w:w="1256" w:type="dxa"/>
            <w:noWrap/>
            <w:vAlign w:val="bottom"/>
          </w:tcPr>
          <w:p w:rsidR="0005008E" w:rsidRPr="00E022F8" w:rsidRDefault="0005008E" w:rsidP="00FE758E">
            <w:pPr>
              <w:rPr>
                <w:rFonts w:ascii="SWISS" w:hAnsi="SWISS" w:cs="Arial"/>
                <w:sz w:val="20"/>
                <w:szCs w:val="20"/>
              </w:rPr>
            </w:pPr>
          </w:p>
        </w:tc>
        <w:tc>
          <w:tcPr>
            <w:tcW w:w="1283" w:type="dxa"/>
            <w:noWrap/>
            <w:vAlign w:val="bottom"/>
          </w:tcPr>
          <w:p w:rsidR="0005008E" w:rsidRPr="00E022F8" w:rsidRDefault="0005008E" w:rsidP="00FE758E">
            <w:pPr>
              <w:rPr>
                <w:rFonts w:ascii="SWISS" w:hAnsi="SWISS" w:cs="Arial"/>
                <w:sz w:val="20"/>
                <w:szCs w:val="20"/>
              </w:rPr>
            </w:pPr>
          </w:p>
        </w:tc>
        <w:tc>
          <w:tcPr>
            <w:tcW w:w="1255" w:type="dxa"/>
            <w:noWrap/>
            <w:vAlign w:val="bottom"/>
          </w:tcPr>
          <w:p w:rsidR="0005008E" w:rsidRPr="00E022F8" w:rsidRDefault="0005008E" w:rsidP="00FE758E">
            <w:pPr>
              <w:rPr>
                <w:rFonts w:ascii="SWISS" w:hAnsi="SWISS" w:cs="Arial"/>
                <w:sz w:val="20"/>
                <w:szCs w:val="20"/>
              </w:rPr>
            </w:pP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8.</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CUSTOMER DEPOSITS</w:t>
            </w:r>
          </w:p>
        </w:tc>
        <w:tc>
          <w:tcPr>
            <w:tcW w:w="1124"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56</w:t>
            </w:r>
            <w:r w:rsidRPr="00E022F8">
              <w:rPr>
                <w:rFonts w:ascii="SWISS" w:hAnsi="SWISS" w:cs="Arial"/>
                <w:sz w:val="20"/>
                <w:szCs w:val="20"/>
                <w:u w:val="single"/>
              </w:rPr>
              <w:t xml:space="preserve"> </w:t>
            </w:r>
          </w:p>
        </w:tc>
        <w:tc>
          <w:tcPr>
            <w:tcW w:w="1213"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755"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56</w:t>
            </w:r>
            <w:r w:rsidRPr="00E022F8">
              <w:rPr>
                <w:rFonts w:ascii="SWISS" w:hAnsi="SWISS" w:cs="Arial"/>
                <w:sz w:val="20"/>
                <w:szCs w:val="20"/>
                <w:u w:val="single"/>
              </w:rPr>
              <w:t xml:space="preserve"> </w:t>
            </w:r>
          </w:p>
        </w:tc>
        <w:tc>
          <w:tcPr>
            <w:tcW w:w="1256"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283"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56</w:t>
            </w:r>
            <w:r w:rsidRPr="00E022F8">
              <w:rPr>
                <w:rFonts w:ascii="SWISS" w:hAnsi="SWISS" w:cs="Arial"/>
                <w:sz w:val="20"/>
                <w:szCs w:val="20"/>
                <w:u w:val="single"/>
              </w:rPr>
              <w:t xml:space="preserve"> </w:t>
            </w:r>
          </w:p>
        </w:tc>
        <w:tc>
          <w:tcPr>
            <w:tcW w:w="1255"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0.</w:t>
            </w:r>
            <w:r>
              <w:rPr>
                <w:rFonts w:ascii="SWISS" w:hAnsi="SWISS" w:cs="Arial"/>
                <w:sz w:val="20"/>
                <w:szCs w:val="20"/>
                <w:u w:val="single"/>
              </w:rPr>
              <w:t>15</w:t>
            </w:r>
            <w:r w:rsidRPr="00E022F8">
              <w:rPr>
                <w:rFonts w:ascii="SWISS" w:hAnsi="SWISS" w:cs="Arial"/>
                <w:sz w:val="20"/>
                <w:szCs w:val="20"/>
                <w:u w:val="single"/>
              </w:rPr>
              <w:t>%</w:t>
            </w:r>
          </w:p>
        </w:tc>
        <w:tc>
          <w:tcPr>
            <w:tcW w:w="1183"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2.00%</w:t>
            </w:r>
          </w:p>
        </w:tc>
        <w:tc>
          <w:tcPr>
            <w:tcW w:w="1460"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0.00</w:t>
            </w:r>
            <w:r>
              <w:rPr>
                <w:rFonts w:ascii="SWISS" w:hAnsi="SWISS" w:cs="Arial"/>
                <w:sz w:val="20"/>
                <w:szCs w:val="20"/>
                <w:u w:val="single"/>
              </w:rPr>
              <w:t>3</w:t>
            </w:r>
            <w:r w:rsidRPr="00E022F8">
              <w:rPr>
                <w:rFonts w:ascii="SWISS" w:hAnsi="SWISS" w:cs="Arial"/>
                <w:sz w:val="20"/>
                <w:szCs w:val="20"/>
                <w:u w:val="single"/>
              </w:rPr>
              <w:t>%</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tcPr>
          <w:p w:rsidR="0005008E" w:rsidRPr="00E022F8" w:rsidRDefault="0005008E" w:rsidP="00FE758E">
            <w:pPr>
              <w:rPr>
                <w:rFonts w:ascii="SWISS" w:hAnsi="SWISS" w:cs="Arial"/>
                <w:sz w:val="20"/>
                <w:szCs w:val="20"/>
              </w:rPr>
            </w:pPr>
          </w:p>
        </w:tc>
        <w:tc>
          <w:tcPr>
            <w:tcW w:w="1213" w:type="dxa"/>
            <w:noWrap/>
            <w:vAlign w:val="bottom"/>
          </w:tcPr>
          <w:p w:rsidR="0005008E" w:rsidRPr="00E022F8" w:rsidRDefault="0005008E" w:rsidP="00FE758E">
            <w:pPr>
              <w:rPr>
                <w:rFonts w:ascii="SWISS" w:hAnsi="SWISS" w:cs="Arial"/>
                <w:sz w:val="20"/>
                <w:szCs w:val="20"/>
              </w:rPr>
            </w:pPr>
          </w:p>
        </w:tc>
        <w:tc>
          <w:tcPr>
            <w:tcW w:w="1755" w:type="dxa"/>
            <w:noWrap/>
            <w:vAlign w:val="bottom"/>
          </w:tcPr>
          <w:p w:rsidR="0005008E" w:rsidRPr="00E022F8" w:rsidRDefault="0005008E" w:rsidP="00FE758E">
            <w:pPr>
              <w:rPr>
                <w:rFonts w:ascii="SWISS" w:hAnsi="SWISS" w:cs="Arial"/>
                <w:sz w:val="20"/>
                <w:szCs w:val="20"/>
              </w:rPr>
            </w:pPr>
          </w:p>
        </w:tc>
        <w:tc>
          <w:tcPr>
            <w:tcW w:w="1256" w:type="dxa"/>
            <w:noWrap/>
            <w:vAlign w:val="bottom"/>
          </w:tcPr>
          <w:p w:rsidR="0005008E" w:rsidRPr="00E022F8" w:rsidRDefault="0005008E" w:rsidP="00FE758E">
            <w:pPr>
              <w:rPr>
                <w:rFonts w:ascii="SWISS" w:hAnsi="SWISS" w:cs="Arial"/>
                <w:sz w:val="20"/>
                <w:szCs w:val="20"/>
              </w:rPr>
            </w:pPr>
          </w:p>
        </w:tc>
        <w:tc>
          <w:tcPr>
            <w:tcW w:w="1283" w:type="dxa"/>
            <w:noWrap/>
            <w:vAlign w:val="bottom"/>
          </w:tcPr>
          <w:p w:rsidR="0005008E" w:rsidRPr="00E022F8" w:rsidRDefault="0005008E" w:rsidP="00FE758E">
            <w:pPr>
              <w:rPr>
                <w:rFonts w:ascii="SWISS" w:hAnsi="SWISS" w:cs="Arial"/>
                <w:sz w:val="20"/>
                <w:szCs w:val="20"/>
              </w:rPr>
            </w:pPr>
          </w:p>
        </w:tc>
        <w:tc>
          <w:tcPr>
            <w:tcW w:w="1255" w:type="dxa"/>
            <w:noWrap/>
            <w:vAlign w:val="bottom"/>
          </w:tcPr>
          <w:p w:rsidR="0005008E" w:rsidRPr="00E022F8" w:rsidRDefault="0005008E" w:rsidP="00FE758E">
            <w:pPr>
              <w:rPr>
                <w:rFonts w:ascii="SWISS" w:hAnsi="SWISS" w:cs="Arial"/>
                <w:sz w:val="20"/>
                <w:szCs w:val="20"/>
              </w:rPr>
            </w:pP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color w:val="000000"/>
                <w:sz w:val="20"/>
                <w:szCs w:val="20"/>
              </w:rPr>
            </w:pPr>
            <w:r w:rsidRPr="00E022F8">
              <w:rPr>
                <w:rFonts w:ascii="SWISS" w:hAnsi="SWISS" w:cs="Arial"/>
                <w:color w:val="000000"/>
                <w:sz w:val="20"/>
                <w:szCs w:val="20"/>
              </w:rPr>
              <w:t>9.</w:t>
            </w:r>
          </w:p>
        </w:tc>
        <w:tc>
          <w:tcPr>
            <w:tcW w:w="2855"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TOTAL</w:t>
            </w:r>
          </w:p>
        </w:tc>
        <w:tc>
          <w:tcPr>
            <w:tcW w:w="1124"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33</w:t>
            </w:r>
            <w:r w:rsidRPr="00E022F8">
              <w:rPr>
                <w:rFonts w:ascii="SWISS" w:hAnsi="SWISS" w:cs="Arial"/>
                <w:sz w:val="20"/>
                <w:szCs w:val="20"/>
                <w:u w:val="double"/>
              </w:rPr>
              <w:t>,</w:t>
            </w:r>
            <w:r>
              <w:rPr>
                <w:rFonts w:ascii="SWISS" w:hAnsi="SWISS" w:cs="Arial"/>
                <w:sz w:val="20"/>
                <w:szCs w:val="20"/>
                <w:u w:val="double"/>
              </w:rPr>
              <w:t>074</w:t>
            </w:r>
            <w:r w:rsidRPr="00E022F8">
              <w:rPr>
                <w:rFonts w:ascii="SWISS" w:hAnsi="SWISS" w:cs="Arial"/>
                <w:sz w:val="20"/>
                <w:szCs w:val="20"/>
                <w:u w:val="double"/>
              </w:rPr>
              <w:t xml:space="preserve"> </w:t>
            </w:r>
          </w:p>
        </w:tc>
        <w:tc>
          <w:tcPr>
            <w:tcW w:w="1213"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 xml:space="preserve">$0 </w:t>
            </w:r>
          </w:p>
        </w:tc>
        <w:tc>
          <w:tcPr>
            <w:tcW w:w="1755"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33</w:t>
            </w:r>
            <w:r w:rsidRPr="00E022F8">
              <w:rPr>
                <w:rFonts w:ascii="SWISS" w:hAnsi="SWISS" w:cs="Arial"/>
                <w:sz w:val="20"/>
                <w:szCs w:val="20"/>
                <w:u w:val="double"/>
              </w:rPr>
              <w:t>,</w:t>
            </w:r>
            <w:r>
              <w:rPr>
                <w:rFonts w:ascii="SWISS" w:hAnsi="SWISS" w:cs="Arial"/>
                <w:sz w:val="20"/>
                <w:szCs w:val="20"/>
                <w:u w:val="double"/>
              </w:rPr>
              <w:t>074</w:t>
            </w:r>
            <w:r w:rsidRPr="00E022F8">
              <w:rPr>
                <w:rFonts w:ascii="SWISS" w:hAnsi="SWISS" w:cs="Arial"/>
                <w:sz w:val="20"/>
                <w:szCs w:val="20"/>
                <w:u w:val="double"/>
              </w:rPr>
              <w:t xml:space="preserve"> </w:t>
            </w:r>
          </w:p>
        </w:tc>
        <w:tc>
          <w:tcPr>
            <w:tcW w:w="1256"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3,542</w:t>
            </w:r>
          </w:p>
        </w:tc>
        <w:tc>
          <w:tcPr>
            <w:tcW w:w="1283"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36,616</w:t>
            </w:r>
            <w:r w:rsidRPr="00E022F8">
              <w:rPr>
                <w:rFonts w:ascii="SWISS" w:hAnsi="SWISS" w:cs="Arial"/>
                <w:sz w:val="20"/>
                <w:szCs w:val="20"/>
                <w:u w:val="double"/>
              </w:rPr>
              <w:t xml:space="preserve"> </w:t>
            </w:r>
          </w:p>
        </w:tc>
        <w:tc>
          <w:tcPr>
            <w:tcW w:w="1255"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100.00%</w:t>
            </w: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8.</w:t>
            </w:r>
            <w:r>
              <w:rPr>
                <w:rFonts w:ascii="SWISS" w:hAnsi="SWISS" w:cs="Arial"/>
                <w:sz w:val="20"/>
                <w:szCs w:val="20"/>
                <w:u w:val="double"/>
              </w:rPr>
              <w:t>10</w:t>
            </w:r>
            <w:r w:rsidRPr="00E022F8">
              <w:rPr>
                <w:rFonts w:ascii="SWISS" w:hAnsi="SWISS" w:cs="Arial"/>
                <w:sz w:val="20"/>
                <w:szCs w:val="20"/>
                <w:u w:val="double"/>
              </w:rPr>
              <w:t>%</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tcPr>
          <w:p w:rsidR="0005008E" w:rsidRPr="00E022F8" w:rsidRDefault="0005008E" w:rsidP="00FE758E">
            <w:pPr>
              <w:rPr>
                <w:rFonts w:ascii="SWISS" w:hAnsi="SWISS" w:cs="Arial"/>
                <w:sz w:val="20"/>
                <w:szCs w:val="20"/>
              </w:rPr>
            </w:pPr>
          </w:p>
        </w:tc>
        <w:tc>
          <w:tcPr>
            <w:tcW w:w="1213" w:type="dxa"/>
            <w:noWrap/>
            <w:vAlign w:val="bottom"/>
          </w:tcPr>
          <w:p w:rsidR="0005008E" w:rsidRPr="00E022F8" w:rsidRDefault="0005008E" w:rsidP="00FE758E">
            <w:pPr>
              <w:rPr>
                <w:rFonts w:ascii="SWISS" w:hAnsi="SWISS" w:cs="Arial"/>
                <w:sz w:val="20"/>
                <w:szCs w:val="20"/>
              </w:rPr>
            </w:pPr>
          </w:p>
        </w:tc>
        <w:tc>
          <w:tcPr>
            <w:tcW w:w="1755" w:type="dxa"/>
            <w:noWrap/>
            <w:vAlign w:val="bottom"/>
          </w:tcPr>
          <w:p w:rsidR="0005008E" w:rsidRPr="00E022F8" w:rsidRDefault="0005008E" w:rsidP="00FE758E">
            <w:pPr>
              <w:rPr>
                <w:rFonts w:ascii="SWISS" w:hAnsi="SWISS" w:cs="Arial"/>
                <w:sz w:val="20"/>
                <w:szCs w:val="20"/>
              </w:rPr>
            </w:pPr>
          </w:p>
        </w:tc>
        <w:tc>
          <w:tcPr>
            <w:tcW w:w="1256" w:type="dxa"/>
            <w:noWrap/>
            <w:vAlign w:val="bottom"/>
          </w:tcPr>
          <w:p w:rsidR="0005008E" w:rsidRPr="00E022F8" w:rsidRDefault="0005008E" w:rsidP="00FE758E">
            <w:pPr>
              <w:rPr>
                <w:rFonts w:ascii="SWISS" w:hAnsi="SWISS" w:cs="Arial"/>
                <w:sz w:val="20"/>
                <w:szCs w:val="20"/>
              </w:rPr>
            </w:pPr>
          </w:p>
        </w:tc>
        <w:tc>
          <w:tcPr>
            <w:tcW w:w="1283" w:type="dxa"/>
            <w:noWrap/>
            <w:vAlign w:val="bottom"/>
          </w:tcPr>
          <w:p w:rsidR="0005008E" w:rsidRPr="00E022F8" w:rsidRDefault="0005008E" w:rsidP="00FE758E">
            <w:pPr>
              <w:rPr>
                <w:rFonts w:ascii="SWISS" w:hAnsi="SWISS" w:cs="Arial"/>
                <w:sz w:val="20"/>
                <w:szCs w:val="20"/>
              </w:rPr>
            </w:pPr>
          </w:p>
        </w:tc>
        <w:tc>
          <w:tcPr>
            <w:tcW w:w="1255" w:type="dxa"/>
            <w:noWrap/>
            <w:vAlign w:val="bottom"/>
          </w:tcPr>
          <w:p w:rsidR="0005008E" w:rsidRPr="00E022F8" w:rsidRDefault="0005008E" w:rsidP="00FE758E">
            <w:pPr>
              <w:rPr>
                <w:rFonts w:ascii="SWISS" w:hAnsi="SWISS" w:cs="Arial"/>
                <w:sz w:val="20"/>
                <w:szCs w:val="20"/>
              </w:rPr>
            </w:pPr>
          </w:p>
        </w:tc>
        <w:tc>
          <w:tcPr>
            <w:tcW w:w="1183" w:type="dxa"/>
            <w:noWrap/>
            <w:vAlign w:val="bottom"/>
          </w:tcPr>
          <w:p w:rsidR="0005008E" w:rsidRPr="00E022F8" w:rsidRDefault="0005008E" w:rsidP="00FE758E">
            <w:pPr>
              <w:rPr>
                <w:rFonts w:ascii="SWISS" w:hAnsi="SWISS" w:cs="Arial"/>
                <w:sz w:val="20"/>
                <w:szCs w:val="20"/>
              </w:rPr>
            </w:pP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tcPr>
          <w:p w:rsidR="0005008E" w:rsidRPr="00E022F8" w:rsidRDefault="0005008E" w:rsidP="00FE758E">
            <w:pPr>
              <w:rPr>
                <w:rFonts w:ascii="SWISS" w:hAnsi="SWISS" w:cs="Arial"/>
                <w:color w:val="000000"/>
                <w:sz w:val="20"/>
                <w:szCs w:val="20"/>
              </w:rPr>
            </w:pPr>
          </w:p>
        </w:tc>
        <w:tc>
          <w:tcPr>
            <w:tcW w:w="1213" w:type="dxa"/>
            <w:noWrap/>
            <w:vAlign w:val="bottom"/>
          </w:tcPr>
          <w:p w:rsidR="0005008E" w:rsidRPr="00E022F8" w:rsidRDefault="0005008E" w:rsidP="00FE758E">
            <w:pPr>
              <w:rPr>
                <w:rFonts w:ascii="SWISS" w:hAnsi="SWISS" w:cs="Arial"/>
                <w:color w:val="000000"/>
                <w:sz w:val="20"/>
                <w:szCs w:val="20"/>
              </w:rPr>
            </w:pPr>
          </w:p>
        </w:tc>
        <w:tc>
          <w:tcPr>
            <w:tcW w:w="4294" w:type="dxa"/>
            <w:gridSpan w:val="3"/>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RANGE OF REASONABLENESS</w:t>
            </w:r>
          </w:p>
        </w:tc>
        <w:tc>
          <w:tcPr>
            <w:tcW w:w="1255" w:type="dxa"/>
            <w:noWrap/>
            <w:vAlign w:val="bottom"/>
            <w:hideMark/>
          </w:tcPr>
          <w:p w:rsidR="0005008E" w:rsidRPr="00E022F8" w:rsidRDefault="0005008E" w:rsidP="00FE758E">
            <w:pPr>
              <w:jc w:val="center"/>
              <w:rPr>
                <w:rFonts w:ascii="SWISS" w:hAnsi="SWISS" w:cs="Arial"/>
                <w:b/>
                <w:bCs/>
                <w:color w:val="000000"/>
                <w:sz w:val="20"/>
                <w:szCs w:val="20"/>
                <w:u w:val="single"/>
              </w:rPr>
            </w:pPr>
            <w:r w:rsidRPr="00E022F8">
              <w:rPr>
                <w:rFonts w:ascii="SWISS" w:hAnsi="SWISS" w:cs="Arial"/>
                <w:b/>
                <w:bCs/>
                <w:color w:val="000000"/>
                <w:sz w:val="20"/>
                <w:szCs w:val="20"/>
                <w:u w:val="single"/>
              </w:rPr>
              <w:t>LOW</w:t>
            </w:r>
          </w:p>
        </w:tc>
        <w:tc>
          <w:tcPr>
            <w:tcW w:w="1183" w:type="dxa"/>
            <w:noWrap/>
            <w:vAlign w:val="bottom"/>
            <w:hideMark/>
          </w:tcPr>
          <w:p w:rsidR="0005008E" w:rsidRPr="00E022F8" w:rsidRDefault="0005008E" w:rsidP="00FE758E">
            <w:pPr>
              <w:jc w:val="center"/>
              <w:rPr>
                <w:rFonts w:ascii="SWISS" w:hAnsi="SWISS" w:cs="Arial"/>
                <w:b/>
                <w:bCs/>
                <w:color w:val="000000"/>
                <w:sz w:val="20"/>
                <w:szCs w:val="20"/>
                <w:u w:val="single"/>
              </w:rPr>
            </w:pPr>
            <w:r w:rsidRPr="00E022F8">
              <w:rPr>
                <w:rFonts w:ascii="SWISS" w:hAnsi="SWISS" w:cs="Arial"/>
                <w:b/>
                <w:bCs/>
                <w:color w:val="000000"/>
                <w:sz w:val="20"/>
                <w:szCs w:val="20"/>
                <w:u w:val="single"/>
              </w:rPr>
              <w:t>HIGH</w:t>
            </w: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tcPr>
          <w:p w:rsidR="0005008E" w:rsidRPr="00E022F8" w:rsidRDefault="0005008E" w:rsidP="00FE758E">
            <w:pPr>
              <w:rPr>
                <w:rFonts w:ascii="SWISS" w:hAnsi="SWISS" w:cs="Arial"/>
                <w:color w:val="000000"/>
                <w:sz w:val="20"/>
                <w:szCs w:val="20"/>
              </w:rPr>
            </w:pPr>
          </w:p>
        </w:tc>
        <w:tc>
          <w:tcPr>
            <w:tcW w:w="1213" w:type="dxa"/>
            <w:noWrap/>
            <w:vAlign w:val="bottom"/>
          </w:tcPr>
          <w:p w:rsidR="0005008E" w:rsidRPr="00E022F8" w:rsidRDefault="0005008E" w:rsidP="00FE758E">
            <w:pPr>
              <w:rPr>
                <w:rFonts w:ascii="SWISS" w:hAnsi="SWISS" w:cs="Arial"/>
                <w:color w:val="000000"/>
                <w:sz w:val="20"/>
                <w:szCs w:val="20"/>
              </w:rPr>
            </w:pPr>
          </w:p>
        </w:tc>
        <w:tc>
          <w:tcPr>
            <w:tcW w:w="3011" w:type="dxa"/>
            <w:gridSpan w:val="2"/>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xml:space="preserve">    RETURN ON EQUITY</w:t>
            </w:r>
          </w:p>
        </w:tc>
        <w:tc>
          <w:tcPr>
            <w:tcW w:w="1283" w:type="dxa"/>
            <w:noWrap/>
            <w:vAlign w:val="bottom"/>
          </w:tcPr>
          <w:p w:rsidR="0005008E" w:rsidRPr="00E022F8" w:rsidRDefault="0005008E" w:rsidP="00FE758E">
            <w:pPr>
              <w:rPr>
                <w:rFonts w:ascii="SWISS" w:hAnsi="SWISS" w:cs="Arial"/>
                <w:color w:val="000000"/>
                <w:sz w:val="20"/>
                <w:szCs w:val="20"/>
              </w:rPr>
            </w:pPr>
          </w:p>
        </w:tc>
        <w:tc>
          <w:tcPr>
            <w:tcW w:w="1255" w:type="dxa"/>
            <w:noWrap/>
            <w:vAlign w:val="bottom"/>
            <w:hideMark/>
          </w:tcPr>
          <w:p w:rsidR="0005008E" w:rsidRPr="00E022F8" w:rsidRDefault="0005008E" w:rsidP="00FE758E">
            <w:pPr>
              <w:jc w:val="right"/>
              <w:rPr>
                <w:rFonts w:ascii="SWISS" w:hAnsi="SWISS" w:cs="Arial"/>
                <w:color w:val="000000"/>
                <w:sz w:val="20"/>
                <w:szCs w:val="20"/>
                <w:u w:val="double"/>
              </w:rPr>
            </w:pPr>
            <w:r w:rsidRPr="00E022F8">
              <w:rPr>
                <w:rFonts w:ascii="SWISS" w:hAnsi="SWISS" w:cs="Arial"/>
                <w:color w:val="000000"/>
                <w:sz w:val="20"/>
                <w:szCs w:val="20"/>
                <w:u w:val="double"/>
              </w:rPr>
              <w:t>7.</w:t>
            </w:r>
            <w:r>
              <w:rPr>
                <w:rFonts w:ascii="SWISS" w:hAnsi="SWISS" w:cs="Arial"/>
                <w:color w:val="000000"/>
                <w:sz w:val="20"/>
                <w:szCs w:val="20"/>
                <w:u w:val="double"/>
              </w:rPr>
              <w:t>11</w:t>
            </w:r>
            <w:r w:rsidRPr="00E022F8">
              <w:rPr>
                <w:rFonts w:ascii="SWISS" w:hAnsi="SWISS" w:cs="Arial"/>
                <w:color w:val="000000"/>
                <w:sz w:val="20"/>
                <w:szCs w:val="20"/>
                <w:u w:val="double"/>
              </w:rPr>
              <w:t>%</w:t>
            </w:r>
          </w:p>
        </w:tc>
        <w:tc>
          <w:tcPr>
            <w:tcW w:w="1183" w:type="dxa"/>
            <w:noWrap/>
            <w:vAlign w:val="bottom"/>
            <w:hideMark/>
          </w:tcPr>
          <w:p w:rsidR="0005008E" w:rsidRPr="00E022F8" w:rsidRDefault="0005008E" w:rsidP="00FE758E">
            <w:pPr>
              <w:jc w:val="right"/>
              <w:rPr>
                <w:rFonts w:ascii="SWISS" w:hAnsi="SWISS" w:cs="Arial"/>
                <w:color w:val="000000"/>
                <w:sz w:val="20"/>
                <w:szCs w:val="20"/>
                <w:u w:val="double"/>
              </w:rPr>
            </w:pPr>
            <w:r w:rsidRPr="00E022F8">
              <w:rPr>
                <w:rFonts w:ascii="SWISS" w:hAnsi="SWISS" w:cs="Arial"/>
                <w:color w:val="000000"/>
                <w:sz w:val="20"/>
                <w:szCs w:val="20"/>
                <w:u w:val="double"/>
              </w:rPr>
              <w:t>9.</w:t>
            </w:r>
            <w:r>
              <w:rPr>
                <w:rFonts w:ascii="SWISS" w:hAnsi="SWISS" w:cs="Arial"/>
                <w:color w:val="000000"/>
                <w:sz w:val="20"/>
                <w:szCs w:val="20"/>
                <w:u w:val="double"/>
              </w:rPr>
              <w:t>11</w:t>
            </w:r>
            <w:r w:rsidRPr="00E022F8">
              <w:rPr>
                <w:rFonts w:ascii="SWISS" w:hAnsi="SWISS" w:cs="Arial"/>
                <w:color w:val="000000"/>
                <w:sz w:val="20"/>
                <w:szCs w:val="20"/>
                <w:u w:val="double"/>
              </w:rPr>
              <w:t>%</w:t>
            </w: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92"/>
          <w:jc w:val="center"/>
        </w:trPr>
        <w:tc>
          <w:tcPr>
            <w:tcW w:w="4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noWrap/>
            <w:vAlign w:val="bottom"/>
          </w:tcPr>
          <w:p w:rsidR="0005008E" w:rsidRPr="00E022F8" w:rsidRDefault="0005008E" w:rsidP="00FE758E">
            <w:pPr>
              <w:rPr>
                <w:rFonts w:ascii="SWISS" w:hAnsi="SWISS" w:cs="Arial"/>
                <w:color w:val="000000"/>
                <w:sz w:val="20"/>
                <w:szCs w:val="20"/>
              </w:rPr>
            </w:pPr>
          </w:p>
        </w:tc>
        <w:tc>
          <w:tcPr>
            <w:tcW w:w="1124" w:type="dxa"/>
            <w:noWrap/>
            <w:vAlign w:val="bottom"/>
          </w:tcPr>
          <w:p w:rsidR="0005008E" w:rsidRPr="00E022F8" w:rsidRDefault="0005008E" w:rsidP="00FE758E">
            <w:pPr>
              <w:rPr>
                <w:rFonts w:ascii="SWISS" w:hAnsi="SWISS" w:cs="Arial"/>
                <w:color w:val="000000"/>
                <w:sz w:val="20"/>
                <w:szCs w:val="20"/>
              </w:rPr>
            </w:pPr>
          </w:p>
        </w:tc>
        <w:tc>
          <w:tcPr>
            <w:tcW w:w="1213" w:type="dxa"/>
            <w:noWrap/>
            <w:vAlign w:val="bottom"/>
          </w:tcPr>
          <w:p w:rsidR="0005008E" w:rsidRPr="00E022F8" w:rsidRDefault="0005008E" w:rsidP="00FE758E">
            <w:pPr>
              <w:rPr>
                <w:rFonts w:ascii="SWISS" w:hAnsi="SWISS" w:cs="Arial"/>
                <w:color w:val="000000"/>
                <w:sz w:val="20"/>
                <w:szCs w:val="20"/>
              </w:rPr>
            </w:pPr>
          </w:p>
        </w:tc>
        <w:tc>
          <w:tcPr>
            <w:tcW w:w="4294" w:type="dxa"/>
            <w:gridSpan w:val="3"/>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xml:space="preserve">    OVERALL RATE OF RETURN</w:t>
            </w:r>
          </w:p>
        </w:tc>
        <w:tc>
          <w:tcPr>
            <w:tcW w:w="1255" w:type="dxa"/>
            <w:noWrap/>
            <w:vAlign w:val="bottom"/>
            <w:hideMark/>
          </w:tcPr>
          <w:p w:rsidR="0005008E" w:rsidRPr="00E022F8" w:rsidRDefault="0005008E" w:rsidP="00FE758E">
            <w:pPr>
              <w:jc w:val="right"/>
              <w:rPr>
                <w:rFonts w:ascii="SWISS" w:hAnsi="SWISS" w:cs="Arial"/>
                <w:color w:val="000000"/>
                <w:sz w:val="20"/>
                <w:szCs w:val="20"/>
                <w:u w:val="double"/>
              </w:rPr>
            </w:pPr>
            <w:r w:rsidRPr="00E022F8">
              <w:rPr>
                <w:rFonts w:ascii="SWISS" w:hAnsi="SWISS" w:cs="Arial"/>
                <w:color w:val="000000"/>
                <w:sz w:val="20"/>
                <w:szCs w:val="20"/>
                <w:u w:val="double"/>
              </w:rPr>
              <w:t>7.</w:t>
            </w:r>
            <w:r>
              <w:rPr>
                <w:rFonts w:ascii="SWISS" w:hAnsi="SWISS" w:cs="Arial"/>
                <w:color w:val="000000"/>
                <w:sz w:val="20"/>
                <w:szCs w:val="20"/>
                <w:u w:val="double"/>
              </w:rPr>
              <w:t>10</w:t>
            </w:r>
            <w:r w:rsidRPr="00E022F8">
              <w:rPr>
                <w:rFonts w:ascii="SWISS" w:hAnsi="SWISS" w:cs="Arial"/>
                <w:color w:val="000000"/>
                <w:sz w:val="20"/>
                <w:szCs w:val="20"/>
                <w:u w:val="double"/>
              </w:rPr>
              <w:t>%</w:t>
            </w:r>
          </w:p>
        </w:tc>
        <w:tc>
          <w:tcPr>
            <w:tcW w:w="1183" w:type="dxa"/>
            <w:noWrap/>
            <w:vAlign w:val="bottom"/>
            <w:hideMark/>
          </w:tcPr>
          <w:p w:rsidR="0005008E" w:rsidRPr="00E022F8" w:rsidRDefault="0005008E" w:rsidP="00FE758E">
            <w:pPr>
              <w:jc w:val="right"/>
              <w:rPr>
                <w:rFonts w:ascii="SWISS" w:hAnsi="SWISS" w:cs="Arial"/>
                <w:color w:val="000000"/>
                <w:sz w:val="20"/>
                <w:szCs w:val="20"/>
                <w:u w:val="double"/>
              </w:rPr>
            </w:pPr>
            <w:r w:rsidRPr="00E022F8">
              <w:rPr>
                <w:rFonts w:ascii="SWISS" w:hAnsi="SWISS" w:cs="Arial"/>
                <w:color w:val="000000"/>
                <w:sz w:val="20"/>
                <w:szCs w:val="20"/>
                <w:u w:val="double"/>
              </w:rPr>
              <w:t>9.</w:t>
            </w:r>
            <w:r>
              <w:rPr>
                <w:rFonts w:ascii="SWISS" w:hAnsi="SWISS" w:cs="Arial"/>
                <w:color w:val="000000"/>
                <w:sz w:val="20"/>
                <w:szCs w:val="20"/>
                <w:u w:val="double"/>
              </w:rPr>
              <w:t>10</w:t>
            </w:r>
            <w:r w:rsidRPr="00E022F8">
              <w:rPr>
                <w:rFonts w:ascii="SWISS" w:hAnsi="SWISS" w:cs="Arial"/>
                <w:color w:val="000000"/>
                <w:sz w:val="20"/>
                <w:szCs w:val="20"/>
                <w:u w:val="double"/>
              </w:rPr>
              <w:t>%</w:t>
            </w:r>
          </w:p>
        </w:tc>
        <w:tc>
          <w:tcPr>
            <w:tcW w:w="1460"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303"/>
          <w:jc w:val="center"/>
        </w:trPr>
        <w:tc>
          <w:tcPr>
            <w:tcW w:w="483" w:type="dxa"/>
            <w:tcBorders>
              <w:top w:val="nil"/>
              <w:left w:val="single" w:sz="8" w:space="0" w:color="auto"/>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2855" w:type="dxa"/>
            <w:tcBorders>
              <w:top w:val="nil"/>
              <w:left w:val="nil"/>
              <w:bottom w:val="single" w:sz="8" w:space="0" w:color="auto"/>
              <w:right w:val="nil"/>
            </w:tcBorders>
            <w:noWrap/>
            <w:vAlign w:val="bottom"/>
          </w:tcPr>
          <w:p w:rsidR="0005008E" w:rsidRPr="00E022F8" w:rsidRDefault="0005008E" w:rsidP="00FE758E">
            <w:pPr>
              <w:rPr>
                <w:rFonts w:ascii="SWISS" w:hAnsi="SWISS" w:cs="Arial"/>
                <w:color w:val="000000"/>
                <w:sz w:val="20"/>
                <w:szCs w:val="20"/>
              </w:rPr>
            </w:pPr>
          </w:p>
        </w:tc>
        <w:tc>
          <w:tcPr>
            <w:tcW w:w="1124"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213"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755"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256"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283"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255"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183"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460" w:type="dxa"/>
            <w:tcBorders>
              <w:top w:val="nil"/>
              <w:left w:val="nil"/>
              <w:bottom w:val="single" w:sz="8" w:space="0" w:color="auto"/>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bl>
    <w:p w:rsidR="0005008E" w:rsidRDefault="0005008E" w:rsidP="00925414">
      <w:pPr>
        <w:pStyle w:val="OrderBody"/>
        <w:sectPr w:rsidR="0005008E" w:rsidSect="0005008E">
          <w:headerReference w:type="first" r:id="rId12"/>
          <w:pgSz w:w="15840" w:h="12240" w:orient="landscape" w:code="1"/>
          <w:pgMar w:top="1440" w:right="1440" w:bottom="1440" w:left="1440" w:header="720" w:footer="720" w:gutter="0"/>
          <w:cols w:space="720"/>
          <w:titlePg/>
          <w:docGrid w:linePitch="360"/>
        </w:sectPr>
      </w:pPr>
    </w:p>
    <w:tbl>
      <w:tblPr>
        <w:tblW w:w="13844" w:type="dxa"/>
        <w:jc w:val="center"/>
        <w:tblInd w:w="98" w:type="dxa"/>
        <w:tblCellMar>
          <w:left w:w="0" w:type="dxa"/>
          <w:right w:w="0" w:type="dxa"/>
        </w:tblCellMar>
        <w:tblLook w:val="04A0" w:firstRow="1" w:lastRow="0" w:firstColumn="1" w:lastColumn="0" w:noHBand="0" w:noVBand="1"/>
      </w:tblPr>
      <w:tblGrid>
        <w:gridCol w:w="774"/>
        <w:gridCol w:w="3657"/>
        <w:gridCol w:w="1905"/>
        <w:gridCol w:w="1905"/>
        <w:gridCol w:w="1905"/>
        <w:gridCol w:w="1905"/>
        <w:gridCol w:w="1905"/>
      </w:tblGrid>
      <w:tr w:rsidR="0005008E" w:rsidRPr="00E022F8" w:rsidTr="00FE758E">
        <w:trPr>
          <w:trHeight w:val="294"/>
          <w:jc w:val="center"/>
        </w:trPr>
        <w:tc>
          <w:tcPr>
            <w:tcW w:w="758" w:type="dxa"/>
            <w:tcBorders>
              <w:top w:val="single" w:sz="8" w:space="0" w:color="auto"/>
              <w:left w:val="single" w:sz="8" w:space="0" w:color="auto"/>
              <w:bottom w:val="nil"/>
              <w:right w:val="nil"/>
            </w:tcBorders>
            <w:noWrap/>
            <w:vAlign w:val="bottom"/>
            <w:hideMark/>
          </w:tcPr>
          <w:p w:rsidR="0005008E" w:rsidRPr="0024364F" w:rsidRDefault="0005008E" w:rsidP="00FE758E">
            <w:pPr>
              <w:rPr>
                <w:rFonts w:ascii="SWISS" w:hAnsi="SWISS" w:cs="Arial"/>
                <w:sz w:val="20"/>
                <w:szCs w:val="20"/>
              </w:rPr>
            </w:pPr>
            <w:r w:rsidRPr="0024364F">
              <w:lastRenderedPageBreak/>
              <w:br w:type="page"/>
            </w:r>
            <w:r w:rsidRPr="0024364F">
              <w:rPr>
                <w:rFonts w:ascii="SWISS" w:hAnsi="SWISS" w:cs="Arial"/>
                <w:sz w:val="20"/>
                <w:szCs w:val="20"/>
              </w:rPr>
              <w:t> </w:t>
            </w:r>
          </w:p>
        </w:tc>
        <w:tc>
          <w:tcPr>
            <w:tcW w:w="5530" w:type="dxa"/>
            <w:gridSpan w:val="2"/>
            <w:tcBorders>
              <w:top w:val="single" w:sz="8" w:space="0" w:color="auto"/>
              <w:left w:val="nil"/>
              <w:bottom w:val="nil"/>
              <w:right w:val="nil"/>
            </w:tcBorders>
            <w:noWrap/>
            <w:vAlign w:val="bottom"/>
            <w:hideMark/>
          </w:tcPr>
          <w:p w:rsidR="0005008E" w:rsidRPr="0024364F" w:rsidRDefault="0005008E" w:rsidP="00FE758E">
            <w:pPr>
              <w:rPr>
                <w:rFonts w:ascii="SWISS" w:hAnsi="SWISS" w:cs="Arial"/>
                <w:color w:val="000000"/>
                <w:sz w:val="20"/>
                <w:szCs w:val="20"/>
              </w:rPr>
            </w:pPr>
            <w:r w:rsidRPr="0024364F">
              <w:rPr>
                <w:rFonts w:ascii="SWISS" w:hAnsi="SWISS" w:cs="Arial"/>
                <w:b/>
                <w:bCs/>
                <w:color w:val="000000"/>
                <w:sz w:val="20"/>
                <w:szCs w:val="20"/>
              </w:rPr>
              <w:t>PINE HARBOUR WATERWORKS, INC.</w:t>
            </w:r>
          </w:p>
        </w:tc>
        <w:tc>
          <w:tcPr>
            <w:tcW w:w="1889"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c>
          <w:tcPr>
            <w:tcW w:w="1889"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c>
          <w:tcPr>
            <w:tcW w:w="3778" w:type="dxa"/>
            <w:gridSpan w:val="2"/>
            <w:tcBorders>
              <w:top w:val="single" w:sz="8" w:space="0" w:color="auto"/>
              <w:left w:val="nil"/>
              <w:bottom w:val="nil"/>
              <w:right w:val="single" w:sz="8" w:space="0" w:color="auto"/>
            </w:tcBorders>
            <w:noWrap/>
            <w:vAlign w:val="bottom"/>
            <w:hideMark/>
          </w:tcPr>
          <w:p w:rsidR="0005008E" w:rsidRPr="00E022F8" w:rsidRDefault="0005008E" w:rsidP="00FE758E">
            <w:pPr>
              <w:rPr>
                <w:rFonts w:ascii="SWISS" w:hAnsi="SWISS" w:cs="Arial"/>
                <w:b/>
                <w:bCs/>
                <w:sz w:val="20"/>
                <w:szCs w:val="20"/>
              </w:rPr>
            </w:pPr>
            <w:r w:rsidRPr="00E022F8">
              <w:rPr>
                <w:rFonts w:ascii="SWISS" w:hAnsi="SWISS" w:cs="Arial"/>
                <w:b/>
                <w:bCs/>
                <w:sz w:val="20"/>
                <w:szCs w:val="20"/>
              </w:rPr>
              <w:t xml:space="preserve">                           </w:t>
            </w:r>
            <w:r>
              <w:rPr>
                <w:rFonts w:ascii="SWISS" w:hAnsi="SWISS" w:cs="Arial"/>
                <w:b/>
                <w:bCs/>
                <w:sz w:val="20"/>
                <w:szCs w:val="20"/>
              </w:rPr>
              <w:t xml:space="preserve">      </w:t>
            </w:r>
            <w:r w:rsidRPr="00E022F8">
              <w:rPr>
                <w:rFonts w:ascii="SWISS" w:hAnsi="SWISS" w:cs="Arial"/>
                <w:b/>
                <w:bCs/>
                <w:sz w:val="20"/>
                <w:szCs w:val="20"/>
              </w:rPr>
              <w:t xml:space="preserve">  SCHEDULE NO. 3-A</w:t>
            </w:r>
            <w:r w:rsidRPr="00E022F8">
              <w:rPr>
                <w:sz w:val="20"/>
                <w:szCs w:val="20"/>
              </w:rPr>
              <w:fldChar w:fldCharType="begin"/>
            </w:r>
            <w:r w:rsidRPr="00E022F8">
              <w:rPr>
                <w:sz w:val="20"/>
                <w:szCs w:val="20"/>
              </w:rPr>
              <w:instrText xml:space="preserve"> TC " Schedule No. 3-A Water Operating Income”\l 1 </w:instrText>
            </w:r>
            <w:r w:rsidRPr="00E022F8">
              <w:rPr>
                <w:sz w:val="20"/>
                <w:szCs w:val="20"/>
              </w:rPr>
              <w:fldChar w:fldCharType="end"/>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3641"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TEST YEAR ENDED </w:t>
            </w:r>
            <w:r>
              <w:rPr>
                <w:rFonts w:ascii="SWISS" w:hAnsi="SWISS" w:cs="Arial"/>
                <w:b/>
                <w:bCs/>
                <w:color w:val="000000"/>
                <w:sz w:val="20"/>
                <w:szCs w:val="20"/>
              </w:rPr>
              <w:t>12</w:t>
            </w:r>
            <w:r w:rsidRPr="00E022F8">
              <w:rPr>
                <w:rFonts w:ascii="SWISS" w:hAnsi="SWISS" w:cs="Arial"/>
                <w:b/>
                <w:bCs/>
                <w:color w:val="000000"/>
                <w:sz w:val="20"/>
                <w:szCs w:val="20"/>
              </w:rPr>
              <w:t>/31/1</w:t>
            </w:r>
            <w:r>
              <w:rPr>
                <w:rFonts w:ascii="SWISS" w:hAnsi="SWISS" w:cs="Arial"/>
                <w:b/>
                <w:bCs/>
                <w:color w:val="000000"/>
                <w:sz w:val="20"/>
                <w:szCs w:val="20"/>
              </w:rPr>
              <w:t>7</w:t>
            </w:r>
          </w:p>
        </w:tc>
        <w:tc>
          <w:tcPr>
            <w:tcW w:w="1889"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color w:val="000000"/>
                <w:sz w:val="20"/>
                <w:szCs w:val="20"/>
              </w:rPr>
            </w:pPr>
          </w:p>
        </w:tc>
        <w:tc>
          <w:tcPr>
            <w:tcW w:w="3778" w:type="dxa"/>
            <w:gridSpan w:val="2"/>
            <w:tcBorders>
              <w:top w:val="nil"/>
              <w:left w:val="nil"/>
              <w:bottom w:val="nil"/>
              <w:right w:val="single" w:sz="8" w:space="0" w:color="auto"/>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                      DOCKET NO. </w:t>
            </w:r>
            <w:r>
              <w:rPr>
                <w:rFonts w:ascii="SWISS" w:hAnsi="SWISS" w:cs="Arial"/>
                <w:b/>
                <w:bCs/>
                <w:color w:val="000000"/>
                <w:sz w:val="20"/>
                <w:szCs w:val="20"/>
              </w:rPr>
              <w:t>20180022</w:t>
            </w:r>
            <w:r w:rsidRPr="00E022F8">
              <w:rPr>
                <w:rFonts w:ascii="SWISS" w:hAnsi="SWISS" w:cs="Arial"/>
                <w:b/>
                <w:bCs/>
                <w:color w:val="000000"/>
                <w:sz w:val="20"/>
                <w:szCs w:val="20"/>
              </w:rPr>
              <w:t xml:space="preserve">-WU </w:t>
            </w:r>
          </w:p>
        </w:tc>
      </w:tr>
      <w:tr w:rsidR="0005008E" w:rsidRPr="00E022F8" w:rsidTr="00FE758E">
        <w:trPr>
          <w:trHeight w:val="306"/>
          <w:jc w:val="center"/>
        </w:trPr>
        <w:tc>
          <w:tcPr>
            <w:tcW w:w="758" w:type="dxa"/>
            <w:tcBorders>
              <w:top w:val="nil"/>
              <w:left w:val="single" w:sz="8" w:space="0" w:color="auto"/>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7419" w:type="dxa"/>
            <w:gridSpan w:val="3"/>
            <w:tcBorders>
              <w:top w:val="nil"/>
              <w:left w:val="nil"/>
              <w:bottom w:val="single" w:sz="8" w:space="0" w:color="auto"/>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SCHEDULE OF WATER OPERATING INCOME</w:t>
            </w:r>
          </w:p>
        </w:tc>
        <w:tc>
          <w:tcPr>
            <w:tcW w:w="1889"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single" w:sz="8" w:space="0" w:color="auto"/>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94"/>
          <w:jc w:val="center"/>
        </w:trPr>
        <w:tc>
          <w:tcPr>
            <w:tcW w:w="758" w:type="dxa"/>
            <w:tcBorders>
              <w:top w:val="single" w:sz="8" w:space="0" w:color="auto"/>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3641"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w:t>
            </w:r>
          </w:p>
        </w:tc>
        <w:tc>
          <w:tcPr>
            <w:tcW w:w="1889" w:type="dxa"/>
            <w:tcBorders>
              <w:top w:val="single" w:sz="8" w:space="0" w:color="auto"/>
              <w:left w:val="nil"/>
              <w:bottom w:val="nil"/>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 </w:t>
            </w:r>
          </w:p>
        </w:tc>
        <w:tc>
          <w:tcPr>
            <w:tcW w:w="1889" w:type="dxa"/>
            <w:tcBorders>
              <w:top w:val="single" w:sz="8" w:space="0" w:color="auto"/>
              <w:left w:val="nil"/>
              <w:bottom w:val="nil"/>
              <w:right w:val="nil"/>
            </w:tcBorders>
            <w:noWrap/>
            <w:vAlign w:val="bottom"/>
            <w:hideMark/>
          </w:tcPr>
          <w:p w:rsidR="0005008E" w:rsidRPr="00E022F8" w:rsidRDefault="00726AFA" w:rsidP="00FE758E">
            <w:pPr>
              <w:jc w:val="center"/>
              <w:rPr>
                <w:rFonts w:ascii="SWISS" w:hAnsi="SWISS" w:cs="Arial"/>
                <w:b/>
                <w:bCs/>
                <w:color w:val="000000"/>
                <w:sz w:val="20"/>
                <w:szCs w:val="20"/>
              </w:rPr>
            </w:pPr>
            <w:r>
              <w:rPr>
                <w:rFonts w:ascii="SWISS" w:hAnsi="SWISS" w:cs="Arial"/>
                <w:b/>
                <w:bCs/>
                <w:color w:val="000000"/>
                <w:sz w:val="20"/>
                <w:szCs w:val="20"/>
              </w:rPr>
              <w:t>COMMISSION</w:t>
            </w:r>
          </w:p>
        </w:tc>
        <w:tc>
          <w:tcPr>
            <w:tcW w:w="1889" w:type="dxa"/>
            <w:tcBorders>
              <w:top w:val="single" w:sz="8" w:space="0" w:color="auto"/>
              <w:left w:val="nil"/>
              <w:bottom w:val="nil"/>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ADJUST.</w:t>
            </w:r>
          </w:p>
        </w:tc>
        <w:tc>
          <w:tcPr>
            <w:tcW w:w="1889" w:type="dxa"/>
            <w:tcBorders>
              <w:top w:val="single" w:sz="8" w:space="0" w:color="auto"/>
              <w:left w:val="nil"/>
              <w:bottom w:val="nil"/>
              <w:right w:val="single" w:sz="8" w:space="0" w:color="auto"/>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TEST YEAR</w:t>
            </w:r>
          </w:p>
        </w:tc>
        <w:tc>
          <w:tcPr>
            <w:tcW w:w="1889" w:type="dxa"/>
            <w:noWrap/>
            <w:vAlign w:val="bottom"/>
            <w:hideMark/>
          </w:tcPr>
          <w:p w:rsidR="0005008E" w:rsidRPr="00E022F8" w:rsidRDefault="00726AFA" w:rsidP="00FE758E">
            <w:pPr>
              <w:jc w:val="center"/>
              <w:rPr>
                <w:rFonts w:ascii="SWISS" w:hAnsi="SWISS" w:cs="Arial"/>
                <w:b/>
                <w:bCs/>
                <w:color w:val="000000"/>
                <w:sz w:val="20"/>
                <w:szCs w:val="20"/>
              </w:rPr>
            </w:pPr>
            <w:r>
              <w:rPr>
                <w:rFonts w:ascii="SWISS" w:hAnsi="SWISS" w:cs="Arial"/>
                <w:b/>
                <w:bCs/>
                <w:color w:val="000000"/>
                <w:sz w:val="20"/>
                <w:szCs w:val="20"/>
              </w:rPr>
              <w:t>COMMISSION</w:t>
            </w:r>
            <w:r w:rsidR="0005008E" w:rsidRPr="00E022F8">
              <w:rPr>
                <w:rFonts w:ascii="SWISS" w:hAnsi="SWISS" w:cs="Arial"/>
                <w:b/>
                <w:bCs/>
                <w:color w:val="000000"/>
                <w:sz w:val="20"/>
                <w:szCs w:val="20"/>
              </w:rPr>
              <w:t xml:space="preserve"> </w:t>
            </w:r>
          </w:p>
        </w:tc>
        <w:tc>
          <w:tcPr>
            <w:tcW w:w="1889"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ADJUSTED</w:t>
            </w:r>
          </w:p>
        </w:tc>
        <w:tc>
          <w:tcPr>
            <w:tcW w:w="1889"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FOR</w:t>
            </w:r>
          </w:p>
        </w:tc>
        <w:tc>
          <w:tcPr>
            <w:tcW w:w="1889" w:type="dxa"/>
            <w:tcBorders>
              <w:top w:val="nil"/>
              <w:left w:val="nil"/>
              <w:bottom w:val="nil"/>
              <w:right w:val="single" w:sz="8" w:space="0" w:color="auto"/>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REVENUE</w:t>
            </w:r>
          </w:p>
        </w:tc>
      </w:tr>
      <w:tr w:rsidR="0005008E" w:rsidRPr="00E022F8" w:rsidTr="00FE758E">
        <w:trPr>
          <w:trHeight w:val="306"/>
          <w:jc w:val="center"/>
        </w:trPr>
        <w:tc>
          <w:tcPr>
            <w:tcW w:w="758" w:type="dxa"/>
            <w:tcBorders>
              <w:top w:val="nil"/>
              <w:left w:val="single" w:sz="8" w:space="0" w:color="auto"/>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3641"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PER UTILITY</w:t>
            </w:r>
          </w:p>
        </w:tc>
        <w:tc>
          <w:tcPr>
            <w:tcW w:w="1889"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ADJUSTMENTS</w:t>
            </w:r>
          </w:p>
        </w:tc>
        <w:tc>
          <w:tcPr>
            <w:tcW w:w="1889"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TEST YEAR</w:t>
            </w:r>
          </w:p>
        </w:tc>
        <w:tc>
          <w:tcPr>
            <w:tcW w:w="1889"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INCREASE</w:t>
            </w:r>
          </w:p>
        </w:tc>
        <w:tc>
          <w:tcPr>
            <w:tcW w:w="1889" w:type="dxa"/>
            <w:tcBorders>
              <w:top w:val="nil"/>
              <w:left w:val="nil"/>
              <w:bottom w:val="single" w:sz="8" w:space="0" w:color="auto"/>
              <w:right w:val="single" w:sz="8" w:space="0" w:color="auto"/>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REQUIREMENT</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3641"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1.</w:t>
            </w:r>
          </w:p>
        </w:tc>
        <w:tc>
          <w:tcPr>
            <w:tcW w:w="3641"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OPERATING REVENUES               </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23</w:t>
            </w:r>
            <w:r w:rsidRPr="00E022F8">
              <w:rPr>
                <w:rFonts w:ascii="SWISS" w:hAnsi="SWISS" w:cs="Arial"/>
                <w:sz w:val="20"/>
                <w:szCs w:val="20"/>
                <w:u w:val="single"/>
              </w:rPr>
              <w:t>,</w:t>
            </w:r>
            <w:r>
              <w:rPr>
                <w:rFonts w:ascii="SWISS" w:hAnsi="SWISS" w:cs="Arial"/>
                <w:sz w:val="20"/>
                <w:szCs w:val="20"/>
                <w:u w:val="single"/>
              </w:rPr>
              <w:t>286</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601</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23,887</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10,405</w:t>
            </w:r>
            <w:r w:rsidRPr="00E022F8">
              <w:rPr>
                <w:rFonts w:ascii="SWISS" w:hAnsi="SWISS" w:cs="Arial"/>
                <w:sz w:val="20"/>
                <w:szCs w:val="20"/>
                <w:u w:val="single"/>
              </w:rPr>
              <w:t xml:space="preserve"> </w:t>
            </w: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34</w:t>
            </w:r>
            <w:r w:rsidRPr="00E022F8">
              <w:rPr>
                <w:rFonts w:ascii="SWISS" w:hAnsi="SWISS" w:cs="Arial"/>
                <w:sz w:val="20"/>
                <w:szCs w:val="20"/>
                <w:u w:val="single"/>
              </w:rPr>
              <w:t>,</w:t>
            </w:r>
            <w:r>
              <w:rPr>
                <w:rFonts w:ascii="SWISS" w:hAnsi="SWISS" w:cs="Arial"/>
                <w:sz w:val="20"/>
                <w:szCs w:val="20"/>
                <w:u w:val="single"/>
              </w:rPr>
              <w:t>292</w:t>
            </w:r>
          </w:p>
        </w:tc>
      </w:tr>
      <w:tr w:rsidR="0005008E" w:rsidRPr="00E022F8" w:rsidTr="00FE758E">
        <w:trPr>
          <w:trHeight w:val="294"/>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43.56</w:t>
            </w:r>
            <w:r w:rsidRPr="00E022F8">
              <w:rPr>
                <w:rFonts w:ascii="SWISS" w:hAnsi="SWISS" w:cs="Arial"/>
                <w:sz w:val="20"/>
                <w:szCs w:val="20"/>
              </w:rPr>
              <w:t>%</w:t>
            </w: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OPERATING EXPENSES:</w:t>
            </w: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2.</w:t>
            </w:r>
          </w:p>
        </w:tc>
        <w:tc>
          <w:tcPr>
            <w:tcW w:w="3641"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xml:space="preserve">  OPERATION &amp; MAINTENANCE</w:t>
            </w:r>
          </w:p>
        </w:tc>
        <w:tc>
          <w:tcPr>
            <w:tcW w:w="1889"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22</w:t>
            </w:r>
            <w:r w:rsidRPr="00E022F8">
              <w:rPr>
                <w:rFonts w:ascii="SWISS" w:hAnsi="SWISS" w:cs="Arial"/>
                <w:sz w:val="20"/>
                <w:szCs w:val="20"/>
              </w:rPr>
              <w:t>,</w:t>
            </w:r>
            <w:r>
              <w:rPr>
                <w:rFonts w:ascii="SWISS" w:hAnsi="SWISS" w:cs="Arial"/>
                <w:sz w:val="20"/>
                <w:szCs w:val="20"/>
              </w:rPr>
              <w:t>886</w:t>
            </w:r>
            <w:r w:rsidRPr="00E022F8">
              <w:rPr>
                <w:rFonts w:ascii="SWISS" w:hAnsi="SWISS" w:cs="Arial"/>
                <w:sz w:val="20"/>
                <w:szCs w:val="20"/>
              </w:rPr>
              <w:t xml:space="preserve"> </w:t>
            </w:r>
          </w:p>
        </w:tc>
        <w:tc>
          <w:tcPr>
            <w:tcW w:w="1889"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4,227</w:t>
            </w:r>
            <w:r w:rsidRPr="00E022F8">
              <w:rPr>
                <w:rFonts w:ascii="SWISS" w:hAnsi="SWISS" w:cs="Arial"/>
                <w:sz w:val="20"/>
                <w:szCs w:val="20"/>
              </w:rPr>
              <w:t xml:space="preserve"> </w:t>
            </w:r>
          </w:p>
        </w:tc>
        <w:tc>
          <w:tcPr>
            <w:tcW w:w="1889"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27</w:t>
            </w:r>
            <w:r w:rsidRPr="00E022F8">
              <w:rPr>
                <w:rFonts w:ascii="SWISS" w:hAnsi="SWISS" w:cs="Arial"/>
                <w:sz w:val="20"/>
                <w:szCs w:val="20"/>
              </w:rPr>
              <w:t>,</w:t>
            </w:r>
            <w:r>
              <w:rPr>
                <w:rFonts w:ascii="SWISS" w:hAnsi="SWISS" w:cs="Arial"/>
                <w:sz w:val="20"/>
                <w:szCs w:val="20"/>
              </w:rPr>
              <w:t>113</w:t>
            </w:r>
            <w:r w:rsidRPr="00E022F8">
              <w:rPr>
                <w:rFonts w:ascii="SWISS" w:hAnsi="SWISS" w:cs="Arial"/>
                <w:sz w:val="20"/>
                <w:szCs w:val="20"/>
              </w:rPr>
              <w:t xml:space="preserve"> </w:t>
            </w:r>
          </w:p>
        </w:tc>
        <w:tc>
          <w:tcPr>
            <w:tcW w:w="1889"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27</w:t>
            </w:r>
            <w:r w:rsidRPr="00E022F8">
              <w:rPr>
                <w:rFonts w:ascii="SWISS" w:hAnsi="SWISS" w:cs="Arial"/>
                <w:sz w:val="20"/>
                <w:szCs w:val="20"/>
              </w:rPr>
              <w:t>,</w:t>
            </w:r>
            <w:r>
              <w:rPr>
                <w:rFonts w:ascii="SWISS" w:hAnsi="SWISS" w:cs="Arial"/>
                <w:sz w:val="20"/>
                <w:szCs w:val="20"/>
              </w:rPr>
              <w:t>113</w:t>
            </w:r>
            <w:r w:rsidRPr="00E022F8">
              <w:rPr>
                <w:rFonts w:ascii="SWISS" w:hAnsi="SWISS" w:cs="Arial"/>
                <w:sz w:val="20"/>
                <w:szCs w:val="20"/>
              </w:rPr>
              <w:t xml:space="preserve"> </w:t>
            </w:r>
          </w:p>
        </w:tc>
      </w:tr>
      <w:tr w:rsidR="0005008E" w:rsidRPr="00E022F8" w:rsidTr="00FE758E">
        <w:trPr>
          <w:trHeight w:val="306"/>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306"/>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3.</w:t>
            </w:r>
          </w:p>
        </w:tc>
        <w:tc>
          <w:tcPr>
            <w:tcW w:w="3641"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xml:space="preserve">  DEPRECIATION (NET)</w:t>
            </w:r>
          </w:p>
        </w:tc>
        <w:tc>
          <w:tcPr>
            <w:tcW w:w="1889"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1</w:t>
            </w:r>
            <w:r w:rsidRPr="00E022F8">
              <w:rPr>
                <w:rFonts w:ascii="SWISS" w:hAnsi="SWISS" w:cs="Arial"/>
                <w:sz w:val="20"/>
                <w:szCs w:val="20"/>
              </w:rPr>
              <w:t>,</w:t>
            </w:r>
            <w:r>
              <w:rPr>
                <w:rFonts w:ascii="SWISS" w:hAnsi="SWISS" w:cs="Arial"/>
                <w:sz w:val="20"/>
                <w:szCs w:val="20"/>
              </w:rPr>
              <w:t>980</w:t>
            </w:r>
          </w:p>
        </w:tc>
        <w:tc>
          <w:tcPr>
            <w:tcW w:w="1889"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1</w:t>
            </w:r>
            <w:r>
              <w:rPr>
                <w:rFonts w:ascii="SWISS" w:hAnsi="SWISS" w:cs="Arial"/>
                <w:sz w:val="20"/>
                <w:szCs w:val="20"/>
              </w:rPr>
              <w:t>93</w:t>
            </w:r>
            <w:r w:rsidRPr="00E022F8">
              <w:rPr>
                <w:rFonts w:ascii="SWISS" w:hAnsi="SWISS" w:cs="Arial"/>
                <w:sz w:val="20"/>
                <w:szCs w:val="20"/>
              </w:rPr>
              <w:t xml:space="preserve"> </w:t>
            </w:r>
          </w:p>
        </w:tc>
        <w:tc>
          <w:tcPr>
            <w:tcW w:w="1889"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2</w:t>
            </w:r>
            <w:r w:rsidRPr="00E022F8">
              <w:rPr>
                <w:rFonts w:ascii="SWISS" w:hAnsi="SWISS" w:cs="Arial"/>
                <w:sz w:val="20"/>
                <w:szCs w:val="20"/>
              </w:rPr>
              <w:t>,</w:t>
            </w:r>
            <w:r>
              <w:rPr>
                <w:rFonts w:ascii="SWISS" w:hAnsi="SWISS" w:cs="Arial"/>
                <w:sz w:val="20"/>
                <w:szCs w:val="20"/>
              </w:rPr>
              <w:t>173</w:t>
            </w:r>
            <w:r w:rsidRPr="00E022F8">
              <w:rPr>
                <w:rFonts w:ascii="SWISS" w:hAnsi="SWISS" w:cs="Arial"/>
                <w:sz w:val="20"/>
                <w:szCs w:val="20"/>
              </w:rPr>
              <w:t xml:space="preserve"> </w:t>
            </w:r>
          </w:p>
        </w:tc>
        <w:tc>
          <w:tcPr>
            <w:tcW w:w="1889"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2</w:t>
            </w:r>
            <w:r w:rsidRPr="00E022F8">
              <w:rPr>
                <w:rFonts w:ascii="SWISS" w:hAnsi="SWISS" w:cs="Arial"/>
                <w:sz w:val="20"/>
                <w:szCs w:val="20"/>
              </w:rPr>
              <w:t>,</w:t>
            </w:r>
            <w:r>
              <w:rPr>
                <w:rFonts w:ascii="SWISS" w:hAnsi="SWISS" w:cs="Arial"/>
                <w:sz w:val="20"/>
                <w:szCs w:val="20"/>
              </w:rPr>
              <w:t>173</w:t>
            </w:r>
          </w:p>
        </w:tc>
      </w:tr>
      <w:tr w:rsidR="0005008E" w:rsidRPr="00E022F8" w:rsidTr="00FE758E">
        <w:trPr>
          <w:trHeight w:val="294"/>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4.</w:t>
            </w:r>
          </w:p>
        </w:tc>
        <w:tc>
          <w:tcPr>
            <w:tcW w:w="3641"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xml:space="preserve">  TAXES OTHER THAN INCOME</w:t>
            </w:r>
          </w:p>
        </w:tc>
        <w:tc>
          <w:tcPr>
            <w:tcW w:w="1889"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1</w:t>
            </w:r>
            <w:r w:rsidRPr="00E022F8">
              <w:rPr>
                <w:rFonts w:ascii="SWISS" w:hAnsi="SWISS" w:cs="Arial"/>
                <w:sz w:val="20"/>
                <w:szCs w:val="20"/>
              </w:rPr>
              <w:t>,</w:t>
            </w:r>
            <w:r>
              <w:rPr>
                <w:rFonts w:ascii="SWISS" w:hAnsi="SWISS" w:cs="Arial"/>
                <w:sz w:val="20"/>
                <w:szCs w:val="20"/>
              </w:rPr>
              <w:t>517</w:t>
            </w:r>
          </w:p>
        </w:tc>
        <w:tc>
          <w:tcPr>
            <w:tcW w:w="1889"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56</w:t>
            </w:r>
            <w:r w:rsidRPr="00E022F8">
              <w:rPr>
                <w:rFonts w:ascii="SWISS" w:hAnsi="SWISS" w:cs="Arial"/>
                <w:sz w:val="20"/>
                <w:szCs w:val="20"/>
              </w:rPr>
              <w:t xml:space="preserve">   </w:t>
            </w:r>
          </w:p>
        </w:tc>
        <w:tc>
          <w:tcPr>
            <w:tcW w:w="1889"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1</w:t>
            </w:r>
            <w:r w:rsidRPr="00E022F8">
              <w:rPr>
                <w:rFonts w:ascii="SWISS" w:hAnsi="SWISS" w:cs="Arial"/>
                <w:sz w:val="20"/>
                <w:szCs w:val="20"/>
              </w:rPr>
              <w:t>,</w:t>
            </w:r>
            <w:r>
              <w:rPr>
                <w:rFonts w:ascii="SWISS" w:hAnsi="SWISS" w:cs="Arial"/>
                <w:sz w:val="20"/>
                <w:szCs w:val="20"/>
              </w:rPr>
              <w:t>573</w:t>
            </w:r>
            <w:r w:rsidRPr="00E022F8">
              <w:rPr>
                <w:rFonts w:ascii="SWISS" w:hAnsi="SWISS" w:cs="Arial"/>
                <w:sz w:val="20"/>
                <w:szCs w:val="20"/>
              </w:rPr>
              <w:t xml:space="preserve"> </w:t>
            </w:r>
          </w:p>
        </w:tc>
        <w:tc>
          <w:tcPr>
            <w:tcW w:w="1889"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468</w:t>
            </w:r>
            <w:r w:rsidRPr="00E022F8">
              <w:rPr>
                <w:rFonts w:ascii="SWISS" w:hAnsi="SWISS" w:cs="Arial"/>
                <w:sz w:val="20"/>
                <w:szCs w:val="20"/>
              </w:rPr>
              <w:t xml:space="preserve"> </w:t>
            </w: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2,</w:t>
            </w:r>
            <w:r>
              <w:rPr>
                <w:rFonts w:ascii="SWISS" w:hAnsi="SWISS" w:cs="Arial"/>
                <w:sz w:val="20"/>
                <w:szCs w:val="20"/>
              </w:rPr>
              <w:t>041</w:t>
            </w:r>
          </w:p>
        </w:tc>
      </w:tr>
      <w:tr w:rsidR="0005008E" w:rsidRPr="00E022F8" w:rsidTr="00FE758E">
        <w:trPr>
          <w:trHeight w:val="294"/>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5.</w:t>
            </w:r>
          </w:p>
        </w:tc>
        <w:tc>
          <w:tcPr>
            <w:tcW w:w="3641" w:type="dxa"/>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xml:space="preserve">  INCOME TAXES</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0</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0</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0</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0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6.</w:t>
            </w:r>
          </w:p>
        </w:tc>
        <w:tc>
          <w:tcPr>
            <w:tcW w:w="3641"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TOTAL OPERATING EXPENSES    </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2</w:t>
            </w:r>
            <w:r w:rsidRPr="00E022F8">
              <w:rPr>
                <w:rFonts w:ascii="SWISS" w:hAnsi="SWISS" w:cs="Arial"/>
                <w:sz w:val="20"/>
                <w:szCs w:val="20"/>
                <w:u w:val="single"/>
              </w:rPr>
              <w:t>6,</w:t>
            </w:r>
            <w:r>
              <w:rPr>
                <w:rFonts w:ascii="SWISS" w:hAnsi="SWISS" w:cs="Arial"/>
                <w:sz w:val="20"/>
                <w:szCs w:val="20"/>
                <w:u w:val="single"/>
              </w:rPr>
              <w:t>383</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$4,</w:t>
            </w:r>
            <w:r>
              <w:rPr>
                <w:rFonts w:ascii="SWISS" w:hAnsi="SWISS" w:cs="Arial"/>
                <w:sz w:val="20"/>
                <w:szCs w:val="20"/>
                <w:u w:val="single"/>
              </w:rPr>
              <w:t>476</w:t>
            </w:r>
            <w:r w:rsidRPr="00E022F8">
              <w:rPr>
                <w:rFonts w:ascii="SWISS" w:hAnsi="SWISS" w:cs="Arial"/>
                <w:sz w:val="20"/>
                <w:szCs w:val="20"/>
                <w:u w:val="single"/>
              </w:rPr>
              <w:t xml:space="preserve">  </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30,858</w:t>
            </w:r>
          </w:p>
        </w:tc>
        <w:tc>
          <w:tcPr>
            <w:tcW w:w="1889"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468</w:t>
            </w:r>
            <w:r w:rsidRPr="00E022F8">
              <w:rPr>
                <w:rFonts w:ascii="SWISS" w:hAnsi="SWISS" w:cs="Arial"/>
                <w:sz w:val="20"/>
                <w:szCs w:val="20"/>
                <w:u w:val="single"/>
              </w:rPr>
              <w:t xml:space="preserve"> </w:t>
            </w: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w:t>
            </w:r>
            <w:r>
              <w:rPr>
                <w:rFonts w:ascii="SWISS" w:hAnsi="SWISS" w:cs="Arial"/>
                <w:sz w:val="20"/>
                <w:szCs w:val="20"/>
                <w:u w:val="single"/>
              </w:rPr>
              <w:t>31</w:t>
            </w:r>
            <w:r w:rsidRPr="00E022F8">
              <w:rPr>
                <w:rFonts w:ascii="SWISS" w:hAnsi="SWISS" w:cs="Arial"/>
                <w:sz w:val="20"/>
                <w:szCs w:val="20"/>
                <w:u w:val="single"/>
              </w:rPr>
              <w:t>,</w:t>
            </w:r>
            <w:r>
              <w:rPr>
                <w:rFonts w:ascii="SWISS" w:hAnsi="SWISS" w:cs="Arial"/>
                <w:sz w:val="20"/>
                <w:szCs w:val="20"/>
                <w:u w:val="single"/>
              </w:rPr>
              <w:t>327</w:t>
            </w:r>
          </w:p>
        </w:tc>
      </w:tr>
      <w:tr w:rsidR="0005008E" w:rsidRPr="00E022F8" w:rsidTr="00FE758E">
        <w:trPr>
          <w:trHeight w:val="294"/>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7.</w:t>
            </w:r>
          </w:p>
        </w:tc>
        <w:tc>
          <w:tcPr>
            <w:tcW w:w="3641"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OPERATING INCOME/(LOSS)        </w:t>
            </w:r>
          </w:p>
        </w:tc>
        <w:tc>
          <w:tcPr>
            <w:tcW w:w="1889"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3</w:t>
            </w:r>
            <w:r w:rsidRPr="00E022F8">
              <w:rPr>
                <w:rFonts w:ascii="SWISS" w:hAnsi="SWISS" w:cs="Arial"/>
                <w:sz w:val="20"/>
                <w:szCs w:val="20"/>
                <w:u w:val="double"/>
              </w:rPr>
              <w:t>,</w:t>
            </w:r>
            <w:r>
              <w:rPr>
                <w:rFonts w:ascii="SWISS" w:hAnsi="SWISS" w:cs="Arial"/>
                <w:sz w:val="20"/>
                <w:szCs w:val="20"/>
                <w:u w:val="double"/>
              </w:rPr>
              <w:t>097</w:t>
            </w:r>
            <w:r w:rsidRPr="00E022F8">
              <w:rPr>
                <w:rFonts w:ascii="SWISS" w:hAnsi="SWISS" w:cs="Arial"/>
                <w:sz w:val="20"/>
                <w:szCs w:val="20"/>
                <w:u w:val="double"/>
              </w:rPr>
              <w:t xml:space="preserve">) </w:t>
            </w:r>
          </w:p>
        </w:tc>
        <w:tc>
          <w:tcPr>
            <w:tcW w:w="1889" w:type="dxa"/>
            <w:noWrap/>
            <w:vAlign w:val="bottom"/>
          </w:tcPr>
          <w:p w:rsidR="0005008E" w:rsidRPr="00E022F8" w:rsidRDefault="0005008E" w:rsidP="00FE758E">
            <w:pPr>
              <w:rPr>
                <w:rFonts w:ascii="SWISS" w:hAnsi="SWISS" w:cs="Arial"/>
                <w:sz w:val="20"/>
                <w:szCs w:val="20"/>
                <w:u w:val="double"/>
              </w:rPr>
            </w:pPr>
          </w:p>
        </w:tc>
        <w:tc>
          <w:tcPr>
            <w:tcW w:w="1889" w:type="dxa"/>
            <w:noWrap/>
            <w:vAlign w:val="bottom"/>
            <w:hideMark/>
          </w:tcPr>
          <w:p w:rsidR="0005008E" w:rsidRPr="00E022F8" w:rsidRDefault="0005008E" w:rsidP="00FE758E">
            <w:pPr>
              <w:jc w:val="right"/>
              <w:rPr>
                <w:rFonts w:ascii="SWISS" w:hAnsi="SWISS" w:cs="Arial"/>
                <w:sz w:val="20"/>
                <w:szCs w:val="20"/>
                <w:u w:val="double"/>
              </w:rPr>
            </w:pPr>
            <w:r>
              <w:rPr>
                <w:rFonts w:ascii="SWISS" w:hAnsi="SWISS" w:cs="Arial"/>
                <w:sz w:val="20"/>
                <w:szCs w:val="20"/>
                <w:u w:val="double"/>
              </w:rPr>
              <w:t>(</w:t>
            </w:r>
            <w:r w:rsidRPr="00E022F8">
              <w:rPr>
                <w:rFonts w:ascii="SWISS" w:hAnsi="SWISS" w:cs="Arial"/>
                <w:sz w:val="20"/>
                <w:szCs w:val="20"/>
                <w:u w:val="double"/>
              </w:rPr>
              <w:t>$</w:t>
            </w:r>
            <w:r>
              <w:rPr>
                <w:rFonts w:ascii="SWISS" w:hAnsi="SWISS" w:cs="Arial"/>
                <w:sz w:val="20"/>
                <w:szCs w:val="20"/>
                <w:u w:val="double"/>
              </w:rPr>
              <w:t>6,971)</w:t>
            </w:r>
          </w:p>
        </w:tc>
        <w:tc>
          <w:tcPr>
            <w:tcW w:w="1889" w:type="dxa"/>
            <w:noWrap/>
            <w:vAlign w:val="bottom"/>
          </w:tcPr>
          <w:p w:rsidR="0005008E" w:rsidRPr="00E022F8" w:rsidRDefault="0005008E" w:rsidP="00FE758E">
            <w:pPr>
              <w:rPr>
                <w:rFonts w:ascii="SWISS" w:hAnsi="SWISS" w:cs="Arial"/>
                <w:sz w:val="20"/>
                <w:szCs w:val="20"/>
                <w:u w:val="double"/>
              </w:rPr>
            </w:pP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2</w:t>
            </w:r>
            <w:r w:rsidRPr="00E022F8">
              <w:rPr>
                <w:rFonts w:ascii="SWISS" w:hAnsi="SWISS" w:cs="Arial"/>
                <w:sz w:val="20"/>
                <w:szCs w:val="20"/>
                <w:u w:val="double"/>
              </w:rPr>
              <w:t>,</w:t>
            </w:r>
            <w:r>
              <w:rPr>
                <w:rFonts w:ascii="SWISS" w:hAnsi="SWISS" w:cs="Arial"/>
                <w:sz w:val="20"/>
                <w:szCs w:val="20"/>
                <w:u w:val="double"/>
              </w:rPr>
              <w:t>966</w:t>
            </w:r>
            <w:r w:rsidRPr="00E022F8">
              <w:rPr>
                <w:rFonts w:ascii="SWISS" w:hAnsi="SWISS" w:cs="Arial"/>
                <w:sz w:val="20"/>
                <w:szCs w:val="20"/>
                <w:u w:val="double"/>
              </w:rPr>
              <w:t xml:space="preserve">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8.</w:t>
            </w:r>
          </w:p>
        </w:tc>
        <w:tc>
          <w:tcPr>
            <w:tcW w:w="3641"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WATER RATE BASE           </w:t>
            </w:r>
          </w:p>
        </w:tc>
        <w:tc>
          <w:tcPr>
            <w:tcW w:w="1889"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21</w:t>
            </w:r>
            <w:r w:rsidRPr="00E022F8">
              <w:rPr>
                <w:rFonts w:ascii="SWISS" w:hAnsi="SWISS" w:cs="Arial"/>
                <w:sz w:val="20"/>
                <w:szCs w:val="20"/>
                <w:u w:val="double"/>
              </w:rPr>
              <w:t>,</w:t>
            </w:r>
            <w:r>
              <w:rPr>
                <w:rFonts w:ascii="SWISS" w:hAnsi="SWISS" w:cs="Arial"/>
                <w:sz w:val="20"/>
                <w:szCs w:val="20"/>
                <w:u w:val="double"/>
              </w:rPr>
              <w:t>691</w:t>
            </w:r>
            <w:r w:rsidRPr="00E022F8">
              <w:rPr>
                <w:rFonts w:ascii="SWISS" w:hAnsi="SWISS" w:cs="Arial"/>
                <w:sz w:val="20"/>
                <w:szCs w:val="20"/>
                <w:u w:val="double"/>
              </w:rPr>
              <w:t xml:space="preserve"> </w:t>
            </w:r>
          </w:p>
        </w:tc>
        <w:tc>
          <w:tcPr>
            <w:tcW w:w="1889" w:type="dxa"/>
            <w:noWrap/>
            <w:vAlign w:val="bottom"/>
          </w:tcPr>
          <w:p w:rsidR="0005008E" w:rsidRPr="00E022F8" w:rsidRDefault="0005008E" w:rsidP="00FE758E">
            <w:pPr>
              <w:rPr>
                <w:rFonts w:ascii="SWISS" w:hAnsi="SWISS" w:cs="Arial"/>
                <w:sz w:val="20"/>
                <w:szCs w:val="20"/>
                <w:u w:val="double"/>
              </w:rPr>
            </w:pPr>
          </w:p>
        </w:tc>
        <w:tc>
          <w:tcPr>
            <w:tcW w:w="1889" w:type="dxa"/>
            <w:noWrap/>
            <w:vAlign w:val="bottom"/>
            <w:hideMark/>
          </w:tcPr>
          <w:p w:rsidR="0005008E" w:rsidRPr="00E022F8" w:rsidRDefault="0005008E" w:rsidP="00FE758E">
            <w:pPr>
              <w:jc w:val="right"/>
              <w:rPr>
                <w:rFonts w:ascii="SWISS" w:hAnsi="SWISS" w:cs="Arial"/>
                <w:sz w:val="20"/>
                <w:szCs w:val="20"/>
                <w:u w:val="double"/>
              </w:rPr>
            </w:pPr>
            <w:r>
              <w:rPr>
                <w:rFonts w:ascii="SWISS" w:hAnsi="SWISS" w:cs="Arial"/>
                <w:sz w:val="20"/>
                <w:szCs w:val="20"/>
                <w:u w:val="double"/>
              </w:rPr>
              <w:t>$36,616</w:t>
            </w:r>
          </w:p>
        </w:tc>
        <w:tc>
          <w:tcPr>
            <w:tcW w:w="1889" w:type="dxa"/>
            <w:noWrap/>
            <w:vAlign w:val="bottom"/>
          </w:tcPr>
          <w:p w:rsidR="0005008E" w:rsidRPr="00E022F8" w:rsidRDefault="0005008E" w:rsidP="00FE758E">
            <w:pPr>
              <w:rPr>
                <w:rFonts w:ascii="SWISS" w:hAnsi="SWISS" w:cs="Arial"/>
                <w:sz w:val="20"/>
                <w:szCs w:val="20"/>
                <w:u w:val="double"/>
              </w:rPr>
            </w:pP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36,616</w:t>
            </w:r>
          </w:p>
        </w:tc>
      </w:tr>
      <w:tr w:rsidR="0005008E" w:rsidRPr="00E022F8" w:rsidTr="00FE758E">
        <w:trPr>
          <w:trHeight w:val="294"/>
          <w:jc w:val="center"/>
        </w:trPr>
        <w:tc>
          <w:tcPr>
            <w:tcW w:w="758" w:type="dxa"/>
            <w:tcBorders>
              <w:top w:val="nil"/>
              <w:left w:val="single" w:sz="8" w:space="0" w:color="auto"/>
              <w:bottom w:val="nil"/>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noWrap/>
            <w:vAlign w:val="bottom"/>
          </w:tcPr>
          <w:p w:rsidR="0005008E" w:rsidRPr="00E022F8" w:rsidRDefault="0005008E" w:rsidP="00FE758E">
            <w:pPr>
              <w:rPr>
                <w:rFonts w:ascii="SWISS" w:hAnsi="SWISS" w:cs="Arial"/>
                <w:color w:val="000000"/>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noWrap/>
            <w:vAlign w:val="bottom"/>
          </w:tcPr>
          <w:p w:rsidR="0005008E" w:rsidRPr="00E022F8" w:rsidRDefault="0005008E" w:rsidP="00FE758E">
            <w:pPr>
              <w:rPr>
                <w:rFonts w:ascii="SWISS" w:hAnsi="SWISS" w:cs="Arial"/>
                <w:sz w:val="20"/>
                <w:szCs w:val="20"/>
              </w:rPr>
            </w:pPr>
          </w:p>
        </w:tc>
        <w:tc>
          <w:tcPr>
            <w:tcW w:w="1889" w:type="dxa"/>
            <w:tcBorders>
              <w:top w:val="nil"/>
              <w:left w:val="nil"/>
              <w:bottom w:val="nil"/>
              <w:right w:val="single" w:sz="8" w:space="0" w:color="auto"/>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r>
      <w:tr w:rsidR="0005008E" w:rsidRPr="00E022F8" w:rsidTr="00FE758E">
        <w:trPr>
          <w:trHeight w:val="294"/>
          <w:jc w:val="center"/>
        </w:trPr>
        <w:tc>
          <w:tcPr>
            <w:tcW w:w="758" w:type="dxa"/>
            <w:tcBorders>
              <w:top w:val="nil"/>
              <w:left w:val="single" w:sz="8" w:space="0" w:color="auto"/>
              <w:bottom w:val="nil"/>
              <w:right w:val="nil"/>
            </w:tcBorders>
            <w:noWrap/>
            <w:vAlign w:val="bottom"/>
            <w:hideMark/>
          </w:tcPr>
          <w:p w:rsidR="0005008E" w:rsidRPr="00E022F8" w:rsidRDefault="0005008E" w:rsidP="00FE758E">
            <w:pPr>
              <w:jc w:val="center"/>
              <w:rPr>
                <w:rFonts w:ascii="SWISS" w:hAnsi="SWISS" w:cs="Arial"/>
                <w:color w:val="000000"/>
                <w:sz w:val="20"/>
                <w:szCs w:val="20"/>
              </w:rPr>
            </w:pPr>
            <w:r w:rsidRPr="00E022F8">
              <w:rPr>
                <w:rFonts w:ascii="SWISS" w:hAnsi="SWISS" w:cs="Arial"/>
                <w:color w:val="000000"/>
                <w:sz w:val="20"/>
                <w:szCs w:val="20"/>
              </w:rPr>
              <w:t xml:space="preserve">  9.</w:t>
            </w:r>
          </w:p>
        </w:tc>
        <w:tc>
          <w:tcPr>
            <w:tcW w:w="3641"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RATE OF RETURN</w:t>
            </w:r>
          </w:p>
        </w:tc>
        <w:tc>
          <w:tcPr>
            <w:tcW w:w="1889" w:type="dxa"/>
            <w:noWrap/>
            <w:vAlign w:val="bottom"/>
            <w:hideMark/>
          </w:tcPr>
          <w:p w:rsidR="0005008E" w:rsidRPr="00E022F8" w:rsidRDefault="0005008E" w:rsidP="00FE758E">
            <w:pPr>
              <w:rPr>
                <w:rFonts w:ascii="SWISS" w:hAnsi="SWISS" w:cs="Arial"/>
                <w:sz w:val="20"/>
                <w:szCs w:val="20"/>
                <w:u w:val="double"/>
              </w:rPr>
            </w:pPr>
            <w:r w:rsidRPr="00E022F8">
              <w:rPr>
                <w:rFonts w:ascii="SWISS" w:hAnsi="SWISS" w:cs="Arial"/>
                <w:sz w:val="20"/>
                <w:szCs w:val="20"/>
              </w:rPr>
              <w:t xml:space="preserve">                      </w:t>
            </w:r>
            <w:r w:rsidRPr="00E022F8">
              <w:rPr>
                <w:rFonts w:ascii="SWISS" w:hAnsi="SWISS" w:cs="Arial"/>
                <w:sz w:val="20"/>
                <w:szCs w:val="20"/>
                <w:u w:val="double"/>
              </w:rPr>
              <w:t>(1</w:t>
            </w:r>
            <w:r>
              <w:rPr>
                <w:rFonts w:ascii="SWISS" w:hAnsi="SWISS" w:cs="Arial"/>
                <w:sz w:val="20"/>
                <w:szCs w:val="20"/>
                <w:u w:val="double"/>
              </w:rPr>
              <w:t>4</w:t>
            </w:r>
            <w:r w:rsidRPr="00E022F8">
              <w:rPr>
                <w:rFonts w:ascii="SWISS" w:hAnsi="SWISS" w:cs="Arial"/>
                <w:sz w:val="20"/>
                <w:szCs w:val="20"/>
                <w:u w:val="double"/>
              </w:rPr>
              <w:t>.</w:t>
            </w:r>
            <w:r>
              <w:rPr>
                <w:rFonts w:ascii="SWISS" w:hAnsi="SWISS" w:cs="Arial"/>
                <w:sz w:val="20"/>
                <w:szCs w:val="20"/>
                <w:u w:val="double"/>
              </w:rPr>
              <w:t>28</w:t>
            </w:r>
            <w:r w:rsidRPr="00E022F8">
              <w:rPr>
                <w:rFonts w:ascii="SWISS" w:hAnsi="SWISS" w:cs="Arial"/>
                <w:sz w:val="20"/>
                <w:szCs w:val="20"/>
                <w:u w:val="double"/>
              </w:rPr>
              <w:t>%)</w:t>
            </w:r>
          </w:p>
        </w:tc>
        <w:tc>
          <w:tcPr>
            <w:tcW w:w="1889" w:type="dxa"/>
            <w:noWrap/>
            <w:vAlign w:val="bottom"/>
          </w:tcPr>
          <w:p w:rsidR="0005008E" w:rsidRPr="00E022F8" w:rsidRDefault="0005008E" w:rsidP="00FE758E">
            <w:pPr>
              <w:rPr>
                <w:rFonts w:ascii="SWISS" w:hAnsi="SWISS" w:cs="Arial"/>
                <w:sz w:val="20"/>
                <w:szCs w:val="20"/>
                <w:u w:val="double"/>
              </w:rPr>
            </w:pPr>
          </w:p>
        </w:tc>
        <w:tc>
          <w:tcPr>
            <w:tcW w:w="1889" w:type="dxa"/>
            <w:noWrap/>
            <w:vAlign w:val="bottom"/>
            <w:hideMark/>
          </w:tcPr>
          <w:p w:rsidR="0005008E" w:rsidRPr="00E022F8" w:rsidRDefault="0005008E" w:rsidP="00FE758E">
            <w:pPr>
              <w:jc w:val="right"/>
              <w:rPr>
                <w:rFonts w:ascii="SWISS" w:hAnsi="SWISS" w:cs="Arial"/>
                <w:sz w:val="20"/>
                <w:szCs w:val="20"/>
                <w:u w:val="double"/>
              </w:rPr>
            </w:pPr>
            <w:r>
              <w:rPr>
                <w:rFonts w:ascii="SWISS" w:hAnsi="SWISS" w:cs="Arial"/>
                <w:sz w:val="20"/>
                <w:szCs w:val="20"/>
                <w:u w:val="double"/>
              </w:rPr>
              <w:t>(19.04</w:t>
            </w:r>
            <w:r w:rsidRPr="00E022F8">
              <w:rPr>
                <w:rFonts w:ascii="SWISS" w:hAnsi="SWISS" w:cs="Arial"/>
                <w:sz w:val="20"/>
                <w:szCs w:val="20"/>
                <w:u w:val="double"/>
              </w:rPr>
              <w:t>%</w:t>
            </w:r>
            <w:r>
              <w:rPr>
                <w:rFonts w:ascii="SWISS" w:hAnsi="SWISS" w:cs="Arial"/>
                <w:sz w:val="20"/>
                <w:szCs w:val="20"/>
                <w:u w:val="double"/>
              </w:rPr>
              <w:t>)</w:t>
            </w:r>
          </w:p>
        </w:tc>
        <w:tc>
          <w:tcPr>
            <w:tcW w:w="1889" w:type="dxa"/>
            <w:noWrap/>
            <w:vAlign w:val="bottom"/>
          </w:tcPr>
          <w:p w:rsidR="0005008E" w:rsidRPr="00E022F8" w:rsidRDefault="0005008E" w:rsidP="00FE758E">
            <w:pPr>
              <w:rPr>
                <w:rFonts w:ascii="SWISS" w:hAnsi="SWISS" w:cs="Arial"/>
                <w:sz w:val="20"/>
                <w:szCs w:val="20"/>
                <w:u w:val="double"/>
              </w:rPr>
            </w:pPr>
          </w:p>
        </w:tc>
        <w:tc>
          <w:tcPr>
            <w:tcW w:w="18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8.</w:t>
            </w:r>
            <w:r>
              <w:rPr>
                <w:rFonts w:ascii="SWISS" w:hAnsi="SWISS" w:cs="Arial"/>
                <w:sz w:val="20"/>
                <w:szCs w:val="20"/>
                <w:u w:val="double"/>
              </w:rPr>
              <w:t>10</w:t>
            </w:r>
            <w:r w:rsidRPr="00E022F8">
              <w:rPr>
                <w:rFonts w:ascii="SWISS" w:hAnsi="SWISS" w:cs="Arial"/>
                <w:sz w:val="20"/>
                <w:szCs w:val="20"/>
                <w:u w:val="double"/>
              </w:rPr>
              <w:t>%</w:t>
            </w:r>
          </w:p>
        </w:tc>
      </w:tr>
      <w:tr w:rsidR="0005008E" w:rsidRPr="00E022F8" w:rsidTr="00FE758E">
        <w:trPr>
          <w:trHeight w:val="306"/>
          <w:jc w:val="center"/>
        </w:trPr>
        <w:tc>
          <w:tcPr>
            <w:tcW w:w="758" w:type="dxa"/>
            <w:tcBorders>
              <w:top w:val="nil"/>
              <w:left w:val="single" w:sz="8" w:space="0" w:color="auto"/>
              <w:bottom w:val="single" w:sz="8" w:space="0" w:color="auto"/>
              <w:right w:val="nil"/>
            </w:tcBorders>
            <w:noWrap/>
            <w:vAlign w:val="bottom"/>
          </w:tcPr>
          <w:p w:rsidR="0005008E" w:rsidRPr="00E022F8" w:rsidRDefault="0005008E" w:rsidP="00FE758E">
            <w:pPr>
              <w:jc w:val="center"/>
              <w:rPr>
                <w:rFonts w:ascii="SWISS" w:hAnsi="SWISS" w:cs="Arial"/>
                <w:color w:val="000000"/>
                <w:sz w:val="20"/>
                <w:szCs w:val="20"/>
              </w:rPr>
            </w:pPr>
          </w:p>
        </w:tc>
        <w:tc>
          <w:tcPr>
            <w:tcW w:w="3641"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889" w:type="dxa"/>
            <w:tcBorders>
              <w:top w:val="nil"/>
              <w:left w:val="nil"/>
              <w:bottom w:val="single" w:sz="8" w:space="0" w:color="auto"/>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bl>
    <w:p w:rsidR="0005008E" w:rsidRDefault="0005008E" w:rsidP="00925414">
      <w:pPr>
        <w:pStyle w:val="OrderBody"/>
        <w:sectPr w:rsidR="0005008E" w:rsidSect="0005008E">
          <w:headerReference w:type="first" r:id="rId13"/>
          <w:pgSz w:w="15840" w:h="12240" w:orient="landscape" w:code="1"/>
          <w:pgMar w:top="1440" w:right="1440" w:bottom="1440" w:left="1440" w:header="720" w:footer="720" w:gutter="0"/>
          <w:cols w:space="720"/>
          <w:titlePg/>
          <w:docGrid w:linePitch="360"/>
        </w:sectPr>
      </w:pPr>
    </w:p>
    <w:tbl>
      <w:tblPr>
        <w:tblpPr w:leftFromText="180" w:rightFromText="180" w:vertAnchor="text" w:tblpXSpec="center" w:tblpY="23"/>
        <w:tblW w:w="9380" w:type="dxa"/>
        <w:tblCellMar>
          <w:left w:w="0" w:type="dxa"/>
          <w:right w:w="0" w:type="dxa"/>
        </w:tblCellMar>
        <w:tblLook w:val="04A0" w:firstRow="1" w:lastRow="0" w:firstColumn="1" w:lastColumn="0" w:noHBand="0" w:noVBand="1"/>
      </w:tblPr>
      <w:tblGrid>
        <w:gridCol w:w="994"/>
        <w:gridCol w:w="6689"/>
        <w:gridCol w:w="1697"/>
      </w:tblGrid>
      <w:tr w:rsidR="0005008E" w:rsidRPr="00E022F8" w:rsidTr="00FE758E">
        <w:trPr>
          <w:trHeight w:val="67"/>
        </w:trPr>
        <w:tc>
          <w:tcPr>
            <w:tcW w:w="983" w:type="dxa"/>
            <w:tcBorders>
              <w:top w:val="single" w:sz="8" w:space="0" w:color="auto"/>
              <w:left w:val="single" w:sz="8" w:space="0" w:color="auto"/>
              <w:bottom w:val="nil"/>
              <w:right w:val="nil"/>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lastRenderedPageBreak/>
              <w:t> </w:t>
            </w:r>
          </w:p>
        </w:tc>
        <w:tc>
          <w:tcPr>
            <w:tcW w:w="8397" w:type="dxa"/>
            <w:gridSpan w:val="2"/>
            <w:tcBorders>
              <w:top w:val="single" w:sz="8" w:space="0" w:color="auto"/>
              <w:left w:val="nil"/>
              <w:bottom w:val="nil"/>
              <w:right w:val="single" w:sz="8" w:space="0" w:color="auto"/>
            </w:tcBorders>
            <w:noWrap/>
            <w:vAlign w:val="bottom"/>
            <w:hideMark/>
          </w:tcPr>
          <w:p w:rsidR="0005008E" w:rsidRPr="00E022F8" w:rsidRDefault="0005008E" w:rsidP="00FE758E">
            <w:pPr>
              <w:rPr>
                <w:rFonts w:ascii="SWISS" w:hAnsi="SWISS" w:cs="Arial"/>
                <w:b/>
                <w:bCs/>
                <w:color w:val="000000"/>
                <w:sz w:val="20"/>
                <w:szCs w:val="20"/>
              </w:rPr>
            </w:pPr>
            <w:r>
              <w:rPr>
                <w:rFonts w:ascii="SWISS" w:hAnsi="SWISS" w:cs="Arial"/>
                <w:b/>
                <w:bCs/>
                <w:color w:val="000000"/>
                <w:sz w:val="20"/>
                <w:szCs w:val="20"/>
              </w:rPr>
              <w:t>P</w:t>
            </w:r>
            <w:r w:rsidRPr="00EB6C7F">
              <w:rPr>
                <w:rFonts w:ascii="SWISS" w:hAnsi="SWISS" w:cs="Arial"/>
                <w:b/>
                <w:bCs/>
                <w:color w:val="000000"/>
                <w:sz w:val="20"/>
                <w:szCs w:val="20"/>
              </w:rPr>
              <w:t>INE HAR</w:t>
            </w:r>
            <w:r>
              <w:rPr>
                <w:rFonts w:ascii="SWISS" w:hAnsi="SWISS" w:cs="Arial"/>
                <w:b/>
                <w:bCs/>
                <w:color w:val="000000"/>
                <w:sz w:val="20"/>
                <w:szCs w:val="20"/>
              </w:rPr>
              <w:t>BOUR</w:t>
            </w:r>
            <w:r w:rsidRPr="00E022F8">
              <w:rPr>
                <w:rFonts w:ascii="SWISS" w:hAnsi="SWISS" w:cs="Arial"/>
                <w:b/>
                <w:bCs/>
                <w:color w:val="000000"/>
                <w:sz w:val="20"/>
                <w:szCs w:val="20"/>
              </w:rPr>
              <w:t xml:space="preserve"> WATERWORKS, INC.         </w:t>
            </w:r>
            <w:r>
              <w:rPr>
                <w:rFonts w:ascii="SWISS" w:hAnsi="SWISS" w:cs="Arial"/>
                <w:b/>
                <w:bCs/>
                <w:color w:val="000000"/>
                <w:sz w:val="20"/>
                <w:szCs w:val="20"/>
              </w:rPr>
              <w:t xml:space="preserve"> </w:t>
            </w:r>
            <w:r w:rsidRPr="00E022F8">
              <w:rPr>
                <w:rFonts w:ascii="SWISS" w:hAnsi="SWISS" w:cs="Arial"/>
                <w:b/>
                <w:bCs/>
                <w:color w:val="000000"/>
                <w:sz w:val="20"/>
                <w:szCs w:val="20"/>
              </w:rPr>
              <w:t xml:space="preserve">                       </w:t>
            </w:r>
            <w:r>
              <w:rPr>
                <w:rFonts w:ascii="SWISS" w:hAnsi="SWISS" w:cs="Arial"/>
                <w:b/>
                <w:bCs/>
                <w:color w:val="000000"/>
                <w:sz w:val="20"/>
                <w:szCs w:val="20"/>
              </w:rPr>
              <w:t xml:space="preserve">      </w:t>
            </w:r>
            <w:r w:rsidRPr="00E022F8">
              <w:rPr>
                <w:rFonts w:ascii="SWISS" w:hAnsi="SWISS" w:cs="Arial"/>
                <w:b/>
                <w:bCs/>
                <w:color w:val="000000"/>
                <w:sz w:val="20"/>
                <w:szCs w:val="20"/>
              </w:rPr>
              <w:t xml:space="preserve">                 SCHEDULE NO. 3-B</w:t>
            </w:r>
            <w:r w:rsidRPr="00E022F8">
              <w:rPr>
                <w:sz w:val="20"/>
                <w:szCs w:val="20"/>
              </w:rPr>
              <w:fldChar w:fldCharType="begin"/>
            </w:r>
            <w:r w:rsidRPr="00E022F8">
              <w:rPr>
                <w:sz w:val="20"/>
                <w:szCs w:val="20"/>
              </w:rPr>
              <w:instrText xml:space="preserve"> TC "</w:instrText>
            </w:r>
            <w:bookmarkStart w:id="20" w:name="_Toc399147320"/>
            <w:r w:rsidRPr="00E022F8">
              <w:rPr>
                <w:sz w:val="20"/>
                <w:szCs w:val="20"/>
              </w:rPr>
              <w:instrText xml:space="preserve"> </w:instrText>
            </w:r>
            <w:bookmarkStart w:id="21" w:name="_Toc443384732"/>
            <w:bookmarkStart w:id="22" w:name="_Toc441233997"/>
            <w:bookmarkStart w:id="23" w:name="_Toc422220890"/>
            <w:bookmarkStart w:id="24" w:name="_Toc451766981"/>
            <w:bookmarkStart w:id="25" w:name="_Toc516844169"/>
            <w:r w:rsidRPr="00E022F8">
              <w:rPr>
                <w:sz w:val="20"/>
                <w:szCs w:val="20"/>
              </w:rPr>
              <w:instrText>Schedule No. 3-B Adjustments to Operating Income</w:instrText>
            </w:r>
            <w:bookmarkEnd w:id="20"/>
            <w:bookmarkEnd w:id="21"/>
            <w:bookmarkEnd w:id="22"/>
            <w:bookmarkEnd w:id="23"/>
            <w:bookmarkEnd w:id="24"/>
            <w:bookmarkEnd w:id="25"/>
            <w:r w:rsidRPr="00E022F8">
              <w:rPr>
                <w:sz w:val="20"/>
                <w:szCs w:val="20"/>
              </w:rPr>
              <w:instrText xml:space="preserve">”\l 1 </w:instrText>
            </w:r>
            <w:r w:rsidRPr="00E022F8">
              <w:rPr>
                <w:sz w:val="20"/>
                <w:szCs w:val="20"/>
              </w:rPr>
              <w:fldChar w:fldCharType="end"/>
            </w: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w:t>
            </w:r>
          </w:p>
        </w:tc>
        <w:tc>
          <w:tcPr>
            <w:tcW w:w="8397" w:type="dxa"/>
            <w:gridSpan w:val="2"/>
            <w:tcBorders>
              <w:top w:val="nil"/>
              <w:left w:val="nil"/>
              <w:bottom w:val="nil"/>
              <w:right w:val="single" w:sz="8" w:space="0" w:color="auto"/>
            </w:tcBorders>
            <w:noWrap/>
            <w:vAlign w:val="bottom"/>
            <w:hideMark/>
          </w:tcPr>
          <w:p w:rsidR="0005008E" w:rsidRPr="00E022F8" w:rsidRDefault="0005008E" w:rsidP="00FE758E">
            <w:pPr>
              <w:ind w:left="-11"/>
              <w:rPr>
                <w:rFonts w:ascii="SWISS" w:hAnsi="SWISS" w:cs="Arial"/>
                <w:b/>
                <w:bCs/>
                <w:color w:val="000000"/>
                <w:sz w:val="20"/>
                <w:szCs w:val="20"/>
              </w:rPr>
            </w:pPr>
            <w:r w:rsidRPr="00E022F8">
              <w:rPr>
                <w:rFonts w:ascii="SWISS" w:hAnsi="SWISS" w:cs="Arial"/>
                <w:b/>
                <w:bCs/>
                <w:color w:val="000000"/>
                <w:sz w:val="20"/>
                <w:szCs w:val="20"/>
              </w:rPr>
              <w:t xml:space="preserve">TEST YEAR ENDED </w:t>
            </w:r>
            <w:r>
              <w:rPr>
                <w:rFonts w:ascii="SWISS" w:hAnsi="SWISS" w:cs="Arial"/>
                <w:b/>
                <w:bCs/>
                <w:color w:val="000000"/>
                <w:sz w:val="20"/>
                <w:szCs w:val="20"/>
              </w:rPr>
              <w:t>12</w:t>
            </w:r>
            <w:r w:rsidRPr="00E022F8">
              <w:rPr>
                <w:rFonts w:ascii="SWISS" w:hAnsi="SWISS" w:cs="Arial"/>
                <w:b/>
                <w:bCs/>
                <w:color w:val="000000"/>
                <w:sz w:val="20"/>
                <w:szCs w:val="20"/>
              </w:rPr>
              <w:t>/31/1</w:t>
            </w:r>
            <w:r>
              <w:rPr>
                <w:rFonts w:ascii="SWISS" w:hAnsi="SWISS" w:cs="Arial"/>
                <w:b/>
                <w:bCs/>
                <w:color w:val="000000"/>
                <w:sz w:val="20"/>
                <w:szCs w:val="20"/>
              </w:rPr>
              <w:t>7</w:t>
            </w:r>
            <w:r w:rsidRPr="00E022F8">
              <w:rPr>
                <w:rFonts w:ascii="SWISS" w:hAnsi="SWISS" w:cs="Arial"/>
                <w:b/>
                <w:bCs/>
                <w:color w:val="000000"/>
                <w:sz w:val="20"/>
                <w:szCs w:val="20"/>
              </w:rPr>
              <w:t xml:space="preserve">                                                   </w:t>
            </w:r>
            <w:r>
              <w:rPr>
                <w:rFonts w:ascii="SWISS" w:hAnsi="SWISS" w:cs="Arial"/>
                <w:b/>
                <w:bCs/>
                <w:color w:val="000000"/>
                <w:sz w:val="20"/>
                <w:szCs w:val="20"/>
              </w:rPr>
              <w:t xml:space="preserve">     </w:t>
            </w:r>
            <w:r w:rsidRPr="00E022F8">
              <w:rPr>
                <w:rFonts w:ascii="SWISS" w:hAnsi="SWISS" w:cs="Arial"/>
                <w:b/>
                <w:bCs/>
                <w:color w:val="000000"/>
                <w:sz w:val="20"/>
                <w:szCs w:val="20"/>
              </w:rPr>
              <w:t xml:space="preserve"> </w:t>
            </w:r>
            <w:r>
              <w:rPr>
                <w:rFonts w:ascii="SWISS" w:hAnsi="SWISS" w:cs="Arial"/>
                <w:b/>
                <w:bCs/>
                <w:color w:val="000000"/>
                <w:sz w:val="20"/>
                <w:szCs w:val="20"/>
              </w:rPr>
              <w:t xml:space="preserve">  </w:t>
            </w:r>
            <w:r w:rsidRPr="00E022F8">
              <w:rPr>
                <w:rFonts w:ascii="SWISS" w:hAnsi="SWISS" w:cs="Arial"/>
                <w:b/>
                <w:bCs/>
                <w:color w:val="000000"/>
                <w:sz w:val="20"/>
                <w:szCs w:val="20"/>
              </w:rPr>
              <w:t xml:space="preserve">    DOCKET NO. </w:t>
            </w:r>
            <w:r>
              <w:rPr>
                <w:rFonts w:ascii="SWISS" w:hAnsi="SWISS" w:cs="Arial"/>
                <w:b/>
                <w:bCs/>
                <w:color w:val="000000"/>
                <w:sz w:val="20"/>
                <w:szCs w:val="20"/>
              </w:rPr>
              <w:t>20180022</w:t>
            </w:r>
            <w:r w:rsidRPr="00E022F8">
              <w:rPr>
                <w:rFonts w:ascii="SWISS" w:hAnsi="SWISS" w:cs="Arial"/>
                <w:b/>
                <w:bCs/>
                <w:color w:val="000000"/>
                <w:sz w:val="20"/>
                <w:szCs w:val="20"/>
              </w:rPr>
              <w:t>-WU</w:t>
            </w:r>
          </w:p>
        </w:tc>
      </w:tr>
      <w:tr w:rsidR="0005008E" w:rsidRPr="00E022F8" w:rsidTr="00FE758E">
        <w:trPr>
          <w:trHeight w:val="71"/>
        </w:trPr>
        <w:tc>
          <w:tcPr>
            <w:tcW w:w="983" w:type="dxa"/>
            <w:tcBorders>
              <w:top w:val="nil"/>
              <w:left w:val="single" w:sz="8" w:space="0" w:color="auto"/>
              <w:bottom w:val="single" w:sz="8" w:space="0" w:color="auto"/>
              <w:right w:val="nil"/>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w:t>
            </w:r>
          </w:p>
        </w:tc>
        <w:tc>
          <w:tcPr>
            <w:tcW w:w="8397" w:type="dxa"/>
            <w:gridSpan w:val="2"/>
            <w:tcBorders>
              <w:top w:val="nil"/>
              <w:left w:val="nil"/>
              <w:bottom w:val="single" w:sz="8" w:space="0" w:color="auto"/>
              <w:right w:val="single" w:sz="8" w:space="0" w:color="auto"/>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sz w:val="20"/>
                <w:szCs w:val="20"/>
              </w:rPr>
              <w:t xml:space="preserve">ADJUSTMENTS TO OPERATING INCOME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707" w:type="dxa"/>
            <w:noWrap/>
            <w:vAlign w:val="bottom"/>
          </w:tcPr>
          <w:p w:rsidR="0005008E" w:rsidRPr="00E022F8" w:rsidRDefault="0005008E" w:rsidP="00FE758E">
            <w:pPr>
              <w:rPr>
                <w:rFonts w:ascii="SWISS" w:hAnsi="SWISS" w:cs="Arial"/>
                <w:b/>
                <w:bCs/>
                <w:sz w:val="20"/>
                <w:szCs w:val="20"/>
              </w:rPr>
            </w:pP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b/>
                <w:color w:val="000000"/>
                <w:sz w:val="20"/>
                <w:szCs w:val="20"/>
                <w:u w:val="single"/>
              </w:rPr>
            </w:pPr>
            <w:r w:rsidRPr="00E022F8">
              <w:rPr>
                <w:rFonts w:ascii="SWISS" w:hAnsi="SWISS" w:cs="Arial"/>
                <w:color w:val="000000"/>
                <w:sz w:val="20"/>
                <w:szCs w:val="20"/>
              </w:rPr>
              <w:t xml:space="preserve">    </w:t>
            </w:r>
            <w:r w:rsidRPr="00E022F8">
              <w:rPr>
                <w:rFonts w:ascii="SWISS" w:hAnsi="SWISS" w:cs="Arial"/>
                <w:b/>
                <w:color w:val="000000"/>
                <w:sz w:val="20"/>
                <w:szCs w:val="20"/>
                <w:u w:val="single"/>
              </w:rPr>
              <w:t>WATER</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ind w:left="10"/>
              <w:jc w:val="right"/>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b/>
                <w:bCs/>
                <w:sz w:val="20"/>
                <w:szCs w:val="20"/>
              </w:rPr>
            </w:pPr>
            <w:r w:rsidRPr="00E022F8">
              <w:rPr>
                <w:rFonts w:ascii="SWISS" w:hAnsi="SWISS" w:cs="Arial"/>
                <w:b/>
                <w:bCs/>
                <w:sz w:val="20"/>
                <w:szCs w:val="20"/>
              </w:rPr>
              <w:t>OPERATING REVENUES</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rPr>
                <w:rFonts w:ascii="SWISS" w:hAnsi="SWISS" w:cs="Arial"/>
                <w:sz w:val="20"/>
                <w:szCs w:val="20"/>
              </w:rPr>
            </w:pPr>
            <w:r w:rsidRPr="00E022F8">
              <w:rPr>
                <w:rFonts w:ascii="SWISS" w:hAnsi="SWISS" w:cs="Arial"/>
                <w:sz w:val="20"/>
                <w:szCs w:val="20"/>
              </w:rPr>
              <w:t>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jc w:val="right"/>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Pr>
                <w:rFonts w:ascii="SWISS" w:hAnsi="SWISS" w:cs="Arial"/>
                <w:sz w:val="20"/>
                <w:szCs w:val="20"/>
              </w:rPr>
              <w:t xml:space="preserve">          </w:t>
            </w: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To reflect test year revenues.</w:t>
            </w:r>
          </w:p>
        </w:tc>
        <w:tc>
          <w:tcPr>
            <w:tcW w:w="1690" w:type="dxa"/>
            <w:tcBorders>
              <w:top w:val="nil"/>
              <w:left w:val="nil"/>
              <w:bottom w:val="nil"/>
              <w:right w:val="single" w:sz="8" w:space="0" w:color="auto"/>
            </w:tcBorders>
            <w:noWrap/>
            <w:vAlign w:val="bottom"/>
            <w:hideMark/>
          </w:tcPr>
          <w:p w:rsidR="0005008E" w:rsidRPr="00840175" w:rsidRDefault="0005008E" w:rsidP="00FE758E">
            <w:pPr>
              <w:ind w:right="100"/>
              <w:jc w:val="right"/>
              <w:rPr>
                <w:rFonts w:ascii="SWISS" w:hAnsi="SWISS" w:cs="Arial"/>
                <w:sz w:val="20"/>
                <w:szCs w:val="20"/>
                <w:u w:val="double"/>
              </w:rPr>
            </w:pPr>
            <w:r w:rsidRPr="00840175">
              <w:rPr>
                <w:rFonts w:ascii="SWISS" w:hAnsi="SWISS" w:cs="Arial"/>
                <w:sz w:val="20"/>
                <w:szCs w:val="20"/>
                <w:u w:val="double"/>
              </w:rPr>
              <w:t>$</w:t>
            </w:r>
            <w:r>
              <w:rPr>
                <w:rFonts w:ascii="SWISS" w:hAnsi="SWISS" w:cs="Arial"/>
                <w:sz w:val="20"/>
                <w:szCs w:val="20"/>
                <w:u w:val="double"/>
              </w:rPr>
              <w:t>601</w:t>
            </w:r>
            <w:r w:rsidRPr="00840175">
              <w:rPr>
                <w:rFonts w:ascii="SWISS" w:hAnsi="SWISS" w:cs="Arial"/>
                <w:sz w:val="20"/>
                <w:szCs w:val="20"/>
                <w:u w:val="double"/>
              </w:rPr>
              <w:t xml:space="preserve">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jc w:val="right"/>
              <w:rPr>
                <w:rFonts w:ascii="SWISS" w:hAnsi="SWISS" w:cs="Arial"/>
                <w:sz w:val="20"/>
                <w:szCs w:val="20"/>
                <w:u w:val="single"/>
              </w:rPr>
            </w:pP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b/>
                <w:bCs/>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b/>
                <w:bCs/>
                <w:sz w:val="20"/>
                <w:szCs w:val="20"/>
              </w:rPr>
            </w:pPr>
            <w:r w:rsidRPr="00E022F8">
              <w:rPr>
                <w:rFonts w:ascii="SWISS" w:hAnsi="SWISS" w:cs="Arial"/>
                <w:b/>
                <w:bCs/>
                <w:sz w:val="20"/>
                <w:szCs w:val="20"/>
              </w:rPr>
              <w:t>OPERATION AND MAINTENANCE EXPENSES</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rPr>
                <w:rFonts w:ascii="SWISS" w:hAnsi="SWISS" w:cs="Arial"/>
                <w:color w:val="000000"/>
                <w:sz w:val="20"/>
                <w:szCs w:val="20"/>
              </w:rPr>
            </w:pPr>
            <w:r w:rsidRPr="00E022F8">
              <w:rPr>
                <w:rFonts w:ascii="SWISS" w:hAnsi="SWISS" w:cs="Arial"/>
                <w:color w:val="000000"/>
                <w:sz w:val="20"/>
                <w:szCs w:val="20"/>
              </w:rPr>
              <w:t>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r>
              <w:rPr>
                <w:rFonts w:ascii="SWISS" w:hAnsi="SWISS" w:cs="Arial"/>
                <w:sz w:val="20"/>
                <w:szCs w:val="20"/>
              </w:rPr>
              <w:t xml:space="preserve">            </w:t>
            </w:r>
            <w:r w:rsidRPr="00E022F8">
              <w:rPr>
                <w:rFonts w:ascii="SWISS" w:hAnsi="SWISS" w:cs="Arial"/>
                <w:sz w:val="20"/>
                <w:szCs w:val="20"/>
              </w:rPr>
              <w:t>1.</w:t>
            </w:r>
          </w:p>
        </w:tc>
        <w:tc>
          <w:tcPr>
            <w:tcW w:w="6707" w:type="dxa"/>
            <w:noWrap/>
            <w:vAlign w:val="bottom"/>
          </w:tcPr>
          <w:p w:rsidR="0005008E" w:rsidRPr="00E022F8" w:rsidRDefault="0005008E" w:rsidP="00FE758E">
            <w:pPr>
              <w:rPr>
                <w:rFonts w:ascii="SWISS" w:hAnsi="SWISS" w:cs="Arial"/>
                <w:sz w:val="20"/>
                <w:szCs w:val="20"/>
              </w:rPr>
            </w:pPr>
            <w:r>
              <w:rPr>
                <w:rFonts w:ascii="SWISS" w:hAnsi="SWISS" w:cs="Arial"/>
                <w:sz w:val="20"/>
                <w:szCs w:val="20"/>
              </w:rPr>
              <w:t>Salaries and Wages – Officers (603)</w:t>
            </w: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r w:rsidRPr="00E022F8">
              <w:rPr>
                <w:rFonts w:ascii="SWISS" w:hAnsi="SWISS" w:cs="Arial"/>
                <w:sz w:val="20"/>
                <w:szCs w:val="20"/>
              </w:rPr>
              <w:t>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r w:rsidRPr="000C3FE8">
              <w:rPr>
                <w:rFonts w:ascii="SWISS" w:hAnsi="SWISS" w:cs="Arial"/>
                <w:sz w:val="20"/>
                <w:szCs w:val="20"/>
              </w:rPr>
              <w:t>To reflect appropriate salaries.</w:t>
            </w:r>
          </w:p>
        </w:tc>
        <w:tc>
          <w:tcPr>
            <w:tcW w:w="1690" w:type="dxa"/>
            <w:tcBorders>
              <w:top w:val="nil"/>
              <w:left w:val="nil"/>
              <w:bottom w:val="nil"/>
              <w:right w:val="single" w:sz="8" w:space="0" w:color="auto"/>
            </w:tcBorders>
            <w:noWrap/>
            <w:vAlign w:val="bottom"/>
          </w:tcPr>
          <w:p w:rsidR="0005008E" w:rsidRPr="00E022F8" w:rsidRDefault="0005008E" w:rsidP="00FE758E">
            <w:pPr>
              <w:ind w:right="100"/>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200</w:t>
            </w:r>
            <w:r w:rsidRPr="00E022F8">
              <w:rPr>
                <w:rFonts w:ascii="SWISS" w:hAnsi="SWISS" w:cs="Arial"/>
                <w:sz w:val="20"/>
                <w:szCs w:val="20"/>
                <w:u w:val="double"/>
              </w:rPr>
              <w:t>)</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Pr>
                <w:rFonts w:ascii="SWISS" w:hAnsi="SWISS" w:cs="Arial"/>
                <w:sz w:val="20"/>
                <w:szCs w:val="20"/>
              </w:rPr>
              <w:t xml:space="preserve">            2</w:t>
            </w:r>
            <w:r w:rsidRPr="00E022F8">
              <w:rPr>
                <w:rFonts w:ascii="SWISS" w:hAnsi="SWISS" w:cs="Arial"/>
                <w:sz w:val="20"/>
                <w:szCs w:val="20"/>
              </w:rPr>
              <w:t>.</w:t>
            </w: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Purchased Power (615)</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rPr>
                <w:rFonts w:ascii="SWISS" w:hAnsi="SWISS" w:cs="Arial"/>
                <w:sz w:val="20"/>
                <w:szCs w:val="20"/>
              </w:rPr>
            </w:pPr>
            <w:r w:rsidRPr="00E022F8">
              <w:rPr>
                <w:rFonts w:ascii="SWISS" w:hAnsi="SWISS" w:cs="Arial"/>
                <w:sz w:val="20"/>
                <w:szCs w:val="20"/>
              </w:rPr>
              <w:t> </w:t>
            </w:r>
          </w:p>
        </w:tc>
      </w:tr>
      <w:tr w:rsidR="0005008E" w:rsidRPr="00E022F8" w:rsidTr="00FE758E">
        <w:trPr>
          <w:trHeight w:val="71"/>
        </w:trPr>
        <w:tc>
          <w:tcPr>
            <w:tcW w:w="9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xml:space="preserve">To reflect </w:t>
            </w:r>
            <w:r>
              <w:rPr>
                <w:rFonts w:ascii="SWISS" w:hAnsi="SWISS" w:cs="Arial"/>
                <w:sz w:val="20"/>
                <w:szCs w:val="20"/>
              </w:rPr>
              <w:t>10.1</w:t>
            </w:r>
            <w:r w:rsidRPr="00E022F8">
              <w:rPr>
                <w:rFonts w:ascii="SWISS" w:hAnsi="SWISS" w:cs="Arial"/>
                <w:sz w:val="20"/>
                <w:szCs w:val="20"/>
              </w:rPr>
              <w:t>% excessive unaccounted for water adjustment.</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95</w:t>
            </w:r>
            <w:r w:rsidRPr="00E022F8">
              <w:rPr>
                <w:rFonts w:ascii="SWISS" w:hAnsi="SWISS" w:cs="Arial"/>
                <w:sz w:val="20"/>
                <w:szCs w:val="20"/>
                <w:u w:val="double"/>
              </w:rPr>
              <w:t>)</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Pr>
                <w:rFonts w:ascii="SWISS" w:hAnsi="SWISS" w:cs="Arial"/>
                <w:sz w:val="20"/>
                <w:szCs w:val="20"/>
              </w:rPr>
              <w:t xml:space="preserve">            3</w:t>
            </w:r>
            <w:r w:rsidRPr="00E022F8">
              <w:rPr>
                <w:rFonts w:ascii="SWISS" w:hAnsi="SWISS" w:cs="Arial"/>
                <w:sz w:val="20"/>
                <w:szCs w:val="20"/>
              </w:rPr>
              <w:t>.</w:t>
            </w: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Chemicals (618)</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rPr>
                <w:rFonts w:ascii="SWISS" w:hAnsi="SWISS" w:cs="Arial"/>
                <w:sz w:val="20"/>
                <w:szCs w:val="20"/>
              </w:rPr>
            </w:pPr>
            <w:r w:rsidRPr="00E022F8">
              <w:rPr>
                <w:rFonts w:ascii="SWISS" w:hAnsi="SWISS" w:cs="Arial"/>
                <w:sz w:val="20"/>
                <w:szCs w:val="20"/>
              </w:rPr>
              <w:t> </w:t>
            </w: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xml:space="preserve">To reflect </w:t>
            </w:r>
            <w:r>
              <w:rPr>
                <w:rFonts w:ascii="SWISS" w:hAnsi="SWISS" w:cs="Arial"/>
                <w:sz w:val="20"/>
                <w:szCs w:val="20"/>
              </w:rPr>
              <w:t>10.1</w:t>
            </w:r>
            <w:r w:rsidRPr="00E022F8">
              <w:rPr>
                <w:rFonts w:ascii="SWISS" w:hAnsi="SWISS" w:cs="Arial"/>
                <w:sz w:val="20"/>
                <w:szCs w:val="20"/>
              </w:rPr>
              <w:t>% excessive unaccounted for water adjustment.</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55</w:t>
            </w:r>
            <w:r w:rsidRPr="00E022F8">
              <w:rPr>
                <w:rFonts w:ascii="SWISS" w:hAnsi="SWISS" w:cs="Arial"/>
                <w:sz w:val="20"/>
                <w:szCs w:val="20"/>
                <w:u w:val="double"/>
              </w:rPr>
              <w:t>)</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r>
              <w:rPr>
                <w:rFonts w:ascii="SWISS" w:hAnsi="SWISS" w:cs="Arial"/>
                <w:sz w:val="20"/>
                <w:szCs w:val="20"/>
              </w:rPr>
              <w:t xml:space="preserve">            4</w:t>
            </w:r>
            <w:r w:rsidRPr="00E022F8">
              <w:rPr>
                <w:rFonts w:ascii="SWISS" w:hAnsi="SWISS" w:cs="Arial"/>
                <w:sz w:val="20"/>
                <w:szCs w:val="20"/>
              </w:rPr>
              <w:t>.</w:t>
            </w:r>
          </w:p>
        </w:tc>
        <w:tc>
          <w:tcPr>
            <w:tcW w:w="6707" w:type="dxa"/>
            <w:noWrap/>
            <w:vAlign w:val="bottom"/>
          </w:tcPr>
          <w:p w:rsidR="0005008E" w:rsidRPr="00E022F8" w:rsidRDefault="0005008E" w:rsidP="00FE758E">
            <w:pPr>
              <w:rPr>
                <w:rFonts w:ascii="SWISS" w:hAnsi="SWISS" w:cs="Arial"/>
                <w:sz w:val="20"/>
                <w:szCs w:val="20"/>
              </w:rPr>
            </w:pPr>
            <w:r>
              <w:rPr>
                <w:rFonts w:ascii="SWISS" w:hAnsi="SWISS" w:cs="Arial"/>
                <w:sz w:val="20"/>
                <w:szCs w:val="20"/>
              </w:rPr>
              <w:t>Contractual Services – Professional (631)</w:t>
            </w: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r w:rsidRPr="00B37A54">
              <w:rPr>
                <w:rFonts w:ascii="SWISS" w:hAnsi="SWISS" w:cs="Arial"/>
                <w:sz w:val="20"/>
                <w:szCs w:val="20"/>
              </w:rPr>
              <w:t>To reflect 5-year amortization of non-recurring legal fees.</w:t>
            </w:r>
          </w:p>
        </w:tc>
        <w:tc>
          <w:tcPr>
            <w:tcW w:w="1690" w:type="dxa"/>
            <w:tcBorders>
              <w:top w:val="nil"/>
              <w:left w:val="nil"/>
              <w:bottom w:val="nil"/>
              <w:right w:val="single" w:sz="8" w:space="0" w:color="auto"/>
            </w:tcBorders>
            <w:noWrap/>
            <w:vAlign w:val="bottom"/>
          </w:tcPr>
          <w:p w:rsidR="0005008E" w:rsidRPr="00E022F8" w:rsidRDefault="0005008E" w:rsidP="00FE758E">
            <w:pPr>
              <w:ind w:right="100"/>
              <w:jc w:val="right"/>
              <w:rPr>
                <w:rFonts w:ascii="SWISS" w:hAnsi="SWISS" w:cs="Arial"/>
                <w:sz w:val="20"/>
                <w:szCs w:val="20"/>
              </w:rPr>
            </w:pPr>
            <w:r w:rsidRPr="00E022F8">
              <w:rPr>
                <w:rFonts w:ascii="SWISS" w:hAnsi="SWISS" w:cs="Arial"/>
                <w:sz w:val="20"/>
                <w:szCs w:val="20"/>
                <w:u w:val="double"/>
              </w:rPr>
              <w:t>($</w:t>
            </w:r>
            <w:r>
              <w:rPr>
                <w:rFonts w:ascii="SWISS" w:hAnsi="SWISS" w:cs="Arial"/>
                <w:sz w:val="20"/>
                <w:szCs w:val="20"/>
                <w:u w:val="double"/>
              </w:rPr>
              <w:t>412</w:t>
            </w:r>
            <w:r w:rsidRPr="00E022F8">
              <w:rPr>
                <w:rFonts w:ascii="SWISS" w:hAnsi="SWISS" w:cs="Arial"/>
                <w:sz w:val="20"/>
                <w:szCs w:val="20"/>
                <w:u w:val="double"/>
              </w:rPr>
              <w:t>)</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Pr>
                <w:rFonts w:ascii="SWISS" w:hAnsi="SWISS" w:cs="Arial"/>
                <w:sz w:val="20"/>
                <w:szCs w:val="20"/>
              </w:rPr>
              <w:t xml:space="preserve">            5</w:t>
            </w:r>
            <w:r w:rsidRPr="00E022F8">
              <w:rPr>
                <w:rFonts w:ascii="SWISS" w:hAnsi="SWISS" w:cs="Arial"/>
                <w:sz w:val="20"/>
                <w:szCs w:val="20"/>
              </w:rPr>
              <w:t>.</w:t>
            </w: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Contractual Services - Other (636)</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rPr>
                <w:rFonts w:ascii="SWISS" w:hAnsi="SWISS" w:cs="Arial"/>
                <w:sz w:val="20"/>
                <w:szCs w:val="20"/>
              </w:rPr>
            </w:pPr>
            <w:r w:rsidRPr="00E022F8">
              <w:rPr>
                <w:rFonts w:ascii="SWISS" w:hAnsi="SWISS" w:cs="Arial"/>
                <w:sz w:val="20"/>
                <w:szCs w:val="20"/>
              </w:rPr>
              <w:t>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xml:space="preserve">To </w:t>
            </w:r>
            <w:r>
              <w:rPr>
                <w:rFonts w:ascii="SWISS" w:hAnsi="SWISS" w:cs="Arial"/>
                <w:sz w:val="20"/>
                <w:szCs w:val="20"/>
              </w:rPr>
              <w:t>annualize operations and maintenance service fees.</w:t>
            </w:r>
          </w:p>
        </w:tc>
        <w:tc>
          <w:tcPr>
            <w:tcW w:w="1690" w:type="dxa"/>
            <w:tcBorders>
              <w:top w:val="nil"/>
              <w:left w:val="nil"/>
              <w:bottom w:val="nil"/>
              <w:right w:val="single" w:sz="8" w:space="0" w:color="auto"/>
            </w:tcBorders>
            <w:noWrap/>
            <w:vAlign w:val="bottom"/>
            <w:hideMark/>
          </w:tcPr>
          <w:p w:rsidR="0005008E" w:rsidRPr="00626925" w:rsidRDefault="0005008E" w:rsidP="00FE758E">
            <w:pPr>
              <w:ind w:right="100"/>
              <w:jc w:val="right"/>
              <w:rPr>
                <w:rFonts w:ascii="SWISS" w:hAnsi="SWISS" w:cs="Arial"/>
                <w:sz w:val="20"/>
                <w:szCs w:val="20"/>
                <w:u w:val="double"/>
              </w:rPr>
            </w:pPr>
            <w:r w:rsidRPr="00626925">
              <w:rPr>
                <w:rFonts w:ascii="SWISS" w:hAnsi="SWISS" w:cs="Arial"/>
                <w:sz w:val="20"/>
                <w:szCs w:val="20"/>
                <w:u w:val="double"/>
              </w:rPr>
              <w:t>$</w:t>
            </w:r>
            <w:r>
              <w:rPr>
                <w:rFonts w:ascii="SWISS" w:hAnsi="SWISS" w:cs="Arial"/>
                <w:sz w:val="20"/>
                <w:szCs w:val="20"/>
                <w:u w:val="double"/>
              </w:rPr>
              <w:t>4,356</w:t>
            </w:r>
            <w:r w:rsidRPr="00626925">
              <w:rPr>
                <w:rFonts w:ascii="SWISS" w:hAnsi="SWISS" w:cs="Arial"/>
                <w:sz w:val="20"/>
                <w:szCs w:val="20"/>
                <w:u w:val="double"/>
              </w:rPr>
              <w:t xml:space="preserve">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Pr>
                <w:rFonts w:ascii="SWISS" w:hAnsi="SWISS" w:cs="Arial"/>
                <w:sz w:val="20"/>
                <w:szCs w:val="20"/>
              </w:rPr>
              <w:t xml:space="preserve">            6</w:t>
            </w:r>
            <w:r w:rsidRPr="00E022F8">
              <w:rPr>
                <w:rFonts w:ascii="SWISS" w:hAnsi="SWISS" w:cs="Arial"/>
                <w:sz w:val="20"/>
                <w:szCs w:val="20"/>
              </w:rPr>
              <w:t>.</w:t>
            </w: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Regulatory Commission Expense (665)</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rPr>
                <w:rFonts w:ascii="SWISS" w:hAnsi="SWISS" w:cs="Arial"/>
                <w:sz w:val="20"/>
                <w:szCs w:val="20"/>
              </w:rPr>
            </w:pPr>
            <w:r w:rsidRPr="00E022F8">
              <w:rPr>
                <w:rFonts w:ascii="SWISS" w:hAnsi="SWISS" w:cs="Arial"/>
                <w:sz w:val="20"/>
                <w:szCs w:val="20"/>
              </w:rPr>
              <w:t>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xml:space="preserve">a. To reflect 5-year amortization of transfer filing fee </w:t>
            </w:r>
            <w:r>
              <w:rPr>
                <w:rFonts w:ascii="SWISS" w:hAnsi="SWISS" w:cs="Arial"/>
                <w:sz w:val="20"/>
                <w:szCs w:val="20"/>
              </w:rPr>
              <w:t>(Docket No. 20160169-WU)</w:t>
            </w:r>
            <w:r w:rsidRPr="00E022F8">
              <w:rPr>
                <w:rFonts w:ascii="SWISS" w:hAnsi="SWISS" w:cs="Arial"/>
                <w:sz w:val="20"/>
                <w:szCs w:val="20"/>
              </w:rPr>
              <w:t>.</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rPr>
            </w:pPr>
            <w:r w:rsidRPr="00E022F8">
              <w:rPr>
                <w:rFonts w:ascii="SWISS" w:hAnsi="SWISS" w:cs="Arial"/>
                <w:sz w:val="20"/>
                <w:szCs w:val="20"/>
              </w:rPr>
              <w:t xml:space="preserve">$150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center"/>
            <w:hideMark/>
          </w:tcPr>
          <w:p w:rsidR="0005008E" w:rsidRPr="00E022F8" w:rsidRDefault="0005008E" w:rsidP="00FE758E">
            <w:pPr>
              <w:rPr>
                <w:rFonts w:ascii="SWISS" w:hAnsi="SWISS" w:cs="Arial"/>
                <w:sz w:val="20"/>
                <w:szCs w:val="20"/>
              </w:rPr>
            </w:pPr>
            <w:r w:rsidRPr="00E022F8">
              <w:rPr>
                <w:rFonts w:ascii="SWISS" w:hAnsi="SWISS" w:cs="Arial"/>
                <w:sz w:val="20"/>
                <w:szCs w:val="20"/>
              </w:rPr>
              <w:t>b. To reflect 4-year amortization of rate case expense ($1,</w:t>
            </w:r>
            <w:r>
              <w:rPr>
                <w:rFonts w:ascii="SWISS" w:hAnsi="SWISS" w:cs="Arial"/>
                <w:sz w:val="20"/>
                <w:szCs w:val="20"/>
              </w:rPr>
              <w:t>041</w:t>
            </w:r>
            <w:r w:rsidRPr="00E022F8">
              <w:rPr>
                <w:rFonts w:ascii="SWISS" w:hAnsi="SWISS" w:cs="Arial"/>
                <w:sz w:val="20"/>
                <w:szCs w:val="20"/>
              </w:rPr>
              <w:t>/4).</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u w:val="single"/>
              </w:rPr>
            </w:pPr>
            <w:r w:rsidRPr="00E022F8">
              <w:rPr>
                <w:rFonts w:ascii="SWISS" w:hAnsi="SWISS" w:cs="Arial"/>
                <w:sz w:val="20"/>
                <w:szCs w:val="20"/>
                <w:u w:val="single"/>
              </w:rPr>
              <w:t>2</w:t>
            </w:r>
            <w:r>
              <w:rPr>
                <w:rFonts w:ascii="SWISS" w:hAnsi="SWISS" w:cs="Arial"/>
                <w:sz w:val="20"/>
                <w:szCs w:val="20"/>
                <w:u w:val="single"/>
              </w:rPr>
              <w:t>69</w:t>
            </w:r>
            <w:r w:rsidRPr="00E022F8">
              <w:rPr>
                <w:rFonts w:ascii="SWISS" w:hAnsi="SWISS" w:cs="Arial"/>
                <w:sz w:val="20"/>
                <w:szCs w:val="20"/>
                <w:u w:val="single"/>
              </w:rPr>
              <w:t xml:space="preserve">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xml:space="preserve">       Subtotal</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u w:val="double"/>
              </w:rPr>
            </w:pPr>
            <w:r w:rsidRPr="00E022F8">
              <w:rPr>
                <w:rFonts w:ascii="SWISS" w:hAnsi="SWISS" w:cs="Arial"/>
                <w:sz w:val="20"/>
                <w:szCs w:val="20"/>
                <w:u w:val="double"/>
              </w:rPr>
              <w:t>$4</w:t>
            </w:r>
            <w:r>
              <w:rPr>
                <w:rFonts w:ascii="SWISS" w:hAnsi="SWISS" w:cs="Arial"/>
                <w:sz w:val="20"/>
                <w:szCs w:val="20"/>
                <w:u w:val="double"/>
              </w:rPr>
              <w:t>19</w:t>
            </w:r>
            <w:r w:rsidRPr="00E022F8">
              <w:rPr>
                <w:rFonts w:ascii="SWISS" w:hAnsi="SWISS" w:cs="Arial"/>
                <w:sz w:val="20"/>
                <w:szCs w:val="20"/>
                <w:u w:val="double"/>
              </w:rPr>
              <w:t xml:space="preserve"> </w:t>
            </w:r>
          </w:p>
        </w:tc>
      </w:tr>
      <w:tr w:rsidR="0005008E" w:rsidRPr="00E022F8" w:rsidTr="00FE758E">
        <w:trPr>
          <w:trHeight w:val="183"/>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r>
              <w:rPr>
                <w:rFonts w:ascii="SWISS" w:hAnsi="SWISS" w:cs="Arial"/>
                <w:sz w:val="20"/>
                <w:szCs w:val="20"/>
              </w:rPr>
              <w:t xml:space="preserve">            7</w:t>
            </w:r>
            <w:r w:rsidRPr="00E022F8">
              <w:rPr>
                <w:rFonts w:ascii="SWISS" w:hAnsi="SWISS" w:cs="Arial"/>
                <w:sz w:val="20"/>
                <w:szCs w:val="20"/>
              </w:rPr>
              <w:t>.</w:t>
            </w:r>
          </w:p>
        </w:tc>
        <w:tc>
          <w:tcPr>
            <w:tcW w:w="6707" w:type="dxa"/>
            <w:noWrap/>
            <w:vAlign w:val="bottom"/>
          </w:tcPr>
          <w:p w:rsidR="0005008E" w:rsidRPr="00E022F8" w:rsidRDefault="0005008E" w:rsidP="00FE758E">
            <w:pPr>
              <w:rPr>
                <w:rFonts w:ascii="SWISS" w:hAnsi="SWISS" w:cs="Arial"/>
                <w:sz w:val="20"/>
                <w:szCs w:val="20"/>
              </w:rPr>
            </w:pPr>
            <w:r>
              <w:rPr>
                <w:rFonts w:ascii="SWISS" w:hAnsi="SWISS" w:cs="Arial"/>
                <w:sz w:val="20"/>
                <w:szCs w:val="20"/>
              </w:rPr>
              <w:t>Miscellaneous</w:t>
            </w:r>
            <w:r w:rsidRPr="00E022F8">
              <w:rPr>
                <w:rFonts w:ascii="SWISS" w:hAnsi="SWISS" w:cs="Arial"/>
                <w:sz w:val="20"/>
                <w:szCs w:val="20"/>
              </w:rPr>
              <w:t xml:space="preserve"> Expense (6</w:t>
            </w:r>
            <w:r>
              <w:rPr>
                <w:rFonts w:ascii="SWISS" w:hAnsi="SWISS" w:cs="Arial"/>
                <w:sz w:val="20"/>
                <w:szCs w:val="20"/>
              </w:rPr>
              <w:t>7</w:t>
            </w:r>
            <w:r w:rsidRPr="00E022F8">
              <w:rPr>
                <w:rFonts w:ascii="SWISS" w:hAnsi="SWISS" w:cs="Arial"/>
                <w:sz w:val="20"/>
                <w:szCs w:val="20"/>
              </w:rPr>
              <w:t>5)</w:t>
            </w: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r w:rsidRPr="00B37A54">
              <w:rPr>
                <w:rFonts w:ascii="SWISS" w:hAnsi="SWISS" w:cs="Arial"/>
                <w:sz w:val="20"/>
                <w:szCs w:val="20"/>
              </w:rPr>
              <w:t>To reflect 5-year amortization of repair expense ($1,065/5).</w:t>
            </w:r>
          </w:p>
        </w:tc>
        <w:tc>
          <w:tcPr>
            <w:tcW w:w="1690" w:type="dxa"/>
            <w:tcBorders>
              <w:top w:val="nil"/>
              <w:left w:val="nil"/>
              <w:bottom w:val="nil"/>
              <w:right w:val="single" w:sz="8" w:space="0" w:color="auto"/>
            </w:tcBorders>
            <w:noWrap/>
            <w:vAlign w:val="bottom"/>
          </w:tcPr>
          <w:p w:rsidR="0005008E" w:rsidRPr="00E022F8" w:rsidRDefault="0005008E" w:rsidP="00FE758E">
            <w:pPr>
              <w:ind w:right="100"/>
              <w:jc w:val="right"/>
              <w:rPr>
                <w:rFonts w:ascii="SWISS" w:hAnsi="SWISS" w:cs="Arial"/>
                <w:sz w:val="20"/>
                <w:szCs w:val="20"/>
              </w:rPr>
            </w:pPr>
            <w:r w:rsidRPr="00626925">
              <w:rPr>
                <w:rFonts w:ascii="SWISS" w:hAnsi="SWISS" w:cs="Arial"/>
                <w:sz w:val="20"/>
                <w:szCs w:val="20"/>
                <w:u w:val="double"/>
              </w:rPr>
              <w:t>$</w:t>
            </w:r>
            <w:r>
              <w:rPr>
                <w:rFonts w:ascii="SWISS" w:hAnsi="SWISS" w:cs="Arial"/>
                <w:sz w:val="20"/>
                <w:szCs w:val="20"/>
                <w:u w:val="double"/>
              </w:rPr>
              <w:t>213</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jc w:val="right"/>
              <w:rPr>
                <w:rFonts w:ascii="SWISS" w:hAnsi="SWISS" w:cs="Arial"/>
                <w:sz w:val="20"/>
                <w:szCs w:val="20"/>
                <w:u w:val="double"/>
              </w:rPr>
            </w:pP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TOTAL OPERATION &amp; MAINTENANCE ADJUSTMENTS</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4,227</w:t>
            </w:r>
            <w:r w:rsidRPr="00E022F8">
              <w:rPr>
                <w:rFonts w:ascii="SWISS" w:hAnsi="SWISS" w:cs="Arial"/>
                <w:sz w:val="20"/>
                <w:szCs w:val="20"/>
                <w:u w:val="double"/>
              </w:rPr>
              <w:t xml:space="preserve">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707" w:type="dxa"/>
            <w:noWrap/>
            <w:vAlign w:val="bottom"/>
          </w:tcPr>
          <w:p w:rsidR="0005008E" w:rsidRPr="00E022F8" w:rsidRDefault="0005008E" w:rsidP="00FE758E">
            <w:pPr>
              <w:rPr>
                <w:rFonts w:ascii="SWISS" w:hAnsi="SWISS" w:cs="Arial"/>
              </w:rPr>
            </w:pPr>
          </w:p>
        </w:tc>
        <w:tc>
          <w:tcPr>
            <w:tcW w:w="1690" w:type="dxa"/>
            <w:tcBorders>
              <w:top w:val="nil"/>
              <w:left w:val="nil"/>
              <w:bottom w:val="nil"/>
              <w:right w:val="single" w:sz="8" w:space="0" w:color="auto"/>
            </w:tcBorders>
            <w:noWrap/>
            <w:vAlign w:val="bottom"/>
          </w:tcPr>
          <w:p w:rsidR="0005008E" w:rsidRPr="00E022F8" w:rsidRDefault="0005008E" w:rsidP="00FE758E">
            <w:pPr>
              <w:ind w:right="100"/>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jc w:val="right"/>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b/>
                <w:bCs/>
                <w:sz w:val="20"/>
                <w:szCs w:val="20"/>
              </w:rPr>
            </w:pPr>
            <w:r w:rsidRPr="00E022F8">
              <w:rPr>
                <w:rFonts w:ascii="SWISS" w:hAnsi="SWISS" w:cs="Arial"/>
                <w:b/>
                <w:bCs/>
                <w:sz w:val="20"/>
                <w:szCs w:val="20"/>
              </w:rPr>
              <w:t>DEPRECIATION EXPENSE</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rPr>
                <w:rFonts w:ascii="SWISS" w:hAnsi="SWISS" w:cs="Arial"/>
                <w:sz w:val="20"/>
                <w:szCs w:val="20"/>
              </w:rPr>
            </w:pPr>
            <w:r w:rsidRPr="00E022F8">
              <w:rPr>
                <w:rFonts w:ascii="SWISS" w:hAnsi="SWISS" w:cs="Arial"/>
                <w:sz w:val="20"/>
                <w:szCs w:val="20"/>
              </w:rPr>
              <w:t>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ind w:left="331"/>
              <w:jc w:val="both"/>
              <w:rPr>
                <w:rFonts w:ascii="SWISS" w:hAnsi="SWISS" w:cs="Arial"/>
                <w:sz w:val="20"/>
                <w:szCs w:val="20"/>
              </w:rPr>
            </w:pPr>
            <w:r>
              <w:rPr>
                <w:rFonts w:ascii="SWISS" w:hAnsi="SWISS" w:cs="Arial"/>
                <w:sz w:val="20"/>
                <w:szCs w:val="20"/>
              </w:rPr>
              <w:t xml:space="preserve">     </w:t>
            </w:r>
            <w:r w:rsidRPr="00E022F8">
              <w:rPr>
                <w:rFonts w:ascii="SWISS" w:hAnsi="SWISS" w:cs="Arial"/>
                <w:sz w:val="20"/>
                <w:szCs w:val="20"/>
              </w:rPr>
              <w:t>1.</w:t>
            </w:r>
          </w:p>
        </w:tc>
        <w:tc>
          <w:tcPr>
            <w:tcW w:w="6707" w:type="dxa"/>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To reflect appropriate depreciation calculated per Rule 25-30.140, F.A.C.</w:t>
            </w:r>
          </w:p>
        </w:tc>
        <w:tc>
          <w:tcPr>
            <w:tcW w:w="1690" w:type="dxa"/>
            <w:tcBorders>
              <w:top w:val="nil"/>
              <w:left w:val="nil"/>
              <w:bottom w:val="nil"/>
              <w:right w:val="single" w:sz="8" w:space="0" w:color="auto"/>
            </w:tcBorders>
            <w:noWrap/>
            <w:vAlign w:val="bottom"/>
            <w:hideMark/>
          </w:tcPr>
          <w:p w:rsidR="0005008E" w:rsidRPr="00A33377" w:rsidRDefault="0005008E" w:rsidP="00FE758E">
            <w:pPr>
              <w:ind w:right="100"/>
              <w:jc w:val="right"/>
              <w:rPr>
                <w:rFonts w:ascii="SWISS" w:hAnsi="SWISS" w:cs="Arial"/>
                <w:sz w:val="20"/>
                <w:szCs w:val="20"/>
              </w:rPr>
            </w:pPr>
            <w:r w:rsidRPr="00A33377">
              <w:rPr>
                <w:rFonts w:ascii="SWISS" w:hAnsi="SWISS" w:cs="Arial"/>
                <w:sz w:val="20"/>
                <w:szCs w:val="20"/>
              </w:rPr>
              <w:t>$</w:t>
            </w:r>
            <w:r>
              <w:rPr>
                <w:rFonts w:ascii="SWISS" w:hAnsi="SWISS" w:cs="Arial"/>
                <w:sz w:val="20"/>
                <w:szCs w:val="20"/>
              </w:rPr>
              <w:t>124</w:t>
            </w:r>
            <w:r w:rsidRPr="00A33377">
              <w:rPr>
                <w:rFonts w:ascii="SWISS" w:hAnsi="SWISS" w:cs="Arial"/>
                <w:sz w:val="20"/>
                <w:szCs w:val="20"/>
              </w:rPr>
              <w:t xml:space="preserve">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tabs>
                <w:tab w:val="left" w:pos="745"/>
              </w:tabs>
              <w:ind w:left="331"/>
              <w:jc w:val="both"/>
              <w:rPr>
                <w:rFonts w:ascii="SWISS" w:hAnsi="SWISS" w:cs="Arial"/>
                <w:sz w:val="20"/>
                <w:szCs w:val="20"/>
              </w:rPr>
            </w:pPr>
            <w:r>
              <w:rPr>
                <w:rFonts w:ascii="SWISS" w:hAnsi="SWISS" w:cs="Arial"/>
                <w:sz w:val="20"/>
                <w:szCs w:val="20"/>
              </w:rPr>
              <w:t xml:space="preserve">     </w:t>
            </w:r>
            <w:r w:rsidRPr="00E022F8">
              <w:rPr>
                <w:rFonts w:ascii="SWISS" w:hAnsi="SWISS" w:cs="Arial"/>
                <w:sz w:val="20"/>
                <w:szCs w:val="20"/>
              </w:rPr>
              <w:t>2.</w:t>
            </w:r>
          </w:p>
        </w:tc>
        <w:tc>
          <w:tcPr>
            <w:tcW w:w="6707" w:type="dxa"/>
            <w:noWrap/>
            <w:vAlign w:val="bottom"/>
          </w:tcPr>
          <w:p w:rsidR="0005008E" w:rsidRPr="00E022F8" w:rsidRDefault="0005008E" w:rsidP="00FE758E">
            <w:pPr>
              <w:rPr>
                <w:rFonts w:ascii="SWISS" w:hAnsi="SWISS" w:cs="Arial"/>
                <w:sz w:val="20"/>
                <w:szCs w:val="20"/>
              </w:rPr>
            </w:pPr>
            <w:r>
              <w:rPr>
                <w:rFonts w:ascii="SWISS" w:hAnsi="SWISS" w:cs="Arial"/>
                <w:sz w:val="20"/>
                <w:szCs w:val="20"/>
              </w:rPr>
              <w:t>To reflect pro forma meter replacements.</w:t>
            </w:r>
          </w:p>
        </w:tc>
        <w:tc>
          <w:tcPr>
            <w:tcW w:w="1690" w:type="dxa"/>
            <w:tcBorders>
              <w:top w:val="nil"/>
              <w:left w:val="nil"/>
              <w:bottom w:val="nil"/>
              <w:right w:val="single" w:sz="8" w:space="0" w:color="auto"/>
            </w:tcBorders>
            <w:noWrap/>
            <w:vAlign w:val="bottom"/>
          </w:tcPr>
          <w:p w:rsidR="0005008E" w:rsidRPr="00A33377" w:rsidRDefault="0005008E" w:rsidP="00FE758E">
            <w:pPr>
              <w:ind w:right="100"/>
              <w:jc w:val="right"/>
              <w:rPr>
                <w:rFonts w:ascii="SWISS" w:hAnsi="SWISS" w:cs="Arial"/>
                <w:sz w:val="20"/>
                <w:szCs w:val="20"/>
              </w:rPr>
            </w:pPr>
            <w:r w:rsidRPr="00A33377">
              <w:rPr>
                <w:rFonts w:ascii="SWISS" w:hAnsi="SWISS" w:cs="Arial"/>
                <w:sz w:val="20"/>
                <w:szCs w:val="20"/>
              </w:rPr>
              <w:t>114</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ind w:left="331"/>
              <w:jc w:val="both"/>
              <w:rPr>
                <w:rFonts w:ascii="SWISS" w:hAnsi="SWISS" w:cs="Arial"/>
                <w:sz w:val="20"/>
                <w:szCs w:val="20"/>
              </w:rPr>
            </w:pPr>
            <w:r>
              <w:rPr>
                <w:rFonts w:ascii="SWISS" w:hAnsi="SWISS" w:cs="Arial"/>
                <w:sz w:val="20"/>
                <w:szCs w:val="20"/>
              </w:rPr>
              <w:t xml:space="preserve">     3</w:t>
            </w:r>
            <w:r w:rsidRPr="00E022F8">
              <w:rPr>
                <w:rFonts w:ascii="SWISS" w:hAnsi="SWISS" w:cs="Arial"/>
                <w:sz w:val="20"/>
                <w:szCs w:val="20"/>
              </w:rPr>
              <w:t>.</w:t>
            </w:r>
          </w:p>
        </w:tc>
        <w:tc>
          <w:tcPr>
            <w:tcW w:w="6707" w:type="dxa"/>
            <w:noWrap/>
            <w:vAlign w:val="bottom"/>
          </w:tcPr>
          <w:p w:rsidR="0005008E" w:rsidRPr="00E022F8" w:rsidRDefault="0005008E" w:rsidP="00FE758E">
            <w:pPr>
              <w:rPr>
                <w:rFonts w:ascii="SWISS" w:hAnsi="SWISS" w:cs="Arial"/>
                <w:sz w:val="20"/>
                <w:szCs w:val="20"/>
              </w:rPr>
            </w:pPr>
            <w:r>
              <w:rPr>
                <w:rFonts w:ascii="SWISS" w:hAnsi="SWISS" w:cs="Arial"/>
                <w:sz w:val="20"/>
                <w:szCs w:val="20"/>
              </w:rPr>
              <w:t>To reflect retirement of replaced meters.</w:t>
            </w:r>
          </w:p>
        </w:tc>
        <w:tc>
          <w:tcPr>
            <w:tcW w:w="1690" w:type="dxa"/>
            <w:tcBorders>
              <w:top w:val="nil"/>
              <w:left w:val="nil"/>
              <w:bottom w:val="nil"/>
              <w:right w:val="single" w:sz="8" w:space="0" w:color="auto"/>
            </w:tcBorders>
            <w:noWrap/>
            <w:vAlign w:val="bottom"/>
          </w:tcPr>
          <w:p w:rsidR="0005008E" w:rsidRPr="00A33377" w:rsidRDefault="0005008E" w:rsidP="00FE758E">
            <w:pPr>
              <w:ind w:right="100"/>
              <w:jc w:val="right"/>
              <w:rPr>
                <w:rFonts w:ascii="SWISS" w:hAnsi="SWISS" w:cs="Arial"/>
                <w:sz w:val="20"/>
                <w:szCs w:val="20"/>
              </w:rPr>
            </w:pPr>
            <w:r>
              <w:rPr>
                <w:rFonts w:ascii="SWISS" w:hAnsi="SWISS" w:cs="Arial"/>
                <w:sz w:val="20"/>
                <w:szCs w:val="20"/>
              </w:rPr>
              <w:t>(85)</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tabs>
                <w:tab w:val="left" w:pos="745"/>
              </w:tabs>
              <w:ind w:left="331"/>
              <w:jc w:val="both"/>
              <w:rPr>
                <w:rFonts w:ascii="SWISS" w:hAnsi="SWISS" w:cs="Arial"/>
                <w:sz w:val="20"/>
                <w:szCs w:val="20"/>
              </w:rPr>
            </w:pPr>
            <w:r>
              <w:rPr>
                <w:rFonts w:ascii="SWISS" w:hAnsi="SWISS" w:cs="Arial"/>
                <w:sz w:val="20"/>
                <w:szCs w:val="20"/>
              </w:rPr>
              <w:t xml:space="preserve">     4</w:t>
            </w:r>
            <w:r w:rsidRPr="00E022F8">
              <w:rPr>
                <w:rFonts w:ascii="SWISS" w:hAnsi="SWISS" w:cs="Arial"/>
                <w:sz w:val="20"/>
                <w:szCs w:val="20"/>
              </w:rPr>
              <w:t>.</w:t>
            </w:r>
          </w:p>
        </w:tc>
        <w:tc>
          <w:tcPr>
            <w:tcW w:w="6707" w:type="dxa"/>
            <w:noWrap/>
            <w:vAlign w:val="bottom"/>
          </w:tcPr>
          <w:p w:rsidR="0005008E" w:rsidRPr="00E022F8" w:rsidRDefault="0005008E" w:rsidP="00FE758E">
            <w:pPr>
              <w:rPr>
                <w:rFonts w:ascii="SWISS" w:hAnsi="SWISS" w:cs="Arial"/>
                <w:sz w:val="20"/>
                <w:szCs w:val="20"/>
              </w:rPr>
            </w:pPr>
            <w:r>
              <w:rPr>
                <w:rFonts w:ascii="SWISS" w:hAnsi="SWISS" w:cs="Arial"/>
                <w:sz w:val="20"/>
                <w:szCs w:val="20"/>
              </w:rPr>
              <w:t>To reflect pro forma well meter replacement.</w:t>
            </w:r>
          </w:p>
        </w:tc>
        <w:tc>
          <w:tcPr>
            <w:tcW w:w="1690" w:type="dxa"/>
            <w:tcBorders>
              <w:top w:val="nil"/>
              <w:left w:val="nil"/>
              <w:bottom w:val="nil"/>
              <w:right w:val="single" w:sz="8" w:space="0" w:color="auto"/>
            </w:tcBorders>
            <w:noWrap/>
            <w:vAlign w:val="bottom"/>
          </w:tcPr>
          <w:p w:rsidR="0005008E" w:rsidRPr="00A33377" w:rsidRDefault="0005008E" w:rsidP="00FE758E">
            <w:pPr>
              <w:ind w:right="100"/>
              <w:jc w:val="right"/>
              <w:rPr>
                <w:rFonts w:ascii="SWISS" w:hAnsi="SWISS" w:cs="Arial"/>
                <w:sz w:val="20"/>
                <w:szCs w:val="20"/>
              </w:rPr>
            </w:pPr>
            <w:r>
              <w:rPr>
                <w:rFonts w:ascii="SWISS" w:hAnsi="SWISS" w:cs="Arial"/>
                <w:sz w:val="20"/>
                <w:szCs w:val="20"/>
              </w:rPr>
              <w:t>74</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ind w:left="331"/>
              <w:jc w:val="both"/>
              <w:rPr>
                <w:rFonts w:ascii="SWISS" w:hAnsi="SWISS" w:cs="Arial"/>
                <w:sz w:val="20"/>
                <w:szCs w:val="20"/>
              </w:rPr>
            </w:pPr>
            <w:r>
              <w:rPr>
                <w:rFonts w:ascii="SWISS" w:hAnsi="SWISS" w:cs="Arial"/>
                <w:sz w:val="20"/>
                <w:szCs w:val="20"/>
              </w:rPr>
              <w:t xml:space="preserve">     5</w:t>
            </w:r>
            <w:r w:rsidRPr="00E022F8">
              <w:rPr>
                <w:rFonts w:ascii="SWISS" w:hAnsi="SWISS" w:cs="Arial"/>
                <w:sz w:val="20"/>
                <w:szCs w:val="20"/>
              </w:rPr>
              <w:t>.</w:t>
            </w:r>
          </w:p>
        </w:tc>
        <w:tc>
          <w:tcPr>
            <w:tcW w:w="6707" w:type="dxa"/>
            <w:noWrap/>
            <w:vAlign w:val="bottom"/>
          </w:tcPr>
          <w:p w:rsidR="0005008E" w:rsidRPr="00E022F8" w:rsidRDefault="0005008E" w:rsidP="00FE758E">
            <w:pPr>
              <w:rPr>
                <w:rFonts w:ascii="SWISS" w:hAnsi="SWISS" w:cs="Arial"/>
                <w:sz w:val="20"/>
                <w:szCs w:val="20"/>
              </w:rPr>
            </w:pPr>
            <w:r>
              <w:rPr>
                <w:rFonts w:ascii="SWISS" w:hAnsi="SWISS" w:cs="Arial"/>
                <w:sz w:val="20"/>
                <w:szCs w:val="20"/>
              </w:rPr>
              <w:t>To reflect retirement of replaced well meter.</w:t>
            </w:r>
          </w:p>
        </w:tc>
        <w:tc>
          <w:tcPr>
            <w:tcW w:w="1690" w:type="dxa"/>
            <w:tcBorders>
              <w:top w:val="nil"/>
              <w:left w:val="nil"/>
              <w:bottom w:val="nil"/>
              <w:right w:val="single" w:sz="8" w:space="0" w:color="auto"/>
            </w:tcBorders>
            <w:noWrap/>
            <w:vAlign w:val="bottom"/>
          </w:tcPr>
          <w:p w:rsidR="0005008E" w:rsidRPr="00A33377" w:rsidRDefault="0005008E" w:rsidP="00FE758E">
            <w:pPr>
              <w:ind w:right="100"/>
              <w:jc w:val="right"/>
              <w:rPr>
                <w:rFonts w:ascii="SWISS" w:hAnsi="SWISS" w:cs="Arial"/>
                <w:sz w:val="20"/>
                <w:szCs w:val="20"/>
              </w:rPr>
            </w:pPr>
            <w:r>
              <w:rPr>
                <w:rFonts w:ascii="SWISS" w:hAnsi="SWISS" w:cs="Arial"/>
                <w:sz w:val="20"/>
                <w:szCs w:val="20"/>
              </w:rPr>
              <w:t>(56)</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Default="0005008E" w:rsidP="00FE758E">
            <w:pPr>
              <w:tabs>
                <w:tab w:val="left" w:pos="745"/>
              </w:tabs>
              <w:ind w:left="331"/>
              <w:jc w:val="center"/>
              <w:rPr>
                <w:rFonts w:ascii="SWISS" w:hAnsi="SWISS" w:cs="Arial"/>
                <w:sz w:val="20"/>
                <w:szCs w:val="20"/>
              </w:rPr>
            </w:pPr>
            <w:r>
              <w:rPr>
                <w:rFonts w:ascii="SWISS" w:hAnsi="SWISS" w:cs="Arial"/>
                <w:sz w:val="20"/>
                <w:szCs w:val="20"/>
              </w:rPr>
              <w:t xml:space="preserve"> 6.</w:t>
            </w:r>
          </w:p>
        </w:tc>
        <w:tc>
          <w:tcPr>
            <w:tcW w:w="6707"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pro forma exterior lighting/timer replacement.</w:t>
            </w:r>
          </w:p>
        </w:tc>
        <w:tc>
          <w:tcPr>
            <w:tcW w:w="1690" w:type="dxa"/>
            <w:tcBorders>
              <w:top w:val="nil"/>
              <w:left w:val="nil"/>
              <w:bottom w:val="nil"/>
              <w:right w:val="single" w:sz="8" w:space="0" w:color="auto"/>
            </w:tcBorders>
            <w:noWrap/>
            <w:vAlign w:val="bottom"/>
          </w:tcPr>
          <w:p w:rsidR="0005008E" w:rsidRDefault="0005008E" w:rsidP="00FE758E">
            <w:pPr>
              <w:ind w:right="100"/>
              <w:jc w:val="right"/>
              <w:rPr>
                <w:rFonts w:ascii="SWISS" w:hAnsi="SWISS" w:cs="Arial"/>
                <w:sz w:val="20"/>
                <w:szCs w:val="20"/>
              </w:rPr>
            </w:pPr>
            <w:r>
              <w:rPr>
                <w:rFonts w:ascii="SWISS" w:hAnsi="SWISS" w:cs="Arial"/>
                <w:sz w:val="20"/>
                <w:szCs w:val="20"/>
              </w:rPr>
              <w:t xml:space="preserve">34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Default="0005008E" w:rsidP="00FE758E">
            <w:pPr>
              <w:tabs>
                <w:tab w:val="left" w:pos="745"/>
              </w:tabs>
              <w:ind w:left="331"/>
              <w:jc w:val="center"/>
              <w:rPr>
                <w:rFonts w:ascii="SWISS" w:hAnsi="SWISS" w:cs="Arial"/>
                <w:sz w:val="20"/>
                <w:szCs w:val="20"/>
              </w:rPr>
            </w:pPr>
            <w:r>
              <w:rPr>
                <w:rFonts w:ascii="SWISS" w:hAnsi="SWISS" w:cs="Arial"/>
                <w:sz w:val="20"/>
                <w:szCs w:val="20"/>
              </w:rPr>
              <w:t xml:space="preserve"> 7.</w:t>
            </w:r>
          </w:p>
        </w:tc>
        <w:tc>
          <w:tcPr>
            <w:tcW w:w="6707"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retirement of replaced exterior lighting/timer.</w:t>
            </w:r>
          </w:p>
        </w:tc>
        <w:tc>
          <w:tcPr>
            <w:tcW w:w="1690" w:type="dxa"/>
            <w:tcBorders>
              <w:top w:val="nil"/>
              <w:left w:val="nil"/>
              <w:bottom w:val="nil"/>
              <w:right w:val="single" w:sz="8" w:space="0" w:color="auto"/>
            </w:tcBorders>
            <w:noWrap/>
            <w:vAlign w:val="bottom"/>
          </w:tcPr>
          <w:p w:rsidR="0005008E" w:rsidRDefault="0005008E" w:rsidP="00FE758E">
            <w:pPr>
              <w:ind w:right="100"/>
              <w:jc w:val="right"/>
              <w:rPr>
                <w:rFonts w:ascii="SWISS" w:hAnsi="SWISS" w:cs="Arial"/>
                <w:sz w:val="20"/>
                <w:szCs w:val="20"/>
              </w:rPr>
            </w:pPr>
            <w:r>
              <w:rPr>
                <w:rFonts w:ascii="SWISS" w:hAnsi="SWISS" w:cs="Arial"/>
                <w:sz w:val="20"/>
                <w:szCs w:val="20"/>
              </w:rPr>
              <w:t>(26)</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Default="0005008E" w:rsidP="00FE758E">
            <w:pPr>
              <w:tabs>
                <w:tab w:val="left" w:pos="745"/>
              </w:tabs>
              <w:ind w:left="331"/>
              <w:jc w:val="center"/>
              <w:rPr>
                <w:rFonts w:ascii="SWISS" w:hAnsi="SWISS" w:cs="Arial"/>
                <w:sz w:val="20"/>
                <w:szCs w:val="20"/>
              </w:rPr>
            </w:pPr>
            <w:r>
              <w:rPr>
                <w:rFonts w:ascii="SWISS" w:hAnsi="SWISS" w:cs="Arial"/>
                <w:sz w:val="20"/>
                <w:szCs w:val="20"/>
              </w:rPr>
              <w:t xml:space="preserve"> 8.</w:t>
            </w:r>
          </w:p>
        </w:tc>
        <w:tc>
          <w:tcPr>
            <w:tcW w:w="6707"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pro forma fence replacement.</w:t>
            </w:r>
          </w:p>
        </w:tc>
        <w:tc>
          <w:tcPr>
            <w:tcW w:w="1690" w:type="dxa"/>
            <w:tcBorders>
              <w:top w:val="nil"/>
              <w:left w:val="nil"/>
              <w:bottom w:val="nil"/>
              <w:right w:val="single" w:sz="8" w:space="0" w:color="auto"/>
            </w:tcBorders>
            <w:noWrap/>
            <w:vAlign w:val="bottom"/>
          </w:tcPr>
          <w:p w:rsidR="0005008E" w:rsidRDefault="0005008E" w:rsidP="00FE758E">
            <w:pPr>
              <w:ind w:right="100"/>
              <w:jc w:val="right"/>
              <w:rPr>
                <w:rFonts w:ascii="SWISS" w:hAnsi="SWISS" w:cs="Arial"/>
                <w:sz w:val="20"/>
                <w:szCs w:val="20"/>
              </w:rPr>
            </w:pPr>
            <w:r>
              <w:rPr>
                <w:rFonts w:ascii="SWISS" w:hAnsi="SWISS" w:cs="Arial"/>
                <w:sz w:val="20"/>
                <w:szCs w:val="20"/>
              </w:rPr>
              <w:t xml:space="preserve">118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Default="0005008E" w:rsidP="00FE758E">
            <w:pPr>
              <w:tabs>
                <w:tab w:val="left" w:pos="745"/>
              </w:tabs>
              <w:ind w:left="331"/>
              <w:jc w:val="center"/>
              <w:rPr>
                <w:rFonts w:ascii="SWISS" w:hAnsi="SWISS" w:cs="Arial"/>
                <w:sz w:val="20"/>
                <w:szCs w:val="20"/>
              </w:rPr>
            </w:pPr>
            <w:r>
              <w:rPr>
                <w:rFonts w:ascii="SWISS" w:hAnsi="SWISS" w:cs="Arial"/>
                <w:sz w:val="20"/>
                <w:szCs w:val="20"/>
              </w:rPr>
              <w:t xml:space="preserve"> 9.</w:t>
            </w:r>
          </w:p>
        </w:tc>
        <w:tc>
          <w:tcPr>
            <w:tcW w:w="6707" w:type="dxa"/>
            <w:noWrap/>
            <w:vAlign w:val="bottom"/>
          </w:tcPr>
          <w:p w:rsidR="0005008E" w:rsidRDefault="0005008E" w:rsidP="00FE758E">
            <w:pPr>
              <w:rPr>
                <w:rFonts w:ascii="SWISS" w:hAnsi="SWISS" w:cs="Arial"/>
                <w:color w:val="000000"/>
                <w:sz w:val="20"/>
                <w:szCs w:val="20"/>
              </w:rPr>
            </w:pPr>
            <w:r>
              <w:rPr>
                <w:rFonts w:ascii="SWISS" w:hAnsi="SWISS" w:cs="Arial"/>
                <w:color w:val="000000"/>
                <w:sz w:val="20"/>
                <w:szCs w:val="20"/>
              </w:rPr>
              <w:t>To reflect retirement of replaced fence.</w:t>
            </w:r>
          </w:p>
        </w:tc>
        <w:tc>
          <w:tcPr>
            <w:tcW w:w="1690" w:type="dxa"/>
            <w:tcBorders>
              <w:top w:val="nil"/>
              <w:left w:val="nil"/>
              <w:bottom w:val="nil"/>
              <w:right w:val="single" w:sz="8" w:space="0" w:color="auto"/>
            </w:tcBorders>
            <w:noWrap/>
            <w:vAlign w:val="bottom"/>
          </w:tcPr>
          <w:p w:rsidR="0005008E" w:rsidRDefault="0005008E" w:rsidP="00FE758E">
            <w:pPr>
              <w:ind w:right="100"/>
              <w:jc w:val="right"/>
              <w:rPr>
                <w:rFonts w:ascii="SWISS" w:hAnsi="SWISS" w:cs="Arial"/>
                <w:sz w:val="20"/>
                <w:szCs w:val="20"/>
              </w:rPr>
            </w:pPr>
            <w:r>
              <w:rPr>
                <w:rFonts w:ascii="SWISS" w:hAnsi="SWISS" w:cs="Arial"/>
                <w:sz w:val="20"/>
                <w:szCs w:val="20"/>
              </w:rPr>
              <w:t>(89)</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tabs>
                <w:tab w:val="left" w:pos="745"/>
              </w:tabs>
              <w:ind w:left="331"/>
              <w:jc w:val="both"/>
              <w:rPr>
                <w:rFonts w:ascii="SWISS" w:hAnsi="SWISS" w:cs="Arial"/>
                <w:sz w:val="20"/>
                <w:szCs w:val="20"/>
              </w:rPr>
            </w:pPr>
            <w:r>
              <w:rPr>
                <w:rFonts w:ascii="SWISS" w:hAnsi="SWISS" w:cs="Arial"/>
                <w:sz w:val="20"/>
                <w:szCs w:val="20"/>
              </w:rPr>
              <w:t xml:space="preserve">   10</w:t>
            </w:r>
            <w:r w:rsidRPr="00E022F8">
              <w:rPr>
                <w:rFonts w:ascii="SWISS" w:hAnsi="SWISS" w:cs="Arial"/>
                <w:sz w:val="20"/>
                <w:szCs w:val="20"/>
              </w:rPr>
              <w:t>.</w:t>
            </w:r>
          </w:p>
        </w:tc>
        <w:tc>
          <w:tcPr>
            <w:tcW w:w="6707" w:type="dxa"/>
            <w:noWrap/>
            <w:vAlign w:val="bottom"/>
          </w:tcPr>
          <w:p w:rsidR="0005008E" w:rsidRPr="00E022F8" w:rsidRDefault="0005008E" w:rsidP="00FE758E">
            <w:pPr>
              <w:rPr>
                <w:rFonts w:ascii="SWISS" w:hAnsi="SWISS" w:cs="Arial"/>
                <w:sz w:val="20"/>
                <w:szCs w:val="20"/>
              </w:rPr>
            </w:pPr>
            <w:r>
              <w:rPr>
                <w:rFonts w:ascii="SWISS" w:hAnsi="SWISS" w:cs="Arial"/>
                <w:sz w:val="20"/>
                <w:szCs w:val="20"/>
              </w:rPr>
              <w:t>To reflect appropriate amortization of CIAC.</w:t>
            </w:r>
          </w:p>
        </w:tc>
        <w:tc>
          <w:tcPr>
            <w:tcW w:w="1690" w:type="dxa"/>
            <w:tcBorders>
              <w:top w:val="nil"/>
              <w:left w:val="nil"/>
              <w:bottom w:val="nil"/>
              <w:right w:val="single" w:sz="8" w:space="0" w:color="auto"/>
            </w:tcBorders>
            <w:noWrap/>
            <w:vAlign w:val="bottom"/>
          </w:tcPr>
          <w:p w:rsidR="0005008E" w:rsidRPr="00A33377" w:rsidRDefault="0005008E" w:rsidP="00FE758E">
            <w:pPr>
              <w:ind w:right="100"/>
              <w:jc w:val="right"/>
              <w:rPr>
                <w:rFonts w:ascii="SWISS" w:hAnsi="SWISS" w:cs="Arial"/>
                <w:sz w:val="20"/>
                <w:szCs w:val="20"/>
                <w:u w:val="single"/>
              </w:rPr>
            </w:pPr>
            <w:r w:rsidRPr="00A33377">
              <w:rPr>
                <w:rFonts w:ascii="SWISS" w:hAnsi="SWISS" w:cs="Arial"/>
                <w:sz w:val="20"/>
                <w:szCs w:val="20"/>
                <w:u w:val="single"/>
              </w:rPr>
              <w:t>(16)</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tabs>
                <w:tab w:val="left" w:pos="745"/>
              </w:tabs>
              <w:ind w:left="331"/>
              <w:rPr>
                <w:rFonts w:ascii="SWISS" w:hAnsi="SWISS" w:cs="Arial"/>
                <w:sz w:val="20"/>
                <w:szCs w:val="20"/>
              </w:rPr>
            </w:pPr>
          </w:p>
        </w:tc>
        <w:tc>
          <w:tcPr>
            <w:tcW w:w="6707" w:type="dxa"/>
            <w:noWrap/>
            <w:vAlign w:val="bottom"/>
          </w:tcPr>
          <w:p w:rsidR="0005008E" w:rsidRDefault="0005008E" w:rsidP="00FE758E">
            <w:pPr>
              <w:rPr>
                <w:rFonts w:ascii="SWISS" w:hAnsi="SWISS" w:cs="Arial"/>
                <w:sz w:val="20"/>
                <w:szCs w:val="20"/>
              </w:rPr>
            </w:pPr>
            <w:r>
              <w:rPr>
                <w:rFonts w:ascii="SWISS" w:hAnsi="SWISS" w:cs="Arial"/>
                <w:sz w:val="20"/>
                <w:szCs w:val="20"/>
              </w:rPr>
              <w:t xml:space="preserve">     Total</w:t>
            </w:r>
          </w:p>
        </w:tc>
        <w:tc>
          <w:tcPr>
            <w:tcW w:w="1690" w:type="dxa"/>
            <w:tcBorders>
              <w:top w:val="nil"/>
              <w:left w:val="nil"/>
              <w:bottom w:val="nil"/>
              <w:right w:val="single" w:sz="8" w:space="0" w:color="auto"/>
            </w:tcBorders>
            <w:noWrap/>
            <w:vAlign w:val="bottom"/>
          </w:tcPr>
          <w:p w:rsidR="0005008E" w:rsidRPr="00A33377" w:rsidRDefault="0005008E" w:rsidP="00FE758E">
            <w:pPr>
              <w:ind w:right="100"/>
              <w:jc w:val="right"/>
              <w:rPr>
                <w:rFonts w:ascii="SWISS" w:hAnsi="SWISS" w:cs="Arial"/>
                <w:sz w:val="20"/>
                <w:szCs w:val="20"/>
                <w:u w:val="double"/>
              </w:rPr>
            </w:pPr>
            <w:r w:rsidRPr="00A33377">
              <w:rPr>
                <w:rFonts w:ascii="SWISS" w:hAnsi="SWISS" w:cs="Arial"/>
                <w:sz w:val="20"/>
                <w:szCs w:val="20"/>
                <w:u w:val="double"/>
              </w:rPr>
              <w:t>$1</w:t>
            </w:r>
            <w:r>
              <w:rPr>
                <w:rFonts w:ascii="SWISS" w:hAnsi="SWISS" w:cs="Arial"/>
                <w:sz w:val="20"/>
                <w:szCs w:val="20"/>
                <w:u w:val="double"/>
              </w:rPr>
              <w:t>93</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tcPr>
          <w:p w:rsidR="0005008E" w:rsidRPr="00E022F8" w:rsidRDefault="0005008E" w:rsidP="00FE758E">
            <w:pPr>
              <w:rPr>
                <w:rFonts w:ascii="SWISS" w:hAnsi="SWISS" w:cs="Arial"/>
                <w:sz w:val="20"/>
                <w:szCs w:val="20"/>
              </w:rPr>
            </w:pPr>
          </w:p>
        </w:tc>
        <w:tc>
          <w:tcPr>
            <w:tcW w:w="1690" w:type="dxa"/>
            <w:tcBorders>
              <w:top w:val="nil"/>
              <w:left w:val="nil"/>
              <w:bottom w:val="nil"/>
              <w:right w:val="single" w:sz="8" w:space="0" w:color="auto"/>
            </w:tcBorders>
            <w:noWrap/>
            <w:vAlign w:val="bottom"/>
          </w:tcPr>
          <w:p w:rsidR="0005008E" w:rsidRPr="00A33377" w:rsidRDefault="0005008E" w:rsidP="00FE758E">
            <w:pPr>
              <w:ind w:right="100"/>
              <w:jc w:val="right"/>
              <w:rPr>
                <w:rFonts w:ascii="SWISS" w:hAnsi="SWISS" w:cs="Arial"/>
                <w:sz w:val="20"/>
                <w:szCs w:val="20"/>
              </w:rPr>
            </w:pP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022F8" w:rsidRDefault="0005008E" w:rsidP="00FE758E">
            <w:pPr>
              <w:rPr>
                <w:rFonts w:ascii="SWISS" w:hAnsi="SWISS" w:cs="Arial"/>
                <w:sz w:val="20"/>
                <w:szCs w:val="20"/>
              </w:rPr>
            </w:pPr>
          </w:p>
        </w:tc>
        <w:tc>
          <w:tcPr>
            <w:tcW w:w="6707" w:type="dxa"/>
            <w:noWrap/>
            <w:vAlign w:val="bottom"/>
            <w:hideMark/>
          </w:tcPr>
          <w:p w:rsidR="0005008E" w:rsidRPr="00E022F8" w:rsidRDefault="0005008E" w:rsidP="00FE758E">
            <w:pPr>
              <w:rPr>
                <w:rFonts w:ascii="SWISS" w:hAnsi="SWISS" w:cs="Arial"/>
                <w:b/>
                <w:bCs/>
                <w:sz w:val="20"/>
                <w:szCs w:val="20"/>
              </w:rPr>
            </w:pPr>
            <w:r w:rsidRPr="00E022F8">
              <w:rPr>
                <w:rFonts w:ascii="SWISS" w:hAnsi="SWISS" w:cs="Arial"/>
                <w:b/>
                <w:bCs/>
                <w:sz w:val="20"/>
                <w:szCs w:val="20"/>
              </w:rPr>
              <w:t>TAXES OTHER THAN INCOME</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rPr>
            </w:pPr>
            <w:r w:rsidRPr="00E022F8">
              <w:rPr>
                <w:rFonts w:ascii="SWISS" w:hAnsi="SWISS" w:cs="Arial"/>
                <w:sz w:val="20"/>
                <w:szCs w:val="20"/>
              </w:rPr>
              <w:t> </w:t>
            </w: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B6C7F" w:rsidRDefault="0005008E" w:rsidP="00FE758E">
            <w:pPr>
              <w:ind w:left="331"/>
              <w:rPr>
                <w:rFonts w:ascii="SWISS" w:hAnsi="SWISS" w:cs="Arial"/>
                <w:sz w:val="20"/>
                <w:szCs w:val="20"/>
              </w:rPr>
            </w:pPr>
            <w:r w:rsidRPr="00EB6C7F">
              <w:rPr>
                <w:rFonts w:ascii="SWISS" w:hAnsi="SWISS" w:cs="Arial"/>
                <w:sz w:val="20"/>
                <w:szCs w:val="20"/>
              </w:rPr>
              <w:t xml:space="preserve">     1.</w:t>
            </w:r>
          </w:p>
        </w:tc>
        <w:tc>
          <w:tcPr>
            <w:tcW w:w="6707" w:type="dxa"/>
            <w:noWrap/>
            <w:vAlign w:val="bottom"/>
            <w:hideMark/>
          </w:tcPr>
          <w:p w:rsidR="0005008E" w:rsidRPr="00EB6C7F" w:rsidRDefault="0005008E" w:rsidP="00FE758E">
            <w:pPr>
              <w:rPr>
                <w:rFonts w:ascii="SWISS" w:hAnsi="SWISS" w:cs="Arial"/>
                <w:sz w:val="20"/>
                <w:szCs w:val="20"/>
              </w:rPr>
            </w:pPr>
            <w:r w:rsidRPr="00EB6C7F">
              <w:rPr>
                <w:rFonts w:ascii="SWISS" w:hAnsi="SWISS" w:cs="Arial"/>
                <w:sz w:val="20"/>
                <w:szCs w:val="20"/>
              </w:rPr>
              <w:t>To reflect appropriate test year RAFs.</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rPr>
            </w:pPr>
            <w:r w:rsidRPr="00E022F8">
              <w:rPr>
                <w:rFonts w:ascii="SWISS" w:hAnsi="SWISS" w:cs="Arial"/>
                <w:sz w:val="20"/>
                <w:szCs w:val="20"/>
              </w:rPr>
              <w:t>$</w:t>
            </w:r>
            <w:r>
              <w:rPr>
                <w:rFonts w:ascii="SWISS" w:hAnsi="SWISS" w:cs="Arial"/>
                <w:sz w:val="20"/>
                <w:szCs w:val="20"/>
              </w:rPr>
              <w:t>27</w:t>
            </w:r>
          </w:p>
        </w:tc>
      </w:tr>
      <w:tr w:rsidR="0005008E" w:rsidRPr="00E022F8" w:rsidTr="00FE758E">
        <w:trPr>
          <w:trHeight w:val="67"/>
        </w:trPr>
        <w:tc>
          <w:tcPr>
            <w:tcW w:w="983" w:type="dxa"/>
            <w:tcBorders>
              <w:top w:val="nil"/>
              <w:left w:val="single" w:sz="8" w:space="0" w:color="auto"/>
              <w:bottom w:val="nil"/>
              <w:right w:val="nil"/>
            </w:tcBorders>
            <w:noWrap/>
            <w:vAlign w:val="bottom"/>
            <w:hideMark/>
          </w:tcPr>
          <w:p w:rsidR="0005008E" w:rsidRPr="00EB6C7F" w:rsidRDefault="0005008E" w:rsidP="00FE758E">
            <w:pPr>
              <w:tabs>
                <w:tab w:val="left" w:pos="745"/>
              </w:tabs>
              <w:ind w:left="331"/>
              <w:rPr>
                <w:rFonts w:ascii="SWISS" w:hAnsi="SWISS" w:cs="Arial"/>
                <w:sz w:val="20"/>
                <w:szCs w:val="20"/>
              </w:rPr>
            </w:pPr>
            <w:r w:rsidRPr="00EB6C7F">
              <w:rPr>
                <w:rFonts w:ascii="SWISS" w:hAnsi="SWISS" w:cs="Arial"/>
                <w:sz w:val="20"/>
                <w:szCs w:val="20"/>
              </w:rPr>
              <w:t xml:space="preserve">     2.</w:t>
            </w:r>
          </w:p>
        </w:tc>
        <w:tc>
          <w:tcPr>
            <w:tcW w:w="6707" w:type="dxa"/>
            <w:noWrap/>
            <w:vAlign w:val="bottom"/>
            <w:hideMark/>
          </w:tcPr>
          <w:p w:rsidR="0005008E" w:rsidRPr="00EB6C7F" w:rsidRDefault="0005008E" w:rsidP="00FE758E">
            <w:pPr>
              <w:rPr>
                <w:rFonts w:ascii="SWISS" w:hAnsi="SWISS" w:cs="Arial"/>
                <w:sz w:val="20"/>
                <w:szCs w:val="20"/>
              </w:rPr>
            </w:pPr>
            <w:r w:rsidRPr="00EB6C7F">
              <w:rPr>
                <w:rFonts w:ascii="SWISS" w:hAnsi="SWISS" w:cs="Arial"/>
                <w:sz w:val="20"/>
                <w:szCs w:val="20"/>
              </w:rPr>
              <w:t>To reflect pro forma increase in Utility property taxes.</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u w:val="single"/>
              </w:rPr>
            </w:pPr>
            <w:r>
              <w:rPr>
                <w:rFonts w:ascii="SWISS" w:hAnsi="SWISS" w:cs="Arial"/>
                <w:sz w:val="20"/>
                <w:szCs w:val="20"/>
                <w:u w:val="single"/>
              </w:rPr>
              <w:t>29</w:t>
            </w:r>
            <w:r w:rsidRPr="00E022F8">
              <w:rPr>
                <w:rFonts w:ascii="SWISS" w:hAnsi="SWISS" w:cs="Arial"/>
                <w:sz w:val="20"/>
                <w:szCs w:val="20"/>
                <w:u w:val="single"/>
              </w:rPr>
              <w:t xml:space="preserve"> </w:t>
            </w:r>
          </w:p>
        </w:tc>
      </w:tr>
      <w:tr w:rsidR="0005008E" w:rsidRPr="00E022F8" w:rsidTr="00FE758E">
        <w:trPr>
          <w:trHeight w:val="67"/>
        </w:trPr>
        <w:tc>
          <w:tcPr>
            <w:tcW w:w="983" w:type="dxa"/>
            <w:tcBorders>
              <w:top w:val="nil"/>
              <w:left w:val="single" w:sz="8" w:space="0" w:color="auto"/>
              <w:bottom w:val="nil"/>
              <w:right w:val="nil"/>
            </w:tcBorders>
            <w:noWrap/>
            <w:vAlign w:val="bottom"/>
          </w:tcPr>
          <w:p w:rsidR="0005008E" w:rsidRPr="00EB6C7F" w:rsidRDefault="0005008E" w:rsidP="00FE758E">
            <w:pPr>
              <w:rPr>
                <w:rFonts w:ascii="SWISS" w:hAnsi="SWISS" w:cs="Arial"/>
                <w:sz w:val="20"/>
                <w:szCs w:val="20"/>
              </w:rPr>
            </w:pPr>
          </w:p>
        </w:tc>
        <w:tc>
          <w:tcPr>
            <w:tcW w:w="6707" w:type="dxa"/>
            <w:noWrap/>
            <w:vAlign w:val="bottom"/>
            <w:hideMark/>
          </w:tcPr>
          <w:p w:rsidR="0005008E" w:rsidRPr="00EB6C7F" w:rsidRDefault="0005008E" w:rsidP="00FE758E">
            <w:pPr>
              <w:rPr>
                <w:rFonts w:ascii="SWISS" w:hAnsi="SWISS" w:cs="Arial"/>
                <w:sz w:val="20"/>
                <w:szCs w:val="20"/>
              </w:rPr>
            </w:pPr>
            <w:r w:rsidRPr="00EB6C7F">
              <w:rPr>
                <w:rFonts w:ascii="SWISS" w:hAnsi="SWISS" w:cs="Arial"/>
                <w:sz w:val="20"/>
                <w:szCs w:val="20"/>
              </w:rPr>
              <w:t xml:space="preserve">  Total</w:t>
            </w:r>
          </w:p>
        </w:tc>
        <w:tc>
          <w:tcPr>
            <w:tcW w:w="1690" w:type="dxa"/>
            <w:tcBorders>
              <w:top w:val="nil"/>
              <w:left w:val="nil"/>
              <w:bottom w:val="nil"/>
              <w:right w:val="single" w:sz="8" w:space="0" w:color="auto"/>
            </w:tcBorders>
            <w:noWrap/>
            <w:vAlign w:val="bottom"/>
            <w:hideMark/>
          </w:tcPr>
          <w:p w:rsidR="0005008E" w:rsidRPr="00E022F8" w:rsidRDefault="0005008E" w:rsidP="00FE758E">
            <w:pPr>
              <w:ind w:right="100"/>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56</w:t>
            </w:r>
          </w:p>
        </w:tc>
      </w:tr>
      <w:tr w:rsidR="0005008E" w:rsidRPr="00E022F8" w:rsidTr="00FE758E">
        <w:trPr>
          <w:trHeight w:val="67"/>
        </w:trPr>
        <w:tc>
          <w:tcPr>
            <w:tcW w:w="983" w:type="dxa"/>
            <w:tcBorders>
              <w:top w:val="nil"/>
              <w:left w:val="single" w:sz="8" w:space="0" w:color="auto"/>
              <w:bottom w:val="single" w:sz="8" w:space="0" w:color="auto"/>
              <w:right w:val="nil"/>
            </w:tcBorders>
            <w:noWrap/>
            <w:vAlign w:val="bottom"/>
          </w:tcPr>
          <w:p w:rsidR="0005008E" w:rsidRPr="00E022F8" w:rsidRDefault="0005008E" w:rsidP="00FE758E">
            <w:pPr>
              <w:rPr>
                <w:rFonts w:ascii="SWISS" w:hAnsi="SWISS" w:cs="Arial"/>
                <w:sz w:val="20"/>
                <w:szCs w:val="20"/>
              </w:rPr>
            </w:pPr>
          </w:p>
        </w:tc>
        <w:tc>
          <w:tcPr>
            <w:tcW w:w="6707" w:type="dxa"/>
            <w:tcBorders>
              <w:top w:val="nil"/>
              <w:left w:val="nil"/>
              <w:bottom w:val="single" w:sz="8" w:space="0" w:color="auto"/>
              <w:right w:val="nil"/>
            </w:tcBorders>
            <w:noWrap/>
            <w:vAlign w:val="bottom"/>
          </w:tcPr>
          <w:p w:rsidR="0005008E" w:rsidRPr="00E022F8" w:rsidRDefault="0005008E" w:rsidP="00FE758E">
            <w:pPr>
              <w:rPr>
                <w:rFonts w:ascii="SWISS" w:hAnsi="SWISS" w:cs="Arial"/>
              </w:rPr>
            </w:pPr>
          </w:p>
        </w:tc>
        <w:tc>
          <w:tcPr>
            <w:tcW w:w="1690" w:type="dxa"/>
            <w:tcBorders>
              <w:top w:val="nil"/>
              <w:left w:val="nil"/>
              <w:bottom w:val="single" w:sz="8" w:space="0" w:color="auto"/>
              <w:right w:val="single" w:sz="8" w:space="0" w:color="auto"/>
            </w:tcBorders>
            <w:noWrap/>
            <w:vAlign w:val="bottom"/>
          </w:tcPr>
          <w:p w:rsidR="0005008E" w:rsidRPr="00E022F8" w:rsidRDefault="0005008E" w:rsidP="00FE758E">
            <w:pPr>
              <w:rPr>
                <w:rFonts w:ascii="SWISS" w:hAnsi="SWISS" w:cs="Arial"/>
                <w:sz w:val="20"/>
                <w:szCs w:val="20"/>
              </w:rPr>
            </w:pPr>
          </w:p>
        </w:tc>
      </w:tr>
    </w:tbl>
    <w:tbl>
      <w:tblPr>
        <w:tblW w:w="9599" w:type="dxa"/>
        <w:jc w:val="center"/>
        <w:tblInd w:w="98" w:type="dxa"/>
        <w:tblLook w:val="04A0" w:firstRow="1" w:lastRow="0" w:firstColumn="1" w:lastColumn="0" w:noHBand="0" w:noVBand="1"/>
      </w:tblPr>
      <w:tblGrid>
        <w:gridCol w:w="4905"/>
        <w:gridCol w:w="1437"/>
        <w:gridCol w:w="1572"/>
        <w:gridCol w:w="1689"/>
      </w:tblGrid>
      <w:tr w:rsidR="0005008E" w:rsidRPr="00E022F8" w:rsidTr="00055C25">
        <w:trPr>
          <w:trHeight w:val="300"/>
          <w:jc w:val="center"/>
        </w:trPr>
        <w:tc>
          <w:tcPr>
            <w:tcW w:w="4905" w:type="dxa"/>
            <w:tcBorders>
              <w:top w:val="single" w:sz="8" w:space="0" w:color="auto"/>
              <w:left w:val="single" w:sz="8" w:space="0" w:color="auto"/>
              <w:bottom w:val="nil"/>
              <w:right w:val="nil"/>
            </w:tcBorders>
            <w:noWrap/>
            <w:vAlign w:val="bottom"/>
            <w:hideMark/>
          </w:tcPr>
          <w:p w:rsidR="0005008E" w:rsidRPr="00E022F8" w:rsidRDefault="0005008E" w:rsidP="00FE758E">
            <w:pPr>
              <w:rPr>
                <w:rFonts w:ascii="SWISS" w:hAnsi="SWISS" w:cs="Arial"/>
                <w:color w:val="000000"/>
                <w:sz w:val="20"/>
                <w:szCs w:val="20"/>
              </w:rPr>
            </w:pPr>
            <w:r w:rsidRPr="0024364F">
              <w:rPr>
                <w:rFonts w:ascii="SWISS" w:hAnsi="SWISS" w:cs="Arial"/>
                <w:b/>
                <w:bCs/>
                <w:color w:val="000000"/>
                <w:sz w:val="20"/>
                <w:szCs w:val="20"/>
              </w:rPr>
              <w:lastRenderedPageBreak/>
              <w:t>PINE HARB</w:t>
            </w:r>
            <w:r>
              <w:rPr>
                <w:rFonts w:ascii="SWISS" w:hAnsi="SWISS" w:cs="Arial"/>
                <w:b/>
                <w:bCs/>
                <w:color w:val="000000"/>
                <w:sz w:val="20"/>
                <w:szCs w:val="20"/>
              </w:rPr>
              <w:t>OUR</w:t>
            </w:r>
            <w:r w:rsidRPr="00E022F8">
              <w:rPr>
                <w:rFonts w:ascii="SWISS" w:hAnsi="SWISS" w:cs="Arial"/>
                <w:b/>
                <w:bCs/>
                <w:color w:val="000000"/>
                <w:sz w:val="20"/>
                <w:szCs w:val="20"/>
              </w:rPr>
              <w:t xml:space="preserve"> WATERWORKS, INC.</w:t>
            </w:r>
          </w:p>
        </w:tc>
        <w:tc>
          <w:tcPr>
            <w:tcW w:w="1437" w:type="dxa"/>
            <w:tcBorders>
              <w:top w:val="single" w:sz="8" w:space="0" w:color="auto"/>
              <w:left w:val="nil"/>
              <w:bottom w:val="nil"/>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w:t>
            </w:r>
          </w:p>
        </w:tc>
        <w:tc>
          <w:tcPr>
            <w:tcW w:w="3257" w:type="dxa"/>
            <w:gridSpan w:val="2"/>
            <w:tcBorders>
              <w:top w:val="single" w:sz="8" w:space="0" w:color="auto"/>
              <w:left w:val="nil"/>
              <w:bottom w:val="nil"/>
              <w:right w:val="single" w:sz="8" w:space="0" w:color="000000"/>
            </w:tcBorders>
            <w:noWrap/>
            <w:vAlign w:val="bottom"/>
            <w:hideMark/>
          </w:tcPr>
          <w:p w:rsidR="0005008E" w:rsidRPr="00E022F8" w:rsidRDefault="0005008E" w:rsidP="00FE758E">
            <w:pPr>
              <w:jc w:val="right"/>
              <w:rPr>
                <w:rFonts w:ascii="SWISS" w:hAnsi="SWISS" w:cs="Arial"/>
                <w:b/>
                <w:bCs/>
                <w:color w:val="000000"/>
                <w:sz w:val="20"/>
                <w:szCs w:val="20"/>
              </w:rPr>
            </w:pPr>
            <w:r w:rsidRPr="00E022F8">
              <w:rPr>
                <w:rFonts w:ascii="SWISS" w:hAnsi="SWISS" w:cs="Arial"/>
                <w:b/>
                <w:bCs/>
                <w:color w:val="000000"/>
                <w:sz w:val="20"/>
                <w:szCs w:val="20"/>
              </w:rPr>
              <w:t>SCHEDULE NO. 3-C</w:t>
            </w:r>
            <w:r w:rsidRPr="00E022F8">
              <w:rPr>
                <w:sz w:val="20"/>
                <w:szCs w:val="20"/>
              </w:rPr>
              <w:fldChar w:fldCharType="begin"/>
            </w:r>
            <w:r w:rsidRPr="00E022F8">
              <w:rPr>
                <w:sz w:val="20"/>
                <w:szCs w:val="20"/>
              </w:rPr>
              <w:instrText xml:space="preserve"> TC "</w:instrText>
            </w:r>
            <w:bookmarkStart w:id="26" w:name="_Toc399147321"/>
            <w:bookmarkStart w:id="27" w:name="_Toc398535520"/>
            <w:bookmarkStart w:id="28" w:name="_Toc391560264"/>
            <w:bookmarkStart w:id="29" w:name="_Toc389554435"/>
            <w:bookmarkStart w:id="30" w:name="_Toc381963580"/>
            <w:bookmarkStart w:id="31" w:name="_Toc358798425"/>
            <w:bookmarkStart w:id="32" w:name="_Toc353290013"/>
            <w:bookmarkStart w:id="33" w:name="_Toc339025191"/>
            <w:bookmarkStart w:id="34" w:name="_Toc333928466"/>
            <w:bookmarkStart w:id="35" w:name="_Toc327190753"/>
            <w:bookmarkStart w:id="36" w:name="_Toc295141631"/>
            <w:bookmarkStart w:id="37" w:name="_Toc294182207"/>
            <w:r w:rsidRPr="00E022F8">
              <w:rPr>
                <w:sz w:val="20"/>
                <w:szCs w:val="20"/>
              </w:rPr>
              <w:instrText xml:space="preserve"> </w:instrText>
            </w:r>
            <w:bookmarkStart w:id="38" w:name="_Toc443384733"/>
            <w:bookmarkStart w:id="39" w:name="_Toc441233998"/>
            <w:bookmarkStart w:id="40" w:name="_Toc422220891"/>
            <w:bookmarkStart w:id="41" w:name="_Toc451766982"/>
            <w:bookmarkStart w:id="42" w:name="_Toc516844170"/>
            <w:r w:rsidRPr="00E022F8">
              <w:rPr>
                <w:sz w:val="20"/>
                <w:szCs w:val="20"/>
              </w:rPr>
              <w:instrText>Schedule No. 3-C Water O&amp;M Expense</w:instrTex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022F8">
              <w:rPr>
                <w:sz w:val="20"/>
                <w:szCs w:val="20"/>
              </w:rPr>
              <w:instrText xml:space="preserve">”\l 1 </w:instrText>
            </w:r>
            <w:r w:rsidRPr="00E022F8">
              <w:rPr>
                <w:sz w:val="20"/>
                <w:szCs w:val="20"/>
              </w:rPr>
              <w:fldChar w:fldCharType="end"/>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TEST YEAR ENDED </w:t>
            </w:r>
            <w:r>
              <w:rPr>
                <w:rFonts w:ascii="SWISS" w:hAnsi="SWISS" w:cs="Arial"/>
                <w:b/>
                <w:bCs/>
                <w:color w:val="000000"/>
                <w:sz w:val="20"/>
                <w:szCs w:val="20"/>
              </w:rPr>
              <w:t>12</w:t>
            </w:r>
            <w:r w:rsidRPr="00E022F8">
              <w:rPr>
                <w:rFonts w:ascii="SWISS" w:hAnsi="SWISS" w:cs="Arial"/>
                <w:b/>
                <w:bCs/>
                <w:color w:val="000000"/>
                <w:sz w:val="20"/>
                <w:szCs w:val="20"/>
              </w:rPr>
              <w:t>/31/1</w:t>
            </w:r>
            <w:r>
              <w:rPr>
                <w:rFonts w:ascii="SWISS" w:hAnsi="SWISS" w:cs="Arial"/>
                <w:b/>
                <w:bCs/>
                <w:color w:val="000000"/>
                <w:sz w:val="20"/>
                <w:szCs w:val="20"/>
              </w:rPr>
              <w:t>7</w:t>
            </w:r>
          </w:p>
        </w:tc>
        <w:tc>
          <w:tcPr>
            <w:tcW w:w="1437" w:type="dxa"/>
            <w:noWrap/>
            <w:vAlign w:val="bottom"/>
          </w:tcPr>
          <w:p w:rsidR="0005008E" w:rsidRPr="00E022F8" w:rsidRDefault="0005008E" w:rsidP="00FE758E">
            <w:pPr>
              <w:rPr>
                <w:rFonts w:ascii="SWISS" w:hAnsi="SWISS" w:cs="Arial"/>
                <w:b/>
                <w:bCs/>
                <w:color w:val="000000"/>
                <w:sz w:val="20"/>
                <w:szCs w:val="20"/>
              </w:rPr>
            </w:pPr>
          </w:p>
        </w:tc>
        <w:tc>
          <w:tcPr>
            <w:tcW w:w="3257" w:type="dxa"/>
            <w:gridSpan w:val="2"/>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b/>
                <w:bCs/>
                <w:color w:val="000000"/>
                <w:sz w:val="20"/>
                <w:szCs w:val="20"/>
              </w:rPr>
            </w:pPr>
            <w:r w:rsidRPr="00E022F8">
              <w:rPr>
                <w:rFonts w:ascii="SWISS" w:hAnsi="SWISS" w:cs="Arial"/>
                <w:b/>
                <w:bCs/>
                <w:color w:val="000000"/>
                <w:sz w:val="20"/>
                <w:szCs w:val="20"/>
              </w:rPr>
              <w:t xml:space="preserve">DOCKET NO. </w:t>
            </w:r>
            <w:r>
              <w:rPr>
                <w:rFonts w:ascii="SWISS" w:hAnsi="SWISS" w:cs="Arial"/>
                <w:b/>
                <w:bCs/>
                <w:color w:val="000000"/>
                <w:sz w:val="20"/>
                <w:szCs w:val="20"/>
              </w:rPr>
              <w:t>20180022</w:t>
            </w:r>
            <w:r w:rsidRPr="00E022F8">
              <w:rPr>
                <w:rFonts w:ascii="SWISS" w:hAnsi="SWISS" w:cs="Arial"/>
                <w:b/>
                <w:bCs/>
                <w:color w:val="000000"/>
                <w:sz w:val="20"/>
                <w:szCs w:val="20"/>
              </w:rPr>
              <w:t xml:space="preserve">-WU </w:t>
            </w:r>
          </w:p>
        </w:tc>
      </w:tr>
      <w:tr w:rsidR="0005008E" w:rsidRPr="00E022F8" w:rsidTr="00055C25">
        <w:trPr>
          <w:trHeight w:val="312"/>
          <w:jc w:val="center"/>
        </w:trPr>
        <w:tc>
          <w:tcPr>
            <w:tcW w:w="9599" w:type="dxa"/>
            <w:gridSpan w:val="4"/>
            <w:tcBorders>
              <w:top w:val="nil"/>
              <w:left w:val="single" w:sz="8" w:space="0" w:color="auto"/>
              <w:bottom w:val="single" w:sz="8" w:space="0" w:color="auto"/>
              <w:right w:val="single" w:sz="8" w:space="0" w:color="auto"/>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ANALYSIS OF WATER OPERATION AND MAINTENANCE EXPENSE</w:t>
            </w:r>
          </w:p>
        </w:tc>
      </w:tr>
      <w:tr w:rsidR="0005008E" w:rsidRPr="00E022F8" w:rsidTr="00055C25">
        <w:trPr>
          <w:trHeight w:val="300"/>
          <w:jc w:val="center"/>
        </w:trPr>
        <w:tc>
          <w:tcPr>
            <w:tcW w:w="4905" w:type="dxa"/>
            <w:tcBorders>
              <w:top w:val="single" w:sz="8" w:space="0" w:color="auto"/>
              <w:left w:val="single" w:sz="8" w:space="0" w:color="auto"/>
              <w:bottom w:val="nil"/>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w:t>
            </w:r>
          </w:p>
        </w:tc>
        <w:tc>
          <w:tcPr>
            <w:tcW w:w="1437" w:type="dxa"/>
            <w:tcBorders>
              <w:top w:val="single" w:sz="8" w:space="0" w:color="auto"/>
              <w:left w:val="nil"/>
              <w:bottom w:val="nil"/>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TOTAL</w:t>
            </w:r>
          </w:p>
        </w:tc>
        <w:tc>
          <w:tcPr>
            <w:tcW w:w="1568" w:type="dxa"/>
            <w:tcBorders>
              <w:top w:val="single" w:sz="8" w:space="0" w:color="auto"/>
              <w:left w:val="nil"/>
              <w:bottom w:val="nil"/>
              <w:right w:val="nil"/>
            </w:tcBorders>
            <w:noWrap/>
            <w:vAlign w:val="bottom"/>
            <w:hideMark/>
          </w:tcPr>
          <w:p w:rsidR="0005008E" w:rsidRPr="00E022F8" w:rsidRDefault="00055C25" w:rsidP="00FE758E">
            <w:pPr>
              <w:jc w:val="center"/>
              <w:rPr>
                <w:rFonts w:ascii="SWISS" w:hAnsi="SWISS" w:cs="Arial"/>
                <w:b/>
                <w:bCs/>
                <w:color w:val="000000"/>
                <w:sz w:val="20"/>
                <w:szCs w:val="20"/>
              </w:rPr>
            </w:pPr>
            <w:r>
              <w:rPr>
                <w:rFonts w:ascii="SWISS" w:hAnsi="SWISS" w:cs="Arial"/>
                <w:b/>
                <w:bCs/>
                <w:color w:val="000000"/>
                <w:sz w:val="20"/>
                <w:szCs w:val="20"/>
              </w:rPr>
              <w:t>COMMISSION</w:t>
            </w:r>
          </w:p>
        </w:tc>
        <w:tc>
          <w:tcPr>
            <w:tcW w:w="1689" w:type="dxa"/>
            <w:tcBorders>
              <w:top w:val="single" w:sz="8" w:space="0" w:color="auto"/>
              <w:left w:val="nil"/>
              <w:bottom w:val="nil"/>
              <w:right w:val="single" w:sz="8" w:space="0" w:color="auto"/>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TOTAL</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w:t>
            </w:r>
          </w:p>
        </w:tc>
        <w:tc>
          <w:tcPr>
            <w:tcW w:w="1437"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PER</w:t>
            </w:r>
          </w:p>
        </w:tc>
        <w:tc>
          <w:tcPr>
            <w:tcW w:w="1568" w:type="dxa"/>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ADJUST-</w:t>
            </w:r>
          </w:p>
        </w:tc>
        <w:tc>
          <w:tcPr>
            <w:tcW w:w="1689" w:type="dxa"/>
            <w:tcBorders>
              <w:top w:val="nil"/>
              <w:left w:val="nil"/>
              <w:bottom w:val="nil"/>
              <w:right w:val="single" w:sz="8" w:space="0" w:color="auto"/>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PER</w:t>
            </w:r>
          </w:p>
        </w:tc>
      </w:tr>
      <w:tr w:rsidR="0005008E" w:rsidRPr="00E022F8" w:rsidTr="00055C25">
        <w:trPr>
          <w:trHeight w:val="312"/>
          <w:jc w:val="center"/>
        </w:trPr>
        <w:tc>
          <w:tcPr>
            <w:tcW w:w="4905" w:type="dxa"/>
            <w:tcBorders>
              <w:top w:val="nil"/>
              <w:left w:val="single" w:sz="8" w:space="0" w:color="auto"/>
              <w:bottom w:val="single" w:sz="8" w:space="0" w:color="auto"/>
              <w:right w:val="nil"/>
            </w:tcBorders>
            <w:noWrap/>
            <w:vAlign w:val="bottom"/>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w:t>
            </w:r>
          </w:p>
        </w:tc>
        <w:tc>
          <w:tcPr>
            <w:tcW w:w="1437"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UTILITY</w:t>
            </w:r>
          </w:p>
        </w:tc>
        <w:tc>
          <w:tcPr>
            <w:tcW w:w="1568" w:type="dxa"/>
            <w:tcBorders>
              <w:top w:val="nil"/>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MENTS</w:t>
            </w:r>
          </w:p>
        </w:tc>
        <w:tc>
          <w:tcPr>
            <w:tcW w:w="1689" w:type="dxa"/>
            <w:tcBorders>
              <w:top w:val="nil"/>
              <w:left w:val="nil"/>
              <w:bottom w:val="single" w:sz="8" w:space="0" w:color="auto"/>
              <w:right w:val="single" w:sz="8" w:space="0" w:color="auto"/>
            </w:tcBorders>
            <w:noWrap/>
            <w:vAlign w:val="bottom"/>
            <w:hideMark/>
          </w:tcPr>
          <w:p w:rsidR="0005008E" w:rsidRPr="00E022F8" w:rsidRDefault="00055C25" w:rsidP="00FE758E">
            <w:pPr>
              <w:jc w:val="center"/>
              <w:rPr>
                <w:rFonts w:ascii="SWISS" w:hAnsi="SWISS" w:cs="Arial"/>
                <w:b/>
                <w:bCs/>
                <w:color w:val="000000"/>
                <w:sz w:val="20"/>
                <w:szCs w:val="20"/>
              </w:rPr>
            </w:pPr>
            <w:r>
              <w:rPr>
                <w:rFonts w:ascii="SWISS" w:hAnsi="SWISS" w:cs="Arial"/>
                <w:b/>
                <w:bCs/>
                <w:color w:val="000000"/>
                <w:sz w:val="20"/>
                <w:szCs w:val="20"/>
              </w:rPr>
              <w:t>COMMISSION</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(601) SALARIES AND WAGES - EMPLOYEES</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(603) SALARIES AND WAGES - OFFICERS</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3,</w:t>
            </w:r>
            <w:r>
              <w:rPr>
                <w:rFonts w:ascii="SWISS" w:hAnsi="SWISS" w:cs="Arial"/>
                <w:sz w:val="20"/>
                <w:szCs w:val="20"/>
              </w:rPr>
              <w:t>2</w:t>
            </w:r>
            <w:r w:rsidRPr="00E022F8">
              <w:rPr>
                <w:rFonts w:ascii="SWISS" w:hAnsi="SWISS" w:cs="Arial"/>
                <w:sz w:val="20"/>
                <w:szCs w:val="20"/>
              </w:rPr>
              <w:t xml:space="preserve">00  </w:t>
            </w:r>
          </w:p>
        </w:tc>
        <w:tc>
          <w:tcPr>
            <w:tcW w:w="1568"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(200)</w:t>
            </w:r>
            <w:r w:rsidRPr="00E022F8">
              <w:rPr>
                <w:rFonts w:ascii="SWISS" w:hAnsi="SWISS" w:cs="Arial"/>
                <w:sz w:val="20"/>
                <w:szCs w:val="20"/>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3,</w:t>
            </w:r>
            <w:r>
              <w:rPr>
                <w:rFonts w:ascii="SWISS" w:hAnsi="SWISS" w:cs="Arial"/>
                <w:sz w:val="20"/>
                <w:szCs w:val="20"/>
              </w:rPr>
              <w:t>0</w:t>
            </w:r>
            <w:r w:rsidRPr="00E022F8">
              <w:rPr>
                <w:rFonts w:ascii="SWISS" w:hAnsi="SWISS" w:cs="Arial"/>
                <w:sz w:val="20"/>
                <w:szCs w:val="20"/>
              </w:rPr>
              <w:t xml:space="preserve">00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(604) EMPLOYEE PENSIONS AND BENEFITS</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(610) PURCHASED WATER</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(615) PURCHASED POWER</w:t>
            </w:r>
          </w:p>
        </w:tc>
        <w:tc>
          <w:tcPr>
            <w:tcW w:w="1437"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939</w:t>
            </w:r>
            <w:r w:rsidRPr="00E022F8">
              <w:rPr>
                <w:rFonts w:ascii="SWISS" w:hAnsi="SWISS" w:cs="Arial"/>
                <w:sz w:val="20"/>
                <w:szCs w:val="20"/>
              </w:rPr>
              <w:t xml:space="preserve">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   (</w:t>
            </w:r>
            <w:r>
              <w:rPr>
                <w:rFonts w:ascii="SWISS" w:hAnsi="SWISS" w:cs="Arial"/>
                <w:sz w:val="20"/>
                <w:szCs w:val="20"/>
              </w:rPr>
              <w:t>95</w:t>
            </w:r>
            <w:r w:rsidRPr="00E022F8">
              <w:rPr>
                <w:rFonts w:ascii="SWISS" w:hAnsi="SWISS" w:cs="Arial"/>
                <w:sz w:val="20"/>
                <w:szCs w:val="20"/>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844</w:t>
            </w:r>
            <w:r w:rsidRPr="00E022F8">
              <w:rPr>
                <w:rFonts w:ascii="SWISS" w:hAnsi="SWISS" w:cs="Arial"/>
                <w:sz w:val="20"/>
                <w:szCs w:val="20"/>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(616) FUEL FOR POWER PRODUCTION</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(618) CHEMICALS</w:t>
            </w:r>
          </w:p>
        </w:tc>
        <w:tc>
          <w:tcPr>
            <w:tcW w:w="1437"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540</w:t>
            </w:r>
            <w:r w:rsidRPr="00E022F8">
              <w:rPr>
                <w:rFonts w:ascii="SWISS" w:hAnsi="SWISS" w:cs="Arial"/>
                <w:sz w:val="20"/>
                <w:szCs w:val="20"/>
              </w:rPr>
              <w:t xml:space="preserve">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w:t>
            </w:r>
            <w:r>
              <w:rPr>
                <w:rFonts w:ascii="SWISS" w:hAnsi="SWISS" w:cs="Arial"/>
                <w:sz w:val="20"/>
                <w:szCs w:val="20"/>
              </w:rPr>
              <w:t>55</w:t>
            </w:r>
            <w:r w:rsidRPr="00E022F8">
              <w:rPr>
                <w:rFonts w:ascii="SWISS" w:hAnsi="SWISS" w:cs="Arial"/>
                <w:sz w:val="20"/>
                <w:szCs w:val="20"/>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485</w:t>
            </w:r>
            <w:r w:rsidRPr="00E022F8">
              <w:rPr>
                <w:rFonts w:ascii="SWISS" w:hAnsi="SWISS" w:cs="Arial"/>
                <w:sz w:val="20"/>
                <w:szCs w:val="20"/>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(620) MATERIALS AND SUPPLIES</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(630) CONTRACTUAL SERVICES - BILLING</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(631) CONTRACTUAL SERVICES - PROFESSIONAL</w:t>
            </w:r>
          </w:p>
        </w:tc>
        <w:tc>
          <w:tcPr>
            <w:tcW w:w="1437"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1</w:t>
            </w:r>
            <w:r w:rsidRPr="00E022F8">
              <w:rPr>
                <w:rFonts w:ascii="SWISS" w:hAnsi="SWISS" w:cs="Arial"/>
                <w:sz w:val="20"/>
                <w:szCs w:val="20"/>
              </w:rPr>
              <w:t>,</w:t>
            </w:r>
            <w:r>
              <w:rPr>
                <w:rFonts w:ascii="SWISS" w:hAnsi="SWISS" w:cs="Arial"/>
                <w:sz w:val="20"/>
                <w:szCs w:val="20"/>
              </w:rPr>
              <w:t>395</w:t>
            </w:r>
            <w:r w:rsidRPr="00E022F8">
              <w:rPr>
                <w:rFonts w:ascii="SWISS" w:hAnsi="SWISS" w:cs="Arial"/>
                <w:sz w:val="20"/>
                <w:szCs w:val="20"/>
              </w:rPr>
              <w:t xml:space="preserve">  </w:t>
            </w:r>
          </w:p>
        </w:tc>
        <w:tc>
          <w:tcPr>
            <w:tcW w:w="1568"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(412)</w:t>
            </w:r>
            <w:r w:rsidRPr="00E022F8">
              <w:rPr>
                <w:rFonts w:ascii="SWISS" w:hAnsi="SWISS" w:cs="Arial"/>
                <w:sz w:val="20"/>
                <w:szCs w:val="20"/>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983</w:t>
            </w:r>
            <w:r w:rsidRPr="00E022F8">
              <w:rPr>
                <w:rFonts w:ascii="SWISS" w:hAnsi="SWISS" w:cs="Arial"/>
                <w:sz w:val="20"/>
                <w:szCs w:val="20"/>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(635) CONTRACTUAL SERVICES - TESTING</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(636) CONTRACTUAL SERVICES - OTHER</w:t>
            </w:r>
          </w:p>
        </w:tc>
        <w:tc>
          <w:tcPr>
            <w:tcW w:w="1437"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15</w:t>
            </w:r>
            <w:r w:rsidRPr="00E022F8">
              <w:rPr>
                <w:rFonts w:ascii="SWISS" w:hAnsi="SWISS" w:cs="Arial"/>
                <w:sz w:val="20"/>
                <w:szCs w:val="20"/>
              </w:rPr>
              <w:t>,</w:t>
            </w:r>
            <w:r>
              <w:rPr>
                <w:rFonts w:ascii="SWISS" w:hAnsi="SWISS" w:cs="Arial"/>
                <w:sz w:val="20"/>
                <w:szCs w:val="20"/>
              </w:rPr>
              <w:t>367</w:t>
            </w:r>
            <w:r w:rsidRPr="00E022F8">
              <w:rPr>
                <w:rFonts w:ascii="SWISS" w:hAnsi="SWISS" w:cs="Arial"/>
                <w:sz w:val="20"/>
                <w:szCs w:val="20"/>
              </w:rPr>
              <w:t xml:space="preserve">  </w:t>
            </w:r>
          </w:p>
        </w:tc>
        <w:tc>
          <w:tcPr>
            <w:tcW w:w="1568"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4,356</w:t>
            </w:r>
            <w:r w:rsidRPr="00E022F8">
              <w:rPr>
                <w:rFonts w:ascii="SWISS" w:hAnsi="SWISS" w:cs="Arial"/>
                <w:sz w:val="20"/>
                <w:szCs w:val="20"/>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19</w:t>
            </w:r>
            <w:r w:rsidRPr="00E022F8">
              <w:rPr>
                <w:rFonts w:ascii="SWISS" w:hAnsi="SWISS" w:cs="Arial"/>
                <w:sz w:val="20"/>
                <w:szCs w:val="20"/>
              </w:rPr>
              <w:t>,</w:t>
            </w:r>
            <w:r>
              <w:rPr>
                <w:rFonts w:ascii="SWISS" w:hAnsi="SWISS" w:cs="Arial"/>
                <w:sz w:val="20"/>
                <w:szCs w:val="20"/>
              </w:rPr>
              <w:t>723</w:t>
            </w:r>
            <w:r w:rsidRPr="00E022F8">
              <w:rPr>
                <w:rFonts w:ascii="SWISS" w:hAnsi="SWISS" w:cs="Arial"/>
                <w:sz w:val="20"/>
                <w:szCs w:val="20"/>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(640) RENTS</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(650) TRANSPORTATION EXPENSE</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(655) INSURANCE EXPENSE</w:t>
            </w:r>
          </w:p>
        </w:tc>
        <w:tc>
          <w:tcPr>
            <w:tcW w:w="1437"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1,112</w:t>
            </w:r>
            <w:r w:rsidRPr="00E022F8">
              <w:rPr>
                <w:rFonts w:ascii="SWISS" w:hAnsi="SWISS" w:cs="Arial"/>
                <w:sz w:val="20"/>
                <w:szCs w:val="20"/>
              </w:rPr>
              <w:t xml:space="preserve">  </w:t>
            </w:r>
          </w:p>
        </w:tc>
        <w:tc>
          <w:tcPr>
            <w:tcW w:w="1568"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0</w:t>
            </w:r>
            <w:r w:rsidRPr="00E022F8">
              <w:rPr>
                <w:rFonts w:ascii="SWISS" w:hAnsi="SWISS" w:cs="Arial"/>
                <w:sz w:val="20"/>
                <w:szCs w:val="20"/>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1,</w:t>
            </w:r>
            <w:r>
              <w:rPr>
                <w:rFonts w:ascii="SWISS" w:hAnsi="SWISS" w:cs="Arial"/>
                <w:sz w:val="20"/>
                <w:szCs w:val="20"/>
              </w:rPr>
              <w:t>112</w:t>
            </w:r>
            <w:r w:rsidRPr="00E022F8">
              <w:rPr>
                <w:rFonts w:ascii="SWISS" w:hAnsi="SWISS" w:cs="Arial"/>
                <w:sz w:val="20"/>
                <w:szCs w:val="20"/>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(665) REGULATORY COMMISSION EXPENSE</w:t>
            </w:r>
          </w:p>
        </w:tc>
        <w:tc>
          <w:tcPr>
            <w:tcW w:w="1437"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 xml:space="preserve">0  </w:t>
            </w:r>
          </w:p>
        </w:tc>
        <w:tc>
          <w:tcPr>
            <w:tcW w:w="1568" w:type="dxa"/>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4</w:t>
            </w:r>
            <w:r>
              <w:rPr>
                <w:rFonts w:ascii="SWISS" w:hAnsi="SWISS" w:cs="Arial"/>
                <w:sz w:val="20"/>
                <w:szCs w:val="20"/>
              </w:rPr>
              <w:t>19</w:t>
            </w:r>
            <w:r w:rsidRPr="00E022F8">
              <w:rPr>
                <w:rFonts w:ascii="SWISS" w:hAnsi="SWISS" w:cs="Arial"/>
                <w:sz w:val="20"/>
                <w:szCs w:val="20"/>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sidRPr="00E022F8">
              <w:rPr>
                <w:rFonts w:ascii="SWISS" w:hAnsi="SWISS" w:cs="Arial"/>
                <w:sz w:val="20"/>
                <w:szCs w:val="20"/>
              </w:rPr>
              <w:t>4</w:t>
            </w:r>
            <w:r>
              <w:rPr>
                <w:rFonts w:ascii="SWISS" w:hAnsi="SWISS" w:cs="Arial"/>
                <w:sz w:val="20"/>
                <w:szCs w:val="20"/>
              </w:rPr>
              <w:t>19</w:t>
            </w:r>
            <w:r w:rsidRPr="00E022F8">
              <w:rPr>
                <w:rFonts w:ascii="SWISS" w:hAnsi="SWISS" w:cs="Arial"/>
                <w:sz w:val="20"/>
                <w:szCs w:val="20"/>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(670) BAD DEBT EXPENSE</w:t>
            </w:r>
          </w:p>
        </w:tc>
        <w:tc>
          <w:tcPr>
            <w:tcW w:w="1437"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217</w:t>
            </w:r>
            <w:r w:rsidRPr="00E022F8">
              <w:rPr>
                <w:rFonts w:ascii="SWISS" w:hAnsi="SWISS" w:cs="Arial"/>
                <w:sz w:val="20"/>
                <w:szCs w:val="20"/>
              </w:rPr>
              <w:t xml:space="preserve">  </w:t>
            </w:r>
          </w:p>
        </w:tc>
        <w:tc>
          <w:tcPr>
            <w:tcW w:w="1568" w:type="dxa"/>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0</w:t>
            </w:r>
            <w:r w:rsidRPr="00E022F8">
              <w:rPr>
                <w:rFonts w:ascii="SWISS" w:hAnsi="SWISS" w:cs="Arial"/>
                <w:sz w:val="20"/>
                <w:szCs w:val="20"/>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rPr>
            </w:pPr>
            <w:r>
              <w:rPr>
                <w:rFonts w:ascii="SWISS" w:hAnsi="SWISS" w:cs="Arial"/>
                <w:sz w:val="20"/>
                <w:szCs w:val="20"/>
              </w:rPr>
              <w:t>217</w:t>
            </w:r>
            <w:r w:rsidRPr="00E022F8">
              <w:rPr>
                <w:rFonts w:ascii="SWISS" w:hAnsi="SWISS" w:cs="Arial"/>
                <w:sz w:val="20"/>
                <w:szCs w:val="20"/>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(675) MISCELLANEOUS EXPENSE</w:t>
            </w:r>
          </w:p>
        </w:tc>
        <w:tc>
          <w:tcPr>
            <w:tcW w:w="1437" w:type="dxa"/>
            <w:noWrap/>
            <w:vAlign w:val="bottom"/>
            <w:hideMark/>
          </w:tcPr>
          <w:p w:rsidR="0005008E" w:rsidRPr="00E022F8" w:rsidRDefault="0005008E" w:rsidP="00FE758E">
            <w:pPr>
              <w:jc w:val="right"/>
              <w:rPr>
                <w:rFonts w:ascii="SWISS" w:hAnsi="SWISS" w:cs="Arial"/>
                <w:sz w:val="20"/>
                <w:szCs w:val="20"/>
                <w:u w:val="single"/>
              </w:rPr>
            </w:pPr>
            <w:r>
              <w:rPr>
                <w:rFonts w:ascii="SWISS" w:hAnsi="SWISS" w:cs="Arial"/>
                <w:sz w:val="20"/>
                <w:szCs w:val="20"/>
                <w:u w:val="single"/>
              </w:rPr>
              <w:t>116</w:t>
            </w:r>
            <w:r w:rsidRPr="00E022F8">
              <w:rPr>
                <w:rFonts w:ascii="SWISS" w:hAnsi="SWISS" w:cs="Arial"/>
                <w:sz w:val="20"/>
                <w:szCs w:val="20"/>
                <w:u w:val="single"/>
              </w:rPr>
              <w:t xml:space="preserve">  </w:t>
            </w:r>
          </w:p>
        </w:tc>
        <w:tc>
          <w:tcPr>
            <w:tcW w:w="1568" w:type="dxa"/>
            <w:noWrap/>
            <w:vAlign w:val="bottom"/>
            <w:hideMark/>
          </w:tcPr>
          <w:p w:rsidR="0005008E" w:rsidRPr="00E022F8" w:rsidRDefault="0005008E" w:rsidP="00FE758E">
            <w:pPr>
              <w:jc w:val="right"/>
              <w:rPr>
                <w:rFonts w:ascii="SWISS" w:hAnsi="SWISS" w:cs="Arial"/>
                <w:sz w:val="20"/>
                <w:szCs w:val="20"/>
                <w:u w:val="single"/>
              </w:rPr>
            </w:pPr>
            <w:r>
              <w:rPr>
                <w:rFonts w:ascii="SWISS" w:hAnsi="SWISS" w:cs="Arial"/>
                <w:sz w:val="20"/>
                <w:szCs w:val="20"/>
                <w:u w:val="single"/>
              </w:rPr>
              <w:t>213</w:t>
            </w:r>
            <w:r w:rsidRPr="00E022F8">
              <w:rPr>
                <w:rFonts w:ascii="SWISS" w:hAnsi="SWISS" w:cs="Arial"/>
                <w:sz w:val="20"/>
                <w:szCs w:val="20"/>
                <w:u w:val="single"/>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single"/>
              </w:rPr>
            </w:pPr>
            <w:r>
              <w:rPr>
                <w:rFonts w:ascii="SWISS" w:hAnsi="SWISS" w:cs="Arial"/>
                <w:sz w:val="20"/>
                <w:szCs w:val="20"/>
                <w:u w:val="single"/>
              </w:rPr>
              <w:t>329</w:t>
            </w:r>
            <w:r w:rsidRPr="00E022F8">
              <w:rPr>
                <w:rFonts w:ascii="SWISS" w:hAnsi="SWISS" w:cs="Arial"/>
                <w:sz w:val="20"/>
                <w:szCs w:val="20"/>
                <w:u w:val="single"/>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c>
          <w:tcPr>
            <w:tcW w:w="1437"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  </w:t>
            </w:r>
          </w:p>
        </w:tc>
        <w:tc>
          <w:tcPr>
            <w:tcW w:w="1568" w:type="dxa"/>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single"/>
              </w:rPr>
            </w:pPr>
            <w:r w:rsidRPr="00E022F8">
              <w:rPr>
                <w:rFonts w:ascii="SWISS" w:hAnsi="SWISS" w:cs="Arial"/>
                <w:sz w:val="20"/>
                <w:szCs w:val="20"/>
                <w:u w:val="single"/>
              </w:rPr>
              <w:t xml:space="preserve">  </w:t>
            </w:r>
          </w:p>
        </w:tc>
      </w:tr>
      <w:tr w:rsidR="0005008E" w:rsidRPr="00E022F8" w:rsidTr="00055C25">
        <w:trPr>
          <w:trHeight w:val="300"/>
          <w:jc w:val="center"/>
        </w:trPr>
        <w:tc>
          <w:tcPr>
            <w:tcW w:w="4905" w:type="dxa"/>
            <w:tcBorders>
              <w:top w:val="nil"/>
              <w:left w:val="single" w:sz="8" w:space="0" w:color="auto"/>
              <w:bottom w:val="nil"/>
              <w:right w:val="nil"/>
            </w:tcBorders>
            <w:noWrap/>
            <w:vAlign w:val="bottom"/>
            <w:hideMark/>
          </w:tcPr>
          <w:p w:rsidR="0005008E" w:rsidRPr="00E022F8" w:rsidRDefault="0005008E" w:rsidP="00FE758E">
            <w:pPr>
              <w:rPr>
                <w:rFonts w:ascii="SWISS" w:hAnsi="SWISS" w:cs="Arial"/>
                <w:sz w:val="20"/>
                <w:szCs w:val="20"/>
              </w:rPr>
            </w:pPr>
            <w:r w:rsidRPr="00E022F8">
              <w:rPr>
                <w:rFonts w:ascii="SWISS" w:hAnsi="SWISS" w:cs="Arial"/>
                <w:sz w:val="20"/>
                <w:szCs w:val="20"/>
              </w:rPr>
              <w:t> </w:t>
            </w:r>
          </w:p>
        </w:tc>
        <w:tc>
          <w:tcPr>
            <w:tcW w:w="1437"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22</w:t>
            </w:r>
            <w:r w:rsidRPr="00E022F8">
              <w:rPr>
                <w:rFonts w:ascii="SWISS" w:hAnsi="SWISS" w:cs="Arial"/>
                <w:sz w:val="20"/>
                <w:szCs w:val="20"/>
                <w:u w:val="double"/>
              </w:rPr>
              <w:t>,</w:t>
            </w:r>
            <w:r>
              <w:rPr>
                <w:rFonts w:ascii="SWISS" w:hAnsi="SWISS" w:cs="Arial"/>
                <w:sz w:val="20"/>
                <w:szCs w:val="20"/>
                <w:u w:val="double"/>
              </w:rPr>
              <w:t>886</w:t>
            </w:r>
            <w:r w:rsidRPr="00E022F8">
              <w:rPr>
                <w:rFonts w:ascii="SWISS" w:hAnsi="SWISS" w:cs="Arial"/>
                <w:sz w:val="20"/>
                <w:szCs w:val="20"/>
                <w:u w:val="double"/>
              </w:rPr>
              <w:t xml:space="preserve">   </w:t>
            </w:r>
          </w:p>
        </w:tc>
        <w:tc>
          <w:tcPr>
            <w:tcW w:w="1568" w:type="dxa"/>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4,227</w:t>
            </w:r>
            <w:r w:rsidRPr="00E022F8">
              <w:rPr>
                <w:rFonts w:ascii="SWISS" w:hAnsi="SWISS" w:cs="Arial"/>
                <w:sz w:val="20"/>
                <w:szCs w:val="20"/>
                <w:u w:val="double"/>
              </w:rPr>
              <w:t xml:space="preserve">   </w:t>
            </w:r>
          </w:p>
        </w:tc>
        <w:tc>
          <w:tcPr>
            <w:tcW w:w="1689" w:type="dxa"/>
            <w:tcBorders>
              <w:top w:val="nil"/>
              <w:left w:val="nil"/>
              <w:bottom w:val="nil"/>
              <w:right w:val="single" w:sz="8" w:space="0" w:color="auto"/>
            </w:tcBorders>
            <w:noWrap/>
            <w:vAlign w:val="bottom"/>
            <w:hideMark/>
          </w:tcPr>
          <w:p w:rsidR="0005008E" w:rsidRPr="00E022F8" w:rsidRDefault="0005008E" w:rsidP="00FE758E">
            <w:pPr>
              <w:jc w:val="right"/>
              <w:rPr>
                <w:rFonts w:ascii="SWISS" w:hAnsi="SWISS" w:cs="Arial"/>
                <w:sz w:val="20"/>
                <w:szCs w:val="20"/>
                <w:u w:val="double"/>
              </w:rPr>
            </w:pPr>
            <w:r w:rsidRPr="00E022F8">
              <w:rPr>
                <w:rFonts w:ascii="SWISS" w:hAnsi="SWISS" w:cs="Arial"/>
                <w:sz w:val="20"/>
                <w:szCs w:val="20"/>
                <w:u w:val="double"/>
              </w:rPr>
              <w:t>$</w:t>
            </w:r>
            <w:r>
              <w:rPr>
                <w:rFonts w:ascii="SWISS" w:hAnsi="SWISS" w:cs="Arial"/>
                <w:sz w:val="20"/>
                <w:szCs w:val="20"/>
                <w:u w:val="double"/>
              </w:rPr>
              <w:t>27</w:t>
            </w:r>
            <w:r w:rsidRPr="00E022F8">
              <w:rPr>
                <w:rFonts w:ascii="SWISS" w:hAnsi="SWISS" w:cs="Arial"/>
                <w:sz w:val="20"/>
                <w:szCs w:val="20"/>
                <w:u w:val="double"/>
              </w:rPr>
              <w:t>,</w:t>
            </w:r>
            <w:r>
              <w:rPr>
                <w:rFonts w:ascii="SWISS" w:hAnsi="SWISS" w:cs="Arial"/>
                <w:sz w:val="20"/>
                <w:szCs w:val="20"/>
                <w:u w:val="double"/>
              </w:rPr>
              <w:t>113</w:t>
            </w:r>
            <w:r w:rsidRPr="00E022F8">
              <w:rPr>
                <w:rFonts w:ascii="SWISS" w:hAnsi="SWISS" w:cs="Arial"/>
                <w:sz w:val="20"/>
                <w:szCs w:val="20"/>
                <w:u w:val="double"/>
              </w:rPr>
              <w:t xml:space="preserve">  </w:t>
            </w:r>
          </w:p>
        </w:tc>
      </w:tr>
      <w:tr w:rsidR="0005008E" w:rsidRPr="00E022F8" w:rsidTr="00055C25">
        <w:trPr>
          <w:trHeight w:val="312"/>
          <w:jc w:val="center"/>
        </w:trPr>
        <w:tc>
          <w:tcPr>
            <w:tcW w:w="4905" w:type="dxa"/>
            <w:tcBorders>
              <w:top w:val="nil"/>
              <w:left w:val="single" w:sz="8" w:space="0" w:color="auto"/>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437"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568" w:type="dxa"/>
            <w:tcBorders>
              <w:top w:val="nil"/>
              <w:left w:val="nil"/>
              <w:bottom w:val="single" w:sz="8" w:space="0" w:color="auto"/>
              <w:right w:val="nil"/>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c>
          <w:tcPr>
            <w:tcW w:w="1689" w:type="dxa"/>
            <w:tcBorders>
              <w:top w:val="nil"/>
              <w:left w:val="nil"/>
              <w:bottom w:val="single" w:sz="8" w:space="0" w:color="auto"/>
              <w:right w:val="single" w:sz="8" w:space="0" w:color="auto"/>
            </w:tcBorders>
            <w:noWrap/>
            <w:vAlign w:val="bottom"/>
            <w:hideMark/>
          </w:tcPr>
          <w:p w:rsidR="0005008E" w:rsidRPr="00E022F8" w:rsidRDefault="0005008E" w:rsidP="00FE758E">
            <w:pPr>
              <w:rPr>
                <w:rFonts w:ascii="SWISS" w:hAnsi="SWISS" w:cs="Arial"/>
                <w:color w:val="000000"/>
                <w:sz w:val="20"/>
                <w:szCs w:val="20"/>
              </w:rPr>
            </w:pPr>
            <w:r w:rsidRPr="00E022F8">
              <w:rPr>
                <w:rFonts w:ascii="SWISS" w:hAnsi="SWISS" w:cs="Arial"/>
                <w:color w:val="000000"/>
                <w:sz w:val="20"/>
                <w:szCs w:val="20"/>
              </w:rPr>
              <w:t> </w:t>
            </w:r>
          </w:p>
        </w:tc>
      </w:tr>
    </w:tbl>
    <w:p w:rsidR="0005008E" w:rsidRDefault="0005008E" w:rsidP="00925414">
      <w:pPr>
        <w:pStyle w:val="OrderBody"/>
        <w:sectPr w:rsidR="0005008E" w:rsidSect="0005008E">
          <w:headerReference w:type="default" r:id="rId14"/>
          <w:headerReference w:type="first" r:id="rId15"/>
          <w:pgSz w:w="12240" w:h="15840" w:code="1"/>
          <w:pgMar w:top="1440" w:right="1440" w:bottom="1440" w:left="1440" w:header="720" w:footer="720" w:gutter="0"/>
          <w:cols w:space="720"/>
          <w:titlePg/>
          <w:docGrid w:linePitch="360"/>
        </w:sectPr>
      </w:pPr>
    </w:p>
    <w:tbl>
      <w:tblPr>
        <w:tblW w:w="9752" w:type="dxa"/>
        <w:tblInd w:w="93" w:type="dxa"/>
        <w:tblLook w:val="04A0" w:firstRow="1" w:lastRow="0" w:firstColumn="1" w:lastColumn="0" w:noHBand="0" w:noVBand="1"/>
      </w:tblPr>
      <w:tblGrid>
        <w:gridCol w:w="4720"/>
        <w:gridCol w:w="1540"/>
        <w:gridCol w:w="1872"/>
        <w:gridCol w:w="1620"/>
      </w:tblGrid>
      <w:tr w:rsidR="0005008E" w:rsidRPr="004A39C6" w:rsidTr="00FE758E">
        <w:trPr>
          <w:trHeight w:val="250"/>
        </w:trPr>
        <w:tc>
          <w:tcPr>
            <w:tcW w:w="4720" w:type="dxa"/>
            <w:tcBorders>
              <w:top w:val="single" w:sz="8" w:space="0" w:color="000000"/>
              <w:left w:val="single" w:sz="8" w:space="0" w:color="000000"/>
              <w:bottom w:val="nil"/>
              <w:right w:val="nil"/>
            </w:tcBorders>
            <w:shd w:val="clear" w:color="auto" w:fill="auto"/>
            <w:noWrap/>
            <w:vAlign w:val="center"/>
            <w:hideMark/>
          </w:tcPr>
          <w:p w:rsidR="0005008E" w:rsidRPr="004A39C6" w:rsidRDefault="0005008E" w:rsidP="00FE758E">
            <w:pPr>
              <w:rPr>
                <w:b/>
                <w:bCs/>
                <w:color w:val="000000"/>
                <w:sz w:val="20"/>
                <w:szCs w:val="20"/>
              </w:rPr>
            </w:pPr>
            <w:r w:rsidRPr="004A39C6">
              <w:rPr>
                <w:b/>
                <w:bCs/>
                <w:color w:val="000000"/>
                <w:sz w:val="20"/>
                <w:szCs w:val="20"/>
              </w:rPr>
              <w:lastRenderedPageBreak/>
              <w:t>PINE HARBOUR WATERWORKS, INC.</w:t>
            </w:r>
          </w:p>
        </w:tc>
        <w:tc>
          <w:tcPr>
            <w:tcW w:w="1540" w:type="dxa"/>
            <w:tcBorders>
              <w:top w:val="single" w:sz="8" w:space="0" w:color="000000"/>
              <w:left w:val="nil"/>
              <w:bottom w:val="nil"/>
              <w:right w:val="nil"/>
            </w:tcBorders>
            <w:shd w:val="clear" w:color="auto" w:fill="auto"/>
            <w:noWrap/>
            <w:vAlign w:val="center"/>
            <w:hideMark/>
          </w:tcPr>
          <w:p w:rsidR="0005008E" w:rsidRPr="004A39C6" w:rsidRDefault="0005008E" w:rsidP="00FE758E">
            <w:pPr>
              <w:rPr>
                <w:b/>
                <w:bCs/>
                <w:color w:val="000000"/>
                <w:sz w:val="20"/>
                <w:szCs w:val="20"/>
              </w:rPr>
            </w:pPr>
            <w:r w:rsidRPr="004A39C6">
              <w:rPr>
                <w:b/>
                <w:bCs/>
                <w:color w:val="000000"/>
                <w:sz w:val="20"/>
                <w:szCs w:val="20"/>
              </w:rPr>
              <w:t> </w:t>
            </w:r>
          </w:p>
        </w:tc>
        <w:tc>
          <w:tcPr>
            <w:tcW w:w="3492" w:type="dxa"/>
            <w:gridSpan w:val="2"/>
            <w:tcBorders>
              <w:top w:val="single" w:sz="8" w:space="0" w:color="000000"/>
              <w:left w:val="nil"/>
              <w:bottom w:val="nil"/>
              <w:right w:val="single" w:sz="8" w:space="0" w:color="000000"/>
            </w:tcBorders>
            <w:shd w:val="clear" w:color="auto" w:fill="auto"/>
            <w:noWrap/>
            <w:vAlign w:val="center"/>
            <w:hideMark/>
          </w:tcPr>
          <w:p w:rsidR="0005008E" w:rsidRPr="004A39C6" w:rsidRDefault="0005008E" w:rsidP="00FE758E">
            <w:pPr>
              <w:jc w:val="right"/>
              <w:rPr>
                <w:b/>
                <w:bCs/>
                <w:color w:val="000000"/>
                <w:sz w:val="20"/>
                <w:szCs w:val="20"/>
              </w:rPr>
            </w:pPr>
            <w:r w:rsidRPr="004A39C6">
              <w:rPr>
                <w:b/>
                <w:bCs/>
                <w:color w:val="000000"/>
                <w:sz w:val="20"/>
                <w:szCs w:val="20"/>
              </w:rPr>
              <w:t> SCHEDULE NO. 4</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b/>
                <w:bCs/>
                <w:color w:val="000000"/>
                <w:sz w:val="20"/>
                <w:szCs w:val="20"/>
              </w:rPr>
            </w:pPr>
            <w:r w:rsidRPr="004A39C6">
              <w:rPr>
                <w:b/>
                <w:bCs/>
                <w:color w:val="000000"/>
                <w:sz w:val="20"/>
                <w:szCs w:val="20"/>
              </w:rPr>
              <w:t xml:space="preserve">TEST YEAR ENDED </w:t>
            </w:r>
            <w:r>
              <w:rPr>
                <w:b/>
                <w:bCs/>
                <w:color w:val="000000"/>
                <w:sz w:val="20"/>
                <w:szCs w:val="20"/>
              </w:rPr>
              <w:t>DECEMBER 31, 2017</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3492" w:type="dxa"/>
            <w:gridSpan w:val="2"/>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b/>
                <w:bCs/>
                <w:color w:val="000000"/>
                <w:sz w:val="20"/>
                <w:szCs w:val="20"/>
              </w:rPr>
            </w:pPr>
            <w:r w:rsidRPr="004A39C6">
              <w:rPr>
                <w:b/>
                <w:bCs/>
                <w:color w:val="000000"/>
                <w:sz w:val="20"/>
                <w:szCs w:val="20"/>
              </w:rPr>
              <w:t>DOCKET NO. 20180022-WU</w:t>
            </w:r>
          </w:p>
        </w:tc>
      </w:tr>
      <w:tr w:rsidR="0005008E" w:rsidRPr="004A39C6" w:rsidTr="00FE758E">
        <w:trPr>
          <w:trHeight w:val="315"/>
        </w:trPr>
        <w:tc>
          <w:tcPr>
            <w:tcW w:w="4720" w:type="dxa"/>
            <w:tcBorders>
              <w:top w:val="nil"/>
              <w:left w:val="single" w:sz="8" w:space="0" w:color="000000"/>
              <w:bottom w:val="single" w:sz="8" w:space="0" w:color="000000"/>
              <w:right w:val="nil"/>
            </w:tcBorders>
            <w:shd w:val="clear" w:color="auto" w:fill="auto"/>
            <w:noWrap/>
            <w:vAlign w:val="center"/>
            <w:hideMark/>
          </w:tcPr>
          <w:p w:rsidR="0005008E" w:rsidRPr="004A39C6" w:rsidRDefault="0005008E" w:rsidP="00FE758E">
            <w:pPr>
              <w:rPr>
                <w:b/>
                <w:bCs/>
                <w:color w:val="000000"/>
                <w:sz w:val="20"/>
                <w:szCs w:val="20"/>
              </w:rPr>
            </w:pPr>
            <w:r w:rsidRPr="004A39C6">
              <w:rPr>
                <w:b/>
                <w:bCs/>
                <w:color w:val="000000"/>
                <w:sz w:val="20"/>
                <w:szCs w:val="20"/>
              </w:rPr>
              <w:t>MONTHLY WATER RATES</w:t>
            </w:r>
          </w:p>
        </w:tc>
        <w:tc>
          <w:tcPr>
            <w:tcW w:w="1540" w:type="dxa"/>
            <w:tcBorders>
              <w:top w:val="nil"/>
              <w:left w:val="nil"/>
              <w:bottom w:val="single" w:sz="8" w:space="0" w:color="000000"/>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620" w:type="dxa"/>
            <w:tcBorders>
              <w:top w:val="nil"/>
              <w:left w:val="nil"/>
              <w:bottom w:val="single" w:sz="8" w:space="0" w:color="000000"/>
              <w:right w:val="single" w:sz="8" w:space="0" w:color="000000"/>
            </w:tcBorders>
            <w:shd w:val="clear" w:color="auto" w:fill="auto"/>
            <w:noWrap/>
            <w:vAlign w:val="center"/>
            <w:hideMark/>
          </w:tcPr>
          <w:p w:rsidR="0005008E" w:rsidRPr="004A39C6" w:rsidRDefault="0005008E" w:rsidP="00FE758E">
            <w:pPr>
              <w:rPr>
                <w:b/>
                <w:bCs/>
                <w:sz w:val="20"/>
                <w:szCs w:val="20"/>
              </w:rPr>
            </w:pPr>
            <w:r w:rsidRPr="004A39C6">
              <w:rPr>
                <w:b/>
                <w:bCs/>
                <w:sz w:val="20"/>
                <w:szCs w:val="20"/>
              </w:rPr>
              <w:t> </w:t>
            </w:r>
          </w:p>
        </w:tc>
      </w:tr>
      <w:tr w:rsidR="0005008E" w:rsidRPr="004A39C6" w:rsidTr="00FE758E">
        <w:trPr>
          <w:trHeight w:val="300"/>
        </w:trPr>
        <w:tc>
          <w:tcPr>
            <w:tcW w:w="4720" w:type="dxa"/>
            <w:tcBorders>
              <w:top w:val="single" w:sz="4" w:space="0" w:color="auto"/>
              <w:left w:val="single" w:sz="4" w:space="0" w:color="auto"/>
              <w:bottom w:val="nil"/>
              <w:right w:val="nil"/>
            </w:tcBorders>
            <w:shd w:val="clear" w:color="auto" w:fill="auto"/>
            <w:noWrap/>
            <w:vAlign w:val="bottom"/>
          </w:tcPr>
          <w:p w:rsidR="0005008E" w:rsidRPr="004A39C6" w:rsidRDefault="0005008E" w:rsidP="00FE758E">
            <w:pPr>
              <w:rPr>
                <w:sz w:val="20"/>
                <w:szCs w:val="20"/>
              </w:rPr>
            </w:pPr>
          </w:p>
        </w:tc>
        <w:tc>
          <w:tcPr>
            <w:tcW w:w="1540" w:type="dxa"/>
            <w:tcBorders>
              <w:top w:val="single" w:sz="4" w:space="0" w:color="auto"/>
              <w:left w:val="nil"/>
              <w:bottom w:val="nil"/>
              <w:right w:val="nil"/>
            </w:tcBorders>
            <w:shd w:val="clear" w:color="auto" w:fill="auto"/>
            <w:noWrap/>
            <w:vAlign w:val="center"/>
          </w:tcPr>
          <w:p w:rsidR="0005008E" w:rsidRPr="004A39C6" w:rsidRDefault="0005008E" w:rsidP="00FE758E">
            <w:pPr>
              <w:jc w:val="center"/>
              <w:rPr>
                <w:b/>
                <w:bCs/>
                <w:color w:val="000000"/>
                <w:sz w:val="20"/>
                <w:szCs w:val="20"/>
              </w:rPr>
            </w:pPr>
            <w:r w:rsidRPr="004A39C6">
              <w:rPr>
                <w:b/>
                <w:bCs/>
                <w:color w:val="000000"/>
                <w:sz w:val="20"/>
                <w:szCs w:val="20"/>
              </w:rPr>
              <w:t>UTILITY</w:t>
            </w:r>
          </w:p>
        </w:tc>
        <w:tc>
          <w:tcPr>
            <w:tcW w:w="1872" w:type="dxa"/>
            <w:tcBorders>
              <w:top w:val="single" w:sz="4" w:space="0" w:color="auto"/>
              <w:left w:val="nil"/>
              <w:bottom w:val="nil"/>
              <w:right w:val="nil"/>
            </w:tcBorders>
            <w:shd w:val="clear" w:color="auto" w:fill="auto"/>
            <w:noWrap/>
            <w:vAlign w:val="center"/>
          </w:tcPr>
          <w:p w:rsidR="0005008E" w:rsidRPr="004A39C6" w:rsidRDefault="00726AFA" w:rsidP="00FE758E">
            <w:pPr>
              <w:jc w:val="center"/>
              <w:rPr>
                <w:b/>
                <w:bCs/>
                <w:color w:val="000000"/>
                <w:sz w:val="20"/>
                <w:szCs w:val="20"/>
              </w:rPr>
            </w:pPr>
            <w:r>
              <w:rPr>
                <w:b/>
                <w:bCs/>
                <w:color w:val="000000"/>
                <w:sz w:val="20"/>
                <w:szCs w:val="20"/>
              </w:rPr>
              <w:t>COMMISSION</w:t>
            </w:r>
          </w:p>
        </w:tc>
        <w:tc>
          <w:tcPr>
            <w:tcW w:w="1620" w:type="dxa"/>
            <w:tcBorders>
              <w:top w:val="single" w:sz="4" w:space="0" w:color="auto"/>
              <w:left w:val="nil"/>
              <w:bottom w:val="nil"/>
              <w:right w:val="single" w:sz="4" w:space="0" w:color="auto"/>
            </w:tcBorders>
            <w:shd w:val="clear" w:color="auto" w:fill="auto"/>
            <w:noWrap/>
            <w:vAlign w:val="center"/>
          </w:tcPr>
          <w:p w:rsidR="0005008E" w:rsidRPr="004A39C6" w:rsidRDefault="0005008E" w:rsidP="00FE758E">
            <w:pPr>
              <w:jc w:val="center"/>
              <w:rPr>
                <w:b/>
                <w:bCs/>
                <w:color w:val="000000"/>
                <w:sz w:val="20"/>
                <w:szCs w:val="20"/>
              </w:rPr>
            </w:pPr>
            <w:r w:rsidRPr="004A39C6">
              <w:rPr>
                <w:b/>
                <w:bCs/>
                <w:color w:val="000000"/>
                <w:sz w:val="20"/>
                <w:szCs w:val="20"/>
              </w:rPr>
              <w:t>4 YEAR</w:t>
            </w:r>
          </w:p>
        </w:tc>
      </w:tr>
      <w:tr w:rsidR="0005008E" w:rsidRPr="004A39C6" w:rsidTr="00FE758E">
        <w:trPr>
          <w:trHeight w:val="300"/>
        </w:trPr>
        <w:tc>
          <w:tcPr>
            <w:tcW w:w="4720" w:type="dxa"/>
            <w:tcBorders>
              <w:top w:val="nil"/>
              <w:left w:val="single" w:sz="4" w:space="0" w:color="auto"/>
              <w:bottom w:val="nil"/>
              <w:right w:val="nil"/>
            </w:tcBorders>
            <w:shd w:val="clear" w:color="auto" w:fill="auto"/>
            <w:noWrap/>
            <w:vAlign w:val="bottom"/>
          </w:tcPr>
          <w:p w:rsidR="0005008E" w:rsidRPr="004A39C6" w:rsidRDefault="0005008E" w:rsidP="00FE758E">
            <w:pPr>
              <w:rPr>
                <w:sz w:val="20"/>
                <w:szCs w:val="20"/>
              </w:rPr>
            </w:pPr>
          </w:p>
        </w:tc>
        <w:tc>
          <w:tcPr>
            <w:tcW w:w="1540" w:type="dxa"/>
            <w:tcBorders>
              <w:top w:val="nil"/>
              <w:left w:val="nil"/>
              <w:bottom w:val="nil"/>
              <w:right w:val="nil"/>
            </w:tcBorders>
            <w:shd w:val="clear" w:color="auto" w:fill="auto"/>
            <w:noWrap/>
            <w:vAlign w:val="center"/>
          </w:tcPr>
          <w:p w:rsidR="0005008E" w:rsidRPr="004A39C6" w:rsidRDefault="0005008E" w:rsidP="00FE758E">
            <w:pPr>
              <w:jc w:val="center"/>
              <w:rPr>
                <w:b/>
                <w:bCs/>
                <w:color w:val="000000"/>
                <w:sz w:val="20"/>
                <w:szCs w:val="20"/>
              </w:rPr>
            </w:pPr>
            <w:r w:rsidRPr="004A39C6">
              <w:rPr>
                <w:b/>
                <w:bCs/>
                <w:color w:val="000000"/>
                <w:sz w:val="20"/>
                <w:szCs w:val="20"/>
              </w:rPr>
              <w:t>CURRENT</w:t>
            </w:r>
          </w:p>
        </w:tc>
        <w:tc>
          <w:tcPr>
            <w:tcW w:w="1872" w:type="dxa"/>
            <w:tcBorders>
              <w:top w:val="nil"/>
              <w:left w:val="nil"/>
              <w:bottom w:val="nil"/>
              <w:right w:val="nil"/>
            </w:tcBorders>
            <w:shd w:val="clear" w:color="auto" w:fill="auto"/>
            <w:noWrap/>
            <w:vAlign w:val="center"/>
          </w:tcPr>
          <w:p w:rsidR="0005008E" w:rsidRPr="004A39C6" w:rsidRDefault="00726AFA" w:rsidP="00FE758E">
            <w:pPr>
              <w:jc w:val="center"/>
              <w:rPr>
                <w:b/>
                <w:bCs/>
                <w:color w:val="000000"/>
                <w:sz w:val="20"/>
                <w:szCs w:val="20"/>
              </w:rPr>
            </w:pPr>
            <w:r>
              <w:rPr>
                <w:b/>
                <w:bCs/>
                <w:color w:val="000000"/>
                <w:sz w:val="20"/>
                <w:szCs w:val="20"/>
              </w:rPr>
              <w:t>APPROVED</w:t>
            </w:r>
          </w:p>
        </w:tc>
        <w:tc>
          <w:tcPr>
            <w:tcW w:w="1620" w:type="dxa"/>
            <w:tcBorders>
              <w:top w:val="nil"/>
              <w:left w:val="nil"/>
              <w:bottom w:val="nil"/>
              <w:right w:val="single" w:sz="4" w:space="0" w:color="auto"/>
            </w:tcBorders>
            <w:shd w:val="clear" w:color="auto" w:fill="auto"/>
            <w:noWrap/>
            <w:vAlign w:val="center"/>
          </w:tcPr>
          <w:p w:rsidR="0005008E" w:rsidRPr="004A39C6" w:rsidRDefault="0005008E" w:rsidP="00FE758E">
            <w:pPr>
              <w:jc w:val="center"/>
              <w:rPr>
                <w:b/>
                <w:bCs/>
                <w:color w:val="000000"/>
                <w:sz w:val="20"/>
                <w:szCs w:val="20"/>
              </w:rPr>
            </w:pPr>
            <w:r w:rsidRPr="004A39C6">
              <w:rPr>
                <w:b/>
                <w:bCs/>
                <w:color w:val="000000"/>
                <w:sz w:val="20"/>
                <w:szCs w:val="20"/>
              </w:rPr>
              <w:t>RATE</w:t>
            </w:r>
          </w:p>
        </w:tc>
      </w:tr>
      <w:tr w:rsidR="0005008E" w:rsidRPr="004A39C6" w:rsidTr="00FE758E">
        <w:trPr>
          <w:trHeight w:val="300"/>
        </w:trPr>
        <w:tc>
          <w:tcPr>
            <w:tcW w:w="4720" w:type="dxa"/>
            <w:tcBorders>
              <w:top w:val="nil"/>
              <w:left w:val="single" w:sz="4" w:space="0" w:color="auto"/>
              <w:bottom w:val="single" w:sz="4" w:space="0" w:color="auto"/>
              <w:right w:val="nil"/>
            </w:tcBorders>
            <w:shd w:val="clear" w:color="auto" w:fill="auto"/>
            <w:noWrap/>
            <w:vAlign w:val="bottom"/>
          </w:tcPr>
          <w:p w:rsidR="0005008E" w:rsidRPr="004A39C6" w:rsidRDefault="0005008E" w:rsidP="00FE758E">
            <w:pPr>
              <w:rPr>
                <w:sz w:val="20"/>
                <w:szCs w:val="20"/>
              </w:rPr>
            </w:pPr>
          </w:p>
        </w:tc>
        <w:tc>
          <w:tcPr>
            <w:tcW w:w="1540" w:type="dxa"/>
            <w:tcBorders>
              <w:top w:val="nil"/>
              <w:left w:val="nil"/>
              <w:bottom w:val="single" w:sz="4" w:space="0" w:color="auto"/>
              <w:right w:val="nil"/>
            </w:tcBorders>
            <w:shd w:val="clear" w:color="auto" w:fill="auto"/>
            <w:noWrap/>
            <w:vAlign w:val="center"/>
          </w:tcPr>
          <w:p w:rsidR="0005008E" w:rsidRPr="004A39C6" w:rsidRDefault="0005008E" w:rsidP="00FE758E">
            <w:pPr>
              <w:jc w:val="center"/>
              <w:rPr>
                <w:b/>
                <w:bCs/>
                <w:color w:val="000000"/>
                <w:sz w:val="20"/>
                <w:szCs w:val="20"/>
              </w:rPr>
            </w:pPr>
            <w:r w:rsidRPr="004A39C6">
              <w:rPr>
                <w:b/>
                <w:bCs/>
                <w:color w:val="000000"/>
                <w:sz w:val="20"/>
                <w:szCs w:val="20"/>
              </w:rPr>
              <w:t xml:space="preserve">RATES </w:t>
            </w:r>
          </w:p>
        </w:tc>
        <w:tc>
          <w:tcPr>
            <w:tcW w:w="1872" w:type="dxa"/>
            <w:tcBorders>
              <w:top w:val="nil"/>
              <w:left w:val="nil"/>
              <w:bottom w:val="single" w:sz="4" w:space="0" w:color="auto"/>
              <w:right w:val="nil"/>
            </w:tcBorders>
            <w:shd w:val="clear" w:color="auto" w:fill="auto"/>
            <w:noWrap/>
            <w:vAlign w:val="center"/>
          </w:tcPr>
          <w:p w:rsidR="0005008E" w:rsidRPr="004A39C6" w:rsidRDefault="0005008E" w:rsidP="00FE758E">
            <w:pPr>
              <w:jc w:val="center"/>
              <w:rPr>
                <w:b/>
                <w:bCs/>
                <w:color w:val="000000"/>
                <w:sz w:val="20"/>
                <w:szCs w:val="20"/>
              </w:rPr>
            </w:pPr>
            <w:r w:rsidRPr="004A39C6">
              <w:rPr>
                <w:b/>
                <w:bCs/>
                <w:color w:val="000000"/>
                <w:sz w:val="20"/>
                <w:szCs w:val="20"/>
              </w:rPr>
              <w:t>RATES</w:t>
            </w:r>
          </w:p>
        </w:tc>
        <w:tc>
          <w:tcPr>
            <w:tcW w:w="1620" w:type="dxa"/>
            <w:tcBorders>
              <w:top w:val="nil"/>
              <w:left w:val="nil"/>
              <w:bottom w:val="single" w:sz="4" w:space="0" w:color="auto"/>
              <w:right w:val="single" w:sz="4" w:space="0" w:color="auto"/>
            </w:tcBorders>
            <w:shd w:val="clear" w:color="auto" w:fill="auto"/>
            <w:noWrap/>
            <w:vAlign w:val="center"/>
          </w:tcPr>
          <w:p w:rsidR="0005008E" w:rsidRPr="004A39C6" w:rsidRDefault="0005008E" w:rsidP="00FE758E">
            <w:pPr>
              <w:jc w:val="center"/>
              <w:rPr>
                <w:b/>
                <w:bCs/>
                <w:color w:val="000000"/>
                <w:sz w:val="20"/>
                <w:szCs w:val="20"/>
              </w:rPr>
            </w:pPr>
            <w:r w:rsidRPr="004A39C6">
              <w:rPr>
                <w:b/>
                <w:bCs/>
                <w:color w:val="000000"/>
                <w:sz w:val="20"/>
                <w:szCs w:val="20"/>
              </w:rPr>
              <w:t>REDUCTION</w:t>
            </w:r>
          </w:p>
        </w:tc>
      </w:tr>
      <w:tr w:rsidR="0005008E" w:rsidRPr="004A39C6" w:rsidTr="00FE758E">
        <w:trPr>
          <w:trHeight w:val="300"/>
        </w:trPr>
        <w:tc>
          <w:tcPr>
            <w:tcW w:w="4720" w:type="dxa"/>
            <w:tcBorders>
              <w:top w:val="single" w:sz="4" w:space="0" w:color="auto"/>
              <w:left w:val="single" w:sz="8" w:space="0" w:color="000000"/>
              <w:bottom w:val="nil"/>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540" w:type="dxa"/>
            <w:tcBorders>
              <w:top w:val="single" w:sz="4" w:space="0" w:color="auto"/>
              <w:left w:val="nil"/>
              <w:bottom w:val="nil"/>
              <w:right w:val="nil"/>
            </w:tcBorders>
            <w:shd w:val="clear" w:color="auto" w:fill="auto"/>
            <w:noWrap/>
            <w:vAlign w:val="bottom"/>
            <w:hideMark/>
          </w:tcPr>
          <w:p w:rsidR="0005008E" w:rsidRPr="004A39C6" w:rsidRDefault="0005008E" w:rsidP="00FE758E">
            <w:pPr>
              <w:rPr>
                <w:sz w:val="20"/>
                <w:szCs w:val="20"/>
              </w:rPr>
            </w:pPr>
          </w:p>
        </w:tc>
        <w:tc>
          <w:tcPr>
            <w:tcW w:w="1872" w:type="dxa"/>
            <w:tcBorders>
              <w:top w:val="single" w:sz="4" w:space="0" w:color="auto"/>
              <w:left w:val="nil"/>
              <w:bottom w:val="nil"/>
              <w:right w:val="nil"/>
            </w:tcBorders>
            <w:shd w:val="clear" w:color="auto" w:fill="auto"/>
            <w:noWrap/>
            <w:vAlign w:val="bottom"/>
            <w:hideMark/>
          </w:tcPr>
          <w:p w:rsidR="0005008E" w:rsidRPr="004A39C6" w:rsidRDefault="0005008E" w:rsidP="00FE758E">
            <w:pPr>
              <w:rPr>
                <w:sz w:val="20"/>
                <w:szCs w:val="20"/>
              </w:rPr>
            </w:pPr>
          </w:p>
        </w:tc>
        <w:tc>
          <w:tcPr>
            <w:tcW w:w="1620" w:type="dxa"/>
            <w:tcBorders>
              <w:top w:val="single" w:sz="4" w:space="0" w:color="auto"/>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300"/>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b/>
                <w:bCs/>
                <w:sz w:val="20"/>
                <w:szCs w:val="20"/>
                <w:u w:val="single"/>
              </w:rPr>
            </w:pPr>
            <w:r w:rsidRPr="004A39C6">
              <w:rPr>
                <w:b/>
                <w:bCs/>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872"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 </w:t>
            </w:r>
          </w:p>
        </w:tc>
      </w:tr>
      <w:tr w:rsidR="0005008E" w:rsidRPr="004A39C6" w:rsidTr="00FE758E">
        <w:trPr>
          <w:trHeight w:val="300"/>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sz w:val="20"/>
                <w:szCs w:val="20"/>
              </w:rPr>
            </w:pPr>
            <w:r w:rsidRPr="004A39C6">
              <w:rPr>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872"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 </w:t>
            </w:r>
          </w:p>
        </w:tc>
      </w:tr>
      <w:tr w:rsidR="0005008E" w:rsidRPr="004A39C6" w:rsidTr="00FE758E">
        <w:trPr>
          <w:trHeight w:val="300"/>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5/8" x 3/4"</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$17.28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$17.</w:t>
            </w:r>
            <w:r>
              <w:rPr>
                <w:color w:val="000000"/>
                <w:sz w:val="20"/>
                <w:szCs w:val="20"/>
              </w:rPr>
              <w:t>78</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$0.15 </w:t>
            </w:r>
          </w:p>
        </w:tc>
      </w:tr>
      <w:tr w:rsidR="0005008E" w:rsidRPr="004A39C6" w:rsidTr="00FE758E">
        <w:trPr>
          <w:trHeight w:val="300"/>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3/4"</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$25.92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$26.</w:t>
            </w:r>
            <w:r>
              <w:rPr>
                <w:color w:val="000000"/>
                <w:sz w:val="20"/>
                <w:szCs w:val="20"/>
              </w:rPr>
              <w:t>67</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$0.23 </w:t>
            </w:r>
          </w:p>
        </w:tc>
      </w:tr>
      <w:tr w:rsidR="0005008E" w:rsidRPr="004A39C6" w:rsidTr="00FE758E">
        <w:trPr>
          <w:trHeight w:val="300"/>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1"</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$43.22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$44.</w:t>
            </w:r>
            <w:r>
              <w:rPr>
                <w:color w:val="000000"/>
                <w:sz w:val="20"/>
                <w:szCs w:val="20"/>
              </w:rPr>
              <w:t>45</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$0.38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1-1/2"</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$86.41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$8</w:t>
            </w:r>
            <w:r>
              <w:rPr>
                <w:color w:val="000000"/>
                <w:sz w:val="20"/>
                <w:szCs w:val="20"/>
              </w:rPr>
              <w:t>8</w:t>
            </w:r>
            <w:r w:rsidRPr="004A39C6">
              <w:rPr>
                <w:color w:val="000000"/>
                <w:sz w:val="20"/>
                <w:szCs w:val="20"/>
              </w:rPr>
              <w:t>.</w:t>
            </w:r>
            <w:r>
              <w:rPr>
                <w:color w:val="000000"/>
                <w:sz w:val="20"/>
                <w:szCs w:val="20"/>
              </w:rPr>
              <w:t>90</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$0.7</w:t>
            </w:r>
            <w:r>
              <w:rPr>
                <w:color w:val="000000"/>
                <w:sz w:val="20"/>
                <w:szCs w:val="20"/>
              </w:rPr>
              <w:t>6</w:t>
            </w:r>
            <w:r w:rsidRPr="004A39C6">
              <w:rPr>
                <w:color w:val="000000"/>
                <w:sz w:val="20"/>
                <w:szCs w:val="20"/>
              </w:rPr>
              <w:t xml:space="preserve">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2"</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$138.27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$14</w:t>
            </w:r>
            <w:r>
              <w:rPr>
                <w:color w:val="000000"/>
                <w:sz w:val="20"/>
                <w:szCs w:val="20"/>
              </w:rPr>
              <w:t>2.24</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$1.2</w:t>
            </w:r>
            <w:r>
              <w:rPr>
                <w:color w:val="000000"/>
                <w:sz w:val="20"/>
                <w:szCs w:val="20"/>
              </w:rPr>
              <w:t>1</w:t>
            </w:r>
            <w:r w:rsidRPr="004A39C6">
              <w:rPr>
                <w:color w:val="000000"/>
                <w:sz w:val="20"/>
                <w:szCs w:val="20"/>
              </w:rPr>
              <w:t xml:space="preserve">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3"</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$276.51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$28</w:t>
            </w:r>
            <w:r>
              <w:rPr>
                <w:color w:val="000000"/>
                <w:sz w:val="20"/>
                <w:szCs w:val="20"/>
              </w:rPr>
              <w:t>4.48</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$2.4</w:t>
            </w:r>
            <w:r>
              <w:rPr>
                <w:color w:val="000000"/>
                <w:sz w:val="20"/>
                <w:szCs w:val="20"/>
              </w:rPr>
              <w:t>2</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4"</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$432.04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$44</w:t>
            </w:r>
            <w:r>
              <w:rPr>
                <w:color w:val="000000"/>
                <w:sz w:val="20"/>
                <w:szCs w:val="20"/>
              </w:rPr>
              <w:t>4.50</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$3.7</w:t>
            </w:r>
            <w:r>
              <w:rPr>
                <w:color w:val="000000"/>
                <w:sz w:val="20"/>
                <w:szCs w:val="20"/>
              </w:rPr>
              <w:t>8</w:t>
            </w:r>
            <w:r w:rsidRPr="004A39C6">
              <w:rPr>
                <w:color w:val="000000"/>
                <w:sz w:val="20"/>
                <w:szCs w:val="20"/>
              </w:rPr>
              <w:t xml:space="preserve">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872"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Charge per 1,000 gallons - Residential</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jc w:val="right"/>
              <w:rPr>
                <w:sz w:val="20"/>
                <w:szCs w:val="20"/>
              </w:rPr>
            </w:pPr>
            <w:r w:rsidRPr="004A39C6">
              <w:rPr>
                <w:sz w:val="20"/>
                <w:szCs w:val="20"/>
              </w:rPr>
              <w:t>$2.17</w:t>
            </w:r>
          </w:p>
        </w:tc>
        <w:tc>
          <w:tcPr>
            <w:tcW w:w="1872" w:type="dxa"/>
            <w:tcBorders>
              <w:top w:val="nil"/>
              <w:left w:val="nil"/>
              <w:bottom w:val="nil"/>
              <w:right w:val="nil"/>
            </w:tcBorders>
            <w:shd w:val="clear" w:color="auto" w:fill="auto"/>
            <w:noWrap/>
            <w:vAlign w:val="bottom"/>
            <w:hideMark/>
          </w:tcPr>
          <w:p w:rsidR="0005008E" w:rsidRPr="004A39C6" w:rsidRDefault="0005008E" w:rsidP="00FE758E">
            <w:pPr>
              <w:jc w:val="right"/>
              <w:rPr>
                <w:sz w:val="20"/>
                <w:szCs w:val="20"/>
              </w:rPr>
            </w:pPr>
            <w:r w:rsidRPr="004A39C6">
              <w:rPr>
                <w:sz w:val="20"/>
                <w:szCs w:val="20"/>
              </w:rPr>
              <w:t>N/A</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0 - 4,000 gallons</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N/A</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$4.4</w:t>
            </w:r>
            <w:r>
              <w:rPr>
                <w:color w:val="000000"/>
                <w:sz w:val="20"/>
                <w:szCs w:val="20"/>
              </w:rPr>
              <w:t>2</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$0.04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All Over 4,000 gallons</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jc w:val="right"/>
              <w:rPr>
                <w:sz w:val="20"/>
                <w:szCs w:val="20"/>
              </w:rPr>
            </w:pPr>
            <w:r w:rsidRPr="004A39C6">
              <w:rPr>
                <w:sz w:val="20"/>
                <w:szCs w:val="20"/>
              </w:rPr>
              <w:t>N/A</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$6.4</w:t>
            </w:r>
            <w:r>
              <w:rPr>
                <w:color w:val="000000"/>
                <w:sz w:val="20"/>
                <w:szCs w:val="20"/>
              </w:rPr>
              <w:t>0</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$0.05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 </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Charge per 1,000 gallons - General Service</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$5.2</w:t>
            </w:r>
            <w:r>
              <w:rPr>
                <w:color w:val="000000"/>
                <w:sz w:val="20"/>
                <w:szCs w:val="20"/>
              </w:rPr>
              <w:t>2</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$0.04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872"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540"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872"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255"/>
        </w:trPr>
        <w:tc>
          <w:tcPr>
            <w:tcW w:w="6260" w:type="dxa"/>
            <w:gridSpan w:val="2"/>
            <w:tcBorders>
              <w:top w:val="nil"/>
              <w:left w:val="single" w:sz="8" w:space="0" w:color="000000"/>
              <w:bottom w:val="nil"/>
              <w:right w:val="nil"/>
            </w:tcBorders>
            <w:shd w:val="clear" w:color="auto" w:fill="auto"/>
            <w:noWrap/>
            <w:vAlign w:val="center"/>
            <w:hideMark/>
          </w:tcPr>
          <w:p w:rsidR="0005008E" w:rsidRPr="004A39C6" w:rsidRDefault="0005008E" w:rsidP="00FE758E">
            <w:pPr>
              <w:rPr>
                <w:sz w:val="20"/>
                <w:szCs w:val="20"/>
              </w:rPr>
            </w:pPr>
            <w:r w:rsidRPr="004A39C6">
              <w:rPr>
                <w:b/>
                <w:bCs/>
                <w:color w:val="000000"/>
                <w:sz w:val="20"/>
                <w:szCs w:val="20"/>
                <w:u w:val="single"/>
              </w:rPr>
              <w:t>Typical Residential 5/8" x 3/4" Meter Bill Comparison</w:t>
            </w:r>
          </w:p>
        </w:tc>
        <w:tc>
          <w:tcPr>
            <w:tcW w:w="1872" w:type="dxa"/>
            <w:tcBorders>
              <w:top w:val="nil"/>
              <w:left w:val="nil"/>
              <w:bottom w:val="nil"/>
              <w:right w:val="nil"/>
            </w:tcBorders>
            <w:shd w:val="clear" w:color="auto" w:fill="auto"/>
            <w:noWrap/>
            <w:vAlign w:val="bottom"/>
            <w:hideMark/>
          </w:tcPr>
          <w:p w:rsidR="0005008E" w:rsidRPr="004A39C6" w:rsidRDefault="0005008E" w:rsidP="00FE758E">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4,000 Gallons</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$25.96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$35.</w:t>
            </w:r>
            <w:r>
              <w:rPr>
                <w:color w:val="000000"/>
                <w:sz w:val="20"/>
                <w:szCs w:val="20"/>
              </w:rPr>
              <w:t>46</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6,000 Gallons</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$30.30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$48.</w:t>
            </w:r>
            <w:r>
              <w:rPr>
                <w:color w:val="000000"/>
                <w:sz w:val="20"/>
                <w:szCs w:val="20"/>
              </w:rPr>
              <w:t>26</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255"/>
        </w:trPr>
        <w:tc>
          <w:tcPr>
            <w:tcW w:w="4720" w:type="dxa"/>
            <w:tcBorders>
              <w:top w:val="nil"/>
              <w:left w:val="single" w:sz="8" w:space="0" w:color="000000"/>
              <w:bottom w:val="nil"/>
              <w:right w:val="nil"/>
            </w:tcBorders>
            <w:shd w:val="clear" w:color="auto" w:fill="auto"/>
            <w:noWrap/>
            <w:vAlign w:val="center"/>
            <w:hideMark/>
          </w:tcPr>
          <w:p w:rsidR="0005008E" w:rsidRPr="004A39C6" w:rsidRDefault="0005008E" w:rsidP="00FE758E">
            <w:pPr>
              <w:rPr>
                <w:color w:val="000000"/>
                <w:sz w:val="20"/>
                <w:szCs w:val="20"/>
              </w:rPr>
            </w:pPr>
            <w:r w:rsidRPr="004A39C6">
              <w:rPr>
                <w:color w:val="000000"/>
                <w:sz w:val="20"/>
                <w:szCs w:val="20"/>
              </w:rPr>
              <w:t>8,000 Gallons</w:t>
            </w:r>
          </w:p>
        </w:tc>
        <w:tc>
          <w:tcPr>
            <w:tcW w:w="1540"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xml:space="preserve">$34.64 </w:t>
            </w:r>
          </w:p>
        </w:tc>
        <w:tc>
          <w:tcPr>
            <w:tcW w:w="1872" w:type="dxa"/>
            <w:tcBorders>
              <w:top w:val="nil"/>
              <w:left w:val="nil"/>
              <w:bottom w:val="nil"/>
              <w:right w:val="nil"/>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$61.</w:t>
            </w:r>
            <w:r>
              <w:rPr>
                <w:color w:val="000000"/>
                <w:sz w:val="20"/>
                <w:szCs w:val="20"/>
              </w:rPr>
              <w:t>06</w:t>
            </w:r>
            <w:r w:rsidRPr="004A39C6">
              <w:rPr>
                <w:color w:val="000000"/>
                <w:sz w:val="20"/>
                <w:szCs w:val="20"/>
              </w:rPr>
              <w:t xml:space="preserve"> </w:t>
            </w:r>
          </w:p>
        </w:tc>
        <w:tc>
          <w:tcPr>
            <w:tcW w:w="1620" w:type="dxa"/>
            <w:tcBorders>
              <w:top w:val="nil"/>
              <w:left w:val="nil"/>
              <w:bottom w:val="nil"/>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r w:rsidR="0005008E" w:rsidRPr="004A39C6" w:rsidTr="00FE758E">
        <w:trPr>
          <w:trHeight w:val="80"/>
        </w:trPr>
        <w:tc>
          <w:tcPr>
            <w:tcW w:w="4720" w:type="dxa"/>
            <w:tcBorders>
              <w:top w:val="nil"/>
              <w:left w:val="single" w:sz="8" w:space="0" w:color="000000"/>
              <w:bottom w:val="single" w:sz="8" w:space="0" w:color="000000"/>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540" w:type="dxa"/>
            <w:tcBorders>
              <w:top w:val="nil"/>
              <w:left w:val="nil"/>
              <w:bottom w:val="single" w:sz="8" w:space="0" w:color="000000"/>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05008E" w:rsidRPr="004A39C6" w:rsidRDefault="0005008E" w:rsidP="00FE758E">
            <w:pPr>
              <w:rPr>
                <w:sz w:val="20"/>
                <w:szCs w:val="20"/>
              </w:rPr>
            </w:pPr>
            <w:r w:rsidRPr="004A39C6">
              <w:rPr>
                <w:sz w:val="20"/>
                <w:szCs w:val="20"/>
              </w:rPr>
              <w:t> </w:t>
            </w:r>
          </w:p>
        </w:tc>
        <w:tc>
          <w:tcPr>
            <w:tcW w:w="1620" w:type="dxa"/>
            <w:tcBorders>
              <w:top w:val="nil"/>
              <w:left w:val="nil"/>
              <w:bottom w:val="single" w:sz="8" w:space="0" w:color="000000"/>
              <w:right w:val="single" w:sz="8" w:space="0" w:color="000000"/>
            </w:tcBorders>
            <w:shd w:val="clear" w:color="auto" w:fill="auto"/>
            <w:noWrap/>
            <w:vAlign w:val="center"/>
            <w:hideMark/>
          </w:tcPr>
          <w:p w:rsidR="0005008E" w:rsidRPr="004A39C6" w:rsidRDefault="0005008E" w:rsidP="00FE758E">
            <w:pPr>
              <w:jc w:val="right"/>
              <w:rPr>
                <w:color w:val="000000"/>
                <w:sz w:val="20"/>
                <w:szCs w:val="20"/>
              </w:rPr>
            </w:pPr>
            <w:r w:rsidRPr="004A39C6">
              <w:rPr>
                <w:color w:val="000000"/>
                <w:sz w:val="20"/>
                <w:szCs w:val="20"/>
              </w:rPr>
              <w:t> </w:t>
            </w:r>
          </w:p>
        </w:tc>
      </w:tr>
    </w:tbl>
    <w:p w:rsidR="0005008E" w:rsidRDefault="0005008E" w:rsidP="00925414">
      <w:pPr>
        <w:pStyle w:val="OrderBody"/>
        <w:sectPr w:rsidR="0005008E" w:rsidSect="0005008E">
          <w:headerReference w:type="first" r:id="rId16"/>
          <w:pgSz w:w="12240" w:h="15840" w:code="1"/>
          <w:pgMar w:top="1440" w:right="1440" w:bottom="1440" w:left="1440" w:header="720" w:footer="720" w:gutter="0"/>
          <w:cols w:space="720"/>
          <w:titlePg/>
          <w:docGrid w:linePitch="360"/>
        </w:sectPr>
      </w:pPr>
    </w:p>
    <w:tbl>
      <w:tblPr>
        <w:tblpPr w:leftFromText="180" w:rightFromText="180" w:tblpXSpec="center" w:tblpY="379"/>
        <w:tblW w:w="9480" w:type="dxa"/>
        <w:tblLayout w:type="fixed"/>
        <w:tblLook w:val="04A0" w:firstRow="1" w:lastRow="0" w:firstColumn="1" w:lastColumn="0" w:noHBand="0" w:noVBand="1"/>
      </w:tblPr>
      <w:tblGrid>
        <w:gridCol w:w="817"/>
        <w:gridCol w:w="563"/>
        <w:gridCol w:w="605"/>
        <w:gridCol w:w="463"/>
        <w:gridCol w:w="3065"/>
        <w:gridCol w:w="1337"/>
        <w:gridCol w:w="438"/>
        <w:gridCol w:w="913"/>
        <w:gridCol w:w="1279"/>
      </w:tblGrid>
      <w:tr w:rsidR="0005008E" w:rsidRPr="00E022F8" w:rsidTr="00FE758E">
        <w:trPr>
          <w:trHeight w:val="312"/>
        </w:trPr>
        <w:tc>
          <w:tcPr>
            <w:tcW w:w="5513" w:type="dxa"/>
            <w:gridSpan w:val="5"/>
            <w:tcBorders>
              <w:top w:val="single" w:sz="8" w:space="0" w:color="auto"/>
              <w:left w:val="single" w:sz="8" w:space="0" w:color="auto"/>
              <w:bottom w:val="nil"/>
              <w:right w:val="nil"/>
            </w:tcBorders>
            <w:noWrap/>
            <w:vAlign w:val="center"/>
            <w:hideMark/>
          </w:tcPr>
          <w:p w:rsidR="0005008E" w:rsidRPr="00E022F8" w:rsidRDefault="0005008E" w:rsidP="00FE758E">
            <w:pPr>
              <w:rPr>
                <w:rFonts w:ascii="SWISS" w:hAnsi="SWISS" w:cs="Arial"/>
                <w:b/>
                <w:bCs/>
                <w:color w:val="000000"/>
                <w:sz w:val="20"/>
                <w:szCs w:val="20"/>
                <w:highlight w:val="cyan"/>
              </w:rPr>
            </w:pPr>
            <w:r>
              <w:rPr>
                <w:rFonts w:ascii="SWISS" w:hAnsi="SWISS" w:cs="Arial"/>
                <w:b/>
                <w:bCs/>
                <w:color w:val="000000"/>
                <w:sz w:val="20"/>
                <w:szCs w:val="20"/>
              </w:rPr>
              <w:lastRenderedPageBreak/>
              <w:t>PINE HARBOUR</w:t>
            </w:r>
            <w:r w:rsidRPr="00E022F8">
              <w:rPr>
                <w:rFonts w:ascii="SWISS" w:hAnsi="SWISS" w:cs="Arial"/>
                <w:b/>
                <w:bCs/>
                <w:color w:val="000000"/>
                <w:sz w:val="20"/>
                <w:szCs w:val="20"/>
              </w:rPr>
              <w:t xml:space="preserve"> WATERWORKS, INC.</w:t>
            </w:r>
          </w:p>
        </w:tc>
        <w:tc>
          <w:tcPr>
            <w:tcW w:w="3967" w:type="dxa"/>
            <w:gridSpan w:val="4"/>
            <w:tcBorders>
              <w:top w:val="single" w:sz="8" w:space="0" w:color="auto"/>
              <w:left w:val="nil"/>
              <w:bottom w:val="nil"/>
              <w:right w:val="single" w:sz="8" w:space="0" w:color="auto"/>
            </w:tcBorders>
            <w:noWrap/>
            <w:vAlign w:val="center"/>
            <w:hideMark/>
          </w:tcPr>
          <w:p w:rsidR="0005008E" w:rsidRPr="00E022F8" w:rsidRDefault="0005008E" w:rsidP="00FE758E">
            <w:pPr>
              <w:rPr>
                <w:sz w:val="20"/>
                <w:szCs w:val="20"/>
              </w:rPr>
            </w:pPr>
            <w:r w:rsidRPr="00E022F8">
              <w:rPr>
                <w:rFonts w:ascii="SWISS" w:hAnsi="SWISS" w:cs="Arial"/>
                <w:b/>
                <w:bCs/>
                <w:color w:val="000000"/>
                <w:sz w:val="20"/>
                <w:szCs w:val="20"/>
              </w:rPr>
              <w:t>                                        SCHEDULE NO. 5</w:t>
            </w:r>
            <w:r w:rsidRPr="00E022F8">
              <w:rPr>
                <w:sz w:val="20"/>
                <w:szCs w:val="20"/>
              </w:rPr>
              <w:fldChar w:fldCharType="begin"/>
            </w:r>
            <w:r w:rsidRPr="00E022F8">
              <w:rPr>
                <w:sz w:val="20"/>
                <w:szCs w:val="20"/>
              </w:rPr>
              <w:instrText xml:space="preserve"> TC " </w:instrText>
            </w:r>
            <w:bookmarkStart w:id="43" w:name="_Toc443384735"/>
            <w:bookmarkStart w:id="44" w:name="_Toc451766984"/>
            <w:bookmarkStart w:id="45" w:name="_Toc516844172"/>
            <w:r w:rsidRPr="00E022F8">
              <w:rPr>
                <w:sz w:val="20"/>
                <w:szCs w:val="20"/>
              </w:rPr>
              <w:instrText>Schedule No. 5 Water Plant, Depreciation, CIAC, &amp; CIAC Amortization Balances</w:instrText>
            </w:r>
            <w:bookmarkEnd w:id="43"/>
            <w:bookmarkEnd w:id="44"/>
            <w:bookmarkEnd w:id="45"/>
            <w:r w:rsidRPr="00E022F8">
              <w:rPr>
                <w:sz w:val="20"/>
                <w:szCs w:val="20"/>
              </w:rPr>
              <w:instrText xml:space="preserve">”\l 1 </w:instrText>
            </w:r>
            <w:r w:rsidRPr="00E022F8">
              <w:rPr>
                <w:sz w:val="20"/>
                <w:szCs w:val="20"/>
              </w:rPr>
              <w:fldChar w:fldCharType="end"/>
            </w:r>
          </w:p>
        </w:tc>
      </w:tr>
      <w:tr w:rsidR="0005008E" w:rsidRPr="00E022F8" w:rsidTr="00FE758E">
        <w:trPr>
          <w:trHeight w:val="306"/>
        </w:trPr>
        <w:tc>
          <w:tcPr>
            <w:tcW w:w="5513" w:type="dxa"/>
            <w:gridSpan w:val="5"/>
            <w:tcBorders>
              <w:top w:val="nil"/>
              <w:left w:val="single" w:sz="8" w:space="0" w:color="auto"/>
              <w:bottom w:val="nil"/>
              <w:right w:val="nil"/>
            </w:tcBorders>
            <w:noWrap/>
            <w:vAlign w:val="center"/>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TEST YEAR ENDED </w:t>
            </w:r>
            <w:r>
              <w:rPr>
                <w:rFonts w:ascii="SWISS" w:hAnsi="SWISS" w:cs="Arial"/>
                <w:b/>
                <w:bCs/>
                <w:color w:val="000000"/>
                <w:sz w:val="20"/>
                <w:szCs w:val="20"/>
              </w:rPr>
              <w:t>12</w:t>
            </w:r>
            <w:r w:rsidRPr="00E022F8">
              <w:rPr>
                <w:rFonts w:ascii="SWISS" w:hAnsi="SWISS" w:cs="Arial"/>
                <w:b/>
                <w:bCs/>
                <w:color w:val="000000"/>
                <w:sz w:val="20"/>
                <w:szCs w:val="20"/>
              </w:rPr>
              <w:t>/31/201</w:t>
            </w:r>
            <w:r>
              <w:rPr>
                <w:rFonts w:ascii="SWISS" w:hAnsi="SWISS" w:cs="Arial"/>
                <w:b/>
                <w:bCs/>
                <w:color w:val="000000"/>
                <w:sz w:val="20"/>
                <w:szCs w:val="20"/>
              </w:rPr>
              <w:t>7</w:t>
            </w:r>
          </w:p>
        </w:tc>
        <w:tc>
          <w:tcPr>
            <w:tcW w:w="3967" w:type="dxa"/>
            <w:gridSpan w:val="4"/>
            <w:tcBorders>
              <w:top w:val="nil"/>
              <w:left w:val="nil"/>
              <w:bottom w:val="nil"/>
              <w:right w:val="single" w:sz="8" w:space="0" w:color="auto"/>
            </w:tcBorders>
            <w:noWrap/>
            <w:vAlign w:val="center"/>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 xml:space="preserve">                       DOCKET NO. </w:t>
            </w:r>
            <w:r>
              <w:rPr>
                <w:rFonts w:ascii="SWISS" w:hAnsi="SWISS" w:cs="Arial"/>
                <w:b/>
                <w:bCs/>
                <w:color w:val="000000"/>
                <w:sz w:val="20"/>
                <w:szCs w:val="20"/>
              </w:rPr>
              <w:t>20180022</w:t>
            </w:r>
            <w:r w:rsidRPr="00E022F8">
              <w:rPr>
                <w:rFonts w:ascii="SWISS" w:hAnsi="SWISS" w:cs="Arial"/>
                <w:b/>
                <w:bCs/>
                <w:color w:val="000000"/>
                <w:sz w:val="20"/>
                <w:szCs w:val="20"/>
              </w:rPr>
              <w:t>-WU</w:t>
            </w:r>
          </w:p>
        </w:tc>
      </w:tr>
      <w:tr w:rsidR="0005008E" w:rsidRPr="00E022F8" w:rsidTr="00FE758E">
        <w:trPr>
          <w:trHeight w:val="264"/>
        </w:trPr>
        <w:tc>
          <w:tcPr>
            <w:tcW w:w="9480" w:type="dxa"/>
            <w:gridSpan w:val="9"/>
            <w:tcBorders>
              <w:top w:val="nil"/>
              <w:left w:val="single" w:sz="8" w:space="0" w:color="auto"/>
              <w:bottom w:val="single" w:sz="8" w:space="0" w:color="auto"/>
              <w:right w:val="single" w:sz="8" w:space="0" w:color="auto"/>
            </w:tcBorders>
            <w:vAlign w:val="center"/>
            <w:hideMark/>
          </w:tcPr>
          <w:p w:rsidR="0005008E" w:rsidRPr="00E022F8" w:rsidRDefault="0005008E" w:rsidP="00FE758E">
            <w:pPr>
              <w:rPr>
                <w:rFonts w:ascii="SWISS" w:hAnsi="SWISS" w:cs="Arial"/>
                <w:b/>
                <w:bCs/>
                <w:color w:val="000000"/>
                <w:sz w:val="20"/>
                <w:szCs w:val="20"/>
              </w:rPr>
            </w:pPr>
            <w:r w:rsidRPr="00E022F8">
              <w:rPr>
                <w:rFonts w:ascii="SWISS" w:hAnsi="SWISS" w:cs="Arial"/>
                <w:b/>
                <w:bCs/>
                <w:color w:val="000000"/>
                <w:sz w:val="20"/>
                <w:szCs w:val="20"/>
              </w:rPr>
              <w:t>SCHEDULE OF WATER PLANT, DEPRECIATION, CIAC, &amp; CIAC AMORTIZATION BALANCES</w:t>
            </w:r>
          </w:p>
        </w:tc>
      </w:tr>
      <w:tr w:rsidR="0005008E" w:rsidRPr="00E022F8" w:rsidTr="00FE758E">
        <w:trPr>
          <w:trHeight w:val="312"/>
        </w:trPr>
        <w:tc>
          <w:tcPr>
            <w:tcW w:w="817" w:type="dxa"/>
            <w:tcBorders>
              <w:top w:val="single" w:sz="8" w:space="0" w:color="auto"/>
              <w:left w:val="single" w:sz="8" w:space="0" w:color="auto"/>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ACCTNO.</w:t>
            </w:r>
          </w:p>
        </w:tc>
        <w:tc>
          <w:tcPr>
            <w:tcW w:w="1168" w:type="dxa"/>
            <w:gridSpan w:val="2"/>
            <w:tcBorders>
              <w:top w:val="single" w:sz="8" w:space="0" w:color="auto"/>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DEPR. RATE PER RULE    25-30.140, F.A.C.</w:t>
            </w:r>
          </w:p>
        </w:tc>
        <w:tc>
          <w:tcPr>
            <w:tcW w:w="4865" w:type="dxa"/>
            <w:gridSpan w:val="3"/>
            <w:tcBorders>
              <w:top w:val="single" w:sz="8" w:space="0" w:color="auto"/>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DESCRIPTION</w:t>
            </w:r>
          </w:p>
        </w:tc>
        <w:tc>
          <w:tcPr>
            <w:tcW w:w="1351" w:type="dxa"/>
            <w:gridSpan w:val="2"/>
            <w:tcBorders>
              <w:top w:val="single" w:sz="8" w:space="0" w:color="auto"/>
              <w:left w:val="nil"/>
              <w:bottom w:val="single" w:sz="8" w:space="0" w:color="auto"/>
              <w:right w:val="nil"/>
            </w:tcBorders>
            <w:noWrap/>
            <w:vAlign w:val="bottom"/>
            <w:hideMark/>
          </w:tcPr>
          <w:p w:rsidR="0005008E" w:rsidRPr="00E022F8" w:rsidRDefault="0005008E" w:rsidP="00FE758E">
            <w:pPr>
              <w:jc w:val="center"/>
              <w:rPr>
                <w:rFonts w:ascii="SWISS" w:hAnsi="SWISS" w:cs="Arial"/>
                <w:b/>
                <w:bCs/>
                <w:color w:val="000000"/>
                <w:sz w:val="20"/>
                <w:szCs w:val="20"/>
              </w:rPr>
            </w:pPr>
            <w:r w:rsidRPr="003B01E7">
              <w:rPr>
                <w:rFonts w:ascii="SWISS" w:hAnsi="SWISS" w:cs="Arial"/>
                <w:b/>
                <w:bCs/>
                <w:color w:val="000000"/>
                <w:sz w:val="20"/>
                <w:szCs w:val="20"/>
              </w:rPr>
              <w:t>UPIS</w:t>
            </w:r>
            <w:r w:rsidRPr="00E022F8">
              <w:rPr>
                <w:rFonts w:ascii="SWISS" w:hAnsi="SWISS" w:cs="Arial"/>
                <w:b/>
                <w:bCs/>
                <w:color w:val="000000"/>
                <w:sz w:val="20"/>
                <w:szCs w:val="20"/>
              </w:rPr>
              <w:t xml:space="preserve">       </w:t>
            </w:r>
            <w:r>
              <w:rPr>
                <w:rFonts w:ascii="SWISS" w:hAnsi="SWISS" w:cs="Arial"/>
                <w:b/>
                <w:bCs/>
                <w:color w:val="000000"/>
                <w:sz w:val="20"/>
                <w:szCs w:val="20"/>
              </w:rPr>
              <w:t>12</w:t>
            </w:r>
            <w:r w:rsidRPr="00E022F8">
              <w:rPr>
                <w:rFonts w:ascii="SWISS" w:hAnsi="SWISS" w:cs="Arial"/>
                <w:b/>
                <w:bCs/>
                <w:color w:val="000000"/>
                <w:sz w:val="20"/>
                <w:szCs w:val="20"/>
              </w:rPr>
              <w:t>/31/201</w:t>
            </w:r>
            <w:r>
              <w:rPr>
                <w:rFonts w:ascii="SWISS" w:hAnsi="SWISS" w:cs="Arial"/>
                <w:b/>
                <w:bCs/>
                <w:color w:val="000000"/>
                <w:sz w:val="20"/>
                <w:szCs w:val="20"/>
              </w:rPr>
              <w:t>7</w:t>
            </w:r>
            <w:r w:rsidRPr="00E022F8">
              <w:rPr>
                <w:rFonts w:ascii="SWISS" w:hAnsi="SWISS" w:cs="Arial"/>
                <w:b/>
                <w:bCs/>
                <w:color w:val="000000"/>
                <w:sz w:val="20"/>
                <w:szCs w:val="20"/>
              </w:rPr>
              <w:t xml:space="preserve">    (DEBIT)</w:t>
            </w:r>
            <w:r>
              <w:rPr>
                <w:rFonts w:ascii="SWISS" w:hAnsi="SWISS" w:cs="Arial"/>
                <w:b/>
                <w:bCs/>
                <w:color w:val="000000"/>
                <w:sz w:val="20"/>
                <w:szCs w:val="20"/>
              </w:rPr>
              <w:t>*</w:t>
            </w:r>
          </w:p>
        </w:tc>
        <w:tc>
          <w:tcPr>
            <w:tcW w:w="1279" w:type="dxa"/>
            <w:tcBorders>
              <w:top w:val="single" w:sz="8" w:space="0" w:color="auto"/>
              <w:left w:val="nil"/>
              <w:bottom w:val="single" w:sz="8" w:space="0" w:color="auto"/>
              <w:right w:val="single" w:sz="8" w:space="0" w:color="auto"/>
            </w:tcBorders>
            <w:noWrap/>
            <w:vAlign w:val="bottom"/>
            <w:hideMark/>
          </w:tcPr>
          <w:p w:rsidR="0005008E" w:rsidRPr="00E022F8" w:rsidRDefault="0005008E" w:rsidP="00FE758E">
            <w:pPr>
              <w:jc w:val="center"/>
              <w:rPr>
                <w:rFonts w:ascii="SWISS" w:hAnsi="SWISS" w:cs="Arial"/>
                <w:b/>
                <w:bCs/>
                <w:color w:val="000000"/>
                <w:sz w:val="20"/>
                <w:szCs w:val="20"/>
              </w:rPr>
            </w:pPr>
            <w:r w:rsidRPr="003B01E7">
              <w:rPr>
                <w:rFonts w:ascii="SWISS" w:hAnsi="SWISS" w:cs="Arial"/>
                <w:b/>
                <w:bCs/>
                <w:color w:val="000000"/>
                <w:sz w:val="20"/>
                <w:szCs w:val="20"/>
              </w:rPr>
              <w:t>ACCUM.</w:t>
            </w:r>
            <w:r w:rsidRPr="00E022F8">
              <w:rPr>
                <w:rFonts w:ascii="SWISS" w:hAnsi="SWISS" w:cs="Arial"/>
                <w:b/>
                <w:bCs/>
                <w:color w:val="000000"/>
                <w:sz w:val="20"/>
                <w:szCs w:val="20"/>
              </w:rPr>
              <w:t xml:space="preserve"> DEPR.   </w:t>
            </w:r>
            <w:r>
              <w:rPr>
                <w:rFonts w:ascii="SWISS" w:hAnsi="SWISS" w:cs="Arial"/>
                <w:b/>
                <w:bCs/>
                <w:color w:val="000000"/>
                <w:sz w:val="20"/>
                <w:szCs w:val="20"/>
              </w:rPr>
              <w:t>12</w:t>
            </w:r>
            <w:r w:rsidRPr="00E022F8">
              <w:rPr>
                <w:rFonts w:ascii="SWISS" w:hAnsi="SWISS" w:cs="Arial"/>
                <w:b/>
                <w:bCs/>
                <w:color w:val="000000"/>
                <w:sz w:val="20"/>
                <w:szCs w:val="20"/>
              </w:rPr>
              <w:t>/31/201</w:t>
            </w:r>
            <w:r>
              <w:rPr>
                <w:rFonts w:ascii="SWISS" w:hAnsi="SWISS" w:cs="Arial"/>
                <w:b/>
                <w:bCs/>
                <w:color w:val="000000"/>
                <w:sz w:val="20"/>
                <w:szCs w:val="20"/>
              </w:rPr>
              <w:t>7</w:t>
            </w:r>
            <w:r w:rsidRPr="00E022F8">
              <w:rPr>
                <w:rFonts w:ascii="SWISS" w:hAnsi="SWISS" w:cs="Arial"/>
                <w:b/>
                <w:bCs/>
                <w:color w:val="000000"/>
                <w:sz w:val="20"/>
                <w:szCs w:val="20"/>
              </w:rPr>
              <w:t xml:space="preserve">         (CREDIT)*</w:t>
            </w:r>
          </w:p>
        </w:tc>
      </w:tr>
      <w:tr w:rsidR="0005008E" w:rsidRPr="00E022F8" w:rsidTr="00FE758E">
        <w:trPr>
          <w:trHeight w:val="312"/>
        </w:trPr>
        <w:tc>
          <w:tcPr>
            <w:tcW w:w="817" w:type="dxa"/>
            <w:tcBorders>
              <w:top w:val="single" w:sz="8" w:space="0" w:color="auto"/>
              <w:left w:val="single" w:sz="8" w:space="0" w:color="auto"/>
              <w:bottom w:val="nil"/>
              <w:right w:val="nil"/>
            </w:tcBorders>
            <w:noWrap/>
            <w:vAlign w:val="center"/>
            <w:hideMark/>
          </w:tcPr>
          <w:p w:rsidR="0005008E" w:rsidRPr="00E022F8" w:rsidRDefault="0005008E" w:rsidP="00FE758E">
            <w:pPr>
              <w:rPr>
                <w:rFonts w:ascii="SWISS" w:hAnsi="SWISS" w:cs="Arial"/>
                <w:bCs/>
                <w:color w:val="000000"/>
                <w:sz w:val="20"/>
                <w:szCs w:val="20"/>
              </w:rPr>
            </w:pPr>
            <w:r w:rsidRPr="00E022F8">
              <w:rPr>
                <w:rFonts w:ascii="SWISS" w:hAnsi="SWISS" w:cs="Arial"/>
                <w:bCs/>
                <w:color w:val="000000"/>
                <w:sz w:val="20"/>
                <w:szCs w:val="20"/>
              </w:rPr>
              <w:t> </w:t>
            </w:r>
          </w:p>
        </w:tc>
        <w:tc>
          <w:tcPr>
            <w:tcW w:w="1168" w:type="dxa"/>
            <w:gridSpan w:val="2"/>
            <w:tcBorders>
              <w:top w:val="single" w:sz="8" w:space="0" w:color="auto"/>
              <w:left w:val="nil"/>
              <w:bottom w:val="nil"/>
              <w:right w:val="nil"/>
            </w:tcBorders>
            <w:noWrap/>
            <w:vAlign w:val="center"/>
            <w:hideMark/>
          </w:tcPr>
          <w:p w:rsidR="0005008E" w:rsidRPr="00E022F8" w:rsidRDefault="0005008E" w:rsidP="00FE758E">
            <w:pPr>
              <w:rPr>
                <w:sz w:val="20"/>
                <w:szCs w:val="20"/>
              </w:rPr>
            </w:pPr>
          </w:p>
        </w:tc>
        <w:tc>
          <w:tcPr>
            <w:tcW w:w="4865" w:type="dxa"/>
            <w:gridSpan w:val="3"/>
            <w:tcBorders>
              <w:top w:val="single" w:sz="8" w:space="0" w:color="auto"/>
              <w:left w:val="nil"/>
              <w:bottom w:val="nil"/>
              <w:right w:val="nil"/>
            </w:tcBorders>
            <w:noWrap/>
            <w:vAlign w:val="center"/>
            <w:hideMark/>
          </w:tcPr>
          <w:p w:rsidR="0005008E" w:rsidRPr="00E022F8" w:rsidRDefault="0005008E" w:rsidP="00FE758E">
            <w:pPr>
              <w:rPr>
                <w:sz w:val="20"/>
                <w:szCs w:val="20"/>
              </w:rPr>
            </w:pPr>
          </w:p>
        </w:tc>
        <w:tc>
          <w:tcPr>
            <w:tcW w:w="1351" w:type="dxa"/>
            <w:gridSpan w:val="2"/>
            <w:tcBorders>
              <w:top w:val="single" w:sz="8" w:space="0" w:color="auto"/>
              <w:left w:val="nil"/>
              <w:bottom w:val="nil"/>
              <w:right w:val="nil"/>
            </w:tcBorders>
            <w:noWrap/>
            <w:vAlign w:val="center"/>
            <w:hideMark/>
          </w:tcPr>
          <w:p w:rsidR="0005008E" w:rsidRPr="00E022F8" w:rsidRDefault="0005008E" w:rsidP="00FE758E">
            <w:pPr>
              <w:rPr>
                <w:sz w:val="20"/>
                <w:szCs w:val="20"/>
              </w:rPr>
            </w:pPr>
          </w:p>
        </w:tc>
        <w:tc>
          <w:tcPr>
            <w:tcW w:w="1279" w:type="dxa"/>
            <w:tcBorders>
              <w:top w:val="single" w:sz="8" w:space="0" w:color="auto"/>
              <w:left w:val="nil"/>
              <w:bottom w:val="nil"/>
              <w:right w:val="single" w:sz="8" w:space="0" w:color="auto"/>
            </w:tcBorders>
            <w:noWrap/>
            <w:vAlign w:val="center"/>
            <w:hideMark/>
          </w:tcPr>
          <w:p w:rsidR="0005008E" w:rsidRPr="00E022F8" w:rsidRDefault="0005008E" w:rsidP="00FE758E">
            <w:pPr>
              <w:rPr>
                <w:rFonts w:ascii="SWISS" w:hAnsi="SWISS" w:cs="Arial"/>
                <w:bCs/>
                <w:color w:val="000000"/>
                <w:sz w:val="20"/>
                <w:szCs w:val="20"/>
              </w:rPr>
            </w:pPr>
            <w:r w:rsidRPr="00E022F8">
              <w:rPr>
                <w:rFonts w:ascii="SWISS" w:hAnsi="SWISS" w:cs="Arial"/>
                <w:bCs/>
                <w:color w:val="000000"/>
                <w:sz w:val="20"/>
                <w:szCs w:val="20"/>
              </w:rPr>
              <w:t>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301</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2.50%</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Organization</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$500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$400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303</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N/A</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Land and Land Rights</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5,000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N/A</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304</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3.70%</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Structures and Improvements</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9,318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863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307</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3.70%</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Wells and Springs</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7,763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7,044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309</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3.13%</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Supply Mains</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6,885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3,013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311</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5.88%</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Pumping Equipment</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16,314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16,314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320</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5.88%</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Water Treatment Equipment</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350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350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330</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3.03%</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Distribution Reservoirs and Standpipes</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15,811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12,047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331</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2.63%</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Transmission and Distribution Mains</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27,943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18,946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333</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2.86%</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Services</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5,692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5,115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334</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5.88%</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 xml:space="preserve">Meters and Meters Installations                   </w:t>
            </w:r>
          </w:p>
        </w:tc>
        <w:tc>
          <w:tcPr>
            <w:tcW w:w="1351" w:type="dxa"/>
            <w:gridSpan w:val="2"/>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3,455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rPr>
            </w:pPr>
            <w:r w:rsidRPr="00A65BB6">
              <w:rPr>
                <w:rFonts w:ascii="SWISS" w:hAnsi="SWISS" w:cs="Arial"/>
              </w:rPr>
              <w:t xml:space="preserve">3,335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A65BB6" w:rsidRDefault="0005008E" w:rsidP="00FE758E">
            <w:pPr>
              <w:jc w:val="center"/>
              <w:rPr>
                <w:rFonts w:ascii="SWISS" w:hAnsi="SWISS" w:cs="Arial"/>
              </w:rPr>
            </w:pPr>
            <w:r w:rsidRPr="00A65BB6">
              <w:rPr>
                <w:rFonts w:ascii="SWISS" w:hAnsi="SWISS" w:cs="Arial"/>
              </w:rPr>
              <w:t>335</w:t>
            </w:r>
          </w:p>
        </w:tc>
        <w:tc>
          <w:tcPr>
            <w:tcW w:w="1168" w:type="dxa"/>
            <w:gridSpan w:val="2"/>
            <w:noWrap/>
            <w:vAlign w:val="center"/>
            <w:hideMark/>
          </w:tcPr>
          <w:p w:rsidR="0005008E" w:rsidRPr="00A65BB6" w:rsidRDefault="0005008E" w:rsidP="00FE758E">
            <w:pPr>
              <w:jc w:val="center"/>
              <w:rPr>
                <w:rFonts w:ascii="SWISS" w:hAnsi="SWISS" w:cs="Arial"/>
              </w:rPr>
            </w:pPr>
            <w:r w:rsidRPr="00A65BB6">
              <w:rPr>
                <w:rFonts w:ascii="SWISS" w:hAnsi="SWISS" w:cs="Arial"/>
              </w:rPr>
              <w:t>2.50%</w:t>
            </w:r>
          </w:p>
        </w:tc>
        <w:tc>
          <w:tcPr>
            <w:tcW w:w="4865" w:type="dxa"/>
            <w:gridSpan w:val="3"/>
            <w:noWrap/>
            <w:vAlign w:val="center"/>
            <w:hideMark/>
          </w:tcPr>
          <w:p w:rsidR="0005008E" w:rsidRPr="00A65BB6" w:rsidRDefault="0005008E" w:rsidP="00FE758E">
            <w:pPr>
              <w:rPr>
                <w:rFonts w:ascii="SWISS" w:hAnsi="SWISS" w:cs="Arial"/>
              </w:rPr>
            </w:pPr>
            <w:r w:rsidRPr="00A65BB6">
              <w:rPr>
                <w:rFonts w:ascii="SWISS" w:hAnsi="SWISS" w:cs="Arial"/>
              </w:rPr>
              <w:t>Hydrants</w:t>
            </w:r>
          </w:p>
        </w:tc>
        <w:tc>
          <w:tcPr>
            <w:tcW w:w="1351" w:type="dxa"/>
            <w:gridSpan w:val="2"/>
            <w:noWrap/>
            <w:vAlign w:val="center"/>
            <w:hideMark/>
          </w:tcPr>
          <w:p w:rsidR="0005008E" w:rsidRPr="00AB54E4" w:rsidRDefault="0005008E" w:rsidP="00FE758E">
            <w:pPr>
              <w:jc w:val="right"/>
              <w:rPr>
                <w:rFonts w:ascii="SWISS" w:hAnsi="SWISS" w:cs="Arial"/>
                <w:u w:val="single"/>
              </w:rPr>
            </w:pPr>
            <w:r w:rsidRPr="00AB54E4">
              <w:rPr>
                <w:rFonts w:ascii="SWISS" w:hAnsi="SWISS" w:cs="Arial"/>
                <w:u w:val="single"/>
              </w:rPr>
              <w:t xml:space="preserve">4,547 </w:t>
            </w:r>
          </w:p>
        </w:tc>
        <w:tc>
          <w:tcPr>
            <w:tcW w:w="1279" w:type="dxa"/>
            <w:tcBorders>
              <w:top w:val="nil"/>
              <w:left w:val="nil"/>
              <w:bottom w:val="nil"/>
              <w:right w:val="single" w:sz="8" w:space="0" w:color="auto"/>
            </w:tcBorders>
            <w:noWrap/>
            <w:vAlign w:val="center"/>
            <w:hideMark/>
          </w:tcPr>
          <w:p w:rsidR="0005008E" w:rsidRPr="00AB54E4" w:rsidRDefault="0005008E" w:rsidP="00FE758E">
            <w:pPr>
              <w:jc w:val="right"/>
              <w:rPr>
                <w:rFonts w:ascii="SWISS" w:hAnsi="SWISS" w:cs="Arial"/>
                <w:u w:val="single"/>
              </w:rPr>
            </w:pPr>
            <w:r w:rsidRPr="00AB54E4">
              <w:rPr>
                <w:rFonts w:ascii="SWISS" w:hAnsi="SWISS" w:cs="Arial"/>
                <w:u w:val="single"/>
              </w:rPr>
              <w:t xml:space="preserve">3,637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E022F8" w:rsidRDefault="0005008E" w:rsidP="00FE758E">
            <w:pPr>
              <w:rPr>
                <w:sz w:val="20"/>
                <w:szCs w:val="20"/>
              </w:rPr>
            </w:pPr>
          </w:p>
        </w:tc>
        <w:tc>
          <w:tcPr>
            <w:tcW w:w="1168" w:type="dxa"/>
            <w:gridSpan w:val="2"/>
            <w:noWrap/>
            <w:vAlign w:val="center"/>
            <w:hideMark/>
          </w:tcPr>
          <w:p w:rsidR="0005008E" w:rsidRPr="00E022F8" w:rsidRDefault="0005008E" w:rsidP="00FE758E">
            <w:pPr>
              <w:rPr>
                <w:sz w:val="20"/>
                <w:szCs w:val="20"/>
              </w:rPr>
            </w:pPr>
          </w:p>
        </w:tc>
        <w:tc>
          <w:tcPr>
            <w:tcW w:w="4865" w:type="dxa"/>
            <w:gridSpan w:val="3"/>
            <w:noWrap/>
            <w:vAlign w:val="center"/>
            <w:hideMark/>
          </w:tcPr>
          <w:p w:rsidR="0005008E" w:rsidRPr="00A65BB6" w:rsidRDefault="0005008E" w:rsidP="00FE758E">
            <w:pPr>
              <w:rPr>
                <w:rFonts w:ascii="SWISS" w:hAnsi="SWISS" w:cs="Arial"/>
                <w:bCs/>
                <w:color w:val="000000"/>
              </w:rPr>
            </w:pPr>
            <w:r w:rsidRPr="00A65BB6">
              <w:rPr>
                <w:rFonts w:ascii="SWISS" w:hAnsi="SWISS" w:cs="Arial"/>
                <w:bCs/>
                <w:color w:val="000000"/>
              </w:rPr>
              <w:t>Total Including Land</w:t>
            </w:r>
          </w:p>
        </w:tc>
        <w:tc>
          <w:tcPr>
            <w:tcW w:w="1351" w:type="dxa"/>
            <w:gridSpan w:val="2"/>
            <w:noWrap/>
            <w:vAlign w:val="center"/>
            <w:hideMark/>
          </w:tcPr>
          <w:p w:rsidR="0005008E" w:rsidRPr="00A65BB6" w:rsidRDefault="0005008E" w:rsidP="00FE758E">
            <w:pPr>
              <w:jc w:val="right"/>
              <w:rPr>
                <w:rFonts w:ascii="SWISS" w:hAnsi="SWISS" w:cs="Arial"/>
                <w:bCs/>
                <w:color w:val="000000"/>
                <w:u w:val="double"/>
              </w:rPr>
            </w:pPr>
            <w:r w:rsidRPr="00A65BB6">
              <w:rPr>
                <w:rFonts w:ascii="SWISS" w:hAnsi="SWISS" w:cs="Arial"/>
                <w:bCs/>
                <w:color w:val="000000"/>
                <w:u w:val="double"/>
              </w:rPr>
              <w:t>$</w:t>
            </w:r>
            <w:r>
              <w:rPr>
                <w:rFonts w:ascii="SWISS" w:hAnsi="SWISS" w:cs="Arial"/>
                <w:bCs/>
                <w:color w:val="000000"/>
                <w:u w:val="double"/>
              </w:rPr>
              <w:t>103</w:t>
            </w:r>
            <w:r w:rsidRPr="00A65BB6">
              <w:rPr>
                <w:rFonts w:ascii="SWISS" w:hAnsi="SWISS" w:cs="Arial"/>
                <w:bCs/>
                <w:color w:val="000000"/>
                <w:u w:val="double"/>
              </w:rPr>
              <w:t>,</w:t>
            </w:r>
            <w:r>
              <w:rPr>
                <w:rFonts w:ascii="SWISS" w:hAnsi="SWISS" w:cs="Arial"/>
                <w:bCs/>
                <w:color w:val="000000"/>
                <w:u w:val="double"/>
              </w:rPr>
              <w:t>578</w:t>
            </w:r>
            <w:r w:rsidRPr="00A65BB6">
              <w:rPr>
                <w:rFonts w:ascii="SWISS" w:hAnsi="SWISS" w:cs="Arial"/>
                <w:bCs/>
                <w:color w:val="000000"/>
                <w:u w:val="double"/>
              </w:rPr>
              <w:t xml:space="preserve"> </w:t>
            </w:r>
          </w:p>
        </w:tc>
        <w:tc>
          <w:tcPr>
            <w:tcW w:w="1279" w:type="dxa"/>
            <w:tcBorders>
              <w:top w:val="nil"/>
              <w:left w:val="nil"/>
              <w:bottom w:val="nil"/>
              <w:right w:val="single" w:sz="8" w:space="0" w:color="auto"/>
            </w:tcBorders>
            <w:noWrap/>
            <w:vAlign w:val="center"/>
            <w:hideMark/>
          </w:tcPr>
          <w:p w:rsidR="0005008E" w:rsidRPr="00A65BB6" w:rsidRDefault="0005008E" w:rsidP="00FE758E">
            <w:pPr>
              <w:jc w:val="right"/>
              <w:rPr>
                <w:rFonts w:ascii="SWISS" w:hAnsi="SWISS" w:cs="Arial"/>
                <w:bCs/>
                <w:color w:val="000000"/>
                <w:u w:val="double"/>
              </w:rPr>
            </w:pPr>
            <w:r w:rsidRPr="00A65BB6">
              <w:rPr>
                <w:rFonts w:ascii="SWISS" w:hAnsi="SWISS" w:cs="Arial"/>
                <w:bCs/>
                <w:color w:val="000000"/>
                <w:u w:val="double"/>
              </w:rPr>
              <w:t xml:space="preserve">$71,063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E022F8" w:rsidRDefault="0005008E" w:rsidP="00FE758E">
            <w:pPr>
              <w:rPr>
                <w:sz w:val="20"/>
                <w:szCs w:val="20"/>
              </w:rPr>
            </w:pPr>
          </w:p>
        </w:tc>
        <w:tc>
          <w:tcPr>
            <w:tcW w:w="1168" w:type="dxa"/>
            <w:gridSpan w:val="2"/>
            <w:noWrap/>
            <w:vAlign w:val="center"/>
            <w:hideMark/>
          </w:tcPr>
          <w:p w:rsidR="0005008E" w:rsidRPr="00E022F8" w:rsidRDefault="0005008E" w:rsidP="00FE758E">
            <w:pPr>
              <w:rPr>
                <w:sz w:val="20"/>
                <w:szCs w:val="20"/>
              </w:rPr>
            </w:pPr>
          </w:p>
        </w:tc>
        <w:tc>
          <w:tcPr>
            <w:tcW w:w="4865" w:type="dxa"/>
            <w:gridSpan w:val="3"/>
            <w:noWrap/>
            <w:vAlign w:val="bottom"/>
            <w:hideMark/>
          </w:tcPr>
          <w:p w:rsidR="0005008E" w:rsidRPr="00E022F8" w:rsidRDefault="0005008E" w:rsidP="00FE758E">
            <w:pPr>
              <w:rPr>
                <w:sz w:val="20"/>
                <w:szCs w:val="20"/>
              </w:rPr>
            </w:pPr>
          </w:p>
        </w:tc>
        <w:tc>
          <w:tcPr>
            <w:tcW w:w="1351" w:type="dxa"/>
            <w:gridSpan w:val="2"/>
            <w:noWrap/>
            <w:vAlign w:val="bottom"/>
            <w:hideMark/>
          </w:tcPr>
          <w:p w:rsidR="0005008E" w:rsidRPr="00E022F8" w:rsidRDefault="0005008E" w:rsidP="00FE758E">
            <w:pPr>
              <w:rPr>
                <w:sz w:val="20"/>
                <w:szCs w:val="20"/>
              </w:rPr>
            </w:pPr>
          </w:p>
        </w:tc>
        <w:tc>
          <w:tcPr>
            <w:tcW w:w="1279" w:type="dxa"/>
            <w:tcBorders>
              <w:top w:val="nil"/>
              <w:left w:val="nil"/>
              <w:bottom w:val="nil"/>
              <w:right w:val="single" w:sz="8" w:space="0" w:color="auto"/>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r>
      <w:tr w:rsidR="0005008E" w:rsidRPr="00E022F8" w:rsidTr="00FE758E">
        <w:trPr>
          <w:trHeight w:val="864"/>
        </w:trPr>
        <w:tc>
          <w:tcPr>
            <w:tcW w:w="817" w:type="dxa"/>
            <w:tcBorders>
              <w:top w:val="nil"/>
              <w:left w:val="single" w:sz="8" w:space="0" w:color="auto"/>
              <w:bottom w:val="nil"/>
              <w:right w:val="nil"/>
            </w:tcBorders>
            <w:noWrap/>
            <w:vAlign w:val="center"/>
            <w:hideMark/>
          </w:tcPr>
          <w:p w:rsidR="0005008E" w:rsidRPr="00E022F8" w:rsidRDefault="0005008E" w:rsidP="00FE758E">
            <w:pPr>
              <w:rPr>
                <w:sz w:val="20"/>
                <w:szCs w:val="20"/>
              </w:rPr>
            </w:pPr>
          </w:p>
        </w:tc>
        <w:tc>
          <w:tcPr>
            <w:tcW w:w="1168" w:type="dxa"/>
            <w:gridSpan w:val="2"/>
            <w:noWrap/>
            <w:vAlign w:val="center"/>
            <w:hideMark/>
          </w:tcPr>
          <w:p w:rsidR="0005008E" w:rsidRPr="00E022F8" w:rsidRDefault="0005008E" w:rsidP="00FE758E">
            <w:pPr>
              <w:rPr>
                <w:sz w:val="20"/>
                <w:szCs w:val="20"/>
              </w:rPr>
            </w:pPr>
          </w:p>
        </w:tc>
        <w:tc>
          <w:tcPr>
            <w:tcW w:w="4865" w:type="dxa"/>
            <w:gridSpan w:val="3"/>
            <w:noWrap/>
            <w:vAlign w:val="center"/>
            <w:hideMark/>
          </w:tcPr>
          <w:p w:rsidR="0005008E" w:rsidRPr="00E022F8" w:rsidRDefault="0005008E" w:rsidP="00FE758E">
            <w:pPr>
              <w:rPr>
                <w:sz w:val="20"/>
                <w:szCs w:val="20"/>
              </w:rPr>
            </w:pPr>
          </w:p>
        </w:tc>
        <w:tc>
          <w:tcPr>
            <w:tcW w:w="1351" w:type="dxa"/>
            <w:gridSpan w:val="2"/>
            <w:tcBorders>
              <w:top w:val="nil"/>
              <w:left w:val="nil"/>
              <w:bottom w:val="single" w:sz="8" w:space="0" w:color="auto"/>
              <w:right w:val="nil"/>
            </w:tcBorders>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CIAC</w:t>
            </w:r>
          </w:p>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 xml:space="preserve"> AMORT.</w:t>
            </w:r>
          </w:p>
          <w:p w:rsidR="0005008E" w:rsidRPr="00E022F8" w:rsidRDefault="0005008E" w:rsidP="00FE758E">
            <w:pPr>
              <w:jc w:val="center"/>
              <w:rPr>
                <w:rFonts w:ascii="SWISS" w:hAnsi="SWISS" w:cs="Arial"/>
                <w:b/>
                <w:bCs/>
                <w:color w:val="000000"/>
                <w:sz w:val="20"/>
                <w:szCs w:val="20"/>
              </w:rPr>
            </w:pPr>
            <w:r>
              <w:rPr>
                <w:rFonts w:ascii="SWISS" w:hAnsi="SWISS" w:cs="Arial"/>
                <w:b/>
                <w:bCs/>
                <w:color w:val="000000"/>
                <w:sz w:val="20"/>
                <w:szCs w:val="20"/>
              </w:rPr>
              <w:t>12</w:t>
            </w:r>
            <w:r w:rsidRPr="00E022F8">
              <w:rPr>
                <w:rFonts w:ascii="SWISS" w:hAnsi="SWISS" w:cs="Arial"/>
                <w:b/>
                <w:bCs/>
                <w:color w:val="000000"/>
                <w:sz w:val="20"/>
                <w:szCs w:val="20"/>
              </w:rPr>
              <w:t>/31/201</w:t>
            </w:r>
            <w:r>
              <w:rPr>
                <w:rFonts w:ascii="SWISS" w:hAnsi="SWISS" w:cs="Arial"/>
                <w:b/>
                <w:bCs/>
                <w:color w:val="000000"/>
                <w:sz w:val="20"/>
                <w:szCs w:val="20"/>
              </w:rPr>
              <w:t>7</w:t>
            </w:r>
            <w:r w:rsidRPr="00E022F8">
              <w:rPr>
                <w:rFonts w:ascii="SWISS" w:hAnsi="SWISS" w:cs="Arial"/>
                <w:b/>
                <w:bCs/>
                <w:color w:val="000000"/>
                <w:sz w:val="20"/>
                <w:szCs w:val="20"/>
              </w:rPr>
              <w:t xml:space="preserve"> (DEBIT)*</w:t>
            </w:r>
          </w:p>
        </w:tc>
        <w:tc>
          <w:tcPr>
            <w:tcW w:w="1279" w:type="dxa"/>
            <w:tcBorders>
              <w:top w:val="nil"/>
              <w:left w:val="nil"/>
              <w:bottom w:val="single" w:sz="8" w:space="0" w:color="auto"/>
              <w:right w:val="single" w:sz="8" w:space="0" w:color="auto"/>
            </w:tcBorders>
            <w:vAlign w:val="bottom"/>
            <w:hideMark/>
          </w:tcPr>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CIAC</w:t>
            </w:r>
          </w:p>
          <w:p w:rsidR="0005008E" w:rsidRPr="00E022F8" w:rsidRDefault="0005008E" w:rsidP="00FE758E">
            <w:pPr>
              <w:jc w:val="center"/>
              <w:rPr>
                <w:rFonts w:ascii="SWISS" w:hAnsi="SWISS" w:cs="Arial"/>
                <w:b/>
                <w:bCs/>
                <w:color w:val="000000"/>
                <w:sz w:val="20"/>
                <w:szCs w:val="20"/>
              </w:rPr>
            </w:pPr>
            <w:r w:rsidRPr="00E022F8">
              <w:rPr>
                <w:rFonts w:ascii="SWISS" w:hAnsi="SWISS" w:cs="Arial"/>
                <w:b/>
                <w:bCs/>
                <w:color w:val="000000"/>
                <w:sz w:val="20"/>
                <w:szCs w:val="20"/>
              </w:rPr>
              <w:t xml:space="preserve"> </w:t>
            </w:r>
            <w:r>
              <w:rPr>
                <w:rFonts w:ascii="SWISS" w:hAnsi="SWISS" w:cs="Arial"/>
                <w:b/>
                <w:bCs/>
                <w:color w:val="000000"/>
                <w:sz w:val="20"/>
                <w:szCs w:val="20"/>
              </w:rPr>
              <w:t>12</w:t>
            </w:r>
            <w:r w:rsidRPr="00E022F8">
              <w:rPr>
                <w:rFonts w:ascii="SWISS" w:hAnsi="SWISS" w:cs="Arial"/>
                <w:b/>
                <w:bCs/>
                <w:color w:val="000000"/>
                <w:sz w:val="20"/>
                <w:szCs w:val="20"/>
              </w:rPr>
              <w:t>/31/201</w:t>
            </w:r>
            <w:r>
              <w:rPr>
                <w:rFonts w:ascii="SWISS" w:hAnsi="SWISS" w:cs="Arial"/>
                <w:b/>
                <w:bCs/>
                <w:color w:val="000000"/>
                <w:sz w:val="20"/>
                <w:szCs w:val="20"/>
              </w:rPr>
              <w:t>7</w:t>
            </w:r>
            <w:r w:rsidRPr="00E022F8">
              <w:rPr>
                <w:rFonts w:ascii="SWISS" w:hAnsi="SWISS" w:cs="Arial"/>
                <w:b/>
                <w:bCs/>
                <w:color w:val="000000"/>
                <w:sz w:val="20"/>
                <w:szCs w:val="20"/>
              </w:rPr>
              <w:t xml:space="preserve"> (CREDIT)</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E022F8" w:rsidRDefault="0005008E" w:rsidP="00FE758E">
            <w:pPr>
              <w:rPr>
                <w:sz w:val="20"/>
                <w:szCs w:val="20"/>
              </w:rPr>
            </w:pPr>
          </w:p>
        </w:tc>
        <w:tc>
          <w:tcPr>
            <w:tcW w:w="1168" w:type="dxa"/>
            <w:gridSpan w:val="2"/>
            <w:noWrap/>
            <w:vAlign w:val="center"/>
            <w:hideMark/>
          </w:tcPr>
          <w:p w:rsidR="0005008E" w:rsidRPr="00E022F8" w:rsidRDefault="0005008E" w:rsidP="00FE758E">
            <w:pPr>
              <w:rPr>
                <w:sz w:val="20"/>
                <w:szCs w:val="20"/>
              </w:rPr>
            </w:pPr>
          </w:p>
        </w:tc>
        <w:tc>
          <w:tcPr>
            <w:tcW w:w="4865" w:type="dxa"/>
            <w:gridSpan w:val="3"/>
            <w:noWrap/>
            <w:vAlign w:val="center"/>
            <w:hideMark/>
          </w:tcPr>
          <w:p w:rsidR="0005008E" w:rsidRPr="00E022F8" w:rsidRDefault="0005008E" w:rsidP="00FE758E">
            <w:pPr>
              <w:rPr>
                <w:sz w:val="20"/>
                <w:szCs w:val="20"/>
              </w:rPr>
            </w:pPr>
          </w:p>
        </w:tc>
        <w:tc>
          <w:tcPr>
            <w:tcW w:w="1351" w:type="dxa"/>
            <w:gridSpan w:val="2"/>
            <w:tcBorders>
              <w:top w:val="single" w:sz="8" w:space="0" w:color="auto"/>
              <w:left w:val="nil"/>
              <w:bottom w:val="nil"/>
              <w:right w:val="nil"/>
            </w:tcBorders>
            <w:noWrap/>
            <w:vAlign w:val="center"/>
            <w:hideMark/>
          </w:tcPr>
          <w:p w:rsidR="0005008E" w:rsidRPr="00E022F8" w:rsidRDefault="0005008E" w:rsidP="00FE758E">
            <w:pPr>
              <w:rPr>
                <w:sz w:val="20"/>
                <w:szCs w:val="20"/>
              </w:rPr>
            </w:pPr>
          </w:p>
        </w:tc>
        <w:tc>
          <w:tcPr>
            <w:tcW w:w="1279" w:type="dxa"/>
            <w:tcBorders>
              <w:top w:val="single" w:sz="8" w:space="0" w:color="auto"/>
              <w:left w:val="nil"/>
              <w:bottom w:val="nil"/>
              <w:right w:val="single" w:sz="8" w:space="0" w:color="auto"/>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E022F8" w:rsidRDefault="0005008E" w:rsidP="00FE758E">
            <w:pPr>
              <w:rPr>
                <w:sz w:val="20"/>
                <w:szCs w:val="20"/>
              </w:rPr>
            </w:pPr>
          </w:p>
        </w:tc>
        <w:tc>
          <w:tcPr>
            <w:tcW w:w="1168" w:type="dxa"/>
            <w:gridSpan w:val="2"/>
            <w:noWrap/>
            <w:vAlign w:val="center"/>
            <w:hideMark/>
          </w:tcPr>
          <w:p w:rsidR="0005008E" w:rsidRPr="00E022F8" w:rsidRDefault="0005008E" w:rsidP="00FE758E">
            <w:pPr>
              <w:rPr>
                <w:sz w:val="20"/>
                <w:szCs w:val="20"/>
              </w:rPr>
            </w:pPr>
          </w:p>
        </w:tc>
        <w:tc>
          <w:tcPr>
            <w:tcW w:w="4865" w:type="dxa"/>
            <w:gridSpan w:val="3"/>
            <w:noWrap/>
            <w:vAlign w:val="center"/>
            <w:hideMark/>
          </w:tcPr>
          <w:p w:rsidR="0005008E" w:rsidRPr="00E022F8" w:rsidRDefault="0005008E" w:rsidP="00FE758E">
            <w:pPr>
              <w:rPr>
                <w:sz w:val="20"/>
                <w:szCs w:val="20"/>
              </w:rPr>
            </w:pPr>
          </w:p>
        </w:tc>
        <w:tc>
          <w:tcPr>
            <w:tcW w:w="1351" w:type="dxa"/>
            <w:gridSpan w:val="2"/>
            <w:noWrap/>
            <w:vAlign w:val="center"/>
            <w:hideMark/>
          </w:tcPr>
          <w:p w:rsidR="0005008E" w:rsidRPr="003B01E7" w:rsidRDefault="0005008E" w:rsidP="00FE758E">
            <w:pPr>
              <w:jc w:val="right"/>
              <w:rPr>
                <w:rFonts w:ascii="SWISS" w:hAnsi="SWISS" w:cs="Arial"/>
                <w:bCs/>
                <w:color w:val="000000"/>
                <w:u w:val="double"/>
              </w:rPr>
            </w:pPr>
            <w:r w:rsidRPr="003B01E7">
              <w:rPr>
                <w:rFonts w:ascii="SWISS" w:hAnsi="SWISS" w:cs="Arial"/>
                <w:bCs/>
                <w:color w:val="000000"/>
                <w:u w:val="double"/>
              </w:rPr>
              <w:t xml:space="preserve">$57,044 </w:t>
            </w:r>
          </w:p>
        </w:tc>
        <w:tc>
          <w:tcPr>
            <w:tcW w:w="1279" w:type="dxa"/>
            <w:tcBorders>
              <w:top w:val="nil"/>
              <w:left w:val="nil"/>
              <w:bottom w:val="nil"/>
              <w:right w:val="single" w:sz="8" w:space="0" w:color="auto"/>
            </w:tcBorders>
            <w:noWrap/>
            <w:vAlign w:val="center"/>
            <w:hideMark/>
          </w:tcPr>
          <w:p w:rsidR="0005008E" w:rsidRPr="003B01E7" w:rsidRDefault="0005008E" w:rsidP="00FE758E">
            <w:pPr>
              <w:jc w:val="right"/>
              <w:rPr>
                <w:rFonts w:ascii="SWISS" w:hAnsi="SWISS" w:cs="Arial"/>
                <w:bCs/>
                <w:color w:val="000000"/>
                <w:u w:val="double"/>
              </w:rPr>
            </w:pPr>
            <w:r w:rsidRPr="003B01E7">
              <w:rPr>
                <w:rFonts w:ascii="SWISS" w:hAnsi="SWISS" w:cs="Arial"/>
                <w:bCs/>
                <w:color w:val="000000"/>
                <w:u w:val="double"/>
              </w:rPr>
              <w:t xml:space="preserve">$62,440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E022F8" w:rsidRDefault="0005008E" w:rsidP="00FE758E">
            <w:pPr>
              <w:rPr>
                <w:sz w:val="20"/>
                <w:szCs w:val="20"/>
              </w:rPr>
            </w:pPr>
          </w:p>
        </w:tc>
        <w:tc>
          <w:tcPr>
            <w:tcW w:w="1168" w:type="dxa"/>
            <w:gridSpan w:val="2"/>
            <w:noWrap/>
            <w:vAlign w:val="center"/>
            <w:hideMark/>
          </w:tcPr>
          <w:p w:rsidR="0005008E" w:rsidRPr="00E022F8" w:rsidRDefault="0005008E" w:rsidP="00FE758E">
            <w:pPr>
              <w:rPr>
                <w:sz w:val="20"/>
                <w:szCs w:val="20"/>
              </w:rPr>
            </w:pPr>
          </w:p>
        </w:tc>
        <w:tc>
          <w:tcPr>
            <w:tcW w:w="4865" w:type="dxa"/>
            <w:gridSpan w:val="3"/>
            <w:noWrap/>
            <w:vAlign w:val="center"/>
            <w:hideMark/>
          </w:tcPr>
          <w:p w:rsidR="0005008E" w:rsidRPr="00E022F8" w:rsidRDefault="0005008E" w:rsidP="00FE758E">
            <w:pPr>
              <w:rPr>
                <w:sz w:val="20"/>
                <w:szCs w:val="20"/>
              </w:rPr>
            </w:pPr>
          </w:p>
        </w:tc>
        <w:tc>
          <w:tcPr>
            <w:tcW w:w="1351" w:type="dxa"/>
            <w:gridSpan w:val="2"/>
            <w:noWrap/>
            <w:vAlign w:val="center"/>
            <w:hideMark/>
          </w:tcPr>
          <w:p w:rsidR="0005008E" w:rsidRPr="00E022F8" w:rsidRDefault="0005008E" w:rsidP="00FE758E">
            <w:pPr>
              <w:rPr>
                <w:sz w:val="20"/>
                <w:szCs w:val="20"/>
              </w:rPr>
            </w:pPr>
          </w:p>
        </w:tc>
        <w:tc>
          <w:tcPr>
            <w:tcW w:w="1279" w:type="dxa"/>
            <w:tcBorders>
              <w:top w:val="nil"/>
              <w:left w:val="nil"/>
              <w:bottom w:val="nil"/>
              <w:right w:val="single" w:sz="8" w:space="0" w:color="auto"/>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r>
      <w:tr w:rsidR="0005008E" w:rsidRPr="00E022F8" w:rsidTr="00FE758E">
        <w:trPr>
          <w:trHeight w:val="312"/>
        </w:trPr>
        <w:tc>
          <w:tcPr>
            <w:tcW w:w="817" w:type="dxa"/>
            <w:tcBorders>
              <w:top w:val="nil"/>
              <w:left w:val="single" w:sz="8" w:space="0" w:color="auto"/>
              <w:bottom w:val="nil"/>
              <w:right w:val="nil"/>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c>
          <w:tcPr>
            <w:tcW w:w="1168" w:type="dxa"/>
            <w:gridSpan w:val="2"/>
            <w:noWrap/>
            <w:vAlign w:val="center"/>
            <w:hideMark/>
          </w:tcPr>
          <w:p w:rsidR="0005008E" w:rsidRPr="00E022F8" w:rsidRDefault="0005008E" w:rsidP="00FE758E">
            <w:pPr>
              <w:rPr>
                <w:sz w:val="20"/>
                <w:szCs w:val="20"/>
              </w:rPr>
            </w:pPr>
          </w:p>
        </w:tc>
        <w:tc>
          <w:tcPr>
            <w:tcW w:w="4865" w:type="dxa"/>
            <w:gridSpan w:val="3"/>
            <w:noWrap/>
            <w:vAlign w:val="center"/>
            <w:hideMark/>
          </w:tcPr>
          <w:p w:rsidR="0005008E" w:rsidRPr="00E022F8" w:rsidRDefault="0005008E" w:rsidP="00FE758E">
            <w:pPr>
              <w:rPr>
                <w:sz w:val="20"/>
                <w:szCs w:val="20"/>
              </w:rPr>
            </w:pPr>
          </w:p>
        </w:tc>
        <w:tc>
          <w:tcPr>
            <w:tcW w:w="1351" w:type="dxa"/>
            <w:gridSpan w:val="2"/>
            <w:noWrap/>
            <w:vAlign w:val="center"/>
            <w:hideMark/>
          </w:tcPr>
          <w:p w:rsidR="0005008E" w:rsidRPr="00E022F8" w:rsidRDefault="0005008E" w:rsidP="00FE758E">
            <w:pPr>
              <w:rPr>
                <w:sz w:val="20"/>
                <w:szCs w:val="20"/>
              </w:rPr>
            </w:pPr>
          </w:p>
        </w:tc>
        <w:tc>
          <w:tcPr>
            <w:tcW w:w="1279" w:type="dxa"/>
            <w:tcBorders>
              <w:top w:val="nil"/>
              <w:left w:val="nil"/>
              <w:bottom w:val="nil"/>
              <w:right w:val="single" w:sz="8" w:space="0" w:color="auto"/>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r>
      <w:tr w:rsidR="0005008E" w:rsidRPr="00E022F8" w:rsidTr="00FE758E">
        <w:trPr>
          <w:trHeight w:val="531"/>
        </w:trPr>
        <w:tc>
          <w:tcPr>
            <w:tcW w:w="9480" w:type="dxa"/>
            <w:gridSpan w:val="9"/>
            <w:tcBorders>
              <w:top w:val="nil"/>
              <w:left w:val="single" w:sz="8" w:space="0" w:color="auto"/>
              <w:bottom w:val="nil"/>
              <w:right w:val="single" w:sz="8" w:space="0" w:color="auto"/>
            </w:tcBorders>
            <w:vAlign w:val="bottom"/>
            <w:hideMark/>
          </w:tcPr>
          <w:p w:rsidR="0005008E" w:rsidRPr="00E022F8" w:rsidRDefault="0005008E" w:rsidP="00726AFA">
            <w:pPr>
              <w:jc w:val="both"/>
              <w:rPr>
                <w:rFonts w:ascii="SWISS" w:hAnsi="SWISS" w:cs="Arial"/>
                <w:bCs/>
                <w:color w:val="000000"/>
                <w:sz w:val="20"/>
                <w:szCs w:val="20"/>
              </w:rPr>
            </w:pPr>
            <w:r w:rsidRPr="00E022F8">
              <w:rPr>
                <w:rFonts w:ascii="SWISS" w:hAnsi="SWISS" w:cs="Arial"/>
                <w:bCs/>
                <w:color w:val="000000"/>
                <w:sz w:val="20"/>
                <w:szCs w:val="20"/>
              </w:rPr>
              <w:t xml:space="preserve">* </w:t>
            </w:r>
            <w:r w:rsidRPr="003B01E7">
              <w:rPr>
                <w:rFonts w:ascii="SWISS" w:hAnsi="SWISS" w:cs="Arial"/>
                <w:bCs/>
                <w:color w:val="000000"/>
                <w:sz w:val="20"/>
                <w:szCs w:val="20"/>
              </w:rPr>
              <w:t>The plant and</w:t>
            </w:r>
            <w:r w:rsidRPr="00E022F8">
              <w:rPr>
                <w:rFonts w:ascii="SWISS" w:hAnsi="SWISS" w:cs="Arial"/>
                <w:bCs/>
                <w:color w:val="000000"/>
                <w:sz w:val="20"/>
                <w:szCs w:val="20"/>
              </w:rPr>
              <w:t xml:space="preserve"> accumulated depreciation balances exclude the pro forma </w:t>
            </w:r>
            <w:r>
              <w:rPr>
                <w:rFonts w:ascii="SWISS" w:hAnsi="SWISS" w:cs="Arial"/>
                <w:bCs/>
                <w:color w:val="000000"/>
                <w:sz w:val="20"/>
                <w:szCs w:val="20"/>
              </w:rPr>
              <w:t xml:space="preserve">meter replacements, well </w:t>
            </w:r>
            <w:r w:rsidRPr="00E022F8">
              <w:rPr>
                <w:rFonts w:ascii="SWISS" w:hAnsi="SWISS" w:cs="Arial"/>
                <w:bCs/>
                <w:color w:val="000000"/>
                <w:sz w:val="20"/>
                <w:szCs w:val="20"/>
              </w:rPr>
              <w:t>meter replacement</w:t>
            </w:r>
            <w:r>
              <w:rPr>
                <w:rFonts w:ascii="SWISS" w:hAnsi="SWISS" w:cs="Arial"/>
                <w:bCs/>
                <w:color w:val="000000"/>
                <w:sz w:val="20"/>
                <w:szCs w:val="20"/>
              </w:rPr>
              <w:t>, exterior lighting and timer replacement, and fence replacement</w:t>
            </w:r>
            <w:r w:rsidRPr="00E022F8">
              <w:rPr>
                <w:rFonts w:ascii="SWISS" w:hAnsi="SWISS" w:cs="Arial"/>
                <w:bCs/>
                <w:color w:val="000000"/>
                <w:sz w:val="20"/>
                <w:szCs w:val="20"/>
              </w:rPr>
              <w:t xml:space="preserve">. Also, the </w:t>
            </w:r>
            <w:r>
              <w:rPr>
                <w:rFonts w:ascii="SWISS" w:hAnsi="SWISS" w:cs="Arial"/>
                <w:bCs/>
                <w:color w:val="000000"/>
                <w:sz w:val="20"/>
                <w:szCs w:val="20"/>
              </w:rPr>
              <w:t xml:space="preserve">plant, </w:t>
            </w:r>
            <w:r w:rsidRPr="00E022F8">
              <w:rPr>
                <w:rFonts w:ascii="SWISS" w:hAnsi="SWISS" w:cs="Arial"/>
                <w:bCs/>
                <w:color w:val="000000"/>
                <w:sz w:val="20"/>
                <w:szCs w:val="20"/>
              </w:rPr>
              <w:t>accumulated depreciation</w:t>
            </w:r>
            <w:r>
              <w:rPr>
                <w:rFonts w:ascii="SWISS" w:hAnsi="SWISS" w:cs="Arial"/>
                <w:bCs/>
                <w:color w:val="000000"/>
                <w:sz w:val="20"/>
                <w:szCs w:val="20"/>
              </w:rPr>
              <w:t xml:space="preserve">, </w:t>
            </w:r>
            <w:r w:rsidRPr="00E022F8">
              <w:rPr>
                <w:rFonts w:ascii="SWISS" w:hAnsi="SWISS" w:cs="Arial"/>
                <w:bCs/>
                <w:color w:val="000000"/>
                <w:sz w:val="20"/>
                <w:szCs w:val="20"/>
              </w:rPr>
              <w:t xml:space="preserve">and accumulated amortization of CIAC balances exclude the </w:t>
            </w:r>
            <w:r w:rsidR="00726AFA">
              <w:rPr>
                <w:rFonts w:ascii="SWISS" w:hAnsi="SWISS" w:cs="Arial"/>
                <w:bCs/>
                <w:color w:val="000000"/>
                <w:sz w:val="20"/>
                <w:szCs w:val="20"/>
              </w:rPr>
              <w:t>approved</w:t>
            </w:r>
            <w:r w:rsidRPr="00E022F8">
              <w:rPr>
                <w:rFonts w:ascii="SWISS" w:hAnsi="SWISS" w:cs="Arial"/>
                <w:bCs/>
                <w:color w:val="000000"/>
                <w:sz w:val="20"/>
                <w:szCs w:val="20"/>
              </w:rPr>
              <w:t xml:space="preserve"> averaging adjustments that are used only for rate setting purposes and sh</w:t>
            </w:r>
            <w:r w:rsidR="00726AFA">
              <w:rPr>
                <w:rFonts w:ascii="SWISS" w:hAnsi="SWISS" w:cs="Arial"/>
                <w:bCs/>
                <w:color w:val="000000"/>
                <w:sz w:val="20"/>
                <w:szCs w:val="20"/>
              </w:rPr>
              <w:t>ould</w:t>
            </w:r>
            <w:r w:rsidRPr="00E022F8">
              <w:rPr>
                <w:rFonts w:ascii="SWISS" w:hAnsi="SWISS" w:cs="Arial"/>
                <w:bCs/>
                <w:color w:val="000000"/>
                <w:sz w:val="20"/>
                <w:szCs w:val="20"/>
              </w:rPr>
              <w:t xml:space="preserve"> not be reflected on the Utility’s books.</w:t>
            </w:r>
          </w:p>
        </w:tc>
      </w:tr>
      <w:tr w:rsidR="0005008E" w:rsidRPr="00E022F8" w:rsidTr="00FE758E">
        <w:trPr>
          <w:trHeight w:val="312"/>
        </w:trPr>
        <w:tc>
          <w:tcPr>
            <w:tcW w:w="1380" w:type="dxa"/>
            <w:gridSpan w:val="2"/>
            <w:tcBorders>
              <w:top w:val="nil"/>
              <w:left w:val="single" w:sz="8" w:space="0" w:color="auto"/>
              <w:bottom w:val="single" w:sz="8" w:space="0" w:color="auto"/>
              <w:right w:val="nil"/>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c>
          <w:tcPr>
            <w:tcW w:w="1068" w:type="dxa"/>
            <w:gridSpan w:val="2"/>
            <w:tcBorders>
              <w:top w:val="nil"/>
              <w:left w:val="nil"/>
              <w:bottom w:val="single" w:sz="8" w:space="0" w:color="auto"/>
              <w:right w:val="nil"/>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c>
          <w:tcPr>
            <w:tcW w:w="3065" w:type="dxa"/>
            <w:tcBorders>
              <w:top w:val="nil"/>
              <w:left w:val="nil"/>
              <w:bottom w:val="single" w:sz="8" w:space="0" w:color="auto"/>
              <w:right w:val="nil"/>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c>
          <w:tcPr>
            <w:tcW w:w="1775" w:type="dxa"/>
            <w:gridSpan w:val="2"/>
            <w:tcBorders>
              <w:top w:val="nil"/>
              <w:left w:val="nil"/>
              <w:bottom w:val="single" w:sz="8" w:space="0" w:color="auto"/>
              <w:right w:val="nil"/>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c>
          <w:tcPr>
            <w:tcW w:w="2192" w:type="dxa"/>
            <w:gridSpan w:val="2"/>
            <w:tcBorders>
              <w:top w:val="nil"/>
              <w:left w:val="nil"/>
              <w:bottom w:val="single" w:sz="8" w:space="0" w:color="auto"/>
              <w:right w:val="single" w:sz="8" w:space="0" w:color="auto"/>
            </w:tcBorders>
            <w:noWrap/>
            <w:vAlign w:val="center"/>
            <w:hideMark/>
          </w:tcPr>
          <w:p w:rsidR="0005008E" w:rsidRPr="00E022F8" w:rsidRDefault="0005008E" w:rsidP="00FE758E">
            <w:pPr>
              <w:jc w:val="right"/>
              <w:rPr>
                <w:rFonts w:ascii="SWISS" w:hAnsi="SWISS" w:cs="Arial"/>
                <w:bCs/>
                <w:color w:val="000000"/>
                <w:sz w:val="20"/>
                <w:szCs w:val="20"/>
              </w:rPr>
            </w:pPr>
            <w:r w:rsidRPr="00E022F8">
              <w:rPr>
                <w:rFonts w:ascii="SWISS" w:hAnsi="SWISS" w:cs="Arial"/>
                <w:bCs/>
                <w:color w:val="000000"/>
                <w:sz w:val="20"/>
                <w:szCs w:val="20"/>
              </w:rPr>
              <w:t> </w:t>
            </w:r>
          </w:p>
        </w:tc>
      </w:tr>
    </w:tbl>
    <w:p w:rsidR="00925414" w:rsidRDefault="00925414" w:rsidP="00925414">
      <w:pPr>
        <w:pStyle w:val="OrderBody"/>
      </w:pPr>
    </w:p>
    <w:sectPr w:rsidR="00925414" w:rsidSect="0005008E">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02" w:rsidRDefault="00646202">
      <w:r>
        <w:separator/>
      </w:r>
    </w:p>
  </w:endnote>
  <w:endnote w:type="continuationSeparator" w:id="0">
    <w:p w:rsidR="00646202" w:rsidRDefault="0064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pPr>
      <w:pStyle w:val="Footer"/>
    </w:pPr>
  </w:p>
  <w:p w:rsidR="00646202" w:rsidRDefault="00646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02" w:rsidRDefault="00646202">
      <w:r>
        <w:separator/>
      </w:r>
    </w:p>
  </w:footnote>
  <w:footnote w:type="continuationSeparator" w:id="0">
    <w:p w:rsidR="00646202" w:rsidRDefault="00646202">
      <w:r>
        <w:continuationSeparator/>
      </w:r>
    </w:p>
  </w:footnote>
  <w:footnote w:id="1">
    <w:p w:rsidR="00646202" w:rsidRDefault="00646202" w:rsidP="005C5A75">
      <w:pPr>
        <w:pStyle w:val="FootnoteText"/>
      </w:pPr>
      <w:r>
        <w:rPr>
          <w:rStyle w:val="FootnoteReference"/>
        </w:rPr>
        <w:footnoteRef/>
      </w:r>
      <w:r w:rsidRPr="00DC7065">
        <w:rPr>
          <w:spacing w:val="1"/>
        </w:rPr>
        <w:t>W</w:t>
      </w:r>
      <w:r w:rsidRPr="00DC7065">
        <w:t>a</w:t>
      </w:r>
      <w:r w:rsidRPr="00DC7065">
        <w:rPr>
          <w:spacing w:val="-1"/>
        </w:rPr>
        <w:t>te</w:t>
      </w:r>
      <w:r w:rsidRPr="00DC7065">
        <w:t>r</w:t>
      </w:r>
      <w:r w:rsidRPr="00DC7065">
        <w:rPr>
          <w:spacing w:val="1"/>
        </w:rPr>
        <w:t xml:space="preserve"> </w:t>
      </w:r>
      <w:r w:rsidRPr="00DC7065">
        <w:rPr>
          <w:spacing w:val="-1"/>
        </w:rPr>
        <w:t>ce</w:t>
      </w:r>
      <w:r w:rsidRPr="00DC7065">
        <w:rPr>
          <w:spacing w:val="1"/>
        </w:rPr>
        <w:t>r</w:t>
      </w:r>
      <w:r w:rsidRPr="00DC7065">
        <w:rPr>
          <w:spacing w:val="-1"/>
        </w:rPr>
        <w:t>ti</w:t>
      </w:r>
      <w:r w:rsidRPr="00DC7065">
        <w:rPr>
          <w:spacing w:val="1"/>
        </w:rPr>
        <w:t>f</w:t>
      </w:r>
      <w:r w:rsidRPr="00DC7065">
        <w:rPr>
          <w:spacing w:val="-1"/>
        </w:rPr>
        <w:t>icat</w:t>
      </w:r>
      <w:r w:rsidRPr="00DC7065">
        <w:t>e</w:t>
      </w:r>
      <w:r w:rsidRPr="00DC7065">
        <w:rPr>
          <w:spacing w:val="1"/>
        </w:rPr>
        <w:t xml:space="preserve"> </w:t>
      </w:r>
      <w:r w:rsidRPr="00DC7065">
        <w:rPr>
          <w:spacing w:val="-1"/>
        </w:rPr>
        <w:t>iss</w:t>
      </w:r>
      <w:r w:rsidRPr="00DC7065">
        <w:rPr>
          <w:spacing w:val="1"/>
        </w:rPr>
        <w:t>u</w:t>
      </w:r>
      <w:r w:rsidRPr="00DC7065">
        <w:rPr>
          <w:spacing w:val="-1"/>
        </w:rPr>
        <w:t>e</w:t>
      </w:r>
      <w:r w:rsidRPr="00DC7065">
        <w:t xml:space="preserve">d </w:t>
      </w:r>
      <w:r w:rsidRPr="00DC7065">
        <w:rPr>
          <w:spacing w:val="1"/>
        </w:rPr>
        <w:t>p</w:t>
      </w:r>
      <w:r w:rsidRPr="00DC7065">
        <w:rPr>
          <w:spacing w:val="-1"/>
        </w:rPr>
        <w:t>u</w:t>
      </w:r>
      <w:r w:rsidRPr="00DC7065">
        <w:rPr>
          <w:spacing w:val="1"/>
        </w:rPr>
        <w:t>r</w:t>
      </w:r>
      <w:r w:rsidRPr="00DC7065">
        <w:t>s</w:t>
      </w:r>
      <w:r w:rsidRPr="00DC7065">
        <w:rPr>
          <w:spacing w:val="-1"/>
        </w:rPr>
        <w:t>ua</w:t>
      </w:r>
      <w:r w:rsidRPr="00DC7065">
        <w:rPr>
          <w:spacing w:val="1"/>
        </w:rPr>
        <w:t>n</w:t>
      </w:r>
      <w:r w:rsidRPr="00DC7065">
        <w:t>t</w:t>
      </w:r>
      <w:r w:rsidRPr="00DC7065">
        <w:rPr>
          <w:spacing w:val="1"/>
        </w:rPr>
        <w:t xml:space="preserve"> </w:t>
      </w:r>
      <w:r w:rsidRPr="00DC7065">
        <w:rPr>
          <w:spacing w:val="-1"/>
        </w:rPr>
        <w:t>t</w:t>
      </w:r>
      <w:r w:rsidRPr="00DC7065">
        <w:t>o</w:t>
      </w:r>
      <w:r w:rsidRPr="00DC7065">
        <w:rPr>
          <w:spacing w:val="1"/>
        </w:rPr>
        <w:t xml:space="preserve"> </w:t>
      </w:r>
      <w:r w:rsidRPr="00DC7065">
        <w:rPr>
          <w:spacing w:val="-1"/>
        </w:rPr>
        <w:t>O</w:t>
      </w:r>
      <w:r w:rsidRPr="00DC7065">
        <w:rPr>
          <w:spacing w:val="1"/>
        </w:rPr>
        <w:t>rd</w:t>
      </w:r>
      <w:r w:rsidRPr="00DC7065">
        <w:rPr>
          <w:spacing w:val="-1"/>
        </w:rPr>
        <w:t>e</w:t>
      </w:r>
      <w:r w:rsidRPr="00DC7065">
        <w:t>r</w:t>
      </w:r>
      <w:r w:rsidRPr="00DC7065">
        <w:rPr>
          <w:spacing w:val="1"/>
        </w:rPr>
        <w:t xml:space="preserve"> </w:t>
      </w:r>
      <w:r w:rsidRPr="00DC7065">
        <w:rPr>
          <w:spacing w:val="-1"/>
        </w:rPr>
        <w:t>N</w:t>
      </w:r>
      <w:r w:rsidRPr="00DC7065">
        <w:rPr>
          <w:spacing w:val="1"/>
        </w:rPr>
        <w:t>o</w:t>
      </w:r>
      <w:r w:rsidRPr="00DC7065">
        <w:t xml:space="preserve">. </w:t>
      </w:r>
      <w:r w:rsidRPr="00DC7065">
        <w:rPr>
          <w:spacing w:val="-1"/>
        </w:rPr>
        <w:t>1</w:t>
      </w:r>
      <w:r w:rsidRPr="00DC7065">
        <w:rPr>
          <w:spacing w:val="1"/>
        </w:rPr>
        <w:t>5</w:t>
      </w:r>
      <w:r w:rsidRPr="00DC7065">
        <w:rPr>
          <w:spacing w:val="-1"/>
        </w:rPr>
        <w:t>28</w:t>
      </w:r>
      <w:r w:rsidRPr="00DC7065">
        <w:rPr>
          <w:spacing w:val="1"/>
        </w:rPr>
        <w:t>5</w:t>
      </w:r>
      <w:r w:rsidRPr="00DC7065">
        <w:t>,</w:t>
      </w:r>
      <w:r w:rsidRPr="00DC7065">
        <w:rPr>
          <w:spacing w:val="1"/>
        </w:rPr>
        <w:t xml:space="preserve"> </w:t>
      </w:r>
      <w:r w:rsidRPr="00DC7065">
        <w:rPr>
          <w:spacing w:val="-1"/>
        </w:rPr>
        <w:t>iss</w:t>
      </w:r>
      <w:r w:rsidRPr="00DC7065">
        <w:rPr>
          <w:spacing w:val="1"/>
        </w:rPr>
        <w:t>u</w:t>
      </w:r>
      <w:r w:rsidRPr="00DC7065">
        <w:rPr>
          <w:spacing w:val="-1"/>
        </w:rPr>
        <w:t>e</w:t>
      </w:r>
      <w:r w:rsidRPr="00DC7065">
        <w:t>d</w:t>
      </w:r>
      <w:r w:rsidRPr="00DC7065">
        <w:rPr>
          <w:spacing w:val="1"/>
        </w:rPr>
        <w:t xml:space="preserve"> O</w:t>
      </w:r>
      <w:r w:rsidRPr="00DC7065">
        <w:t>c</w:t>
      </w:r>
      <w:r w:rsidRPr="00DC7065">
        <w:rPr>
          <w:spacing w:val="-1"/>
        </w:rPr>
        <w:t>to</w:t>
      </w:r>
      <w:r w:rsidRPr="00DC7065">
        <w:rPr>
          <w:spacing w:val="1"/>
        </w:rPr>
        <w:t>b</w:t>
      </w:r>
      <w:r w:rsidRPr="00DC7065">
        <w:t>er</w:t>
      </w:r>
      <w:r w:rsidRPr="00DC7065">
        <w:rPr>
          <w:spacing w:val="1"/>
        </w:rPr>
        <w:t xml:space="preserve"> </w:t>
      </w:r>
      <w:r w:rsidRPr="00DC7065">
        <w:rPr>
          <w:spacing w:val="-1"/>
        </w:rPr>
        <w:t>2</w:t>
      </w:r>
      <w:r w:rsidRPr="00DC7065">
        <w:rPr>
          <w:spacing w:val="1"/>
        </w:rPr>
        <w:t>2</w:t>
      </w:r>
      <w:r w:rsidRPr="00DC7065">
        <w:t xml:space="preserve">, </w:t>
      </w:r>
      <w:r w:rsidRPr="00DC7065">
        <w:rPr>
          <w:spacing w:val="1"/>
        </w:rPr>
        <w:t>1</w:t>
      </w:r>
      <w:r w:rsidRPr="00DC7065">
        <w:rPr>
          <w:spacing w:val="-1"/>
        </w:rPr>
        <w:t>98</w:t>
      </w:r>
      <w:r w:rsidRPr="00DC7065">
        <w:rPr>
          <w:spacing w:val="1"/>
        </w:rPr>
        <w:t>5</w:t>
      </w:r>
      <w:r w:rsidRPr="00DC7065">
        <w:t>,</w:t>
      </w:r>
      <w:r w:rsidRPr="00DC7065">
        <w:rPr>
          <w:spacing w:val="1"/>
        </w:rPr>
        <w:t xml:space="preserve"> </w:t>
      </w:r>
      <w:r w:rsidRPr="00DC7065">
        <w:rPr>
          <w:spacing w:val="-2"/>
        </w:rPr>
        <w:t>i</w:t>
      </w:r>
      <w:r w:rsidRPr="00DC7065">
        <w:t>n</w:t>
      </w:r>
      <w:r w:rsidRPr="00DC7065">
        <w:rPr>
          <w:spacing w:val="1"/>
        </w:rPr>
        <w:t xml:space="preserve"> Do</w:t>
      </w:r>
      <w:r w:rsidRPr="00DC7065">
        <w:rPr>
          <w:spacing w:val="-1"/>
        </w:rPr>
        <w:t>cke</w:t>
      </w:r>
      <w:r w:rsidRPr="00DC7065">
        <w:t>t</w:t>
      </w:r>
      <w:r w:rsidRPr="00DC7065">
        <w:rPr>
          <w:spacing w:val="1"/>
        </w:rPr>
        <w:t xml:space="preserve"> N</w:t>
      </w:r>
      <w:r w:rsidRPr="00DC7065">
        <w:rPr>
          <w:spacing w:val="-1"/>
        </w:rPr>
        <w:t>o</w:t>
      </w:r>
      <w:r w:rsidRPr="00DC7065">
        <w:t>. 19</w:t>
      </w:r>
      <w:r w:rsidRPr="00DC7065">
        <w:rPr>
          <w:spacing w:val="1"/>
        </w:rPr>
        <w:t>8</w:t>
      </w:r>
      <w:r w:rsidRPr="00DC7065">
        <w:rPr>
          <w:spacing w:val="-1"/>
        </w:rPr>
        <w:t>50</w:t>
      </w:r>
      <w:r w:rsidRPr="00DC7065">
        <w:rPr>
          <w:spacing w:val="1"/>
        </w:rPr>
        <w:t>4</w:t>
      </w:r>
      <w:r w:rsidRPr="00DC7065">
        <w:rPr>
          <w:spacing w:val="-1"/>
        </w:rPr>
        <w:t>17-</w:t>
      </w:r>
      <w:r w:rsidRPr="00DC7065">
        <w:rPr>
          <w:spacing w:val="1"/>
        </w:rPr>
        <w:t>WU</w:t>
      </w:r>
      <w:r w:rsidRPr="00DC7065">
        <w:t>,</w:t>
      </w:r>
      <w:r w:rsidRPr="00DC7065">
        <w:rPr>
          <w:spacing w:val="1"/>
        </w:rPr>
        <w:t xml:space="preserve"> </w:t>
      </w:r>
      <w:r w:rsidRPr="00DC7065">
        <w:rPr>
          <w:i/>
          <w:spacing w:val="-1"/>
        </w:rPr>
        <w:t>In</w:t>
      </w:r>
      <w:r w:rsidRPr="00DC7065">
        <w:rPr>
          <w:i/>
          <w:spacing w:val="1"/>
        </w:rPr>
        <w:t xml:space="preserve"> r</w:t>
      </w:r>
      <w:r w:rsidRPr="00DC7065">
        <w:rPr>
          <w:i/>
        </w:rPr>
        <w:t>e: Ap</w:t>
      </w:r>
      <w:r w:rsidRPr="00DC7065">
        <w:rPr>
          <w:i/>
          <w:spacing w:val="1"/>
        </w:rPr>
        <w:t>p</w:t>
      </w:r>
      <w:r w:rsidRPr="00DC7065">
        <w:rPr>
          <w:i/>
        </w:rPr>
        <w:t>licati</w:t>
      </w:r>
      <w:r w:rsidRPr="00DC7065">
        <w:rPr>
          <w:i/>
          <w:spacing w:val="1"/>
        </w:rPr>
        <w:t>o</w:t>
      </w:r>
      <w:r w:rsidRPr="00DC7065">
        <w:rPr>
          <w:i/>
        </w:rPr>
        <w:t>n</w:t>
      </w:r>
      <w:r w:rsidRPr="00DC7065">
        <w:rPr>
          <w:i/>
          <w:spacing w:val="2"/>
        </w:rPr>
        <w:t xml:space="preserve"> </w:t>
      </w:r>
      <w:r w:rsidRPr="00DC7065">
        <w:rPr>
          <w:i/>
        </w:rPr>
        <w:t>of</w:t>
      </w:r>
      <w:r w:rsidRPr="00DC7065">
        <w:rPr>
          <w:i/>
          <w:spacing w:val="1"/>
        </w:rPr>
        <w:t xml:space="preserve"> </w:t>
      </w:r>
      <w:r w:rsidRPr="00DC7065">
        <w:rPr>
          <w:i/>
        </w:rPr>
        <w:t xml:space="preserve">Earl </w:t>
      </w:r>
      <w:r w:rsidRPr="00DC7065">
        <w:rPr>
          <w:i/>
          <w:spacing w:val="2"/>
        </w:rPr>
        <w:t>W</w:t>
      </w:r>
      <w:r w:rsidRPr="00DC7065">
        <w:rPr>
          <w:i/>
        </w:rPr>
        <w:t>.</w:t>
      </w:r>
      <w:r w:rsidRPr="00DC7065">
        <w:rPr>
          <w:i/>
          <w:spacing w:val="2"/>
        </w:rPr>
        <w:t xml:space="preserve"> </w:t>
      </w:r>
      <w:r w:rsidRPr="00DC7065">
        <w:rPr>
          <w:i/>
        </w:rPr>
        <w:t>St</w:t>
      </w:r>
      <w:r w:rsidRPr="00DC7065">
        <w:rPr>
          <w:i/>
          <w:spacing w:val="1"/>
        </w:rPr>
        <w:t>o</w:t>
      </w:r>
      <w:r w:rsidRPr="00DC7065">
        <w:rPr>
          <w:i/>
          <w:spacing w:val="-1"/>
        </w:rPr>
        <w:t>c</w:t>
      </w:r>
      <w:r>
        <w:rPr>
          <w:i/>
        </w:rPr>
        <w:t xml:space="preserve">kwell </w:t>
      </w:r>
      <w:r w:rsidRPr="00DC7065">
        <w:rPr>
          <w:i/>
          <w:spacing w:val="1"/>
        </w:rPr>
        <w:t xml:space="preserve"> </w:t>
      </w:r>
      <w:r w:rsidRPr="00DC7065">
        <w:rPr>
          <w:i/>
        </w:rPr>
        <w:t>f</w:t>
      </w:r>
      <w:r w:rsidRPr="00DC7065">
        <w:rPr>
          <w:i/>
          <w:spacing w:val="1"/>
        </w:rPr>
        <w:t>o</w:t>
      </w:r>
      <w:r w:rsidRPr="00DC7065">
        <w:rPr>
          <w:i/>
        </w:rPr>
        <w:t>r</w:t>
      </w:r>
      <w:r w:rsidRPr="00DC7065">
        <w:rPr>
          <w:i/>
          <w:spacing w:val="1"/>
        </w:rPr>
        <w:t xml:space="preserve"> </w:t>
      </w:r>
      <w:r w:rsidRPr="00DC7065">
        <w:rPr>
          <w:i/>
        </w:rPr>
        <w:t>a certificate</w:t>
      </w:r>
      <w:r w:rsidRPr="00DC7065">
        <w:rPr>
          <w:i/>
          <w:spacing w:val="1"/>
        </w:rPr>
        <w:t xml:space="preserve"> </w:t>
      </w:r>
      <w:r w:rsidRPr="00DC7065">
        <w:rPr>
          <w:i/>
        </w:rPr>
        <w:t>to</w:t>
      </w:r>
      <w:r w:rsidRPr="00DC7065">
        <w:rPr>
          <w:i/>
          <w:spacing w:val="2"/>
        </w:rPr>
        <w:t xml:space="preserve"> </w:t>
      </w:r>
      <w:r w:rsidRPr="00DC7065">
        <w:rPr>
          <w:i/>
          <w:spacing w:val="1"/>
        </w:rPr>
        <w:t>pr</w:t>
      </w:r>
      <w:r w:rsidRPr="00DC7065">
        <w:rPr>
          <w:i/>
        </w:rPr>
        <w:t>o</w:t>
      </w:r>
      <w:r w:rsidRPr="00DC7065">
        <w:rPr>
          <w:i/>
          <w:spacing w:val="1"/>
        </w:rPr>
        <w:t>v</w:t>
      </w:r>
      <w:r w:rsidRPr="00DC7065">
        <w:rPr>
          <w:i/>
          <w:spacing w:val="-2"/>
        </w:rPr>
        <w:t>i</w:t>
      </w:r>
      <w:r w:rsidRPr="00DC7065">
        <w:rPr>
          <w:i/>
          <w:spacing w:val="1"/>
        </w:rPr>
        <w:t>d</w:t>
      </w:r>
      <w:r w:rsidRPr="00DC7065">
        <w:rPr>
          <w:i/>
        </w:rPr>
        <w:t>e</w:t>
      </w:r>
      <w:r w:rsidRPr="00DC7065">
        <w:rPr>
          <w:i/>
          <w:spacing w:val="1"/>
        </w:rPr>
        <w:t xml:space="preserve"> </w:t>
      </w:r>
      <w:r w:rsidRPr="00DC7065">
        <w:rPr>
          <w:i/>
        </w:rPr>
        <w:t>water</w:t>
      </w:r>
      <w:r w:rsidRPr="00DC7065">
        <w:rPr>
          <w:i/>
          <w:spacing w:val="1"/>
        </w:rPr>
        <w:t xml:space="preserve"> </w:t>
      </w:r>
      <w:r w:rsidRPr="00DC7065">
        <w:rPr>
          <w:i/>
        </w:rPr>
        <w:t>ser</w:t>
      </w:r>
      <w:r w:rsidRPr="00DC7065">
        <w:rPr>
          <w:i/>
          <w:spacing w:val="1"/>
        </w:rPr>
        <w:t>v</w:t>
      </w:r>
      <w:r w:rsidRPr="00DC7065">
        <w:rPr>
          <w:i/>
        </w:rPr>
        <w:t>ice</w:t>
      </w:r>
      <w:r w:rsidRPr="00DC7065">
        <w:rPr>
          <w:i/>
          <w:spacing w:val="1"/>
        </w:rPr>
        <w:t xml:space="preserve"> </w:t>
      </w:r>
      <w:r w:rsidRPr="00DC7065">
        <w:rPr>
          <w:i/>
        </w:rPr>
        <w:t>to</w:t>
      </w:r>
      <w:r w:rsidRPr="00DC7065">
        <w:rPr>
          <w:i/>
          <w:spacing w:val="2"/>
        </w:rPr>
        <w:t xml:space="preserve"> </w:t>
      </w:r>
      <w:r w:rsidRPr="00DC7065">
        <w:rPr>
          <w:i/>
        </w:rPr>
        <w:t>t</w:t>
      </w:r>
      <w:r w:rsidRPr="00DC7065">
        <w:rPr>
          <w:i/>
          <w:spacing w:val="1"/>
        </w:rPr>
        <w:t>h</w:t>
      </w:r>
      <w:r w:rsidRPr="00DC7065">
        <w:rPr>
          <w:i/>
        </w:rPr>
        <w:t>e</w:t>
      </w:r>
      <w:r w:rsidRPr="00DC7065">
        <w:rPr>
          <w:i/>
          <w:spacing w:val="1"/>
        </w:rPr>
        <w:t xml:space="preserve"> </w:t>
      </w:r>
      <w:r w:rsidRPr="00DC7065">
        <w:rPr>
          <w:i/>
        </w:rPr>
        <w:t>Pi</w:t>
      </w:r>
      <w:r w:rsidRPr="00DC7065">
        <w:rPr>
          <w:i/>
          <w:spacing w:val="1"/>
        </w:rPr>
        <w:t>n</w:t>
      </w:r>
      <w:r w:rsidRPr="00DC7065">
        <w:rPr>
          <w:i/>
        </w:rPr>
        <w:t>e</w:t>
      </w:r>
      <w:r w:rsidRPr="00DC7065">
        <w:rPr>
          <w:i/>
          <w:spacing w:val="1"/>
        </w:rPr>
        <w:t xml:space="preserve"> </w:t>
      </w:r>
      <w:r w:rsidRPr="00DC7065">
        <w:rPr>
          <w:i/>
        </w:rPr>
        <w:t>Harbo</w:t>
      </w:r>
      <w:r w:rsidRPr="00DC7065">
        <w:rPr>
          <w:i/>
          <w:spacing w:val="1"/>
        </w:rPr>
        <w:t>u</w:t>
      </w:r>
      <w:r w:rsidRPr="00DC7065">
        <w:rPr>
          <w:i/>
        </w:rPr>
        <w:t>r</w:t>
      </w:r>
      <w:r w:rsidRPr="00DC7065">
        <w:rPr>
          <w:i/>
          <w:spacing w:val="1"/>
        </w:rPr>
        <w:t xml:space="preserve"> </w:t>
      </w:r>
      <w:r w:rsidRPr="00DC7065">
        <w:rPr>
          <w:i/>
        </w:rPr>
        <w:t>S</w:t>
      </w:r>
      <w:r w:rsidRPr="00DC7065">
        <w:rPr>
          <w:i/>
          <w:spacing w:val="1"/>
        </w:rPr>
        <w:t>u</w:t>
      </w:r>
      <w:r w:rsidRPr="00DC7065">
        <w:rPr>
          <w:i/>
        </w:rPr>
        <w:t>b</w:t>
      </w:r>
      <w:r w:rsidRPr="00DC7065">
        <w:rPr>
          <w:i/>
          <w:spacing w:val="1"/>
        </w:rPr>
        <w:t>d</w:t>
      </w:r>
      <w:r w:rsidRPr="00DC7065">
        <w:rPr>
          <w:i/>
        </w:rPr>
        <w:t>i</w:t>
      </w:r>
      <w:r w:rsidRPr="00DC7065">
        <w:rPr>
          <w:i/>
          <w:spacing w:val="1"/>
        </w:rPr>
        <w:t>v</w:t>
      </w:r>
      <w:r w:rsidRPr="00DC7065">
        <w:rPr>
          <w:i/>
          <w:spacing w:val="-2"/>
        </w:rPr>
        <w:t>i</w:t>
      </w:r>
      <w:r w:rsidRPr="00DC7065">
        <w:rPr>
          <w:i/>
        </w:rPr>
        <w:t>si</w:t>
      </w:r>
      <w:r w:rsidRPr="00DC7065">
        <w:rPr>
          <w:i/>
          <w:spacing w:val="1"/>
        </w:rPr>
        <w:t>o</w:t>
      </w:r>
      <w:r w:rsidRPr="00DC7065">
        <w:rPr>
          <w:i/>
        </w:rPr>
        <w:t>n</w:t>
      </w:r>
      <w:r w:rsidRPr="00DC7065">
        <w:rPr>
          <w:i/>
          <w:spacing w:val="2"/>
        </w:rPr>
        <w:t xml:space="preserve"> </w:t>
      </w:r>
      <w:r w:rsidRPr="00DC7065">
        <w:rPr>
          <w:i/>
        </w:rPr>
        <w:t>in</w:t>
      </w:r>
      <w:r w:rsidRPr="00DC7065">
        <w:rPr>
          <w:i/>
          <w:spacing w:val="2"/>
        </w:rPr>
        <w:t xml:space="preserve"> </w:t>
      </w:r>
      <w:r w:rsidRPr="00DC7065">
        <w:rPr>
          <w:i/>
        </w:rPr>
        <w:t>La</w:t>
      </w:r>
      <w:r w:rsidRPr="00DC7065">
        <w:rPr>
          <w:i/>
          <w:spacing w:val="1"/>
        </w:rPr>
        <w:t>k</w:t>
      </w:r>
      <w:r w:rsidRPr="00DC7065">
        <w:rPr>
          <w:i/>
        </w:rPr>
        <w:t>e C</w:t>
      </w:r>
      <w:r w:rsidRPr="00DC7065">
        <w:rPr>
          <w:i/>
          <w:spacing w:val="1"/>
        </w:rPr>
        <w:t>o</w:t>
      </w:r>
      <w:r w:rsidRPr="00DC7065">
        <w:rPr>
          <w:i/>
        </w:rPr>
        <w:t>u</w:t>
      </w:r>
      <w:r w:rsidRPr="00DC7065">
        <w:rPr>
          <w:i/>
          <w:spacing w:val="1"/>
        </w:rPr>
        <w:t>n</w:t>
      </w:r>
      <w:r w:rsidRPr="00DC7065">
        <w:rPr>
          <w:i/>
        </w:rPr>
        <w:t>ty, F</w:t>
      </w:r>
      <w:r w:rsidRPr="00DC7065">
        <w:rPr>
          <w:i/>
          <w:spacing w:val="-2"/>
        </w:rPr>
        <w:t>l</w:t>
      </w:r>
      <w:r w:rsidRPr="00DC7065">
        <w:rPr>
          <w:i/>
          <w:spacing w:val="1"/>
        </w:rPr>
        <w:t>or</w:t>
      </w:r>
      <w:r w:rsidRPr="00DC7065">
        <w:rPr>
          <w:i/>
        </w:rPr>
        <w:t>ida p</w:t>
      </w:r>
      <w:r w:rsidRPr="00DC7065">
        <w:rPr>
          <w:i/>
          <w:spacing w:val="1"/>
        </w:rPr>
        <w:t>ur</w:t>
      </w:r>
      <w:r w:rsidRPr="00DC7065">
        <w:rPr>
          <w:i/>
          <w:spacing w:val="-1"/>
        </w:rPr>
        <w:t>s</w:t>
      </w:r>
      <w:r w:rsidRPr="00DC7065">
        <w:rPr>
          <w:i/>
          <w:spacing w:val="1"/>
        </w:rPr>
        <w:t>u</w:t>
      </w:r>
      <w:r w:rsidRPr="00DC7065">
        <w:rPr>
          <w:i/>
          <w:spacing w:val="-1"/>
        </w:rPr>
        <w:t>a</w:t>
      </w:r>
      <w:r w:rsidRPr="00DC7065">
        <w:rPr>
          <w:i/>
          <w:spacing w:val="1"/>
        </w:rPr>
        <w:t>n</w:t>
      </w:r>
      <w:r w:rsidRPr="00DC7065">
        <w:rPr>
          <w:i/>
        </w:rPr>
        <w:t>t to</w:t>
      </w:r>
      <w:r w:rsidRPr="00DC7065">
        <w:rPr>
          <w:i/>
          <w:spacing w:val="1"/>
        </w:rPr>
        <w:t xml:space="preserve"> </w:t>
      </w:r>
      <w:r w:rsidRPr="00DC7065">
        <w:rPr>
          <w:i/>
          <w:spacing w:val="-2"/>
        </w:rPr>
        <w:t>t</w:t>
      </w:r>
      <w:r w:rsidRPr="00DC7065">
        <w:rPr>
          <w:i/>
          <w:spacing w:val="1"/>
        </w:rPr>
        <w:t>h</w:t>
      </w:r>
      <w:r w:rsidRPr="00DC7065">
        <w:rPr>
          <w:i/>
        </w:rPr>
        <w:t>e</w:t>
      </w:r>
      <w:r w:rsidRPr="00DC7065">
        <w:rPr>
          <w:i/>
          <w:spacing w:val="-1"/>
        </w:rPr>
        <w:t xml:space="preserve"> </w:t>
      </w:r>
      <w:r w:rsidRPr="00DC7065">
        <w:rPr>
          <w:i/>
          <w:spacing w:val="1"/>
        </w:rPr>
        <w:t>p</w:t>
      </w:r>
      <w:r w:rsidRPr="00DC7065">
        <w:rPr>
          <w:i/>
          <w:spacing w:val="-1"/>
        </w:rPr>
        <w:t>r</w:t>
      </w:r>
      <w:r w:rsidRPr="00DC7065">
        <w:rPr>
          <w:i/>
        </w:rPr>
        <w:t>o</w:t>
      </w:r>
      <w:r w:rsidRPr="00DC7065">
        <w:rPr>
          <w:i/>
          <w:spacing w:val="1"/>
        </w:rPr>
        <w:t>v</w:t>
      </w:r>
      <w:r w:rsidRPr="00DC7065">
        <w:rPr>
          <w:i/>
        </w:rPr>
        <w:t>isi</w:t>
      </w:r>
      <w:r w:rsidRPr="00DC7065">
        <w:rPr>
          <w:i/>
          <w:spacing w:val="1"/>
        </w:rPr>
        <w:t>o</w:t>
      </w:r>
      <w:r w:rsidRPr="00DC7065">
        <w:rPr>
          <w:i/>
        </w:rPr>
        <w:t>ns</w:t>
      </w:r>
      <w:r w:rsidRPr="00DC7065">
        <w:rPr>
          <w:i/>
          <w:spacing w:val="-1"/>
        </w:rPr>
        <w:t xml:space="preserve"> </w:t>
      </w:r>
      <w:r w:rsidRPr="00DC7065">
        <w:rPr>
          <w:i/>
        </w:rPr>
        <w:t>of</w:t>
      </w:r>
      <w:r w:rsidRPr="00DC7065">
        <w:rPr>
          <w:i/>
          <w:spacing w:val="1"/>
        </w:rPr>
        <w:t xml:space="preserve"> </w:t>
      </w:r>
      <w:r w:rsidRPr="00DC7065">
        <w:rPr>
          <w:i/>
        </w:rPr>
        <w:t>Section 3</w:t>
      </w:r>
      <w:r w:rsidRPr="00DC7065">
        <w:rPr>
          <w:i/>
          <w:spacing w:val="1"/>
        </w:rPr>
        <w:t>6</w:t>
      </w:r>
      <w:r w:rsidRPr="00DC7065">
        <w:rPr>
          <w:i/>
        </w:rPr>
        <w:t>7.0</w:t>
      </w:r>
      <w:r w:rsidRPr="00DC7065">
        <w:rPr>
          <w:i/>
          <w:spacing w:val="1"/>
        </w:rPr>
        <w:t>4</w:t>
      </w:r>
      <w:r w:rsidRPr="00DC7065">
        <w:rPr>
          <w:i/>
        </w:rPr>
        <w:t>1, F</w:t>
      </w:r>
      <w:r w:rsidRPr="00DC7065">
        <w:rPr>
          <w:i/>
          <w:spacing w:val="-2"/>
        </w:rPr>
        <w:t>l</w:t>
      </w:r>
      <w:r w:rsidRPr="00DC7065">
        <w:rPr>
          <w:i/>
          <w:spacing w:val="1"/>
        </w:rPr>
        <w:t>or</w:t>
      </w:r>
      <w:r w:rsidRPr="00DC7065">
        <w:rPr>
          <w:i/>
          <w:spacing w:val="-2"/>
        </w:rPr>
        <w:t>i</w:t>
      </w:r>
      <w:r w:rsidRPr="00DC7065">
        <w:rPr>
          <w:i/>
          <w:spacing w:val="1"/>
        </w:rPr>
        <w:t>d</w:t>
      </w:r>
      <w:r w:rsidRPr="00DC7065">
        <w:rPr>
          <w:i/>
        </w:rPr>
        <w:t>a Stat</w:t>
      </w:r>
      <w:r w:rsidRPr="00DC7065">
        <w:rPr>
          <w:i/>
          <w:spacing w:val="1"/>
        </w:rPr>
        <w:t>u</w:t>
      </w:r>
      <w:r w:rsidRPr="00DC7065">
        <w:rPr>
          <w:i/>
          <w:spacing w:val="-1"/>
        </w:rPr>
        <w:t>t</w:t>
      </w:r>
      <w:r w:rsidRPr="00DC7065">
        <w:rPr>
          <w:i/>
        </w:rPr>
        <w:t>es.</w:t>
      </w:r>
    </w:p>
  </w:footnote>
  <w:footnote w:id="2">
    <w:p w:rsidR="00646202" w:rsidRDefault="00646202" w:rsidP="005C5A75">
      <w:pPr>
        <w:pStyle w:val="FootnoteText"/>
      </w:pPr>
      <w:r>
        <w:rPr>
          <w:rStyle w:val="FootnoteReference"/>
        </w:rPr>
        <w:footnoteRef/>
      </w:r>
      <w:r w:rsidRPr="00B926BD">
        <w:t xml:space="preserve">Order No. 24273, issued March 21, 1991, in Docket No. 19900525-WU, </w:t>
      </w:r>
      <w:r w:rsidRPr="00B926BD">
        <w:rPr>
          <w:i/>
        </w:rPr>
        <w:t>In Re: Application for transfer of Certificate</w:t>
      </w:r>
      <w:r>
        <w:rPr>
          <w:i/>
        </w:rPr>
        <w:t xml:space="preserve"> </w:t>
      </w:r>
      <w:r w:rsidRPr="00B926BD">
        <w:rPr>
          <w:i/>
        </w:rPr>
        <w:t>No. 450-W from Mr. Earl W. Stockwell</w:t>
      </w:r>
      <w:r>
        <w:rPr>
          <w:i/>
        </w:rPr>
        <w:t xml:space="preserve"> (Pine Harbour)</w:t>
      </w:r>
      <w:r w:rsidRPr="00B926BD">
        <w:rPr>
          <w:i/>
        </w:rPr>
        <w:t xml:space="preserve"> to Pine Harbour Water Utilities</w:t>
      </w:r>
      <w:r>
        <w:rPr>
          <w:i/>
        </w:rPr>
        <w:t xml:space="preserve"> </w:t>
      </w:r>
      <w:r w:rsidRPr="00B926BD">
        <w:rPr>
          <w:i/>
        </w:rPr>
        <w:t>in Lake County</w:t>
      </w:r>
      <w:r>
        <w:rPr>
          <w:i/>
        </w:rPr>
        <w:t>.;</w:t>
      </w:r>
      <w:r w:rsidRPr="001E25B2">
        <w:t xml:space="preserve"> </w:t>
      </w:r>
      <w:r w:rsidRPr="003764C9">
        <w:t xml:space="preserve">Order No. PSC-08-0645-FOF-WU, issued October 6, 2008, in Docket No. 20080269-WU, </w:t>
      </w:r>
      <w:r w:rsidRPr="003764C9">
        <w:rPr>
          <w:i/>
        </w:rPr>
        <w:t>In re: Application for authority to transfer water Certificate No. 450-W, held by Pine Harbour Water Utilities, from Jim C. Branham to Pine Harbour Water Utilities, LLC, in Lake County</w:t>
      </w:r>
      <w:r>
        <w:rPr>
          <w:i/>
        </w:rPr>
        <w:t xml:space="preserve">.; </w:t>
      </w:r>
      <w:r w:rsidRPr="003764C9">
        <w:t xml:space="preserve">Order No. PSC-17-0043-PAA-WU, issued February 2, 2017, in Docket No. 20160169-WU, </w:t>
      </w:r>
      <w:r w:rsidRPr="003764C9">
        <w:rPr>
          <w:i/>
        </w:rPr>
        <w:t>In re: Application for authority to transfer water system and Certificate No. 450-W from Pine Harbour Water Utilities, LLC to Pine Harbour Waterworks, Inc. in Lake County.</w:t>
      </w:r>
    </w:p>
  </w:footnote>
  <w:footnote w:id="3">
    <w:p w:rsidR="00646202" w:rsidRDefault="00646202" w:rsidP="005C5A75">
      <w:pPr>
        <w:pStyle w:val="FootnoteText"/>
      </w:pPr>
      <w:r>
        <w:rPr>
          <w:rStyle w:val="FootnoteReference"/>
        </w:rPr>
        <w:footnoteRef/>
      </w:r>
      <w:r w:rsidRPr="003764C9">
        <w:t xml:space="preserve">Order No. PSC-10-0328-CO-WU, issued May 21, 2010, in Docket No. 20090429-WU, </w:t>
      </w:r>
      <w:r w:rsidRPr="003764C9">
        <w:rPr>
          <w:i/>
        </w:rPr>
        <w:t>In re: Request for approval of imposition of miscellaneous service charges, delinquent payment charge and meter tampering charge in Lake County, by Pine Harbour Water Utilities, LLC.</w:t>
      </w:r>
      <w:r>
        <w:rPr>
          <w:i/>
        </w:rPr>
        <w:t xml:space="preserve">; </w:t>
      </w:r>
      <w:r w:rsidRPr="00C308BD">
        <w:t xml:space="preserve">and </w:t>
      </w:r>
      <w:r w:rsidRPr="003764C9">
        <w:t xml:space="preserve">Order No. PSC-17-0043-PAA-WU, issued February 2, 2017, in Docket No. 20160169-WU, </w:t>
      </w:r>
      <w:r w:rsidRPr="003764C9">
        <w:rPr>
          <w:i/>
        </w:rPr>
        <w:t>In re: Application for authority to transfer water system and Certificate No. 450-W from Pine Harbour Water Utilities, LLC to Pine Harbour Waterworks, Inc. in Lake County.</w:t>
      </w:r>
    </w:p>
  </w:footnote>
  <w:footnote w:id="4">
    <w:p w:rsidR="00646202" w:rsidRDefault="00646202" w:rsidP="005C5A75">
      <w:pPr>
        <w:pStyle w:val="FootnoteText"/>
      </w:pPr>
      <w:r>
        <w:rPr>
          <w:rStyle w:val="FootnoteReference"/>
        </w:rPr>
        <w:footnoteRef/>
      </w:r>
      <w:r>
        <w:t>Rule 25-30.433(1), F.A.C., was amended on July 11, 2018. Our analysis is based on the Rule at the time of the Utility’s filing.</w:t>
      </w:r>
    </w:p>
  </w:footnote>
  <w:footnote w:id="5">
    <w:p w:rsidR="00646202" w:rsidRDefault="00646202" w:rsidP="005C5A75">
      <w:pPr>
        <w:pStyle w:val="FootnoteText"/>
      </w:pPr>
      <w:r>
        <w:rPr>
          <w:rStyle w:val="FootnoteReference"/>
        </w:rPr>
        <w:footnoteRef/>
      </w:r>
      <w:r w:rsidRPr="003764C9">
        <w:t xml:space="preserve">Order No. PSC-17-0043-PAA-WU, issued February 2, 2017, in Docket No. 20160169-WU, </w:t>
      </w:r>
      <w:r w:rsidRPr="003764C9">
        <w:rPr>
          <w:i/>
        </w:rPr>
        <w:t>In re: Application for authority to transfer water system and Certificate No. 450-W from Pine Harbour Water Utilities, LLC to Pine Harbour Waterworks, Inc. in Lake County.</w:t>
      </w:r>
    </w:p>
  </w:footnote>
  <w:footnote w:id="6">
    <w:p w:rsidR="00646202" w:rsidRDefault="00646202" w:rsidP="005C5A75">
      <w:pPr>
        <w:pStyle w:val="FootnoteText"/>
      </w:pPr>
      <w:r>
        <w:rPr>
          <w:rStyle w:val="FootnoteReference"/>
        </w:rPr>
        <w:footnoteRef/>
      </w:r>
      <w:r>
        <w:t xml:space="preserve">Document No. 04347-2018, filed on June 22, 2018. </w:t>
      </w:r>
    </w:p>
  </w:footnote>
  <w:footnote w:id="7">
    <w:p w:rsidR="00646202" w:rsidRPr="00EC5917" w:rsidRDefault="00646202" w:rsidP="005C5A75">
      <w:pPr>
        <w:pStyle w:val="FootnoteText"/>
      </w:pPr>
      <w:r w:rsidRPr="00DC009D">
        <w:rPr>
          <w:rStyle w:val="FootnoteReference"/>
        </w:rPr>
        <w:footnoteRef/>
      </w:r>
      <w:r w:rsidRPr="00EC5917">
        <w:rPr>
          <w:bCs/>
        </w:rPr>
        <w:t>Document No. 05703-2018, filed August 30, 2018.</w:t>
      </w:r>
    </w:p>
  </w:footnote>
  <w:footnote w:id="8">
    <w:p w:rsidR="00646202" w:rsidRDefault="00646202" w:rsidP="005C5A75">
      <w:pPr>
        <w:pStyle w:val="FootnoteText"/>
      </w:pPr>
      <w:r w:rsidRPr="00EC5917">
        <w:rPr>
          <w:rStyle w:val="FootnoteReference"/>
        </w:rPr>
        <w:footnoteRef/>
      </w:r>
      <w:r w:rsidRPr="00EC5917">
        <w:t xml:space="preserve">Document Nos. </w:t>
      </w:r>
      <w:r w:rsidRPr="005C5A75">
        <w:rPr>
          <w:rFonts w:eastAsia="Calibri"/>
          <w:bCs/>
        </w:rPr>
        <w:t>05550-2018, filed August 27, 2018 and 05650-2018, filed August 28, 2018.</w:t>
      </w:r>
    </w:p>
  </w:footnote>
  <w:footnote w:id="9">
    <w:p w:rsidR="00646202" w:rsidRDefault="00646202" w:rsidP="005C5A75">
      <w:pPr>
        <w:pStyle w:val="FootnoteText"/>
      </w:pPr>
      <w:r w:rsidRPr="00C813C8">
        <w:rPr>
          <w:rStyle w:val="FootnoteReference"/>
        </w:rPr>
        <w:footnoteRef/>
      </w:r>
      <w:r w:rsidRPr="00C813C8">
        <w:t xml:space="preserve">Section 367.081(9), F.S., which became effective July 1, 2016, states, “A utility may not earn a return on the unamortized balance of the rate case expense. Any unamortized balance of rate case expense shall be excluded in calculating the utility’s rate base.” Therefore, </w:t>
      </w:r>
      <w:r>
        <w:t>we</w:t>
      </w:r>
      <w:r w:rsidRPr="00C813C8">
        <w:t xml:space="preserve"> </w:t>
      </w:r>
      <w:r>
        <w:t xml:space="preserve">excluded rate case expense from </w:t>
      </w:r>
      <w:r w:rsidRPr="00C813C8">
        <w:t>the working capital calculations.</w:t>
      </w:r>
    </w:p>
  </w:footnote>
  <w:footnote w:id="10">
    <w:p w:rsidR="00646202" w:rsidRDefault="00646202" w:rsidP="005C5A75">
      <w:pPr>
        <w:pStyle w:val="FootnoteText"/>
      </w:pPr>
      <w:r w:rsidRPr="00DD1D22">
        <w:rPr>
          <w:rStyle w:val="FootnoteReference"/>
        </w:rPr>
        <w:footnoteRef/>
      </w:r>
      <w:r w:rsidRPr="00DD1D22">
        <w:t xml:space="preserve">Order No. </w:t>
      </w:r>
      <w:bookmarkStart w:id="9" w:name="OrderNo0254"/>
      <w:r w:rsidRPr="00DD1D22">
        <w:t>PSC-2018-0327-PAA-WS</w:t>
      </w:r>
      <w:bookmarkEnd w:id="9"/>
      <w:r w:rsidRPr="00DD1D22">
        <w:t xml:space="preserve">, issued June 26, 2018, in Docket No. 20180006-WS, </w:t>
      </w:r>
      <w:r w:rsidRPr="00DD1D22">
        <w:rPr>
          <w:i/>
        </w:rPr>
        <w:t>In re: Water and wastewater industry annual reestablishment of authorized range of return on common equity for water and wastewater utilities pursuant to Section 367.081(4)(f), F.S.</w:t>
      </w:r>
    </w:p>
  </w:footnote>
  <w:footnote w:id="11">
    <w:p w:rsidR="00646202" w:rsidRDefault="00646202" w:rsidP="005C5A75">
      <w:pPr>
        <w:pStyle w:val="FootnoteText"/>
      </w:pPr>
      <w:r>
        <w:rPr>
          <w:rStyle w:val="FootnoteReference"/>
        </w:rPr>
        <w:footnoteRef/>
      </w:r>
      <w:r>
        <w:t>This Commission has approved officer salaries for sister utilities in seven dockets from 2015-2017, resulting in average officer salaries of $4,427.</w:t>
      </w:r>
    </w:p>
  </w:footnote>
  <w:footnote w:id="12">
    <w:p w:rsidR="00646202" w:rsidRPr="002722C1" w:rsidRDefault="00646202" w:rsidP="005C5A75">
      <w:pPr>
        <w:autoSpaceDE w:val="0"/>
        <w:autoSpaceDN w:val="0"/>
        <w:adjustRightInd w:val="0"/>
        <w:rPr>
          <w:sz w:val="20"/>
          <w:szCs w:val="20"/>
        </w:rPr>
      </w:pPr>
      <w:r w:rsidRPr="002722C1">
        <w:rPr>
          <w:rStyle w:val="FootnoteReference"/>
          <w:sz w:val="20"/>
          <w:szCs w:val="20"/>
        </w:rPr>
        <w:footnoteRef/>
      </w:r>
      <w:r w:rsidRPr="002722C1">
        <w:rPr>
          <w:sz w:val="20"/>
          <w:szCs w:val="20"/>
        </w:rPr>
        <w:t xml:space="preserve">Order No. PSC-2017-0428-PAA-WS, issued </w:t>
      </w:r>
      <w:r w:rsidRPr="005C5A75">
        <w:rPr>
          <w:rFonts w:eastAsia="Calibri"/>
          <w:sz w:val="20"/>
          <w:szCs w:val="20"/>
        </w:rPr>
        <w:t xml:space="preserve">November 7, 2017, in Docket No. 20160195-WS, </w:t>
      </w:r>
      <w:r w:rsidRPr="005C5A75">
        <w:rPr>
          <w:rFonts w:eastAsia="Calibri"/>
          <w:i/>
          <w:sz w:val="20"/>
          <w:szCs w:val="20"/>
        </w:rPr>
        <w:t>In re: Application for staff-assisted rate case in Lake County by Lakeside Waterworks, Inc.</w:t>
      </w:r>
    </w:p>
  </w:footnote>
  <w:footnote w:id="13">
    <w:p w:rsidR="00646202" w:rsidRPr="006B61BF" w:rsidRDefault="00646202" w:rsidP="005C5A75">
      <w:pPr>
        <w:jc w:val="both"/>
        <w:rPr>
          <w:sz w:val="20"/>
          <w:szCs w:val="20"/>
        </w:rPr>
      </w:pPr>
      <w:r>
        <w:rPr>
          <w:rStyle w:val="FootnoteReference"/>
        </w:rPr>
        <w:footnoteRef/>
      </w:r>
      <w:r w:rsidRPr="00EF2738">
        <w:rPr>
          <w:sz w:val="20"/>
          <w:szCs w:val="20"/>
        </w:rPr>
        <w:t xml:space="preserve">Order No. PSC-14-0413-PAA-WS, issued August 14, 2014, in Docket No. 20130153-WS, </w:t>
      </w:r>
      <w:r w:rsidRPr="00EF2738">
        <w:rPr>
          <w:i/>
          <w:sz w:val="20"/>
          <w:szCs w:val="20"/>
        </w:rPr>
        <w:t>In re: Application for staff-assisted rate case in Highlands County, by L.P. Utilities Corporation c/o LP Waterworks, Inc.</w:t>
      </w:r>
      <w:r w:rsidRPr="00EF2738">
        <w:rPr>
          <w:sz w:val="20"/>
          <w:szCs w:val="20"/>
        </w:rPr>
        <w:t xml:space="preserve">; Order No. PSC-15-0013-PAA-WS, issued January 2, 2015, in Docket No. 20130194-WS, </w:t>
      </w:r>
      <w:r w:rsidRPr="00EF2738">
        <w:rPr>
          <w:i/>
          <w:sz w:val="20"/>
          <w:szCs w:val="20"/>
        </w:rPr>
        <w:t>In re: Application for staff-assisted rate case in Lake County by Lakeside Waterworks, Inc.</w:t>
      </w:r>
      <w:r w:rsidRPr="00EF2738">
        <w:rPr>
          <w:sz w:val="20"/>
          <w:szCs w:val="20"/>
        </w:rPr>
        <w:t xml:space="preserve">; Order No. PSC-15-0282-PAA-WS, issued July 8, 2015, in Docket No. 20140158-WS, </w:t>
      </w:r>
      <w:r w:rsidRPr="00EF2738">
        <w:rPr>
          <w:i/>
          <w:sz w:val="20"/>
          <w:szCs w:val="20"/>
        </w:rPr>
        <w:t>In re: Application for increase in water/wastewater rates in Highlands County by HC Waterworks, Inc.</w:t>
      </w:r>
      <w:r w:rsidRPr="00EF2738">
        <w:rPr>
          <w:sz w:val="20"/>
          <w:szCs w:val="20"/>
        </w:rPr>
        <w:t xml:space="preserve">; Order No. PSC-15-0329-PAA-WU, issued August 14, 2015, in Docket No. 20140186-WU, </w:t>
      </w:r>
      <w:r w:rsidRPr="00EF2738">
        <w:rPr>
          <w:i/>
          <w:sz w:val="20"/>
          <w:szCs w:val="20"/>
        </w:rPr>
        <w:t>In re: Application for staff-assisted rate case in Brevard County by Brevard Waterworks, Inc.</w:t>
      </w:r>
      <w:r w:rsidRPr="00EF2738">
        <w:rPr>
          <w:sz w:val="20"/>
          <w:szCs w:val="20"/>
        </w:rPr>
        <w:t xml:space="preserve">; Order No. PSC-15-0335-PAA-WS, issued August 20, 2015, in Docket No. 20140147-WS, </w:t>
      </w:r>
      <w:r w:rsidRPr="00EF2738">
        <w:rPr>
          <w:i/>
          <w:sz w:val="20"/>
          <w:szCs w:val="20"/>
        </w:rPr>
        <w:t xml:space="preserve">In re: Application for staff-assisted rate case in Sumter County by Jumper Creek Utility Company.; </w:t>
      </w:r>
      <w:r w:rsidRPr="00EF2738">
        <w:rPr>
          <w:sz w:val="20"/>
          <w:szCs w:val="20"/>
        </w:rPr>
        <w:t xml:space="preserve">Order No. PSC-16-0256-PAA-WU, issued June 30, 2016, in Docket No. 20150199-WU, </w:t>
      </w:r>
      <w:r w:rsidRPr="00EF2738">
        <w:rPr>
          <w:i/>
          <w:sz w:val="20"/>
          <w:szCs w:val="20"/>
        </w:rPr>
        <w:t>In re: Application for staff-assisted rate case in Lake County by Raintree Waterworks, Inc.</w:t>
      </w:r>
      <w:r w:rsidRPr="00EF2738">
        <w:rPr>
          <w:sz w:val="20"/>
          <w:szCs w:val="20"/>
        </w:rPr>
        <w:t xml:space="preserve">; Order No. PSC-16-0305-PAA-WU, issued July 28, 2016, in Docket No. 20150236-WU, </w:t>
      </w:r>
      <w:r w:rsidRPr="00EF2738">
        <w:rPr>
          <w:i/>
          <w:sz w:val="20"/>
          <w:szCs w:val="20"/>
        </w:rPr>
        <w:t>In re: Application for staff-assisted rate case in Lake County, by Lake Idlewild Utility Company.</w:t>
      </w:r>
      <w:r w:rsidRPr="00EF2738">
        <w:rPr>
          <w:sz w:val="20"/>
          <w:szCs w:val="20"/>
        </w:rPr>
        <w:t xml:space="preserve">; Order No. PSC-2017-0334-PAA-WS, issued August 23, 2017, in Docket No. 20160222-WS, </w:t>
      </w:r>
      <w:r w:rsidRPr="00EF2738">
        <w:rPr>
          <w:i/>
          <w:sz w:val="20"/>
          <w:szCs w:val="20"/>
        </w:rPr>
        <w:t>In re: Application for staff-assisted rate case in Highlands County by LP Waterworks, Inc.;</w:t>
      </w:r>
      <w:r w:rsidRPr="00EF2738">
        <w:rPr>
          <w:sz w:val="20"/>
          <w:szCs w:val="20"/>
        </w:rPr>
        <w:t xml:space="preserve"> Order No. PSC-2017-0428-PAA-WS, issued November 7, 2017, in Docket No. 20160195-WS, </w:t>
      </w:r>
      <w:r w:rsidRPr="00EF2738">
        <w:rPr>
          <w:i/>
          <w:sz w:val="20"/>
          <w:szCs w:val="20"/>
        </w:rPr>
        <w:t>In re: Application for staff-assisted rate case in Lake County by Lakeside Waterworks, Inc.</w:t>
      </w:r>
    </w:p>
    <w:p w:rsidR="00646202" w:rsidRDefault="00646202" w:rsidP="005C5A75">
      <w:pPr>
        <w:pStyle w:val="FootnoteText"/>
      </w:pPr>
    </w:p>
  </w:footnote>
  <w:footnote w:id="14">
    <w:p w:rsidR="00646202" w:rsidRPr="00ED2A69" w:rsidRDefault="00646202" w:rsidP="005C5A75">
      <w:pPr>
        <w:autoSpaceDE w:val="0"/>
        <w:autoSpaceDN w:val="0"/>
        <w:adjustRightInd w:val="0"/>
        <w:jc w:val="both"/>
        <w:rPr>
          <w:sz w:val="20"/>
          <w:szCs w:val="20"/>
        </w:rPr>
      </w:pPr>
      <w:r w:rsidRPr="00ED2A69">
        <w:rPr>
          <w:rStyle w:val="FootnoteReference"/>
          <w:sz w:val="20"/>
          <w:szCs w:val="20"/>
        </w:rPr>
        <w:footnoteRef/>
      </w:r>
      <w:r w:rsidRPr="00ED2A69">
        <w:rPr>
          <w:sz w:val="20"/>
          <w:szCs w:val="20"/>
        </w:rPr>
        <w:t xml:space="preserve">Order No. PSC-16-0305-PAA-WU, issued July 28, 2016, in Docket No. 20150236-WU, </w:t>
      </w:r>
      <w:r w:rsidRPr="00ED2A69">
        <w:rPr>
          <w:i/>
          <w:sz w:val="20"/>
          <w:szCs w:val="20"/>
        </w:rPr>
        <w:t xml:space="preserve">In re: Application for staff-assisted rate case in Lake County, by Lake Idlewild Utility Company; </w:t>
      </w:r>
      <w:r w:rsidRPr="00ED2A69">
        <w:rPr>
          <w:sz w:val="20"/>
          <w:szCs w:val="20"/>
        </w:rPr>
        <w:t>Order No.</w:t>
      </w:r>
      <w:r w:rsidRPr="00ED2A69">
        <w:rPr>
          <w:i/>
          <w:sz w:val="20"/>
          <w:szCs w:val="20"/>
        </w:rPr>
        <w:t xml:space="preserve"> </w:t>
      </w:r>
      <w:r w:rsidRPr="00ED2A69">
        <w:rPr>
          <w:sz w:val="20"/>
          <w:szCs w:val="20"/>
        </w:rPr>
        <w:t xml:space="preserve">PSC-17-0144-PAA-WA, issued April 27, 2017, in Docket No. 20160143-WU, </w:t>
      </w:r>
      <w:r w:rsidRPr="00ED2A69">
        <w:rPr>
          <w:i/>
          <w:sz w:val="20"/>
          <w:szCs w:val="20"/>
        </w:rPr>
        <w:t>In re: Application for staff-assisted rate case in Hardee County by Charlie Creek Utilities, LLC.</w:t>
      </w:r>
    </w:p>
  </w:footnote>
  <w:footnote w:id="15">
    <w:p w:rsidR="00646202" w:rsidRPr="006B61BF" w:rsidRDefault="00646202" w:rsidP="005C5A75">
      <w:pPr>
        <w:pStyle w:val="FootnoteText"/>
      </w:pPr>
      <w:r>
        <w:rPr>
          <w:rStyle w:val="FootnoteReference"/>
        </w:rPr>
        <w:footnoteRef/>
      </w:r>
      <w:r w:rsidRPr="006B61BF">
        <w:t xml:space="preserve">Order No. PSC-2017-0480-PAA-WS, issued December 21, 2017, in Docket No. 20170005-WS, </w:t>
      </w:r>
      <w:r w:rsidRPr="006B61BF">
        <w:rPr>
          <w:i/>
        </w:rPr>
        <w:t>In re: Annual reestablishment of price increase or decrease index of major categories of operating costs incurred by water and wastewater utilities pursuant to Section 367.081(4)(a), F.S.</w:t>
      </w:r>
    </w:p>
  </w:footnote>
  <w:footnote w:id="16">
    <w:p w:rsidR="00646202" w:rsidRDefault="00646202" w:rsidP="005C5A75">
      <w:pPr>
        <w:pStyle w:val="FootnoteText"/>
      </w:pPr>
      <w:r>
        <w:rPr>
          <w:rStyle w:val="FootnoteReference"/>
        </w:rPr>
        <w:footnoteRef/>
      </w:r>
      <w:r>
        <w:t>Document No. 03438-2018, filed May 3, 2018.</w:t>
      </w:r>
    </w:p>
  </w:footnote>
  <w:footnote w:id="17">
    <w:p w:rsidR="00646202" w:rsidRPr="005C5A75" w:rsidRDefault="00646202" w:rsidP="005C5A75">
      <w:pPr>
        <w:pStyle w:val="FootnoteText"/>
        <w:rPr>
          <w:rFonts w:ascii="Calibri" w:hAnsi="Calibri" w:cs="Calibri"/>
        </w:rPr>
      </w:pPr>
      <w:r>
        <w:rPr>
          <w:rStyle w:val="FootnoteReference"/>
        </w:rPr>
        <w:footnoteRef/>
      </w:r>
      <w:r w:rsidRPr="00186F7B">
        <w:t xml:space="preserve">Document Nos. </w:t>
      </w:r>
      <w:r w:rsidRPr="005C5A75">
        <w:rPr>
          <w:rFonts w:eastAsia="Calibri"/>
          <w:bCs/>
        </w:rPr>
        <w:t xml:space="preserve">05703-2018, filed August 30, 2018, and 05871-2018, filed September 7, 2018. </w:t>
      </w:r>
    </w:p>
  </w:footnote>
  <w:footnote w:id="18">
    <w:p w:rsidR="00646202" w:rsidRPr="005A6FA4" w:rsidRDefault="00646202" w:rsidP="005C5A75">
      <w:pPr>
        <w:pStyle w:val="FootnoteText"/>
        <w:rPr>
          <w:i/>
        </w:rPr>
      </w:pPr>
      <w:r>
        <w:rPr>
          <w:rStyle w:val="FootnoteReference"/>
        </w:rPr>
        <w:footnoteRef/>
      </w:r>
      <w:r>
        <w:t xml:space="preserve">Order No. PSC-2018-0446-FOF-SU, issued September 4, 2018, in Docket No. 20170141-SU, </w:t>
      </w:r>
      <w:r w:rsidRPr="005A6FA4">
        <w:rPr>
          <w:i/>
        </w:rPr>
        <w:t>In re: Application for increase in wastewater rates in Monroe County by K W Resort Utilities Corp.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pPr>
      <w:pStyle w:val="OrderHeader"/>
    </w:pPr>
    <w:r>
      <w:t xml:space="preserve">ORDER NO. </w:t>
    </w:r>
    <w:fldSimple w:instr=" REF OrderNo0552 ">
      <w:r w:rsidR="00282161">
        <w:t>PSC-2018-0552-PAA-WU</w:t>
      </w:r>
    </w:fldSimple>
  </w:p>
  <w:p w:rsidR="00646202" w:rsidRDefault="00646202">
    <w:pPr>
      <w:pStyle w:val="OrderHeader"/>
    </w:pPr>
    <w:bookmarkStart w:id="13" w:name="HeaderDocketNo"/>
    <w:bookmarkEnd w:id="13"/>
    <w:r>
      <w:t>DOCKET NO. 20180022-WU</w:t>
    </w:r>
  </w:p>
  <w:p w:rsidR="00646202" w:rsidRDefault="0064620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23</w:t>
    </w:r>
    <w:r>
      <w:rPr>
        <w:rStyle w:val="PageNumber"/>
      </w:rPr>
      <w:fldChar w:fldCharType="end"/>
    </w:r>
  </w:p>
  <w:p w:rsidR="00646202" w:rsidRDefault="00646202">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rsidP="0005008E">
    <w:pPr>
      <w:pStyle w:val="OrderHeader"/>
    </w:pPr>
    <w:r>
      <w:t xml:space="preserve">ORDER NO. </w:t>
    </w:r>
    <w:r w:rsidR="00282161">
      <w:fldChar w:fldCharType="begin"/>
    </w:r>
    <w:r w:rsidR="00282161">
      <w:instrText xml:space="preserve"> REF OrderNo0552 </w:instrText>
    </w:r>
    <w:r w:rsidR="00282161">
      <w:fldChar w:fldCharType="separate"/>
    </w:r>
    <w:r w:rsidR="00282161">
      <w:t>PSC-2018-0552-PAA-WU</w:t>
    </w:r>
    <w:r w:rsidR="00282161">
      <w:fldChar w:fldCharType="end"/>
    </w:r>
  </w:p>
  <w:p w:rsidR="00646202" w:rsidRDefault="00646202" w:rsidP="0005008E">
    <w:pPr>
      <w:pStyle w:val="OrderHeader"/>
    </w:pPr>
    <w:r>
      <w:t>DOCKET NO. 20180022-WU</w:t>
    </w:r>
  </w:p>
  <w:p w:rsidR="00646202" w:rsidRDefault="00646202" w:rsidP="000500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25</w:t>
    </w:r>
    <w:r>
      <w:rPr>
        <w:rStyle w:val="PageNumber"/>
      </w:rPr>
      <w:fldChar w:fldCharType="end"/>
    </w:r>
  </w:p>
  <w:p w:rsidR="00646202" w:rsidRDefault="00646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rsidP="0005008E">
    <w:pPr>
      <w:pStyle w:val="OrderHeader"/>
    </w:pPr>
    <w:r>
      <w:t xml:space="preserve">ORDER NO. </w:t>
    </w:r>
    <w:r w:rsidR="00282161">
      <w:fldChar w:fldCharType="begin"/>
    </w:r>
    <w:r w:rsidR="00282161">
      <w:instrText xml:space="preserve"> REF OrderNo0552 </w:instrText>
    </w:r>
    <w:r w:rsidR="00282161">
      <w:fldChar w:fldCharType="separate"/>
    </w:r>
    <w:r w:rsidR="00282161">
      <w:t>PSC-2018-0552-PAA-WU</w:t>
    </w:r>
    <w:r w:rsidR="00282161">
      <w:fldChar w:fldCharType="end"/>
    </w:r>
  </w:p>
  <w:p w:rsidR="00646202" w:rsidRDefault="00646202" w:rsidP="0005008E">
    <w:pPr>
      <w:pStyle w:val="OrderHeader"/>
    </w:pPr>
    <w:r>
      <w:t>DOCKET NO. 20180022-WU</w:t>
    </w:r>
  </w:p>
  <w:p w:rsidR="00646202" w:rsidRDefault="00646202" w:rsidP="000500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26</w:t>
    </w:r>
    <w:r>
      <w:rPr>
        <w:rStyle w:val="PageNumber"/>
      </w:rPr>
      <w:fldChar w:fldCharType="end"/>
    </w:r>
  </w:p>
  <w:p w:rsidR="00646202" w:rsidRDefault="006462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rsidP="0005008E">
    <w:pPr>
      <w:pStyle w:val="OrderHeader"/>
    </w:pPr>
    <w:r>
      <w:t xml:space="preserve">ORDER NO. </w:t>
    </w:r>
    <w:r w:rsidR="00282161">
      <w:fldChar w:fldCharType="begin"/>
    </w:r>
    <w:r w:rsidR="00282161">
      <w:instrText xml:space="preserve"> REF OrderNo0552 </w:instrText>
    </w:r>
    <w:r w:rsidR="00282161">
      <w:fldChar w:fldCharType="separate"/>
    </w:r>
    <w:r w:rsidR="00282161">
      <w:t>PSC-2018-0552-PAA-WU</w:t>
    </w:r>
    <w:r w:rsidR="00282161">
      <w:fldChar w:fldCharType="end"/>
    </w:r>
  </w:p>
  <w:p w:rsidR="00646202" w:rsidRDefault="00646202" w:rsidP="0005008E">
    <w:pPr>
      <w:pStyle w:val="OrderHeader"/>
    </w:pPr>
    <w:r>
      <w:t>DOCKET NO. 20180022-WU</w:t>
    </w:r>
  </w:p>
  <w:p w:rsidR="00646202" w:rsidRDefault="00646202" w:rsidP="000500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27</w:t>
    </w:r>
    <w:r>
      <w:rPr>
        <w:rStyle w:val="PageNumber"/>
      </w:rPr>
      <w:fldChar w:fldCharType="end"/>
    </w:r>
  </w:p>
  <w:p w:rsidR="00646202" w:rsidRDefault="006462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rsidP="0005008E">
    <w:pPr>
      <w:pStyle w:val="OrderHeader"/>
    </w:pPr>
    <w:r>
      <w:t xml:space="preserve">ORDER NO. </w:t>
    </w:r>
    <w:r w:rsidR="00282161">
      <w:fldChar w:fldCharType="begin"/>
    </w:r>
    <w:r w:rsidR="00282161">
      <w:instrText xml:space="preserve"> REF OrderNo0552 </w:instrText>
    </w:r>
    <w:r w:rsidR="00282161">
      <w:fldChar w:fldCharType="separate"/>
    </w:r>
    <w:r w:rsidR="00282161">
      <w:t>PSC-2018-0552-PAA-WU</w:t>
    </w:r>
    <w:r w:rsidR="00282161">
      <w:fldChar w:fldCharType="end"/>
    </w:r>
  </w:p>
  <w:p w:rsidR="00646202" w:rsidRDefault="00646202" w:rsidP="0005008E">
    <w:pPr>
      <w:pStyle w:val="OrderHeader"/>
    </w:pPr>
    <w:r>
      <w:t>DOCKET NO. 20180022-WU</w:t>
    </w:r>
  </w:p>
  <w:p w:rsidR="00646202" w:rsidRDefault="00646202" w:rsidP="000500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28</w:t>
    </w:r>
    <w:r>
      <w:rPr>
        <w:rStyle w:val="PageNumber"/>
      </w:rPr>
      <w:fldChar w:fldCharType="end"/>
    </w:r>
  </w:p>
  <w:p w:rsidR="00646202" w:rsidRDefault="006462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pPr>
      <w:pStyle w:val="OrderHeader"/>
    </w:pPr>
    <w:r>
      <w:t xml:space="preserve">ORDER NO. </w:t>
    </w:r>
    <w:r w:rsidR="00282161">
      <w:fldChar w:fldCharType="begin"/>
    </w:r>
    <w:r w:rsidR="00282161">
      <w:instrText xml:space="preserve"> REF OrderNo0552 </w:instrText>
    </w:r>
    <w:r w:rsidR="00282161">
      <w:fldChar w:fldCharType="separate"/>
    </w:r>
    <w:r w:rsidR="00282161">
      <w:t>PSC-2018-0552-PAA-WU</w:t>
    </w:r>
    <w:r w:rsidR="00282161">
      <w:fldChar w:fldCharType="end"/>
    </w:r>
  </w:p>
  <w:p w:rsidR="00646202" w:rsidRDefault="00646202">
    <w:pPr>
      <w:pStyle w:val="OrderHeader"/>
    </w:pPr>
    <w:r>
      <w:t>DOCKET NO. 20180022-WU</w:t>
    </w:r>
  </w:p>
  <w:p w:rsidR="00646202" w:rsidRDefault="0064620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30</w:t>
    </w:r>
    <w:r>
      <w:rPr>
        <w:rStyle w:val="PageNumber"/>
      </w:rPr>
      <w:fldChar w:fldCharType="end"/>
    </w:r>
  </w:p>
  <w:p w:rsidR="00646202" w:rsidRDefault="00646202">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rsidP="0005008E">
    <w:pPr>
      <w:pStyle w:val="OrderHeader"/>
    </w:pPr>
    <w:r>
      <w:t xml:space="preserve">ORDER NO. </w:t>
    </w:r>
    <w:r w:rsidR="00282161">
      <w:fldChar w:fldCharType="begin"/>
    </w:r>
    <w:r w:rsidR="00282161">
      <w:instrText xml:space="preserve"> REF OrderNo0552 </w:instrText>
    </w:r>
    <w:r w:rsidR="00282161">
      <w:fldChar w:fldCharType="separate"/>
    </w:r>
    <w:r w:rsidR="00282161">
      <w:t>PSC-2018-0552-PAA-WU</w:t>
    </w:r>
    <w:r w:rsidR="00282161">
      <w:fldChar w:fldCharType="end"/>
    </w:r>
  </w:p>
  <w:p w:rsidR="00646202" w:rsidRDefault="00646202" w:rsidP="0005008E">
    <w:pPr>
      <w:pStyle w:val="OrderHeader"/>
    </w:pPr>
    <w:r>
      <w:t>DOCKET NO. 20180022-WU</w:t>
    </w:r>
  </w:p>
  <w:p w:rsidR="00646202" w:rsidRDefault="00646202" w:rsidP="000500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29</w:t>
    </w:r>
    <w:r>
      <w:rPr>
        <w:rStyle w:val="PageNumber"/>
      </w:rPr>
      <w:fldChar w:fldCharType="end"/>
    </w:r>
  </w:p>
  <w:p w:rsidR="00646202" w:rsidRDefault="0064620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rsidP="0005008E">
    <w:pPr>
      <w:pStyle w:val="OrderHeader"/>
    </w:pPr>
    <w:r>
      <w:t xml:space="preserve">ORDER NO. </w:t>
    </w:r>
    <w:r w:rsidR="00282161">
      <w:fldChar w:fldCharType="begin"/>
    </w:r>
    <w:r w:rsidR="00282161">
      <w:instrText xml:space="preserve"> REF OrderNo0552 </w:instrText>
    </w:r>
    <w:r w:rsidR="00282161">
      <w:fldChar w:fldCharType="separate"/>
    </w:r>
    <w:r w:rsidR="00282161">
      <w:t>PSC-2018-0552-PAA-WU</w:t>
    </w:r>
    <w:r w:rsidR="00282161">
      <w:fldChar w:fldCharType="end"/>
    </w:r>
  </w:p>
  <w:p w:rsidR="00646202" w:rsidRDefault="00646202" w:rsidP="0005008E">
    <w:pPr>
      <w:pStyle w:val="OrderHeader"/>
    </w:pPr>
    <w:r>
      <w:t>DOCKET NO. 20180022-WU</w:t>
    </w:r>
  </w:p>
  <w:p w:rsidR="00646202" w:rsidRDefault="00646202" w:rsidP="000500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31</w:t>
    </w:r>
    <w:r>
      <w:rPr>
        <w:rStyle w:val="PageNumber"/>
      </w:rPr>
      <w:fldChar w:fldCharType="end"/>
    </w:r>
  </w:p>
  <w:p w:rsidR="00646202" w:rsidRDefault="0064620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02" w:rsidRDefault="00646202" w:rsidP="0005008E">
    <w:pPr>
      <w:pStyle w:val="OrderHeader"/>
    </w:pPr>
    <w:r>
      <w:t xml:space="preserve">ORDER NO. </w:t>
    </w:r>
    <w:r w:rsidR="00282161">
      <w:fldChar w:fldCharType="begin"/>
    </w:r>
    <w:r w:rsidR="00282161">
      <w:instrText xml:space="preserve"> REF OrderNo0552 </w:instrText>
    </w:r>
    <w:r w:rsidR="00282161">
      <w:fldChar w:fldCharType="separate"/>
    </w:r>
    <w:r w:rsidR="00282161">
      <w:t>PSC-2018-0552-PAA-WU</w:t>
    </w:r>
    <w:r w:rsidR="00282161">
      <w:fldChar w:fldCharType="end"/>
    </w:r>
  </w:p>
  <w:p w:rsidR="00646202" w:rsidRDefault="00646202" w:rsidP="0005008E">
    <w:pPr>
      <w:pStyle w:val="OrderHeader"/>
    </w:pPr>
    <w:r>
      <w:t>DOCKET NO. 20180022-WU</w:t>
    </w:r>
  </w:p>
  <w:p w:rsidR="00646202" w:rsidRDefault="00646202" w:rsidP="000500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161">
      <w:rPr>
        <w:rStyle w:val="PageNumber"/>
        <w:noProof/>
      </w:rPr>
      <w:t>32</w:t>
    </w:r>
    <w:r>
      <w:rPr>
        <w:rStyle w:val="PageNumber"/>
      </w:rPr>
      <w:fldChar w:fldCharType="end"/>
    </w:r>
  </w:p>
  <w:p w:rsidR="00646202" w:rsidRDefault="00646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2-WU"/>
  </w:docVars>
  <w:rsids>
    <w:rsidRoot w:val="005C5A75"/>
    <w:rsid w:val="000022B8"/>
    <w:rsid w:val="00027C6A"/>
    <w:rsid w:val="00035A8C"/>
    <w:rsid w:val="0005008E"/>
    <w:rsid w:val="00053AB9"/>
    <w:rsid w:val="00055C25"/>
    <w:rsid w:val="00056229"/>
    <w:rsid w:val="00057AF1"/>
    <w:rsid w:val="00065FC2"/>
    <w:rsid w:val="00067685"/>
    <w:rsid w:val="00073F4D"/>
    <w:rsid w:val="00076E6B"/>
    <w:rsid w:val="0008247D"/>
    <w:rsid w:val="00090AFC"/>
    <w:rsid w:val="000943B5"/>
    <w:rsid w:val="000A27C8"/>
    <w:rsid w:val="000B783E"/>
    <w:rsid w:val="000D02B8"/>
    <w:rsid w:val="000D06E8"/>
    <w:rsid w:val="000E050C"/>
    <w:rsid w:val="000E20F0"/>
    <w:rsid w:val="000E344D"/>
    <w:rsid w:val="000E3F6D"/>
    <w:rsid w:val="000F359F"/>
    <w:rsid w:val="000F3B2C"/>
    <w:rsid w:val="000F63EB"/>
    <w:rsid w:val="000F648A"/>
    <w:rsid w:val="000F7BE3"/>
    <w:rsid w:val="001052BA"/>
    <w:rsid w:val="00106660"/>
    <w:rsid w:val="001107B3"/>
    <w:rsid w:val="001114B1"/>
    <w:rsid w:val="001139D8"/>
    <w:rsid w:val="00116AD3"/>
    <w:rsid w:val="00117529"/>
    <w:rsid w:val="00121957"/>
    <w:rsid w:val="0012387E"/>
    <w:rsid w:val="00124E8C"/>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3E6B"/>
    <w:rsid w:val="00241CEF"/>
    <w:rsid w:val="0025124E"/>
    <w:rsid w:val="00252B30"/>
    <w:rsid w:val="002613E4"/>
    <w:rsid w:val="0026544B"/>
    <w:rsid w:val="00276CDC"/>
    <w:rsid w:val="00277655"/>
    <w:rsid w:val="00282161"/>
    <w:rsid w:val="002824B7"/>
    <w:rsid w:val="00282AC4"/>
    <w:rsid w:val="0029346C"/>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18B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353E"/>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6CC2"/>
    <w:rsid w:val="004F0D3C"/>
    <w:rsid w:val="004F2DDE"/>
    <w:rsid w:val="004F7826"/>
    <w:rsid w:val="0050097F"/>
    <w:rsid w:val="00514B1F"/>
    <w:rsid w:val="005170D1"/>
    <w:rsid w:val="00525E93"/>
    <w:rsid w:val="0052671D"/>
    <w:rsid w:val="0055595D"/>
    <w:rsid w:val="00556A10"/>
    <w:rsid w:val="00557F50"/>
    <w:rsid w:val="00571D3D"/>
    <w:rsid w:val="0058264B"/>
    <w:rsid w:val="005868AA"/>
    <w:rsid w:val="0058779C"/>
    <w:rsid w:val="00590845"/>
    <w:rsid w:val="005963C2"/>
    <w:rsid w:val="005A0D69"/>
    <w:rsid w:val="005A31F4"/>
    <w:rsid w:val="005A73EA"/>
    <w:rsid w:val="005B45F7"/>
    <w:rsid w:val="005B63EA"/>
    <w:rsid w:val="005C1A88"/>
    <w:rsid w:val="005C5033"/>
    <w:rsid w:val="005C5A75"/>
    <w:rsid w:val="005D7601"/>
    <w:rsid w:val="005E751B"/>
    <w:rsid w:val="005F3354"/>
    <w:rsid w:val="0060005E"/>
    <w:rsid w:val="0060095B"/>
    <w:rsid w:val="00601266"/>
    <w:rsid w:val="00610E73"/>
    <w:rsid w:val="00613DBB"/>
    <w:rsid w:val="00616DF2"/>
    <w:rsid w:val="0063168D"/>
    <w:rsid w:val="00646202"/>
    <w:rsid w:val="0065182C"/>
    <w:rsid w:val="006531A4"/>
    <w:rsid w:val="00660774"/>
    <w:rsid w:val="006631FA"/>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07858"/>
    <w:rsid w:val="00715275"/>
    <w:rsid w:val="00721B44"/>
    <w:rsid w:val="007232A2"/>
    <w:rsid w:val="00726366"/>
    <w:rsid w:val="00726AFA"/>
    <w:rsid w:val="00733B6B"/>
    <w:rsid w:val="00740808"/>
    <w:rsid w:val="007467C4"/>
    <w:rsid w:val="00750297"/>
    <w:rsid w:val="0076170F"/>
    <w:rsid w:val="0076669C"/>
    <w:rsid w:val="00766E46"/>
    <w:rsid w:val="00777727"/>
    <w:rsid w:val="00782B79"/>
    <w:rsid w:val="007865E9"/>
    <w:rsid w:val="00792383"/>
    <w:rsid w:val="00794D5A"/>
    <w:rsid w:val="00794DD9"/>
    <w:rsid w:val="007A060F"/>
    <w:rsid w:val="007B27ED"/>
    <w:rsid w:val="007C0FBC"/>
    <w:rsid w:val="007C36E3"/>
    <w:rsid w:val="007C7134"/>
    <w:rsid w:val="007D167F"/>
    <w:rsid w:val="007D2667"/>
    <w:rsid w:val="007D3D20"/>
    <w:rsid w:val="007D61E2"/>
    <w:rsid w:val="007D742E"/>
    <w:rsid w:val="007E030B"/>
    <w:rsid w:val="007E3AFD"/>
    <w:rsid w:val="007F3F34"/>
    <w:rsid w:val="00801DAD"/>
    <w:rsid w:val="00803189"/>
    <w:rsid w:val="00804E7A"/>
    <w:rsid w:val="00805FBB"/>
    <w:rsid w:val="008169A4"/>
    <w:rsid w:val="008278FE"/>
    <w:rsid w:val="00832598"/>
    <w:rsid w:val="0083397E"/>
    <w:rsid w:val="00833E33"/>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5414"/>
    <w:rsid w:val="00926E27"/>
    <w:rsid w:val="00931C8C"/>
    <w:rsid w:val="00937C0A"/>
    <w:rsid w:val="009411E0"/>
    <w:rsid w:val="0094504B"/>
    <w:rsid w:val="00964A38"/>
    <w:rsid w:val="00966A9D"/>
    <w:rsid w:val="0096742B"/>
    <w:rsid w:val="00981DDE"/>
    <w:rsid w:val="00987161"/>
    <w:rsid w:val="009924CF"/>
    <w:rsid w:val="00994100"/>
    <w:rsid w:val="009A6B17"/>
    <w:rsid w:val="009D4C29"/>
    <w:rsid w:val="009F6AD2"/>
    <w:rsid w:val="00A00D8D"/>
    <w:rsid w:val="00A01BB6"/>
    <w:rsid w:val="00A4303C"/>
    <w:rsid w:val="00A470FD"/>
    <w:rsid w:val="00A526C9"/>
    <w:rsid w:val="00A62DAB"/>
    <w:rsid w:val="00A6757A"/>
    <w:rsid w:val="00A726A6"/>
    <w:rsid w:val="00A74842"/>
    <w:rsid w:val="00A941D3"/>
    <w:rsid w:val="00A97535"/>
    <w:rsid w:val="00AA2BAA"/>
    <w:rsid w:val="00AA73F1"/>
    <w:rsid w:val="00AB0E1A"/>
    <w:rsid w:val="00AB1A30"/>
    <w:rsid w:val="00AB3C36"/>
    <w:rsid w:val="00AD10EB"/>
    <w:rsid w:val="00AD1ED3"/>
    <w:rsid w:val="00AE6C55"/>
    <w:rsid w:val="00AF3B1E"/>
    <w:rsid w:val="00B02001"/>
    <w:rsid w:val="00B03C50"/>
    <w:rsid w:val="00B0777D"/>
    <w:rsid w:val="00B11576"/>
    <w:rsid w:val="00B1195F"/>
    <w:rsid w:val="00B14D10"/>
    <w:rsid w:val="00B209C7"/>
    <w:rsid w:val="00B25BF1"/>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086D"/>
    <w:rsid w:val="00BA1229"/>
    <w:rsid w:val="00BA44A8"/>
    <w:rsid w:val="00BE2CE4"/>
    <w:rsid w:val="00BF6691"/>
    <w:rsid w:val="00BF6FFC"/>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301"/>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0549"/>
    <w:rsid w:val="00E4225C"/>
    <w:rsid w:val="00E44879"/>
    <w:rsid w:val="00E72914"/>
    <w:rsid w:val="00E75AE0"/>
    <w:rsid w:val="00E83C1F"/>
    <w:rsid w:val="00EA172C"/>
    <w:rsid w:val="00EA259B"/>
    <w:rsid w:val="00EA35A3"/>
    <w:rsid w:val="00EA3E6A"/>
    <w:rsid w:val="00EB18EF"/>
    <w:rsid w:val="00EB7951"/>
    <w:rsid w:val="00ED6A79"/>
    <w:rsid w:val="00ED7E47"/>
    <w:rsid w:val="00EE17DF"/>
    <w:rsid w:val="00EF4621"/>
    <w:rsid w:val="00EF4D52"/>
    <w:rsid w:val="00EF6312"/>
    <w:rsid w:val="00F038B0"/>
    <w:rsid w:val="00F22B27"/>
    <w:rsid w:val="00F234A7"/>
    <w:rsid w:val="00F277B6"/>
    <w:rsid w:val="00F27DA5"/>
    <w:rsid w:val="00F37E07"/>
    <w:rsid w:val="00F4182A"/>
    <w:rsid w:val="00F54380"/>
    <w:rsid w:val="00F54B47"/>
    <w:rsid w:val="00F60151"/>
    <w:rsid w:val="00F61247"/>
    <w:rsid w:val="00F6702E"/>
    <w:rsid w:val="00F70E84"/>
    <w:rsid w:val="00F91F15"/>
    <w:rsid w:val="00F94E7B"/>
    <w:rsid w:val="00FA092B"/>
    <w:rsid w:val="00FA4F6C"/>
    <w:rsid w:val="00FA6EFD"/>
    <w:rsid w:val="00FB74EA"/>
    <w:rsid w:val="00FD2C9E"/>
    <w:rsid w:val="00FD4786"/>
    <w:rsid w:val="00FD616C"/>
    <w:rsid w:val="00FE53F2"/>
    <w:rsid w:val="00FE758E"/>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C5A75"/>
    <w:pPr>
      <w:jc w:val="center"/>
    </w:pPr>
    <w:rPr>
      <w:rFonts w:ascii="Arial" w:hAnsi="Arial"/>
      <w:b/>
    </w:rPr>
  </w:style>
  <w:style w:type="character" w:customStyle="1" w:styleId="FootnoteTextChar">
    <w:name w:val="Footnote Text Char"/>
    <w:link w:val="FootnoteText"/>
    <w:uiPriority w:val="99"/>
    <w:rsid w:val="005C5A75"/>
  </w:style>
  <w:style w:type="paragraph" w:styleId="BalloonText">
    <w:name w:val="Balloon Text"/>
    <w:basedOn w:val="Normal"/>
    <w:link w:val="BalloonTextChar"/>
    <w:rsid w:val="006631FA"/>
    <w:rPr>
      <w:rFonts w:ascii="Tahoma" w:hAnsi="Tahoma" w:cs="Tahoma"/>
      <w:sz w:val="16"/>
      <w:szCs w:val="16"/>
    </w:rPr>
  </w:style>
  <w:style w:type="character" w:customStyle="1" w:styleId="BalloonTextChar">
    <w:name w:val="Balloon Text Char"/>
    <w:basedOn w:val="DefaultParagraphFont"/>
    <w:link w:val="BalloonText"/>
    <w:rsid w:val="006631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C5A75"/>
    <w:pPr>
      <w:jc w:val="center"/>
    </w:pPr>
    <w:rPr>
      <w:rFonts w:ascii="Arial" w:hAnsi="Arial"/>
      <w:b/>
    </w:rPr>
  </w:style>
  <w:style w:type="character" w:customStyle="1" w:styleId="FootnoteTextChar">
    <w:name w:val="Footnote Text Char"/>
    <w:link w:val="FootnoteText"/>
    <w:uiPriority w:val="99"/>
    <w:rsid w:val="005C5A75"/>
  </w:style>
  <w:style w:type="paragraph" w:styleId="BalloonText">
    <w:name w:val="Balloon Text"/>
    <w:basedOn w:val="Normal"/>
    <w:link w:val="BalloonTextChar"/>
    <w:rsid w:val="006631FA"/>
    <w:rPr>
      <w:rFonts w:ascii="Tahoma" w:hAnsi="Tahoma" w:cs="Tahoma"/>
      <w:sz w:val="16"/>
      <w:szCs w:val="16"/>
    </w:rPr>
  </w:style>
  <w:style w:type="character" w:customStyle="1" w:styleId="BalloonTextChar">
    <w:name w:val="Balloon Text Char"/>
    <w:basedOn w:val="DefaultParagraphFont"/>
    <w:link w:val="BalloonText"/>
    <w:rsid w:val="00663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32</Pages>
  <Words>10471</Words>
  <Characters>58400</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2018-11-19T18:42:00Z</dcterms:created>
  <dcterms:modified xsi:type="dcterms:W3CDTF">2018-11-19T18:51:00Z</dcterms:modified>
</cp:coreProperties>
</file>