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067288">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663B11">
            <w:pPr>
              <w:pStyle w:val="MemoHeading"/>
            </w:pPr>
            <w:bookmarkStart w:id="1" w:name="FilingDate"/>
            <w:r>
              <w:t>November 29,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663B11" w:rsidRDefault="00663B11">
            <w:pPr>
              <w:pStyle w:val="MemoHeading"/>
            </w:pPr>
            <w:bookmarkStart w:id="2" w:name="From"/>
            <w:r>
              <w:t>Division of Accounting</w:t>
            </w:r>
            <w:r w:rsidR="00F61C2C">
              <w:t xml:space="preserve"> and Finance (Barrett</w:t>
            </w:r>
            <w:r>
              <w:t>)</w:t>
            </w:r>
          </w:p>
          <w:p w:rsidR="00663B11" w:rsidRDefault="00663B11">
            <w:pPr>
              <w:pStyle w:val="MemoHeading"/>
            </w:pPr>
            <w:r>
              <w:t xml:space="preserve">Division of Economics (Draper, </w:t>
            </w:r>
            <w:proofErr w:type="spellStart"/>
            <w:r>
              <w:t>Guffey</w:t>
            </w:r>
            <w:proofErr w:type="spellEnd"/>
            <w:r>
              <w:t>)</w:t>
            </w:r>
          </w:p>
          <w:p w:rsidR="00663B11" w:rsidRDefault="00663B11">
            <w:pPr>
              <w:pStyle w:val="MemoHeading"/>
            </w:pPr>
            <w:r>
              <w:t xml:space="preserve">Division of </w:t>
            </w:r>
            <w:r w:rsidR="005B7B6F">
              <w:t>Engineering (Wooten</w:t>
            </w:r>
            <w:r>
              <w:t>)</w:t>
            </w:r>
          </w:p>
          <w:p w:rsidR="007C0528" w:rsidRDefault="00663B11">
            <w:pPr>
              <w:pStyle w:val="MemoHeading"/>
            </w:pPr>
            <w:r>
              <w:t>Office of the General Counsel (</w:t>
            </w:r>
            <w:proofErr w:type="spellStart"/>
            <w:r>
              <w:t>Brownless</w:t>
            </w:r>
            <w:proofErr w:type="spellEnd"/>
            <w:r>
              <w:t>, Nieves)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663B11">
            <w:pPr>
              <w:pStyle w:val="MemoHeadingRe"/>
            </w:pPr>
            <w:bookmarkStart w:id="3" w:name="Re"/>
            <w:r>
              <w:t>Docket No. 20180001-EI – Fuel and purchased power cost recovery clause with generating performance incentive factor.</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63B11">
            <w:pPr>
              <w:pStyle w:val="MemoHeading"/>
            </w:pPr>
            <w:bookmarkStart w:id="4" w:name="AgendaDate"/>
            <w:r>
              <w:t>12/11/18</w:t>
            </w:r>
            <w:bookmarkEnd w:id="4"/>
            <w:r w:rsidR="007C0528">
              <w:t xml:space="preserve"> – </w:t>
            </w:r>
            <w:bookmarkStart w:id="5" w:name="PermittedStatus"/>
            <w:r>
              <w:t>Regular Agenda – Post-Hearing Decision – Participation is Limited to Commissioners and Staff</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663B11">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663B11">
            <w:pPr>
              <w:pStyle w:val="MemoHeading"/>
            </w:pPr>
            <w:bookmarkStart w:id="7" w:name="PrehearingOfficer"/>
            <w:r>
              <w:t>Clark</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663B11">
            <w:pPr>
              <w:pStyle w:val="MemoHeading"/>
            </w:pPr>
            <w:bookmarkStart w:id="9" w:name="CriticalDates"/>
            <w:r>
              <w:t>Decision must be rendered by 12/11/18 in order to implement new fuel factors with the first billing cycle in 2019.</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663B11">
            <w:pPr>
              <w:pStyle w:val="MemoHeading"/>
            </w:pPr>
            <w:bookmarkStart w:id="10" w:name="SpecialInstructions"/>
            <w:r>
              <w:t>None</w:t>
            </w:r>
            <w:bookmarkEnd w:id="10"/>
          </w:p>
        </w:tc>
      </w:tr>
    </w:tbl>
    <w:p w:rsidR="007C0528" w:rsidRDefault="007C0528">
      <w:pPr>
        <w:pStyle w:val="BodyText"/>
      </w:pPr>
    </w:p>
    <w:p w:rsidR="00F60019" w:rsidRDefault="00F60019">
      <w:pPr>
        <w:rPr>
          <w:rFonts w:ascii="Arial" w:hAnsi="Arial" w:cs="Arial"/>
          <w:b/>
          <w:bCs/>
          <w:kern w:val="32"/>
          <w:szCs w:val="32"/>
        </w:rPr>
      </w:pPr>
      <w:bookmarkStart w:id="11" w:name="RecToC"/>
      <w:bookmarkEnd w:id="11"/>
      <w:r>
        <w:br w:type="page"/>
      </w:r>
    </w:p>
    <w:p w:rsidR="00F60019" w:rsidRDefault="00F60019" w:rsidP="00F60019">
      <w:pPr>
        <w:pStyle w:val="RecommendationMajorSectionHeading"/>
      </w:pPr>
      <w:r>
        <w:lastRenderedPageBreak/>
        <w:t>Table of Contents</w:t>
      </w:r>
    </w:p>
    <w:p w:rsidR="00F60019" w:rsidRDefault="00F60019" w:rsidP="00F60019">
      <w:pPr>
        <w:pStyle w:val="TOCColumnHeadings"/>
      </w:pPr>
      <w:r>
        <w:t>Issue</w:t>
      </w:r>
      <w:r>
        <w:tab/>
        <w:t>Description</w:t>
      </w:r>
      <w:r>
        <w:tab/>
        <w:t>Page</w:t>
      </w:r>
    </w:p>
    <w:p w:rsidR="00B8476D" w:rsidRDefault="002E4C6E">
      <w:pPr>
        <w:pStyle w:val="TOC1"/>
        <w:rPr>
          <w:rFonts w:asciiTheme="minorHAnsi" w:eastAsiaTheme="minorEastAsia" w:hAnsiTheme="minorHAnsi" w:cstheme="minorBidi"/>
          <w:noProof/>
          <w:sz w:val="22"/>
          <w:szCs w:val="22"/>
        </w:rPr>
      </w:pPr>
      <w:r>
        <w:rPr>
          <w:b/>
          <w:bCs/>
        </w:rPr>
        <w:fldChar w:fldCharType="begin"/>
      </w:r>
      <w:r>
        <w:rPr>
          <w:b/>
          <w:bCs/>
        </w:rPr>
        <w:instrText xml:space="preserve"> TOC \f \h \z </w:instrText>
      </w:r>
      <w:r>
        <w:rPr>
          <w:b/>
          <w:bCs/>
        </w:rPr>
        <w:fldChar w:fldCharType="separate"/>
      </w:r>
      <w:hyperlink w:anchor="_Toc530479142" w:history="1">
        <w:r w:rsidR="00B8476D" w:rsidRPr="002F0519">
          <w:rPr>
            <w:rStyle w:val="Hyperlink"/>
            <w:noProof/>
          </w:rPr>
          <w:t>Case Background</w:t>
        </w:r>
        <w:r w:rsidR="00B8476D">
          <w:rPr>
            <w:noProof/>
            <w:webHidden/>
          </w:rPr>
          <w:tab/>
        </w:r>
        <w:r w:rsidR="00B8476D">
          <w:rPr>
            <w:noProof/>
            <w:webHidden/>
          </w:rPr>
          <w:fldChar w:fldCharType="begin"/>
        </w:r>
        <w:r w:rsidR="00B8476D">
          <w:rPr>
            <w:noProof/>
            <w:webHidden/>
          </w:rPr>
          <w:instrText xml:space="preserve"> PAGEREF _Toc530479142 \h </w:instrText>
        </w:r>
        <w:r w:rsidR="00B8476D">
          <w:rPr>
            <w:noProof/>
            <w:webHidden/>
          </w:rPr>
        </w:r>
        <w:r w:rsidR="00B8476D">
          <w:rPr>
            <w:noProof/>
            <w:webHidden/>
          </w:rPr>
          <w:fldChar w:fldCharType="separate"/>
        </w:r>
        <w:r w:rsidR="006F23BB">
          <w:rPr>
            <w:noProof/>
            <w:webHidden/>
          </w:rPr>
          <w:t>3</w:t>
        </w:r>
        <w:r w:rsidR="00B8476D">
          <w:rPr>
            <w:noProof/>
            <w:webHidden/>
          </w:rPr>
          <w:fldChar w:fldCharType="end"/>
        </w:r>
      </w:hyperlink>
    </w:p>
    <w:p w:rsidR="00B8476D" w:rsidRDefault="005479FC">
      <w:pPr>
        <w:pStyle w:val="TOC1"/>
        <w:rPr>
          <w:rFonts w:asciiTheme="minorHAnsi" w:eastAsiaTheme="minorEastAsia" w:hAnsiTheme="minorHAnsi" w:cstheme="minorBidi"/>
          <w:noProof/>
          <w:sz w:val="22"/>
          <w:szCs w:val="22"/>
        </w:rPr>
      </w:pPr>
      <w:hyperlink w:anchor="_Toc530479143" w:history="1">
        <w:r w:rsidR="00B8476D" w:rsidRPr="002F0519">
          <w:rPr>
            <w:rStyle w:val="Hyperlink"/>
            <w:noProof/>
          </w:rPr>
          <w:t>2M</w:t>
        </w:r>
        <w:r w:rsidR="00B8476D">
          <w:rPr>
            <w:rFonts w:asciiTheme="minorHAnsi" w:eastAsiaTheme="minorEastAsia" w:hAnsiTheme="minorHAnsi" w:cstheme="minorBidi"/>
            <w:noProof/>
            <w:sz w:val="22"/>
            <w:szCs w:val="22"/>
          </w:rPr>
          <w:tab/>
        </w:r>
        <w:r w:rsidR="00B8476D" w:rsidRPr="002F0519">
          <w:rPr>
            <w:rStyle w:val="Hyperlink"/>
            <w:noProof/>
          </w:rPr>
          <w:t>2017 SoBRA Factor</w:t>
        </w:r>
        <w:r w:rsidR="00B8476D">
          <w:rPr>
            <w:noProof/>
            <w:webHidden/>
          </w:rPr>
          <w:tab/>
        </w:r>
        <w:r w:rsidR="00B8476D">
          <w:rPr>
            <w:noProof/>
            <w:webHidden/>
          </w:rPr>
          <w:fldChar w:fldCharType="begin"/>
        </w:r>
        <w:r w:rsidR="00B8476D">
          <w:rPr>
            <w:noProof/>
            <w:webHidden/>
          </w:rPr>
          <w:instrText xml:space="preserve"> PAGEREF _Toc530479143 \h </w:instrText>
        </w:r>
        <w:r w:rsidR="00B8476D">
          <w:rPr>
            <w:noProof/>
            <w:webHidden/>
          </w:rPr>
        </w:r>
        <w:r w:rsidR="00B8476D">
          <w:rPr>
            <w:noProof/>
            <w:webHidden/>
          </w:rPr>
          <w:fldChar w:fldCharType="separate"/>
        </w:r>
        <w:r w:rsidR="006F23BB">
          <w:rPr>
            <w:noProof/>
            <w:webHidden/>
          </w:rPr>
          <w:t>4</w:t>
        </w:r>
        <w:r w:rsidR="00B8476D">
          <w:rPr>
            <w:noProof/>
            <w:webHidden/>
          </w:rPr>
          <w:fldChar w:fldCharType="end"/>
        </w:r>
      </w:hyperlink>
    </w:p>
    <w:p w:rsidR="00B8476D" w:rsidRDefault="005479FC">
      <w:pPr>
        <w:pStyle w:val="TOC1"/>
        <w:rPr>
          <w:rFonts w:asciiTheme="minorHAnsi" w:eastAsiaTheme="minorEastAsia" w:hAnsiTheme="minorHAnsi" w:cstheme="minorBidi"/>
          <w:noProof/>
          <w:sz w:val="22"/>
          <w:szCs w:val="22"/>
        </w:rPr>
      </w:pPr>
      <w:hyperlink w:anchor="_Toc530479144" w:history="1">
        <w:r w:rsidR="00B8476D" w:rsidRPr="002F0519">
          <w:rPr>
            <w:rStyle w:val="Hyperlink"/>
            <w:noProof/>
          </w:rPr>
          <w:t>2N</w:t>
        </w:r>
        <w:r w:rsidR="00B8476D">
          <w:rPr>
            <w:rFonts w:asciiTheme="minorHAnsi" w:eastAsiaTheme="minorEastAsia" w:hAnsiTheme="minorHAnsi" w:cstheme="minorBidi"/>
            <w:noProof/>
            <w:sz w:val="22"/>
            <w:szCs w:val="22"/>
          </w:rPr>
          <w:tab/>
        </w:r>
        <w:r w:rsidR="00B8476D" w:rsidRPr="002F0519">
          <w:rPr>
            <w:rStyle w:val="Hyperlink"/>
            <w:noProof/>
          </w:rPr>
          <w:t>2018 SoBRA Factor</w:t>
        </w:r>
        <w:r w:rsidR="00B8476D">
          <w:rPr>
            <w:noProof/>
            <w:webHidden/>
          </w:rPr>
          <w:tab/>
        </w:r>
        <w:r w:rsidR="00B8476D">
          <w:rPr>
            <w:noProof/>
            <w:webHidden/>
          </w:rPr>
          <w:fldChar w:fldCharType="begin"/>
        </w:r>
        <w:r w:rsidR="00B8476D">
          <w:rPr>
            <w:noProof/>
            <w:webHidden/>
          </w:rPr>
          <w:instrText xml:space="preserve"> PAGEREF _Toc530479144 \h </w:instrText>
        </w:r>
        <w:r w:rsidR="00B8476D">
          <w:rPr>
            <w:noProof/>
            <w:webHidden/>
          </w:rPr>
        </w:r>
        <w:r w:rsidR="00B8476D">
          <w:rPr>
            <w:noProof/>
            <w:webHidden/>
          </w:rPr>
          <w:fldChar w:fldCharType="separate"/>
        </w:r>
        <w:r w:rsidR="006F23BB">
          <w:rPr>
            <w:noProof/>
            <w:webHidden/>
          </w:rPr>
          <w:t>7</w:t>
        </w:r>
        <w:r w:rsidR="00B8476D">
          <w:rPr>
            <w:noProof/>
            <w:webHidden/>
          </w:rPr>
          <w:fldChar w:fldCharType="end"/>
        </w:r>
      </w:hyperlink>
    </w:p>
    <w:p w:rsidR="00B8476D" w:rsidRDefault="005479FC">
      <w:pPr>
        <w:pStyle w:val="TOC1"/>
        <w:rPr>
          <w:rFonts w:asciiTheme="minorHAnsi" w:eastAsiaTheme="minorEastAsia" w:hAnsiTheme="minorHAnsi" w:cstheme="minorBidi"/>
          <w:noProof/>
          <w:sz w:val="22"/>
          <w:szCs w:val="22"/>
        </w:rPr>
      </w:pPr>
      <w:hyperlink w:anchor="_Toc530479145" w:history="1">
        <w:r w:rsidR="00B8476D" w:rsidRPr="002F0519">
          <w:rPr>
            <w:rStyle w:val="Hyperlink"/>
            <w:noProof/>
          </w:rPr>
          <w:t>2P</w:t>
        </w:r>
        <w:r w:rsidR="00B8476D">
          <w:rPr>
            <w:rFonts w:asciiTheme="minorHAnsi" w:eastAsiaTheme="minorEastAsia" w:hAnsiTheme="minorHAnsi" w:cstheme="minorBidi"/>
            <w:noProof/>
            <w:sz w:val="22"/>
            <w:szCs w:val="22"/>
          </w:rPr>
          <w:tab/>
        </w:r>
        <w:r w:rsidR="00B8476D" w:rsidRPr="002F0519">
          <w:rPr>
            <w:rStyle w:val="Hyperlink"/>
            <w:noProof/>
          </w:rPr>
          <w:t>2019 SoBRA Cost Effective Issue</w:t>
        </w:r>
        <w:r w:rsidR="00B8476D">
          <w:rPr>
            <w:noProof/>
            <w:webHidden/>
          </w:rPr>
          <w:tab/>
        </w:r>
        <w:r w:rsidR="00B8476D">
          <w:rPr>
            <w:noProof/>
            <w:webHidden/>
          </w:rPr>
          <w:fldChar w:fldCharType="begin"/>
        </w:r>
        <w:r w:rsidR="00B8476D">
          <w:rPr>
            <w:noProof/>
            <w:webHidden/>
          </w:rPr>
          <w:instrText xml:space="preserve"> PAGEREF _Toc530479145 \h </w:instrText>
        </w:r>
        <w:r w:rsidR="00B8476D">
          <w:rPr>
            <w:noProof/>
            <w:webHidden/>
          </w:rPr>
        </w:r>
        <w:r w:rsidR="00B8476D">
          <w:rPr>
            <w:noProof/>
            <w:webHidden/>
          </w:rPr>
          <w:fldChar w:fldCharType="separate"/>
        </w:r>
        <w:r w:rsidR="006F23BB">
          <w:rPr>
            <w:noProof/>
            <w:webHidden/>
          </w:rPr>
          <w:t>8</w:t>
        </w:r>
        <w:r w:rsidR="00B8476D">
          <w:rPr>
            <w:noProof/>
            <w:webHidden/>
          </w:rPr>
          <w:fldChar w:fldCharType="end"/>
        </w:r>
      </w:hyperlink>
    </w:p>
    <w:p w:rsidR="00B8476D" w:rsidRDefault="005479FC">
      <w:pPr>
        <w:pStyle w:val="TOC1"/>
        <w:rPr>
          <w:rFonts w:asciiTheme="minorHAnsi" w:eastAsiaTheme="minorEastAsia" w:hAnsiTheme="minorHAnsi" w:cstheme="minorBidi"/>
          <w:noProof/>
          <w:sz w:val="22"/>
          <w:szCs w:val="22"/>
        </w:rPr>
      </w:pPr>
      <w:hyperlink w:anchor="_Toc530479146" w:history="1">
        <w:r w:rsidR="00B8476D" w:rsidRPr="002F0519">
          <w:rPr>
            <w:rStyle w:val="Hyperlink"/>
            <w:noProof/>
          </w:rPr>
          <w:t>2Q</w:t>
        </w:r>
        <w:r w:rsidR="00B8476D">
          <w:rPr>
            <w:rFonts w:asciiTheme="minorHAnsi" w:eastAsiaTheme="minorEastAsia" w:hAnsiTheme="minorHAnsi" w:cstheme="minorBidi"/>
            <w:noProof/>
            <w:sz w:val="22"/>
            <w:szCs w:val="22"/>
          </w:rPr>
          <w:tab/>
        </w:r>
        <w:r w:rsidR="00B8476D" w:rsidRPr="002F0519">
          <w:rPr>
            <w:rStyle w:val="Hyperlink"/>
            <w:noProof/>
          </w:rPr>
          <w:t>2019 SoBRA Revenue Requirement</w:t>
        </w:r>
        <w:r w:rsidR="00B8476D">
          <w:rPr>
            <w:noProof/>
            <w:webHidden/>
          </w:rPr>
          <w:tab/>
        </w:r>
        <w:r w:rsidR="00B8476D">
          <w:rPr>
            <w:noProof/>
            <w:webHidden/>
          </w:rPr>
          <w:fldChar w:fldCharType="begin"/>
        </w:r>
        <w:r w:rsidR="00B8476D">
          <w:rPr>
            <w:noProof/>
            <w:webHidden/>
          </w:rPr>
          <w:instrText xml:space="preserve"> PAGEREF _Toc530479146 \h </w:instrText>
        </w:r>
        <w:r w:rsidR="00B8476D">
          <w:rPr>
            <w:noProof/>
            <w:webHidden/>
          </w:rPr>
        </w:r>
        <w:r w:rsidR="00B8476D">
          <w:rPr>
            <w:noProof/>
            <w:webHidden/>
          </w:rPr>
          <w:fldChar w:fldCharType="separate"/>
        </w:r>
        <w:r w:rsidR="006F23BB">
          <w:rPr>
            <w:noProof/>
            <w:webHidden/>
          </w:rPr>
          <w:t>15</w:t>
        </w:r>
        <w:r w:rsidR="00B8476D">
          <w:rPr>
            <w:noProof/>
            <w:webHidden/>
          </w:rPr>
          <w:fldChar w:fldCharType="end"/>
        </w:r>
      </w:hyperlink>
    </w:p>
    <w:p w:rsidR="00B8476D" w:rsidRDefault="005479FC">
      <w:pPr>
        <w:pStyle w:val="TOC1"/>
        <w:rPr>
          <w:rFonts w:asciiTheme="minorHAnsi" w:eastAsiaTheme="minorEastAsia" w:hAnsiTheme="minorHAnsi" w:cstheme="minorBidi"/>
          <w:noProof/>
          <w:sz w:val="22"/>
          <w:szCs w:val="22"/>
        </w:rPr>
      </w:pPr>
      <w:hyperlink w:anchor="_Toc530479147" w:history="1">
        <w:r w:rsidR="00B8476D" w:rsidRPr="002F0519">
          <w:rPr>
            <w:rStyle w:val="Hyperlink"/>
            <w:noProof/>
          </w:rPr>
          <w:t xml:space="preserve">2R </w:t>
        </w:r>
        <w:r w:rsidR="00B8476D">
          <w:rPr>
            <w:rFonts w:asciiTheme="minorHAnsi" w:eastAsiaTheme="minorEastAsia" w:hAnsiTheme="minorHAnsi" w:cstheme="minorBidi"/>
            <w:noProof/>
            <w:sz w:val="22"/>
            <w:szCs w:val="22"/>
          </w:rPr>
          <w:tab/>
        </w:r>
        <w:r w:rsidR="00B8476D" w:rsidRPr="002F0519">
          <w:rPr>
            <w:rStyle w:val="Hyperlink"/>
            <w:noProof/>
          </w:rPr>
          <w:t>2019 SoBRA Base Rate Percentage Increase</w:t>
        </w:r>
        <w:r w:rsidR="00B8476D">
          <w:rPr>
            <w:noProof/>
            <w:webHidden/>
          </w:rPr>
          <w:tab/>
        </w:r>
        <w:r w:rsidR="00B8476D">
          <w:rPr>
            <w:noProof/>
            <w:webHidden/>
          </w:rPr>
          <w:fldChar w:fldCharType="begin"/>
        </w:r>
        <w:r w:rsidR="00B8476D">
          <w:rPr>
            <w:noProof/>
            <w:webHidden/>
          </w:rPr>
          <w:instrText xml:space="preserve"> PAGEREF _Toc530479147 \h </w:instrText>
        </w:r>
        <w:r w:rsidR="00B8476D">
          <w:rPr>
            <w:noProof/>
            <w:webHidden/>
          </w:rPr>
        </w:r>
        <w:r w:rsidR="00B8476D">
          <w:rPr>
            <w:noProof/>
            <w:webHidden/>
          </w:rPr>
          <w:fldChar w:fldCharType="separate"/>
        </w:r>
        <w:r w:rsidR="006F23BB">
          <w:rPr>
            <w:noProof/>
            <w:webHidden/>
          </w:rPr>
          <w:t>17</w:t>
        </w:r>
        <w:r w:rsidR="00B8476D">
          <w:rPr>
            <w:noProof/>
            <w:webHidden/>
          </w:rPr>
          <w:fldChar w:fldCharType="end"/>
        </w:r>
      </w:hyperlink>
    </w:p>
    <w:p w:rsidR="00B8476D" w:rsidRDefault="005479FC">
      <w:pPr>
        <w:pStyle w:val="TOC1"/>
        <w:rPr>
          <w:rFonts w:asciiTheme="minorHAnsi" w:eastAsiaTheme="minorEastAsia" w:hAnsiTheme="minorHAnsi" w:cstheme="minorBidi"/>
          <w:noProof/>
          <w:sz w:val="22"/>
          <w:szCs w:val="22"/>
        </w:rPr>
      </w:pPr>
      <w:hyperlink w:anchor="_Toc530479148" w:history="1">
        <w:r w:rsidR="00B8476D" w:rsidRPr="002F0519">
          <w:rPr>
            <w:rStyle w:val="Hyperlink"/>
            <w:noProof/>
          </w:rPr>
          <w:t xml:space="preserve">2S </w:t>
        </w:r>
        <w:r w:rsidR="00B8476D">
          <w:rPr>
            <w:rFonts w:asciiTheme="minorHAnsi" w:eastAsiaTheme="minorEastAsia" w:hAnsiTheme="minorHAnsi" w:cstheme="minorBidi"/>
            <w:noProof/>
            <w:sz w:val="22"/>
            <w:szCs w:val="22"/>
          </w:rPr>
          <w:tab/>
        </w:r>
        <w:r w:rsidR="00B8476D" w:rsidRPr="002F0519">
          <w:rPr>
            <w:rStyle w:val="Hyperlink"/>
            <w:noProof/>
          </w:rPr>
          <w:t>Tariff Approvals for 2019 SoBRA Factors</w:t>
        </w:r>
        <w:r w:rsidR="00B8476D">
          <w:rPr>
            <w:noProof/>
            <w:webHidden/>
          </w:rPr>
          <w:tab/>
        </w:r>
        <w:r w:rsidR="00B8476D">
          <w:rPr>
            <w:noProof/>
            <w:webHidden/>
          </w:rPr>
          <w:fldChar w:fldCharType="begin"/>
        </w:r>
        <w:r w:rsidR="00B8476D">
          <w:rPr>
            <w:noProof/>
            <w:webHidden/>
          </w:rPr>
          <w:instrText xml:space="preserve"> PAGEREF _Toc530479148 \h </w:instrText>
        </w:r>
        <w:r w:rsidR="00B8476D">
          <w:rPr>
            <w:noProof/>
            <w:webHidden/>
          </w:rPr>
        </w:r>
        <w:r w:rsidR="00B8476D">
          <w:rPr>
            <w:noProof/>
            <w:webHidden/>
          </w:rPr>
          <w:fldChar w:fldCharType="separate"/>
        </w:r>
        <w:r w:rsidR="006F23BB">
          <w:rPr>
            <w:noProof/>
            <w:webHidden/>
          </w:rPr>
          <w:t>18</w:t>
        </w:r>
        <w:r w:rsidR="00B8476D">
          <w:rPr>
            <w:noProof/>
            <w:webHidden/>
          </w:rPr>
          <w:fldChar w:fldCharType="end"/>
        </w:r>
      </w:hyperlink>
    </w:p>
    <w:p w:rsidR="00B8476D" w:rsidRDefault="005479FC">
      <w:pPr>
        <w:pStyle w:val="TOC1"/>
        <w:rPr>
          <w:rFonts w:asciiTheme="minorHAnsi" w:eastAsiaTheme="minorEastAsia" w:hAnsiTheme="minorHAnsi" w:cstheme="minorBidi"/>
          <w:noProof/>
          <w:sz w:val="22"/>
          <w:szCs w:val="22"/>
        </w:rPr>
      </w:pPr>
      <w:hyperlink w:anchor="_Toc530479149" w:history="1">
        <w:r w:rsidR="00B8476D" w:rsidRPr="002F0519">
          <w:rPr>
            <w:rStyle w:val="Hyperlink"/>
            <w:noProof/>
          </w:rPr>
          <w:t>36</w:t>
        </w:r>
        <w:r w:rsidR="00B8476D">
          <w:rPr>
            <w:rFonts w:asciiTheme="minorHAnsi" w:eastAsiaTheme="minorEastAsia" w:hAnsiTheme="minorHAnsi" w:cstheme="minorBidi"/>
            <w:noProof/>
            <w:sz w:val="22"/>
            <w:szCs w:val="22"/>
          </w:rPr>
          <w:tab/>
        </w:r>
        <w:r w:rsidR="00B8476D" w:rsidRPr="002F0519">
          <w:rPr>
            <w:rStyle w:val="Hyperlink"/>
            <w:noProof/>
          </w:rPr>
          <w:t>Close Docket</w:t>
        </w:r>
        <w:r w:rsidR="00B8476D">
          <w:rPr>
            <w:noProof/>
            <w:webHidden/>
          </w:rPr>
          <w:tab/>
        </w:r>
        <w:r w:rsidR="00B8476D">
          <w:rPr>
            <w:noProof/>
            <w:webHidden/>
          </w:rPr>
          <w:fldChar w:fldCharType="begin"/>
        </w:r>
        <w:r w:rsidR="00B8476D">
          <w:rPr>
            <w:noProof/>
            <w:webHidden/>
          </w:rPr>
          <w:instrText xml:space="preserve"> PAGEREF _Toc530479149 \h </w:instrText>
        </w:r>
        <w:r w:rsidR="00B8476D">
          <w:rPr>
            <w:noProof/>
            <w:webHidden/>
          </w:rPr>
        </w:r>
        <w:r w:rsidR="00B8476D">
          <w:rPr>
            <w:noProof/>
            <w:webHidden/>
          </w:rPr>
          <w:fldChar w:fldCharType="separate"/>
        </w:r>
        <w:r w:rsidR="006F23BB">
          <w:rPr>
            <w:noProof/>
            <w:webHidden/>
          </w:rPr>
          <w:t>20</w:t>
        </w:r>
        <w:r w:rsidR="00B8476D">
          <w:rPr>
            <w:noProof/>
            <w:webHidden/>
          </w:rPr>
          <w:fldChar w:fldCharType="end"/>
        </w:r>
      </w:hyperlink>
    </w:p>
    <w:p w:rsidR="00F60019" w:rsidRDefault="002E4C6E" w:rsidP="00F60019">
      <w:pPr>
        <w:pStyle w:val="RecommendationMajorSectionHeading"/>
      </w:pPr>
      <w:r>
        <w:rPr>
          <w:rFonts w:ascii="Times New Roman" w:hAnsi="Times New Roman" w:cs="Times New Roman"/>
          <w:b w:val="0"/>
          <w:bCs w:val="0"/>
          <w:kern w:val="0"/>
          <w:szCs w:val="24"/>
        </w:rPr>
        <w:fldChar w:fldCharType="end"/>
      </w:r>
    </w:p>
    <w:p w:rsidR="00F60019" w:rsidRDefault="00F60019" w:rsidP="00F60019">
      <w:pPr>
        <w:rPr>
          <w:rFonts w:ascii="Arial" w:hAnsi="Arial" w:cs="Arial"/>
          <w:kern w:val="32"/>
          <w:szCs w:val="32"/>
        </w:rPr>
      </w:pPr>
      <w:r>
        <w:br w:type="page"/>
      </w:r>
    </w:p>
    <w:p w:rsidR="000D0C09" w:rsidRDefault="007C0528" w:rsidP="00136A86">
      <w:pPr>
        <w:pStyle w:val="RecommendationMajorSectionHeading"/>
        <w:spacing w:after="0"/>
      </w:pPr>
      <w:r>
        <w:lastRenderedPageBreak/>
        <w:t xml:space="preserve"> </w:t>
      </w:r>
      <w:bookmarkStart w:id="12" w:name="CaseBackground"/>
      <w:r>
        <w:t>Case Background</w:t>
      </w:r>
    </w:p>
    <w:p w:rsidR="00152061" w:rsidRDefault="000D0C09" w:rsidP="00136A86">
      <w:pPr>
        <w:pStyle w:val="BodyText"/>
        <w:spacing w:after="0"/>
        <w:rPr>
          <w:bCs/>
        </w:rPr>
      </w:pPr>
      <w:r>
        <w:t xml:space="preserve">As part of the continuing fuel and purchased power adjustment and generating performance incentive factor clause proceedings, an administrative hearing was held on November 5-6, 2018. At the hearing, all stipulated issues for </w:t>
      </w:r>
      <w:r w:rsidR="00313EE6">
        <w:t>Duke Energy Florida, LLC. (DEF), Florida Public Utilities Company (FPUC)</w:t>
      </w:r>
      <w:r>
        <w:t xml:space="preserve">, Gulf Power Company (Gulf), </w:t>
      </w:r>
      <w:r w:rsidR="00313EE6">
        <w:t>and Tampa Electric Company (TECO)</w:t>
      </w:r>
      <w:r>
        <w:t xml:space="preserve"> were approved by bench decisions. Altho</w:t>
      </w:r>
      <w:r w:rsidR="00313EE6">
        <w:t>ugh the Commission approved many</w:t>
      </w:r>
      <w:r>
        <w:t xml:space="preserve"> stipulated issues for </w:t>
      </w:r>
      <w:r w:rsidR="00313EE6">
        <w:t>Florida Power &amp; Light Company (FPL</w:t>
      </w:r>
      <w:r w:rsidR="00911B15">
        <w:t xml:space="preserve"> or Company</w:t>
      </w:r>
      <w:r w:rsidR="00313EE6">
        <w:t>)</w:t>
      </w:r>
      <w:r w:rsidR="0071623B">
        <w:t xml:space="preserve"> at the hearing</w:t>
      </w:r>
      <w:r w:rsidR="00313EE6">
        <w:t xml:space="preserve">, </w:t>
      </w:r>
      <w:r w:rsidR="00937DF3" w:rsidRPr="00382621">
        <w:t>Florida Industrial Power Users Group</w:t>
      </w:r>
      <w:r w:rsidR="00937DF3">
        <w:t xml:space="preserve"> (FIPUG) </w:t>
      </w:r>
      <w:r w:rsidR="00313EE6">
        <w:t>requested the opportunity to file briefs on Issues 2M, 2N, 2P, 2Q, 2R, and 2S, which are</w:t>
      </w:r>
      <w:r w:rsidR="00F21B29">
        <w:t xml:space="preserve"> company-specific issue</w:t>
      </w:r>
      <w:r w:rsidR="00AA1081">
        <w:t>s</w:t>
      </w:r>
      <w:r w:rsidR="00F21B29">
        <w:t xml:space="preserve"> </w:t>
      </w:r>
      <w:r w:rsidR="00313EE6">
        <w:t>pertain</w:t>
      </w:r>
      <w:r w:rsidR="008055E3">
        <w:t>ing</w:t>
      </w:r>
      <w:r w:rsidR="00313EE6">
        <w:t xml:space="preserve"> to </w:t>
      </w:r>
      <w:r w:rsidR="007C26EA">
        <w:t xml:space="preserve">solar generation </w:t>
      </w:r>
      <w:r w:rsidR="00C255ED">
        <w:rPr>
          <w:bCs/>
        </w:rPr>
        <w:t>base rate adjustment (</w:t>
      </w:r>
      <w:proofErr w:type="spellStart"/>
      <w:r w:rsidR="00C255ED">
        <w:rPr>
          <w:bCs/>
        </w:rPr>
        <w:t>SoBRA</w:t>
      </w:r>
      <w:proofErr w:type="spellEnd"/>
      <w:r w:rsidR="00C255ED">
        <w:rPr>
          <w:bCs/>
        </w:rPr>
        <w:t xml:space="preserve">) </w:t>
      </w:r>
      <w:r w:rsidR="00C255ED">
        <w:t>considerations</w:t>
      </w:r>
      <w:r w:rsidR="007C26EA">
        <w:rPr>
          <w:bCs/>
        </w:rPr>
        <w:t xml:space="preserve">. </w:t>
      </w:r>
    </w:p>
    <w:p w:rsidR="00417558" w:rsidRDefault="00417558" w:rsidP="00417558">
      <w:pPr>
        <w:pStyle w:val="BodyText"/>
        <w:spacing w:after="0"/>
        <w:rPr>
          <w:bCs/>
        </w:rPr>
      </w:pPr>
    </w:p>
    <w:p w:rsidR="000D0C09" w:rsidRDefault="00152061" w:rsidP="00417558">
      <w:pPr>
        <w:pStyle w:val="BodyText"/>
        <w:spacing w:after="0"/>
      </w:pPr>
      <w:r>
        <w:rPr>
          <w:bCs/>
        </w:rPr>
        <w:t xml:space="preserve">Issues 2M and 2N address </w:t>
      </w:r>
      <w:r w:rsidR="00C255ED">
        <w:rPr>
          <w:bCs/>
        </w:rPr>
        <w:t xml:space="preserve">the recovery of construction costs for </w:t>
      </w:r>
      <w:r>
        <w:rPr>
          <w:bCs/>
        </w:rPr>
        <w:t xml:space="preserve">solar generation facilities that were recently constructed, and are currently operating. Issues </w:t>
      </w:r>
      <w:r>
        <w:t>2P, 2Q, 2R, and 2S</w:t>
      </w:r>
      <w:r>
        <w:rPr>
          <w:bCs/>
        </w:rPr>
        <w:t xml:space="preserve"> pertain to FPL</w:t>
      </w:r>
      <w:r w:rsidR="00F21B29">
        <w:rPr>
          <w:bCs/>
        </w:rPr>
        <w:t xml:space="preserve">’s </w:t>
      </w:r>
      <w:r w:rsidR="00F21B29">
        <w:t>Miami-Dade, Interstate, Pioneer Trail, and Sunshine Gateway</w:t>
      </w:r>
      <w:r w:rsidR="00F21B29">
        <w:rPr>
          <w:bCs/>
        </w:rPr>
        <w:t xml:space="preserve"> solar generation facilities </w:t>
      </w:r>
      <w:r w:rsidR="00C255ED">
        <w:rPr>
          <w:bCs/>
        </w:rPr>
        <w:t>which</w:t>
      </w:r>
      <w:r>
        <w:rPr>
          <w:bCs/>
        </w:rPr>
        <w:t xml:space="preserve"> are </w:t>
      </w:r>
      <w:r w:rsidR="00F21B29">
        <w:rPr>
          <w:bCs/>
        </w:rPr>
        <w:t xml:space="preserve">currently being constructed </w:t>
      </w:r>
      <w:r>
        <w:rPr>
          <w:bCs/>
        </w:rPr>
        <w:t xml:space="preserve">and scheduled to be operating on March 1, 2019 </w:t>
      </w:r>
      <w:r w:rsidR="00F21B29">
        <w:rPr>
          <w:bCs/>
        </w:rPr>
        <w:t xml:space="preserve">(2019 </w:t>
      </w:r>
      <w:proofErr w:type="spellStart"/>
      <w:r w:rsidR="00F21B29">
        <w:rPr>
          <w:bCs/>
        </w:rPr>
        <w:t>SoBRA</w:t>
      </w:r>
      <w:proofErr w:type="spellEnd"/>
      <w:r w:rsidR="00F21B29">
        <w:rPr>
          <w:bCs/>
        </w:rPr>
        <w:t xml:space="preserve"> projects)</w:t>
      </w:r>
      <w:r w:rsidR="007C26EA">
        <w:rPr>
          <w:bCs/>
        </w:rPr>
        <w:t>.</w:t>
      </w:r>
      <w:r w:rsidR="00F21B29">
        <w:rPr>
          <w:bCs/>
        </w:rPr>
        <w:t xml:space="preserve"> </w:t>
      </w:r>
      <w:r>
        <w:rPr>
          <w:bCs/>
        </w:rPr>
        <w:t xml:space="preserve">Collectively, all of the </w:t>
      </w:r>
      <w:proofErr w:type="spellStart"/>
      <w:r w:rsidR="008055E3">
        <w:rPr>
          <w:bCs/>
        </w:rPr>
        <w:t>SoBRA</w:t>
      </w:r>
      <w:proofErr w:type="spellEnd"/>
      <w:r w:rsidR="008055E3">
        <w:rPr>
          <w:bCs/>
        </w:rPr>
        <w:t>-related issues resulting</w:t>
      </w:r>
      <w:r w:rsidR="00C255ED">
        <w:rPr>
          <w:bCs/>
        </w:rPr>
        <w:t xml:space="preserve"> from </w:t>
      </w:r>
      <w:r w:rsidR="00C255ED">
        <w:rPr>
          <w:color w:val="000000"/>
        </w:rPr>
        <w:t xml:space="preserve">FPL’s 2016 rate case </w:t>
      </w:r>
      <w:r w:rsidR="000A2EDF">
        <w:rPr>
          <w:color w:val="000000"/>
        </w:rPr>
        <w:t>Stipulation and Settlement</w:t>
      </w:r>
      <w:r w:rsidR="00C255ED">
        <w:rPr>
          <w:color w:val="000000"/>
        </w:rPr>
        <w:t xml:space="preserve"> </w:t>
      </w:r>
      <w:r w:rsidR="000333CD">
        <w:rPr>
          <w:color w:val="000000"/>
        </w:rPr>
        <w:t xml:space="preserve">Agreement </w:t>
      </w:r>
      <w:r w:rsidR="00C255ED">
        <w:rPr>
          <w:color w:val="000000"/>
        </w:rPr>
        <w:t>approved by Order No. PSC-2016-056</w:t>
      </w:r>
      <w:r w:rsidR="000333CD">
        <w:rPr>
          <w:color w:val="000000"/>
        </w:rPr>
        <w:t>0-AS-EI</w:t>
      </w:r>
      <w:r w:rsidR="000A2EDF">
        <w:rPr>
          <w:color w:val="000000"/>
        </w:rPr>
        <w:t xml:space="preserve"> (the 2016 Agreement</w:t>
      </w:r>
      <w:r w:rsidR="00C255ED">
        <w:rPr>
          <w:color w:val="000000"/>
        </w:rPr>
        <w:t>).</w:t>
      </w:r>
      <w:r w:rsidR="000333CD">
        <w:rPr>
          <w:rStyle w:val="FootnoteReference"/>
          <w:color w:val="000000"/>
        </w:rPr>
        <w:footnoteReference w:id="1"/>
      </w:r>
      <w:r w:rsidR="000A2EDF">
        <w:rPr>
          <w:color w:val="000000"/>
        </w:rPr>
        <w:t xml:space="preserve"> </w:t>
      </w:r>
      <w:r w:rsidR="000D0C09">
        <w:t>Th</w:t>
      </w:r>
      <w:r w:rsidR="000A2EDF">
        <w:t>is</w:t>
      </w:r>
      <w:r w:rsidR="000D0C09">
        <w:t xml:space="preserve"> post-hearing memorandum addresses </w:t>
      </w:r>
      <w:r w:rsidR="00313EE6">
        <w:t xml:space="preserve">those </w:t>
      </w:r>
      <w:r w:rsidR="005042BB">
        <w:t>identified</w:t>
      </w:r>
      <w:r w:rsidR="00313EE6">
        <w:t xml:space="preserve"> issues.</w:t>
      </w:r>
    </w:p>
    <w:p w:rsidR="00417558" w:rsidRDefault="00417558" w:rsidP="00417558">
      <w:pPr>
        <w:pStyle w:val="BodyText"/>
        <w:spacing w:after="0"/>
      </w:pPr>
    </w:p>
    <w:p w:rsidR="000D0C09" w:rsidRDefault="0017523A" w:rsidP="00417558">
      <w:pPr>
        <w:pStyle w:val="BodyText"/>
        <w:spacing w:after="0"/>
      </w:pPr>
      <w:r>
        <w:t xml:space="preserve">On November 16, 2018, </w:t>
      </w:r>
      <w:r w:rsidR="000D0C09">
        <w:t>F</w:t>
      </w:r>
      <w:r w:rsidR="00937DF3">
        <w:t>IPUG and F</w:t>
      </w:r>
      <w:r w:rsidR="008055E3">
        <w:t xml:space="preserve">PL </w:t>
      </w:r>
      <w:r w:rsidR="000D0C09">
        <w:t xml:space="preserve">filed </w:t>
      </w:r>
      <w:r w:rsidR="00A8267F">
        <w:t xml:space="preserve">post-hearing statements and </w:t>
      </w:r>
      <w:r w:rsidR="000D0C09">
        <w:t>briefs</w:t>
      </w:r>
      <w:r w:rsidR="00A8267F">
        <w:t xml:space="preserve"> for Issues 2M, 2N, 2P, 2Q, 2R, and 2S</w:t>
      </w:r>
      <w:r>
        <w:t>.</w:t>
      </w:r>
      <w:r w:rsidR="00B17F39">
        <w:t xml:space="preserve"> On November 19, 2018, FIPUG filed a Notice Of Correction of Post-Hea</w:t>
      </w:r>
      <w:r w:rsidR="00CF7DB5">
        <w:t>ring Position for two</w:t>
      </w:r>
      <w:r w:rsidR="00B17F39">
        <w:t xml:space="preserve"> issues.</w:t>
      </w:r>
    </w:p>
    <w:p w:rsidR="00417558" w:rsidRDefault="00417558" w:rsidP="00417558">
      <w:pPr>
        <w:pStyle w:val="BodyText"/>
        <w:spacing w:after="0"/>
      </w:pPr>
    </w:p>
    <w:p w:rsidR="000D0C09" w:rsidRDefault="000D0C09" w:rsidP="00417558">
      <w:pPr>
        <w:pStyle w:val="BodyText"/>
        <w:spacing w:after="0"/>
      </w:pPr>
      <w:r>
        <w:t>The Commission has jurisdiction over this subject matter pursuant to the provisions of Chapter 366, Florida Statutes (F.S.), including Sections 366.04, 366.05, and 366.06, F.S.</w:t>
      </w:r>
    </w:p>
    <w:p w:rsidR="00B42D6C" w:rsidRPr="009E2FDC" w:rsidRDefault="007C0528" w:rsidP="000D0C09">
      <w:pPr>
        <w:pStyle w:val="RecommendationMajorSectionHeading"/>
        <w:jc w:val="both"/>
        <w:sectPr w:rsidR="00B42D6C" w:rsidRPr="009E2FDC" w:rsidSect="002E4C6E">
          <w:headerReference w:type="default" r:id="rId10"/>
          <w:footerReference w:type="default" r:id="rId11"/>
          <w:footerReference w:type="first" r:id="rId12"/>
          <w:pgSz w:w="12240" w:h="15840" w:code="1"/>
          <w:pgMar w:top="1584" w:right="1440" w:bottom="1440" w:left="1440" w:header="720" w:footer="720" w:gutter="0"/>
          <w:cols w:space="720"/>
          <w:formProt w:val="0"/>
          <w:titlePg/>
          <w:docGrid w:linePitch="360"/>
        </w:sectPr>
      </w:pPr>
      <w:r>
        <w:fldChar w:fldCharType="begin"/>
      </w:r>
      <w:r>
        <w:instrText xml:space="preserve"> TC  "</w:instrText>
      </w:r>
      <w:r>
        <w:tab/>
      </w:r>
      <w:bookmarkStart w:id="13" w:name="_Toc94516455"/>
      <w:bookmarkStart w:id="14" w:name="_Toc530479142"/>
      <w:r>
        <w:instrText>Case Background</w:instrText>
      </w:r>
      <w:bookmarkEnd w:id="13"/>
      <w:bookmarkEnd w:id="14"/>
      <w:r>
        <w:instrText xml:space="preserve">" \l 1 </w:instrText>
      </w:r>
      <w:r>
        <w:fldChar w:fldCharType="end"/>
      </w:r>
      <w:bookmarkEnd w:id="12"/>
    </w:p>
    <w:p w:rsidR="00A847D5" w:rsidRDefault="00A847D5">
      <w:pPr>
        <w:pStyle w:val="IssueHeading"/>
        <w:rPr>
          <w:vanish/>
          <w:specVanish/>
        </w:rPr>
      </w:pPr>
      <w:r w:rsidRPr="004C3641">
        <w:lastRenderedPageBreak/>
        <w:t xml:space="preserve">Issue </w:t>
      </w:r>
      <w:r>
        <w:t>2M</w:t>
      </w:r>
      <w:r w:rsidRPr="004C3641">
        <w:t>:</w:t>
      </w:r>
      <w:r>
        <w:fldChar w:fldCharType="begin"/>
      </w:r>
      <w:r>
        <w:instrText xml:space="preserve"> TC "</w:instrText>
      </w:r>
      <w:bookmarkStart w:id="15" w:name="_Toc530479143"/>
      <w:r>
        <w:instrText>2M</w:instrText>
      </w:r>
      <w:r>
        <w:tab/>
      </w:r>
      <w:r w:rsidR="00B8476D">
        <w:instrText>2017 SoBRA Factor</w:instrText>
      </w:r>
      <w:bookmarkEnd w:id="15"/>
      <w:r>
        <w:instrText xml:space="preserve">" \l </w:instrText>
      </w:r>
      <w:r>
        <w:fldChar w:fldCharType="end"/>
      </w:r>
      <w:r>
        <w:t> </w:t>
      </w:r>
    </w:p>
    <w:p w:rsidR="00A847D5" w:rsidRDefault="00A847D5">
      <w:pPr>
        <w:pStyle w:val="BodyText"/>
      </w:pPr>
      <w:r>
        <w:t xml:space="preserve"> What is the appropriate revised </w:t>
      </w:r>
      <w:proofErr w:type="spellStart"/>
      <w:r>
        <w:t>SoBRA</w:t>
      </w:r>
      <w:proofErr w:type="spellEnd"/>
      <w:r>
        <w:t xml:space="preserve"> factor for the 2017 projects to reflect actual construction costs that are less than the projected costs used to develop the initial </w:t>
      </w:r>
      <w:proofErr w:type="spellStart"/>
      <w:r>
        <w:t>SoBRA</w:t>
      </w:r>
      <w:proofErr w:type="spellEnd"/>
      <w:r>
        <w:t xml:space="preserve"> factor? </w:t>
      </w:r>
    </w:p>
    <w:p w:rsidR="00A847D5" w:rsidRPr="004C3641" w:rsidRDefault="00A847D5">
      <w:pPr>
        <w:pStyle w:val="IssueSubsectionHeading"/>
        <w:rPr>
          <w:vanish/>
          <w:specVanish/>
        </w:rPr>
      </w:pPr>
      <w:r w:rsidRPr="004C3641">
        <w:t>Recommendation: </w:t>
      </w:r>
    </w:p>
    <w:p w:rsidR="00A847D5" w:rsidRDefault="00A847D5">
      <w:pPr>
        <w:pStyle w:val="BodyText"/>
      </w:pPr>
      <w:r>
        <w:t> </w:t>
      </w:r>
      <w:r w:rsidR="00D2253A">
        <w:t xml:space="preserve">This issue is not ripe for consideration during the </w:t>
      </w:r>
      <w:r w:rsidR="002F630D">
        <w:t>hearing cycle for 2018, and should</w:t>
      </w:r>
      <w:r w:rsidR="00D2253A">
        <w:t xml:space="preserve"> be addressed in Docket No. 20190001-EI. (Barrett</w:t>
      </w:r>
      <w:r w:rsidR="00EA30B2">
        <w:t xml:space="preserve">, </w:t>
      </w:r>
      <w:proofErr w:type="spellStart"/>
      <w:r w:rsidR="00EA30B2">
        <w:t>Brownless</w:t>
      </w:r>
      <w:proofErr w:type="spellEnd"/>
      <w:r w:rsidR="00D2253A">
        <w:t>)</w:t>
      </w:r>
      <w:r>
        <w:t xml:space="preserve"> </w:t>
      </w:r>
    </w:p>
    <w:p w:rsidR="00A847D5" w:rsidRPr="004C3641" w:rsidRDefault="00A847D5">
      <w:pPr>
        <w:pStyle w:val="IssueSubsectionHeading"/>
        <w:keepNext/>
        <w:rPr>
          <w:iCs w:val="0"/>
        </w:rPr>
      </w:pPr>
      <w:r w:rsidRPr="004C3641">
        <w:rPr>
          <w:iCs w:val="0"/>
        </w:rPr>
        <w:t>Position of the Parties</w:t>
      </w:r>
    </w:p>
    <w:p w:rsidR="00A53710" w:rsidRDefault="00A53710" w:rsidP="00A53710">
      <w:pPr>
        <w:ind w:left="1440" w:hanging="1440"/>
        <w:jc w:val="both"/>
      </w:pPr>
      <w:r w:rsidRPr="00321FAC">
        <w:rPr>
          <w:rFonts w:ascii="Arial" w:hAnsi="Arial" w:cs="Arial"/>
          <w:b/>
          <w:bCs/>
        </w:rPr>
        <w:t>FPL:</w:t>
      </w:r>
      <w:r w:rsidRPr="005D4B47">
        <w:tab/>
      </w:r>
      <w:r>
        <w:t>T</w:t>
      </w:r>
      <w:r w:rsidRPr="007D29FA">
        <w:t xml:space="preserve">he </w:t>
      </w:r>
      <w:r>
        <w:t xml:space="preserve">total costs of the </w:t>
      </w:r>
      <w:r w:rsidRPr="007D29FA">
        <w:t xml:space="preserve">2017 </w:t>
      </w:r>
      <w:proofErr w:type="spellStart"/>
      <w:r w:rsidRPr="007D29FA">
        <w:t>SoBRA</w:t>
      </w:r>
      <w:proofErr w:type="spellEnd"/>
      <w:r w:rsidRPr="007D29FA">
        <w:t xml:space="preserve"> </w:t>
      </w:r>
      <w:r>
        <w:t>P</w:t>
      </w:r>
      <w:r w:rsidRPr="007D29FA">
        <w:t>roject</w:t>
      </w:r>
      <w:r>
        <w:t xml:space="preserve"> are not yet final</w:t>
      </w:r>
      <w:r w:rsidRPr="007D29FA">
        <w:t>.</w:t>
      </w:r>
      <w:r>
        <w:t xml:space="preserve"> </w:t>
      </w:r>
      <w:r w:rsidR="00DA2B77">
        <w:t>FPL</w:t>
      </w:r>
      <w:r w:rsidRPr="007D29FA">
        <w:t xml:space="preserve"> anticipates that final costs will be known by the third quarter of 2019</w:t>
      </w:r>
      <w:r w:rsidR="00DA2B77">
        <w:t>, and that the issue will be ripe for consideration during the 2019 Fuel Docket cycle.</w:t>
      </w:r>
    </w:p>
    <w:p w:rsidR="00DA2B77" w:rsidRDefault="00DA2B77" w:rsidP="00A53710">
      <w:pPr>
        <w:ind w:left="1440" w:hanging="1440"/>
        <w:jc w:val="both"/>
        <w:rPr>
          <w:b/>
          <w:bCs/>
        </w:rPr>
      </w:pPr>
    </w:p>
    <w:p w:rsidR="00A53710" w:rsidRDefault="00A53710" w:rsidP="00A53710">
      <w:pPr>
        <w:ind w:left="1440" w:hanging="1440"/>
        <w:jc w:val="both"/>
      </w:pPr>
      <w:r w:rsidRPr="00321FAC">
        <w:rPr>
          <w:rFonts w:ascii="Arial" w:hAnsi="Arial" w:cs="Arial"/>
          <w:b/>
          <w:bCs/>
        </w:rPr>
        <w:t>FIPUG:</w:t>
      </w:r>
      <w:r w:rsidRPr="005D4B47">
        <w:tab/>
      </w:r>
      <w:r>
        <w:t xml:space="preserve">As the </w:t>
      </w:r>
      <w:proofErr w:type="spellStart"/>
      <w:r>
        <w:t>SoBRA</w:t>
      </w:r>
      <w:proofErr w:type="spellEnd"/>
      <w:r>
        <w:t xml:space="preserve"> projects are neither cost effective nor needed, no new rates should be recovered.</w:t>
      </w:r>
    </w:p>
    <w:p w:rsidR="00A53710" w:rsidRDefault="00A53710" w:rsidP="00A53710">
      <w:pPr>
        <w:ind w:left="1440" w:hanging="1440"/>
        <w:jc w:val="both"/>
      </w:pPr>
    </w:p>
    <w:p w:rsidR="00A847D5" w:rsidRPr="004C3641" w:rsidRDefault="00A847D5">
      <w:pPr>
        <w:pStyle w:val="IssueSubsectionHeading"/>
        <w:rPr>
          <w:vanish/>
          <w:specVanish/>
        </w:rPr>
      </w:pPr>
      <w:r w:rsidRPr="004C3641">
        <w:t>Staff Analysis: </w:t>
      </w:r>
    </w:p>
    <w:p w:rsidR="00C157FC" w:rsidRDefault="00A847D5">
      <w:pPr>
        <w:pStyle w:val="BodyText"/>
      </w:pPr>
      <w:r>
        <w:t> </w:t>
      </w:r>
      <w:r w:rsidR="005E3BB3">
        <w:t xml:space="preserve">This issue addresses calculating the appropriate revised </w:t>
      </w:r>
      <w:proofErr w:type="spellStart"/>
      <w:r w:rsidR="005E3BB3">
        <w:t>SoBRA</w:t>
      </w:r>
      <w:proofErr w:type="spellEnd"/>
      <w:r w:rsidR="005E3BB3">
        <w:t xml:space="preserve"> factor</w:t>
      </w:r>
      <w:r w:rsidR="003B0FE1">
        <w:t xml:space="preserve"> based upon </w:t>
      </w:r>
      <w:r w:rsidR="005E3BB3">
        <w:t>actual construction costs</w:t>
      </w:r>
      <w:r w:rsidR="003B0FE1">
        <w:t xml:space="preserve">. </w:t>
      </w:r>
      <w:r w:rsidR="005E3BB3">
        <w:t xml:space="preserve"> </w:t>
      </w:r>
    </w:p>
    <w:p w:rsidR="00C157FC" w:rsidRPr="00C157FC" w:rsidRDefault="00321FAC" w:rsidP="00136A86">
      <w:pPr>
        <w:pStyle w:val="BodyText"/>
        <w:spacing w:after="0"/>
        <w:jc w:val="center"/>
        <w:rPr>
          <w:rFonts w:ascii="Arial" w:hAnsi="Arial" w:cs="Arial"/>
          <w:b/>
        </w:rPr>
      </w:pPr>
      <w:r>
        <w:rPr>
          <w:rFonts w:ascii="Arial" w:hAnsi="Arial" w:cs="Arial"/>
          <w:b/>
        </w:rPr>
        <w:t>Parties</w:t>
      </w:r>
      <w:r w:rsidR="00C157FC">
        <w:rPr>
          <w:rFonts w:ascii="Arial" w:hAnsi="Arial" w:cs="Arial"/>
          <w:b/>
        </w:rPr>
        <w:t>’ A</w:t>
      </w:r>
      <w:r>
        <w:rPr>
          <w:rFonts w:ascii="Arial" w:hAnsi="Arial" w:cs="Arial"/>
          <w:b/>
        </w:rPr>
        <w:t>rguments</w:t>
      </w:r>
    </w:p>
    <w:p w:rsidR="004E78DC" w:rsidRDefault="004E78DC" w:rsidP="004E78DC">
      <w:pPr>
        <w:autoSpaceDE w:val="0"/>
        <w:autoSpaceDN w:val="0"/>
        <w:adjustRightInd w:val="0"/>
        <w:ind w:firstLine="720"/>
        <w:jc w:val="both"/>
        <w:rPr>
          <w:rFonts w:ascii="Arial" w:hAnsi="Arial" w:cs="Arial"/>
          <w:b/>
          <w:bCs/>
          <w:i/>
        </w:rPr>
      </w:pPr>
      <w:r w:rsidRPr="008C649F">
        <w:rPr>
          <w:rFonts w:ascii="Arial" w:hAnsi="Arial" w:cs="Arial"/>
          <w:b/>
          <w:bCs/>
          <w:i/>
        </w:rPr>
        <w:t>FPL</w:t>
      </w:r>
    </w:p>
    <w:p w:rsidR="00AD4A9E" w:rsidRDefault="00AD4A9E" w:rsidP="00417558">
      <w:pPr>
        <w:pStyle w:val="BodyText2S"/>
        <w:keepNext/>
        <w:spacing w:line="240" w:lineRule="auto"/>
        <w:ind w:firstLine="0"/>
      </w:pPr>
      <w:r>
        <w:t xml:space="preserve">As the result </w:t>
      </w:r>
      <w:r w:rsidR="00F61C2C">
        <w:t xml:space="preserve">of </w:t>
      </w:r>
      <w:r>
        <w:t>discussions among and between the parties in advance of the hearing, an agreement was reached to excuse all of the FPL witnesses that addressed this issue. In its brief,</w:t>
      </w:r>
      <w:r>
        <w:rPr>
          <w:rStyle w:val="FootnoteReference"/>
        </w:rPr>
        <w:footnoteReference w:id="2"/>
      </w:r>
      <w:r>
        <w:t xml:space="preserve"> the Company asserted that final construction costs for the 2017 </w:t>
      </w:r>
      <w:proofErr w:type="spellStart"/>
      <w:r>
        <w:t>SoBRA</w:t>
      </w:r>
      <w:proofErr w:type="spellEnd"/>
      <w:r>
        <w:t xml:space="preserve"> Project are not yet known</w:t>
      </w:r>
      <w:r w:rsidR="002F630D">
        <w:t>, and thus, cannot be resolved in this hearing cycle. The calculation and resulting factor, however,</w:t>
      </w:r>
      <w:r>
        <w:t xml:space="preserve"> could be addressed in 2019. </w:t>
      </w:r>
      <w:r w:rsidR="00F804F6">
        <w:t xml:space="preserve">In its brief, FPL </w:t>
      </w:r>
      <w:r w:rsidR="006A2BEF">
        <w:t xml:space="preserve">stated that although not final, the preliminary information indicates that final costs will be lower than the cost estimates that were used to develop the revenue </w:t>
      </w:r>
      <w:r w:rsidR="00213A3C">
        <w:t>requirements</w:t>
      </w:r>
      <w:r w:rsidR="006A2BEF">
        <w:t xml:space="preserve"> and cost recovery factors for these projects</w:t>
      </w:r>
      <w:r w:rsidR="006A2BEF" w:rsidRPr="006A2BEF">
        <w:t>. (FPL BR 20)</w:t>
      </w:r>
      <w:r w:rsidR="006A2BEF">
        <w:t xml:space="preserve"> </w:t>
      </w:r>
      <w:r w:rsidR="00417558">
        <w:t xml:space="preserve">Citing </w:t>
      </w:r>
      <w:r>
        <w:t>paragraph 10(g) of the 2016 Agreement</w:t>
      </w:r>
      <w:r w:rsidR="00FA2C15">
        <w:t>, FPL asserte</w:t>
      </w:r>
      <w:r w:rsidR="00417558">
        <w:t>d that i</w:t>
      </w:r>
      <w:r w:rsidR="00FA2C15">
        <w:t>f</w:t>
      </w:r>
      <w:r w:rsidRPr="00AC02CE">
        <w:t xml:space="preserve"> </w:t>
      </w:r>
      <w:r w:rsidRPr="00AC02CE">
        <w:rPr>
          <w:i/>
        </w:rPr>
        <w:t>actual</w:t>
      </w:r>
      <w:r w:rsidRPr="00AC02CE">
        <w:t xml:space="preserve"> capital expenditures are less than the projected costs used to develop the initial </w:t>
      </w:r>
      <w:proofErr w:type="spellStart"/>
      <w:r w:rsidRPr="00AC02CE">
        <w:t>SoBR</w:t>
      </w:r>
      <w:r w:rsidR="00FA2C15">
        <w:t>A</w:t>
      </w:r>
      <w:proofErr w:type="spellEnd"/>
      <w:r w:rsidR="00FA2C15">
        <w:t xml:space="preserve"> factor, the lower figure will</w:t>
      </w:r>
      <w:r w:rsidRPr="00AC02CE">
        <w:t xml:space="preserve"> be the basis for the full revenue requirements</w:t>
      </w:r>
      <w:r w:rsidR="00FA2C15">
        <w:t>,</w:t>
      </w:r>
      <w:r w:rsidRPr="00AC02CE">
        <w:t xml:space="preserve"> and a one-time cre</w:t>
      </w:r>
      <w:r w:rsidR="00417558">
        <w:t xml:space="preserve">dit will be made through the Capacity Cost </w:t>
      </w:r>
      <w:r w:rsidRPr="00AC02CE">
        <w:t>Clause.</w:t>
      </w:r>
      <w:r w:rsidR="00417558">
        <w:t xml:space="preserve"> </w:t>
      </w:r>
      <w:r>
        <w:t>(FPL BR 20</w:t>
      </w:r>
      <w:r w:rsidR="00417558">
        <w:t>, emphasis in original</w:t>
      </w:r>
      <w:r>
        <w:t>)</w:t>
      </w:r>
    </w:p>
    <w:p w:rsidR="00AD4A9E" w:rsidRDefault="00AD4A9E" w:rsidP="00BF6048">
      <w:pPr>
        <w:autoSpaceDE w:val="0"/>
        <w:autoSpaceDN w:val="0"/>
        <w:adjustRightInd w:val="0"/>
        <w:jc w:val="both"/>
      </w:pPr>
    </w:p>
    <w:p w:rsidR="004E78DC" w:rsidRDefault="004E78DC" w:rsidP="004E78DC">
      <w:pPr>
        <w:autoSpaceDE w:val="0"/>
        <w:autoSpaceDN w:val="0"/>
        <w:adjustRightInd w:val="0"/>
        <w:ind w:firstLine="720"/>
        <w:jc w:val="both"/>
        <w:rPr>
          <w:rFonts w:ascii="Arial" w:hAnsi="Arial" w:cs="Arial"/>
          <w:b/>
          <w:bCs/>
          <w:i/>
        </w:rPr>
      </w:pPr>
      <w:r w:rsidRPr="008C649F">
        <w:rPr>
          <w:rFonts w:ascii="Arial" w:hAnsi="Arial" w:cs="Arial"/>
          <w:b/>
          <w:bCs/>
          <w:i/>
        </w:rPr>
        <w:t>F</w:t>
      </w:r>
      <w:r>
        <w:rPr>
          <w:rFonts w:ascii="Arial" w:hAnsi="Arial" w:cs="Arial"/>
          <w:b/>
          <w:bCs/>
          <w:i/>
        </w:rPr>
        <w:t>IPUG</w:t>
      </w:r>
    </w:p>
    <w:p w:rsidR="00A45FAD" w:rsidRDefault="00BF6048" w:rsidP="00A45FAD">
      <w:pPr>
        <w:autoSpaceDE w:val="0"/>
        <w:autoSpaceDN w:val="0"/>
        <w:adjustRightInd w:val="0"/>
        <w:jc w:val="both"/>
      </w:pPr>
      <w:r>
        <w:t>FIPUG did not sponsor</w:t>
      </w:r>
      <w:r w:rsidR="003676B5">
        <w:t xml:space="preserve"> a witness to address this issue </w:t>
      </w:r>
      <w:r w:rsidR="008055E3">
        <w:t>n</w:t>
      </w:r>
      <w:r w:rsidR="00A45FAD">
        <w:t xml:space="preserve">or specifically address this </w:t>
      </w:r>
      <w:r w:rsidR="003676B5">
        <w:t xml:space="preserve">issue </w:t>
      </w:r>
      <w:r w:rsidR="00A45FAD">
        <w:t>in its post</w:t>
      </w:r>
      <w:r w:rsidR="003676B5">
        <w:t>-</w:t>
      </w:r>
      <w:r w:rsidR="00A45FAD">
        <w:t>hearing brief</w:t>
      </w:r>
      <w:r w:rsidR="00EF3168">
        <w:t>.</w:t>
      </w:r>
      <w:r w:rsidR="00A45FAD">
        <w:t xml:space="preserve"> FIPUG’s post-hearing brief, as modified by its Notice of Correction of Post-Hearing Position, addres</w:t>
      </w:r>
      <w:r w:rsidR="005938D1">
        <w:t xml:space="preserve">ses Issues 2M-2S, 24D and 24E. </w:t>
      </w:r>
      <w:r w:rsidR="00A45FAD">
        <w:t>Issue 2O</w:t>
      </w:r>
      <w:r w:rsidR="00A45FAD">
        <w:rPr>
          <w:rStyle w:val="FootnoteReference"/>
          <w:rFonts w:eastAsiaTheme="minorHAnsi"/>
        </w:rPr>
        <w:footnoteReference w:id="3"/>
      </w:r>
      <w:r w:rsidR="00A45FAD">
        <w:t xml:space="preserve"> was approved as a Type 2 stipulation at final hearing when FIPUG failed to timely provide a final position.</w:t>
      </w:r>
      <w:r w:rsidR="00A45FAD">
        <w:rPr>
          <w:rStyle w:val="FootnoteReference"/>
          <w:rFonts w:eastAsiaTheme="minorHAnsi"/>
        </w:rPr>
        <w:footnoteReference w:id="4"/>
      </w:r>
      <w:r w:rsidR="005938D1">
        <w:t xml:space="preserve"> </w:t>
      </w:r>
      <w:r w:rsidR="003676B5">
        <w:t xml:space="preserve">Although briefed, </w:t>
      </w:r>
      <w:r w:rsidR="00A45FAD">
        <w:t>Issues 24D and 24E were also approved by bench vote at final hearing</w:t>
      </w:r>
      <w:r w:rsidR="003676B5">
        <w:t xml:space="preserve"> as Type 2 stipulations since FIPUG took no position on those issues</w:t>
      </w:r>
      <w:r w:rsidR="00A45FAD">
        <w:t>.</w:t>
      </w:r>
      <w:r w:rsidR="00A45FAD">
        <w:rPr>
          <w:rStyle w:val="FootnoteReference"/>
          <w:rFonts w:eastAsiaTheme="minorHAnsi"/>
        </w:rPr>
        <w:footnoteReference w:id="5"/>
      </w:r>
      <w:r w:rsidR="00A45FAD">
        <w:t xml:space="preserve">  </w:t>
      </w:r>
    </w:p>
    <w:p w:rsidR="00A45FAD" w:rsidRDefault="00A45FAD" w:rsidP="00A45FAD">
      <w:pPr>
        <w:jc w:val="both"/>
      </w:pPr>
    </w:p>
    <w:p w:rsidR="00A45FAD" w:rsidRPr="00A45FAD" w:rsidRDefault="00A45FAD" w:rsidP="00A45FAD">
      <w:pPr>
        <w:jc w:val="both"/>
        <w:rPr>
          <w:rFonts w:ascii="Arial" w:hAnsi="Arial" w:cs="Arial"/>
          <w:b/>
        </w:rPr>
      </w:pPr>
      <w:r w:rsidRPr="00A45FAD">
        <w:rPr>
          <w:rFonts w:ascii="Arial" w:hAnsi="Arial" w:cs="Arial"/>
          <w:b/>
        </w:rPr>
        <w:lastRenderedPageBreak/>
        <w:t>Staff Analysis</w:t>
      </w:r>
    </w:p>
    <w:p w:rsidR="00A45FAD" w:rsidRDefault="00A45FAD" w:rsidP="00A45FAD">
      <w:pPr>
        <w:jc w:val="both"/>
      </w:pPr>
      <w:r>
        <w:t>With regard to the remaining issues addressed in FIPUG’s brief, Issues 2M, 2N, 2Q, 2R and 2S, FIP</w:t>
      </w:r>
      <w:r w:rsidR="005938D1">
        <w:t xml:space="preserve">UG has made several arguments. </w:t>
      </w:r>
      <w:r>
        <w:t>First, that</w:t>
      </w:r>
      <w:r w:rsidR="008F6205">
        <w:t xml:space="preserve"> the Commission is specifically</w:t>
      </w:r>
      <w:r>
        <w:t xml:space="preserve"> required by statute to make findings that the 2018 and 2019 solar projects for which cost recovery is sought are bo</w:t>
      </w:r>
      <w:r w:rsidR="005938D1">
        <w:t>th prudent and needed. (</w:t>
      </w:r>
      <w:r w:rsidR="006B05E0">
        <w:t xml:space="preserve">FIPUG </w:t>
      </w:r>
      <w:r w:rsidR="005938D1">
        <w:t xml:space="preserve">BR 4-5) </w:t>
      </w:r>
      <w:r>
        <w:t xml:space="preserve">Second, that Commission approval of a negotiated settlement agreement executed by a limited number of parties cannot substitute for the required </w:t>
      </w:r>
      <w:r w:rsidR="005938D1">
        <w:t>findings of prudence and need. (</w:t>
      </w:r>
      <w:r w:rsidR="006B05E0">
        <w:t xml:space="preserve">FIPUG </w:t>
      </w:r>
      <w:r w:rsidR="005938D1">
        <w:t xml:space="preserve">BR 5-6) </w:t>
      </w:r>
      <w:r>
        <w:t>Third, that the use of projected carbon dioxide (CO</w:t>
      </w:r>
      <w:r>
        <w:rPr>
          <w:vertAlign w:val="subscript"/>
        </w:rPr>
        <w:t>2</w:t>
      </w:r>
      <w:r>
        <w:t>) tax costs in FPL’s cost effectiveness analysis is improper for two reasons: no carbon dioxide tax is currently imposed, nor likely to be imposed in the future, and the carbon dioxide tax amount is based on uncorrobora</w:t>
      </w:r>
      <w:r w:rsidR="005938D1">
        <w:t>ted hearsay. (</w:t>
      </w:r>
      <w:r w:rsidR="006B05E0">
        <w:t xml:space="preserve">FIPUG </w:t>
      </w:r>
      <w:r w:rsidR="005938D1">
        <w:t xml:space="preserve">BR 6) </w:t>
      </w:r>
      <w:r>
        <w:t>Fourth, that recovery of capital costs through the fuel cost recover</w:t>
      </w:r>
      <w:r w:rsidR="005938D1">
        <w:t>y docket is improper. (</w:t>
      </w:r>
      <w:r w:rsidR="006B05E0">
        <w:t xml:space="preserve">FIPUG </w:t>
      </w:r>
      <w:r w:rsidR="005938D1">
        <w:t>BR 6-7)</w:t>
      </w:r>
    </w:p>
    <w:p w:rsidR="00A45FAD" w:rsidRDefault="00A45FAD" w:rsidP="00A45FAD">
      <w:pPr>
        <w:jc w:val="both"/>
      </w:pPr>
    </w:p>
    <w:p w:rsidR="00A45FAD" w:rsidRDefault="00A45FAD" w:rsidP="00A45FAD">
      <w:pPr>
        <w:jc w:val="both"/>
      </w:pPr>
      <w:r>
        <w:t>FIPUG’s first and second arguments are essentially attempts to revive two issues previously raised by FIPUG and excluded by the Prehearing Officer at the Prehearing Conference.</w:t>
      </w:r>
      <w:r>
        <w:rPr>
          <w:rStyle w:val="FootnoteReference"/>
          <w:rFonts w:eastAsiaTheme="minorHAnsi"/>
        </w:rPr>
        <w:footnoteReference w:id="6"/>
      </w:r>
      <w:r>
        <w:t xml:space="preserve">   Nothing has changed since the Prehearing Conference and the determination that the terms of FPL’s 2016 Agreement, approved by Order No. PSC-</w:t>
      </w:r>
      <w:r w:rsidR="006B05E0">
        <w:t>2016</w:t>
      </w:r>
      <w:r>
        <w:t>-0560-AS-EI</w:t>
      </w:r>
      <w:r w:rsidR="00911B15">
        <w:t>,</w:t>
      </w:r>
      <w:r>
        <w:rPr>
          <w:rStyle w:val="FootnoteReference"/>
          <w:rFonts w:eastAsiaTheme="minorHAnsi"/>
        </w:rPr>
        <w:footnoteReference w:id="7"/>
      </w:r>
      <w:r>
        <w:t xml:space="preserve"> control and limit the issues regarding FPL’s solar generation projects to the cost-effectiveness issues stated in Issues 2P, 2Q, 2R and 2S continues to be valid.</w:t>
      </w:r>
      <w:r>
        <w:rPr>
          <w:rStyle w:val="FootnoteReference"/>
          <w:rFonts w:eastAsiaTheme="minorHAnsi"/>
        </w:rPr>
        <w:footnoteReference w:id="8"/>
      </w:r>
      <w:r w:rsidR="006B05E0">
        <w:t xml:space="preserve"> </w:t>
      </w:r>
      <w:r>
        <w:t>One could also conclude that FIPUG’s arguments are an attempt to collaterally attack Order No. PSC-</w:t>
      </w:r>
      <w:r w:rsidR="006B05E0">
        <w:t>20</w:t>
      </w:r>
      <w:r>
        <w:t xml:space="preserve">16-0560-AS-EI’s approval of the </w:t>
      </w:r>
      <w:proofErr w:type="spellStart"/>
      <w:r>
        <w:t>SoBRA</w:t>
      </w:r>
      <w:proofErr w:type="spellEnd"/>
      <w:r>
        <w:t xml:space="preserve"> process outlined therein.  </w:t>
      </w:r>
      <w:r w:rsidR="006B05E0">
        <w:t>(FPL BR 11-13)</w:t>
      </w:r>
      <w:r>
        <w:t xml:space="preserve"> FIPUG, as a party to the 2016 rate case, had an opportunity to appeal Order No. PSC-</w:t>
      </w:r>
      <w:r w:rsidR="006B05E0">
        <w:t>20</w:t>
      </w:r>
      <w:r>
        <w:t xml:space="preserve">16-0560-AS-EI and failed to do so.  FIPUG’s right to contest the 2016 </w:t>
      </w:r>
      <w:r w:rsidR="008055E3">
        <w:t>Agreement</w:t>
      </w:r>
      <w:r>
        <w:t>, and any of its terms and co</w:t>
      </w:r>
      <w:r w:rsidR="006B05E0">
        <w:t>nditions, has passed.</w:t>
      </w:r>
      <w:r>
        <w:t xml:space="preserve"> FIPUG’s third argument will be addressed in Issue 2P.</w:t>
      </w:r>
    </w:p>
    <w:p w:rsidR="00A45FAD" w:rsidRDefault="00A45FAD" w:rsidP="00A45FAD">
      <w:pPr>
        <w:jc w:val="both"/>
      </w:pPr>
    </w:p>
    <w:p w:rsidR="00A45FAD" w:rsidRDefault="00A45FAD" w:rsidP="00A45FAD">
      <w:pPr>
        <w:autoSpaceDE w:val="0"/>
        <w:autoSpaceDN w:val="0"/>
        <w:adjustRightInd w:val="0"/>
        <w:jc w:val="both"/>
      </w:pPr>
      <w:r>
        <w:t>FIPUG’s fourth argument appears to be that use of the fuel cost recovery clause factors to recover FPL’s proposed solar genera</w:t>
      </w:r>
      <w:r w:rsidR="006B05E0">
        <w:t>tion capital costs is improper.</w:t>
      </w:r>
      <w:r w:rsidR="002B28C3">
        <w:t xml:space="preserve"> </w:t>
      </w:r>
      <w:r>
        <w:t>However, FPL is not seeking to recover its proposed solar generation capital cos</w:t>
      </w:r>
      <w:r w:rsidR="006B05E0">
        <w:t>ts through fuel charge factors.</w:t>
      </w:r>
      <w:r w:rsidR="008055E3">
        <w:t xml:space="preserve"> As the 2016 </w:t>
      </w:r>
      <w:r>
        <w:t xml:space="preserve">Agreement clearly states, the capital costs associated with the proposed solar generation projects are </w:t>
      </w:r>
      <w:r w:rsidRPr="00911B15">
        <w:t>rate base adjustments</w:t>
      </w:r>
      <w:r>
        <w:rPr>
          <w:b/>
        </w:rPr>
        <w:t xml:space="preserve"> </w:t>
      </w:r>
      <w:r>
        <w:t>which are made to FPL’s books at the time the solar projects are placed into service.</w:t>
      </w:r>
      <w:r>
        <w:rPr>
          <w:rStyle w:val="FootnoteReference"/>
          <w:rFonts w:eastAsiaTheme="minorHAnsi"/>
        </w:rPr>
        <w:footnoteReference w:id="9"/>
      </w:r>
      <w:r>
        <w:t xml:space="preserve">  Staff agrees with FPL that the fuel cost recovery docket was simply used for administrative and procedural efficiency since it is an annual proceeding with a rela</w:t>
      </w:r>
      <w:r w:rsidR="006B05E0">
        <w:t>tively fixed filing schedule. (FPL BR 15-</w:t>
      </w:r>
      <w:r w:rsidR="0013546E">
        <w:t>1</w:t>
      </w:r>
      <w:r w:rsidR="006B05E0">
        <w:t>6)</w:t>
      </w:r>
      <w:r>
        <w:t xml:space="preserve"> Further, if the filing schedule for the fuel cost recovery docket is used, increases in base rates as a result of the approval of </w:t>
      </w:r>
      <w:proofErr w:type="spellStart"/>
      <w:r>
        <w:t>SoBRA</w:t>
      </w:r>
      <w:proofErr w:type="spellEnd"/>
      <w:r>
        <w:t xml:space="preserve"> projects can be coordinated with projected fuel costs which include those units.</w:t>
      </w:r>
    </w:p>
    <w:p w:rsidR="003676B5" w:rsidRDefault="003676B5" w:rsidP="003676B5">
      <w:pPr>
        <w:pStyle w:val="BodyText"/>
        <w:spacing w:after="0"/>
      </w:pPr>
    </w:p>
    <w:p w:rsidR="003676B5" w:rsidRDefault="003676B5" w:rsidP="003676B5">
      <w:pPr>
        <w:pStyle w:val="BodyText"/>
        <w:spacing w:after="0"/>
      </w:pPr>
      <w:r>
        <w:t>T</w:t>
      </w:r>
      <w:r w:rsidR="005042BB">
        <w:t>his issue involves a mathematical calculation that depends on informa</w:t>
      </w:r>
      <w:r w:rsidR="008055E3">
        <w:t>tion that is not yet available. F</w:t>
      </w:r>
      <w:r>
        <w:t xml:space="preserve">or that reason, </w:t>
      </w:r>
      <w:r w:rsidR="005042BB">
        <w:t>staff believes this issue cannot be resolved in the current hearing cycle.</w:t>
      </w:r>
      <w:r w:rsidR="00023FFE">
        <w:t xml:space="preserve"> </w:t>
      </w:r>
    </w:p>
    <w:p w:rsidR="003676B5" w:rsidRDefault="003676B5" w:rsidP="003676B5">
      <w:pPr>
        <w:pStyle w:val="BodyText"/>
        <w:spacing w:after="0"/>
        <w:jc w:val="center"/>
      </w:pPr>
    </w:p>
    <w:p w:rsidR="006B05E0" w:rsidRDefault="006B05E0" w:rsidP="003676B5">
      <w:pPr>
        <w:pStyle w:val="BodyText"/>
        <w:spacing w:after="0"/>
        <w:jc w:val="center"/>
      </w:pPr>
    </w:p>
    <w:p w:rsidR="003676B5" w:rsidRPr="00C157FC" w:rsidRDefault="003676B5" w:rsidP="003676B5">
      <w:pPr>
        <w:pStyle w:val="BodyText"/>
        <w:spacing w:after="0"/>
        <w:jc w:val="center"/>
        <w:rPr>
          <w:rFonts w:ascii="Arial" w:hAnsi="Arial" w:cs="Arial"/>
          <w:b/>
        </w:rPr>
      </w:pPr>
      <w:r>
        <w:rPr>
          <w:rFonts w:ascii="Arial" w:hAnsi="Arial" w:cs="Arial"/>
          <w:b/>
        </w:rPr>
        <w:lastRenderedPageBreak/>
        <w:t>Conclusion</w:t>
      </w:r>
    </w:p>
    <w:p w:rsidR="00484C9B" w:rsidRDefault="00911B15" w:rsidP="00136A86">
      <w:pPr>
        <w:pStyle w:val="BodyText"/>
        <w:spacing w:after="0"/>
      </w:pPr>
      <w:r>
        <w:t>Staff recommends that</w:t>
      </w:r>
      <w:r w:rsidR="00937DF3">
        <w:t xml:space="preserve"> this issue i</w:t>
      </w:r>
      <w:r w:rsidR="00484C9B">
        <w:t xml:space="preserve">s not ripe for consideration during the hearing cycle for 2018, and </w:t>
      </w:r>
      <w:r w:rsidR="002F630D">
        <w:t>should</w:t>
      </w:r>
      <w:r w:rsidR="00484C9B">
        <w:t xml:space="preserve"> be addressed in Docket No. 20190001-EI.</w:t>
      </w:r>
    </w:p>
    <w:p w:rsidR="00136A86" w:rsidRPr="003B0FE1" w:rsidRDefault="00136A86" w:rsidP="00136A86">
      <w:pPr>
        <w:pStyle w:val="BodyText"/>
        <w:spacing w:after="0"/>
      </w:pPr>
    </w:p>
    <w:p w:rsidR="005E3BB3" w:rsidRDefault="005E3BB3">
      <w:pPr>
        <w:pStyle w:val="BodyText"/>
        <w:rPr>
          <w:bCs/>
        </w:rPr>
      </w:pPr>
    </w:p>
    <w:p w:rsidR="007578E9" w:rsidRDefault="007578E9">
      <w:pPr>
        <w:pStyle w:val="BodyText"/>
        <w:rPr>
          <w:bCs/>
        </w:rPr>
        <w:sectPr w:rsidR="007578E9" w:rsidSect="002E4C6E">
          <w:headerReference w:type="default" r:id="rId13"/>
          <w:pgSz w:w="12240" w:h="15840" w:code="1"/>
          <w:pgMar w:top="1584" w:right="1440" w:bottom="1440" w:left="1440" w:header="720" w:footer="720" w:gutter="0"/>
          <w:cols w:space="720"/>
          <w:formProt w:val="0"/>
          <w:docGrid w:linePitch="360"/>
        </w:sectPr>
      </w:pPr>
    </w:p>
    <w:p w:rsidR="007911DA" w:rsidRDefault="007911DA" w:rsidP="007911DA">
      <w:pPr>
        <w:pStyle w:val="IssueHeading"/>
        <w:rPr>
          <w:vanish/>
          <w:specVanish/>
        </w:rPr>
      </w:pPr>
      <w:r w:rsidRPr="004C3641">
        <w:lastRenderedPageBreak/>
        <w:t xml:space="preserve">Issue </w:t>
      </w:r>
      <w:r>
        <w:t>2N</w:t>
      </w:r>
      <w:r w:rsidRPr="004C3641">
        <w:t>:</w:t>
      </w:r>
      <w:r>
        <w:fldChar w:fldCharType="begin"/>
      </w:r>
      <w:r>
        <w:instrText xml:space="preserve"> TC "</w:instrText>
      </w:r>
      <w:bookmarkStart w:id="16" w:name="_Toc530479144"/>
      <w:r>
        <w:instrText>2N</w:instrText>
      </w:r>
      <w:r>
        <w:tab/>
        <w:instrText>2018 SoBRA Factor</w:instrText>
      </w:r>
      <w:bookmarkEnd w:id="16"/>
      <w:r>
        <w:instrText xml:space="preserve">" \l  </w:instrText>
      </w:r>
      <w:r>
        <w:fldChar w:fldCharType="end"/>
      </w:r>
      <w:r>
        <w:t> </w:t>
      </w:r>
    </w:p>
    <w:p w:rsidR="007911DA" w:rsidRDefault="007911DA" w:rsidP="007911DA">
      <w:pPr>
        <w:pStyle w:val="BodyText"/>
      </w:pPr>
      <w:r>
        <w:t xml:space="preserve"> What is the appropriate revised </w:t>
      </w:r>
      <w:proofErr w:type="spellStart"/>
      <w:r>
        <w:t>SoBRA</w:t>
      </w:r>
      <w:proofErr w:type="spellEnd"/>
      <w:r>
        <w:t xml:space="preserve"> factor for the 2018 projects to reflect actual construction costs that are less than the projected costs used to develop the initial </w:t>
      </w:r>
      <w:proofErr w:type="spellStart"/>
      <w:r>
        <w:t>SoBRA</w:t>
      </w:r>
      <w:proofErr w:type="spellEnd"/>
      <w:r>
        <w:t xml:space="preserve"> factor? </w:t>
      </w:r>
    </w:p>
    <w:p w:rsidR="00937DF3" w:rsidRPr="004C3641" w:rsidRDefault="007911DA" w:rsidP="00937DF3">
      <w:pPr>
        <w:pStyle w:val="IssueSubsectionHeading"/>
        <w:rPr>
          <w:vanish/>
          <w:specVanish/>
        </w:rPr>
      </w:pPr>
      <w:r w:rsidRPr="004C3641">
        <w:t>R</w:t>
      </w:r>
      <w:r w:rsidR="00937DF3" w:rsidRPr="004C3641">
        <w:t>ecommendation: </w:t>
      </w:r>
    </w:p>
    <w:p w:rsidR="00937DF3" w:rsidRDefault="00937DF3" w:rsidP="00937DF3">
      <w:pPr>
        <w:pStyle w:val="BodyText"/>
      </w:pPr>
      <w:r>
        <w:t xml:space="preserve"> This issue is not ripe for consideration during the </w:t>
      </w:r>
      <w:r w:rsidR="002F630D">
        <w:t>hearing cycle for 2018, and should</w:t>
      </w:r>
      <w:r>
        <w:t xml:space="preserve"> be addressed in Docket No. 20190001-EI. (Barrett</w:t>
      </w:r>
      <w:r w:rsidR="00EA30B2">
        <w:t xml:space="preserve">, </w:t>
      </w:r>
      <w:proofErr w:type="spellStart"/>
      <w:r w:rsidR="00EA30B2">
        <w:t>Brownless</w:t>
      </w:r>
      <w:proofErr w:type="spellEnd"/>
      <w:r>
        <w:t xml:space="preserve">) </w:t>
      </w:r>
    </w:p>
    <w:p w:rsidR="00937DF3" w:rsidRPr="004C3641" w:rsidRDefault="00937DF3" w:rsidP="00937DF3">
      <w:pPr>
        <w:pStyle w:val="IssueSubsectionHeading"/>
        <w:keepNext/>
        <w:rPr>
          <w:iCs w:val="0"/>
        </w:rPr>
      </w:pPr>
      <w:r w:rsidRPr="004C3641">
        <w:rPr>
          <w:iCs w:val="0"/>
        </w:rPr>
        <w:t>Position of the Parties</w:t>
      </w:r>
    </w:p>
    <w:p w:rsidR="00937DF3" w:rsidRDefault="00937DF3" w:rsidP="00937DF3">
      <w:pPr>
        <w:ind w:left="1440" w:hanging="1440"/>
        <w:jc w:val="both"/>
      </w:pPr>
      <w:r w:rsidRPr="00321FAC">
        <w:rPr>
          <w:rFonts w:ascii="Arial" w:hAnsi="Arial" w:cs="Arial"/>
          <w:b/>
          <w:bCs/>
        </w:rPr>
        <w:t>FPL:</w:t>
      </w:r>
      <w:r w:rsidRPr="005D4B47">
        <w:tab/>
      </w:r>
      <w:r w:rsidR="00DA2B77">
        <w:t>T</w:t>
      </w:r>
      <w:r w:rsidR="00DA2B77" w:rsidRPr="007D29FA">
        <w:t xml:space="preserve">he </w:t>
      </w:r>
      <w:r w:rsidR="00DA2B77">
        <w:t>total costs of the 2018</w:t>
      </w:r>
      <w:r w:rsidR="00DA2B77" w:rsidRPr="007D29FA">
        <w:t xml:space="preserve"> </w:t>
      </w:r>
      <w:proofErr w:type="spellStart"/>
      <w:r w:rsidR="00DA2B77" w:rsidRPr="007D29FA">
        <w:t>SoBRA</w:t>
      </w:r>
      <w:proofErr w:type="spellEnd"/>
      <w:r w:rsidR="00DA2B77" w:rsidRPr="007D29FA">
        <w:t xml:space="preserve"> </w:t>
      </w:r>
      <w:r w:rsidR="00DA2B77">
        <w:t>P</w:t>
      </w:r>
      <w:r w:rsidR="00DA2B77" w:rsidRPr="007D29FA">
        <w:t>roject</w:t>
      </w:r>
      <w:r w:rsidR="00DA2B77">
        <w:t xml:space="preserve"> are not yet final</w:t>
      </w:r>
      <w:r w:rsidR="00DA2B77" w:rsidRPr="007D29FA">
        <w:t>.</w:t>
      </w:r>
      <w:r w:rsidR="00DA2B77">
        <w:t xml:space="preserve"> FPL</w:t>
      </w:r>
      <w:r w:rsidR="00DA2B77" w:rsidRPr="007D29FA">
        <w:t xml:space="preserve"> anticipates that final costs will be known by the third quarter of 2019</w:t>
      </w:r>
      <w:r w:rsidR="00DA2B77">
        <w:t>, and that the issue will be ripe for consideration during the 2019 Fuel Docket cycle.</w:t>
      </w:r>
    </w:p>
    <w:p w:rsidR="00937DF3" w:rsidRDefault="00937DF3" w:rsidP="00937DF3">
      <w:pPr>
        <w:ind w:left="1440" w:hanging="1440"/>
        <w:jc w:val="both"/>
        <w:rPr>
          <w:b/>
          <w:bCs/>
        </w:rPr>
      </w:pPr>
    </w:p>
    <w:p w:rsidR="00937DF3" w:rsidRDefault="00937DF3" w:rsidP="00937DF3">
      <w:pPr>
        <w:ind w:left="1440" w:hanging="1440"/>
        <w:jc w:val="both"/>
      </w:pPr>
      <w:r w:rsidRPr="00321FAC">
        <w:rPr>
          <w:rFonts w:ascii="Arial" w:hAnsi="Arial" w:cs="Arial"/>
          <w:b/>
          <w:bCs/>
        </w:rPr>
        <w:t>FIPUG:</w:t>
      </w:r>
      <w:r w:rsidRPr="005D4B47">
        <w:tab/>
      </w:r>
      <w:r>
        <w:t xml:space="preserve">As the </w:t>
      </w:r>
      <w:proofErr w:type="spellStart"/>
      <w:r>
        <w:t>SoBRA</w:t>
      </w:r>
      <w:proofErr w:type="spellEnd"/>
      <w:r>
        <w:t xml:space="preserve"> projects are neither cost effective nor needed, no new rates should be recovered.</w:t>
      </w:r>
    </w:p>
    <w:p w:rsidR="00937DF3" w:rsidRDefault="00937DF3" w:rsidP="00937DF3">
      <w:pPr>
        <w:ind w:left="1440" w:hanging="1440"/>
        <w:jc w:val="both"/>
      </w:pPr>
    </w:p>
    <w:p w:rsidR="00937DF3" w:rsidRPr="004C3641" w:rsidRDefault="00937DF3" w:rsidP="00937DF3">
      <w:pPr>
        <w:pStyle w:val="IssueSubsectionHeading"/>
        <w:rPr>
          <w:vanish/>
          <w:specVanish/>
        </w:rPr>
      </w:pPr>
      <w:r w:rsidRPr="004C3641">
        <w:t>Staff Analysis: </w:t>
      </w:r>
    </w:p>
    <w:p w:rsidR="00FA2C15" w:rsidRDefault="00937DF3" w:rsidP="00FA2C15">
      <w:pPr>
        <w:pStyle w:val="BodyText"/>
        <w:spacing w:after="0"/>
      </w:pPr>
      <w:r>
        <w:t> This issue is substantially si</w:t>
      </w:r>
      <w:r w:rsidR="00FA2C15">
        <w:t xml:space="preserve">milar to Issue 2M, </w:t>
      </w:r>
      <w:r w:rsidR="00BF04E3">
        <w:t xml:space="preserve">as it addresses </w:t>
      </w:r>
      <w:r>
        <w:t>calculating</w:t>
      </w:r>
      <w:r w:rsidR="00FA2C15">
        <w:t xml:space="preserve"> a</w:t>
      </w:r>
      <w:r>
        <w:t xml:space="preserve"> revised </w:t>
      </w:r>
      <w:proofErr w:type="spellStart"/>
      <w:r>
        <w:t>SoBRA</w:t>
      </w:r>
      <w:proofErr w:type="spellEnd"/>
      <w:r>
        <w:t xml:space="preserve"> factor based upon actual construction costs.</w:t>
      </w:r>
      <w:r w:rsidR="00BF04E3">
        <w:t xml:space="preserve"> Issue 2M addresses the 2017 projects and Issue 2N addresses the 2018 projects.</w:t>
      </w:r>
      <w:r>
        <w:t xml:space="preserve"> </w:t>
      </w:r>
    </w:p>
    <w:p w:rsidR="00321FAC" w:rsidRDefault="00937DF3" w:rsidP="00FA2C15">
      <w:pPr>
        <w:pStyle w:val="BodyText"/>
        <w:spacing w:after="0"/>
      </w:pPr>
      <w:r>
        <w:t xml:space="preserve"> </w:t>
      </w:r>
    </w:p>
    <w:p w:rsidR="00321FAC" w:rsidRPr="00C157FC" w:rsidRDefault="00321FAC" w:rsidP="00FA2C15">
      <w:pPr>
        <w:pStyle w:val="BodyText"/>
        <w:spacing w:after="0"/>
        <w:jc w:val="center"/>
        <w:rPr>
          <w:rFonts w:ascii="Arial" w:hAnsi="Arial" w:cs="Arial"/>
          <w:b/>
        </w:rPr>
      </w:pPr>
      <w:r>
        <w:rPr>
          <w:rFonts w:ascii="Arial" w:hAnsi="Arial" w:cs="Arial"/>
          <w:b/>
        </w:rPr>
        <w:t>Parties’ Arguments</w:t>
      </w:r>
    </w:p>
    <w:p w:rsidR="00293F63" w:rsidRDefault="00DA2B77" w:rsidP="00FA2C15">
      <w:pPr>
        <w:pStyle w:val="BodyText2S"/>
        <w:keepNext/>
        <w:spacing w:line="240" w:lineRule="auto"/>
        <w:ind w:firstLine="0"/>
      </w:pPr>
      <w:r>
        <w:t>A</w:t>
      </w:r>
      <w:r w:rsidR="00293F63">
        <w:t xml:space="preserve">s the result </w:t>
      </w:r>
      <w:r w:rsidR="00F61C2C">
        <w:t xml:space="preserve">of </w:t>
      </w:r>
      <w:r w:rsidR="00293F63">
        <w:t>discussions among and between the parties in advance of the hearing, an agreement was reached to excuse all of the FPL witnesses that addressed this issue. In its brief,</w:t>
      </w:r>
      <w:r w:rsidR="00293F63">
        <w:rPr>
          <w:rStyle w:val="FootnoteReference"/>
        </w:rPr>
        <w:footnoteReference w:id="10"/>
      </w:r>
      <w:r w:rsidR="00293F63">
        <w:t xml:space="preserve"> the Company asserted that final construction costs for the 2018 </w:t>
      </w:r>
      <w:proofErr w:type="spellStart"/>
      <w:r w:rsidR="00293F63">
        <w:t>SoBRA</w:t>
      </w:r>
      <w:proofErr w:type="spellEnd"/>
      <w:r w:rsidR="00293F63">
        <w:t xml:space="preserve"> Project are not yet known</w:t>
      </w:r>
      <w:r w:rsidR="002F630D">
        <w:t>, and thus, cannot be resolved</w:t>
      </w:r>
      <w:r w:rsidR="00293F63">
        <w:t xml:space="preserve"> in this hearing cycle</w:t>
      </w:r>
      <w:r w:rsidR="002F630D">
        <w:t>. The</w:t>
      </w:r>
      <w:r w:rsidR="00293F63">
        <w:t xml:space="preserve"> calculation</w:t>
      </w:r>
      <w:r w:rsidR="002F630D">
        <w:t xml:space="preserve"> and resulting factor, however,</w:t>
      </w:r>
      <w:r w:rsidR="00293F63">
        <w:t xml:space="preserve"> could be addressed in 2019. In its brief, FPL stated that although not final, the preliminary information indicates that final costs will be lower than the cost estimates that were used to develop the revenue </w:t>
      </w:r>
      <w:r w:rsidR="00213A3C">
        <w:t>requirements</w:t>
      </w:r>
      <w:r w:rsidR="00293F63">
        <w:t xml:space="preserve"> and cost recovery factors for these projects</w:t>
      </w:r>
      <w:r w:rsidR="00293F63" w:rsidRPr="006A2BEF">
        <w:t>. (FPL BR 20)</w:t>
      </w:r>
      <w:r w:rsidR="00293F63">
        <w:t xml:space="preserve"> </w:t>
      </w:r>
      <w:r w:rsidR="00417558">
        <w:t xml:space="preserve">Citing </w:t>
      </w:r>
      <w:r w:rsidR="00293F63">
        <w:t>paragr</w:t>
      </w:r>
      <w:r w:rsidR="00417558">
        <w:t xml:space="preserve">aph 10(g) of the 2016 Agreement, FPL asserted that </w:t>
      </w:r>
      <w:r w:rsidR="00FA2C15">
        <w:t>if</w:t>
      </w:r>
      <w:r w:rsidR="00293F63" w:rsidRPr="00AC02CE">
        <w:t xml:space="preserve"> </w:t>
      </w:r>
      <w:r w:rsidR="00293F63" w:rsidRPr="00AC02CE">
        <w:rPr>
          <w:i/>
        </w:rPr>
        <w:t>actual</w:t>
      </w:r>
      <w:r w:rsidR="00293F63" w:rsidRPr="00AC02CE">
        <w:t xml:space="preserve"> capital expenditures are less than the projected costs used to develop the initial </w:t>
      </w:r>
      <w:proofErr w:type="spellStart"/>
      <w:r w:rsidR="00293F63" w:rsidRPr="00AC02CE">
        <w:t>SoBR</w:t>
      </w:r>
      <w:r w:rsidR="00FA2C15">
        <w:t>A</w:t>
      </w:r>
      <w:proofErr w:type="spellEnd"/>
      <w:r w:rsidR="00FA2C15">
        <w:t xml:space="preserve"> factor, the lower figure will</w:t>
      </w:r>
      <w:r w:rsidR="00293F63" w:rsidRPr="00AC02CE">
        <w:t xml:space="preserve"> be the basis for the full revenue requirements</w:t>
      </w:r>
      <w:r w:rsidR="00FA2C15">
        <w:t>,</w:t>
      </w:r>
      <w:r w:rsidR="00293F63" w:rsidRPr="00AC02CE">
        <w:t xml:space="preserve"> and a one-time credit will be made through the </w:t>
      </w:r>
      <w:r w:rsidR="00FA2C15">
        <w:t xml:space="preserve">Capacity Cost Recovery </w:t>
      </w:r>
      <w:r w:rsidR="00293F63" w:rsidRPr="00AC02CE">
        <w:t>Clause.</w:t>
      </w:r>
      <w:r w:rsidR="00FA2C15">
        <w:t xml:space="preserve"> </w:t>
      </w:r>
      <w:r w:rsidR="00293F63">
        <w:t>(FPL BR 20</w:t>
      </w:r>
      <w:r w:rsidR="00FA2C15">
        <w:t>, emphasis in original</w:t>
      </w:r>
      <w:r w:rsidR="00293F63">
        <w:t>)</w:t>
      </w:r>
    </w:p>
    <w:p w:rsidR="00293F63" w:rsidRDefault="00293F63" w:rsidP="00293F63">
      <w:pPr>
        <w:autoSpaceDE w:val="0"/>
        <w:autoSpaceDN w:val="0"/>
        <w:adjustRightInd w:val="0"/>
        <w:jc w:val="both"/>
      </w:pPr>
    </w:p>
    <w:p w:rsidR="00937DF3" w:rsidRDefault="003676B5" w:rsidP="00293F63">
      <w:pPr>
        <w:autoSpaceDE w:val="0"/>
        <w:autoSpaceDN w:val="0"/>
        <w:adjustRightInd w:val="0"/>
        <w:jc w:val="both"/>
      </w:pPr>
      <w:r>
        <w:t xml:space="preserve">FIPUG did not sponsor a witness to address this issue </w:t>
      </w:r>
      <w:r w:rsidR="00BF04E3">
        <w:t>n</w:t>
      </w:r>
      <w:r>
        <w:t xml:space="preserve">or specifically </w:t>
      </w:r>
      <w:r w:rsidR="00304D65">
        <w:t>address this issue in its post-</w:t>
      </w:r>
      <w:r>
        <w:t>hearing brief.</w:t>
      </w:r>
      <w:r w:rsidR="00B80532">
        <w:t xml:space="preserve"> The </w:t>
      </w:r>
      <w:r>
        <w:t>legal arguments raised by FIPUG relative to this issue are discuss</w:t>
      </w:r>
      <w:r w:rsidR="00EA30B2">
        <w:t>ed</w:t>
      </w:r>
      <w:r>
        <w:t xml:space="preserve"> in </w:t>
      </w:r>
      <w:r w:rsidR="00EA30B2">
        <w:t xml:space="preserve"> Issue 2M above.</w:t>
      </w:r>
    </w:p>
    <w:p w:rsidR="00937DF3" w:rsidRDefault="00937DF3" w:rsidP="00937DF3">
      <w:pPr>
        <w:autoSpaceDE w:val="0"/>
        <w:autoSpaceDN w:val="0"/>
        <w:adjustRightInd w:val="0"/>
        <w:jc w:val="both"/>
      </w:pPr>
    </w:p>
    <w:p w:rsidR="00937DF3" w:rsidRPr="00C157FC" w:rsidRDefault="00321FAC" w:rsidP="00136A86">
      <w:pPr>
        <w:pStyle w:val="BodyText"/>
        <w:spacing w:after="0"/>
        <w:jc w:val="center"/>
        <w:rPr>
          <w:rFonts w:ascii="Arial" w:hAnsi="Arial" w:cs="Arial"/>
          <w:b/>
        </w:rPr>
      </w:pPr>
      <w:r>
        <w:rPr>
          <w:rFonts w:ascii="Arial" w:hAnsi="Arial" w:cs="Arial"/>
          <w:b/>
        </w:rPr>
        <w:t>Analysis</w:t>
      </w:r>
    </w:p>
    <w:p w:rsidR="00EA30B2" w:rsidRDefault="00EA30B2" w:rsidP="00EA30B2">
      <w:pPr>
        <w:pStyle w:val="BodyText"/>
        <w:spacing w:after="0"/>
      </w:pPr>
      <w:r>
        <w:t>This issue involves a mathematical calculation that depends on inform</w:t>
      </w:r>
      <w:r w:rsidR="00BF04E3">
        <w:t>ation that is not yet available. F</w:t>
      </w:r>
      <w:r>
        <w:t xml:space="preserve">or that reason, staff believes this issue cannot be resolved in the current hearing cycle. </w:t>
      </w:r>
    </w:p>
    <w:p w:rsidR="00EA30B2" w:rsidRDefault="00EA30B2" w:rsidP="00EA30B2">
      <w:pPr>
        <w:pStyle w:val="BodyText"/>
        <w:spacing w:after="0"/>
        <w:jc w:val="center"/>
      </w:pPr>
    </w:p>
    <w:p w:rsidR="00EA30B2" w:rsidRPr="00C157FC" w:rsidRDefault="00EA30B2" w:rsidP="00EA30B2">
      <w:pPr>
        <w:pStyle w:val="BodyText"/>
        <w:spacing w:after="0"/>
        <w:jc w:val="center"/>
        <w:rPr>
          <w:rFonts w:ascii="Arial" w:hAnsi="Arial" w:cs="Arial"/>
          <w:b/>
        </w:rPr>
      </w:pPr>
      <w:r>
        <w:rPr>
          <w:rFonts w:ascii="Arial" w:hAnsi="Arial" w:cs="Arial"/>
          <w:b/>
        </w:rPr>
        <w:t>Conclusion</w:t>
      </w:r>
    </w:p>
    <w:p w:rsidR="00EA30B2" w:rsidRPr="003B0FE1" w:rsidRDefault="00911B15" w:rsidP="00EA30B2">
      <w:pPr>
        <w:pStyle w:val="BodyText"/>
        <w:spacing w:after="0"/>
      </w:pPr>
      <w:r>
        <w:t>Staff recommends that</w:t>
      </w:r>
      <w:r w:rsidR="00EA30B2">
        <w:t xml:space="preserve"> this issue is not ripe for consideration during the hearing cycle for 2018, and should be addressed in Docket No. 20190001-EI.</w:t>
      </w:r>
    </w:p>
    <w:p w:rsidR="00A47AF5" w:rsidRPr="00A47AF5" w:rsidRDefault="00A47AF5" w:rsidP="00A47AF5">
      <w:pPr>
        <w:pStyle w:val="BodyText"/>
        <w:sectPr w:rsidR="00A47AF5" w:rsidRPr="00A47AF5" w:rsidSect="002E4C6E">
          <w:headerReference w:type="default" r:id="rId14"/>
          <w:pgSz w:w="12240" w:h="15840" w:code="1"/>
          <w:pgMar w:top="1584" w:right="1440" w:bottom="1440" w:left="1440" w:header="720" w:footer="720" w:gutter="0"/>
          <w:cols w:space="720"/>
          <w:formProt w:val="0"/>
          <w:docGrid w:linePitch="360"/>
        </w:sectPr>
      </w:pPr>
    </w:p>
    <w:p w:rsidR="007911DA" w:rsidRDefault="007911DA">
      <w:pPr>
        <w:pStyle w:val="IssueHeading"/>
        <w:rPr>
          <w:vanish/>
          <w:specVanish/>
        </w:rPr>
      </w:pPr>
      <w:r w:rsidRPr="004C3641">
        <w:lastRenderedPageBreak/>
        <w:t xml:space="preserve">Issue </w:t>
      </w:r>
      <w:r>
        <w:t>2P</w:t>
      </w:r>
      <w:r w:rsidRPr="004C3641">
        <w:t>:</w:t>
      </w:r>
      <w:r>
        <w:fldChar w:fldCharType="begin"/>
      </w:r>
      <w:r>
        <w:instrText xml:space="preserve"> TC "</w:instrText>
      </w:r>
      <w:bookmarkStart w:id="17" w:name="_Toc530479145"/>
      <w:r>
        <w:instrText>2P</w:instrText>
      </w:r>
      <w:r>
        <w:tab/>
        <w:instrText>2019 SoBRA Cost Effective Issue</w:instrText>
      </w:r>
      <w:bookmarkEnd w:id="17"/>
      <w:r>
        <w:instrText xml:space="preserve">" \l  </w:instrText>
      </w:r>
      <w:r>
        <w:fldChar w:fldCharType="end"/>
      </w:r>
      <w:r>
        <w:t> </w:t>
      </w:r>
    </w:p>
    <w:p w:rsidR="007911DA" w:rsidRDefault="007911DA">
      <w:pPr>
        <w:pStyle w:val="BodyText"/>
      </w:pPr>
      <w:r>
        <w:t xml:space="preserve"> Are the 2019 </w:t>
      </w:r>
      <w:proofErr w:type="spellStart"/>
      <w:r>
        <w:t>SoBRA</w:t>
      </w:r>
      <w:proofErr w:type="spellEnd"/>
      <w:r>
        <w:t xml:space="preserve"> projects (Miami-Dade, Interstate, Pioneer Trail, </w:t>
      </w:r>
      <w:r w:rsidR="005042BB">
        <w:t>and Sunshine</w:t>
      </w:r>
      <w:r>
        <w:t xml:space="preserve"> Gateway) proposed by FPL cost effective? </w:t>
      </w:r>
    </w:p>
    <w:p w:rsidR="007911DA" w:rsidRPr="004C3641" w:rsidRDefault="007911DA">
      <w:pPr>
        <w:pStyle w:val="IssueSubsectionHeading"/>
        <w:rPr>
          <w:vanish/>
          <w:specVanish/>
        </w:rPr>
      </w:pPr>
      <w:r w:rsidRPr="004C3641">
        <w:t>Recommendation: </w:t>
      </w:r>
    </w:p>
    <w:p w:rsidR="007911DA" w:rsidRDefault="007911DA">
      <w:pPr>
        <w:pStyle w:val="BodyText"/>
      </w:pPr>
      <w:r>
        <w:t> </w:t>
      </w:r>
      <w:r w:rsidR="00A46885">
        <w:t>Yes.</w:t>
      </w:r>
      <w:r w:rsidR="00A46885" w:rsidRPr="00C97BF3">
        <w:t xml:space="preserve"> </w:t>
      </w:r>
      <w:r w:rsidR="00A46885">
        <w:t>Based on the evidence contained in the record, FPL’s proposed 2019 solar generation projects are projected to produce savings under multiple scenarios</w:t>
      </w:r>
      <w:r w:rsidR="00A04651">
        <w:t xml:space="preserve"> and therefore are cost effective</w:t>
      </w:r>
      <w:r w:rsidR="00A46885">
        <w:t xml:space="preserve">. The 2019 solar generation projects have also met the terms of </w:t>
      </w:r>
      <w:r w:rsidR="00BE688F">
        <w:t xml:space="preserve">the </w:t>
      </w:r>
      <w:r w:rsidR="00A46885">
        <w:t xml:space="preserve">2016 </w:t>
      </w:r>
      <w:r w:rsidR="00BF04E3">
        <w:t xml:space="preserve">Agreement </w:t>
      </w:r>
      <w:r w:rsidR="00A46885">
        <w:t xml:space="preserve">in regards to keeping construction cost under the $1,750 </w:t>
      </w:r>
      <w:r w:rsidR="00A46885" w:rsidRPr="00B85ACE">
        <w:t>per kilowatt alternating current</w:t>
      </w:r>
      <w:r w:rsidR="00A46885">
        <w:t xml:space="preserve"> (</w:t>
      </w:r>
      <w:proofErr w:type="spellStart"/>
      <w:r w:rsidR="00A46885">
        <w:t>kW</w:t>
      </w:r>
      <w:r w:rsidR="00A46885" w:rsidRPr="002A170F">
        <w:rPr>
          <w:vertAlign w:val="subscript"/>
        </w:rPr>
        <w:t>ac</w:t>
      </w:r>
      <w:proofErr w:type="spellEnd"/>
      <w:r w:rsidR="00A46885">
        <w:t>) cost cap. (Wooten</w:t>
      </w:r>
      <w:r w:rsidR="006B05E0">
        <w:t xml:space="preserve">, </w:t>
      </w:r>
      <w:proofErr w:type="spellStart"/>
      <w:r w:rsidR="006B05E0">
        <w:t>Brownless</w:t>
      </w:r>
      <w:proofErr w:type="spellEnd"/>
      <w:r w:rsidR="00A46885">
        <w:t>)</w:t>
      </w:r>
      <w:r>
        <w:t xml:space="preserve"> </w:t>
      </w:r>
    </w:p>
    <w:p w:rsidR="007911DA" w:rsidRPr="004C3641" w:rsidRDefault="007911DA">
      <w:pPr>
        <w:pStyle w:val="IssueSubsectionHeading"/>
        <w:keepNext/>
        <w:rPr>
          <w:iCs w:val="0"/>
        </w:rPr>
      </w:pPr>
      <w:r w:rsidRPr="004C3641">
        <w:rPr>
          <w:iCs w:val="0"/>
        </w:rPr>
        <w:t>Position of the Parties</w:t>
      </w:r>
    </w:p>
    <w:p w:rsidR="007911DA" w:rsidRDefault="007911DA" w:rsidP="007911DA">
      <w:pPr>
        <w:ind w:left="1440" w:hanging="1440"/>
        <w:jc w:val="both"/>
      </w:pPr>
      <w:r w:rsidRPr="00321FAC">
        <w:rPr>
          <w:rFonts w:ascii="Arial" w:hAnsi="Arial" w:cs="Arial"/>
          <w:b/>
          <w:bCs/>
        </w:rPr>
        <w:t>FPL:</w:t>
      </w:r>
      <w:r w:rsidRPr="005D4B47">
        <w:tab/>
      </w:r>
      <w:r w:rsidR="00A46885">
        <w:t>Yes.  FPL undertook a comprehensive solicitation process to ensure that the cost of the 2019 Project is reasonable and well below $1,750 per kW.  In addition, t</w:t>
      </w:r>
      <w:r w:rsidR="00A46885" w:rsidRPr="00507C39">
        <w:t xml:space="preserve">he 2019 </w:t>
      </w:r>
      <w:r w:rsidR="00A46885">
        <w:t>P</w:t>
      </w:r>
      <w:r w:rsidR="00A46885" w:rsidRPr="00507C39">
        <w:t xml:space="preserve">roject </w:t>
      </w:r>
      <w:r w:rsidR="00A46885">
        <w:t xml:space="preserve">is cost-effective and is estimated </w:t>
      </w:r>
      <w:r w:rsidR="00A46885" w:rsidRPr="00507C39">
        <w:t>to result in $40 million (CPVRR) of customer saving</w:t>
      </w:r>
      <w:r w:rsidRPr="00810CDD">
        <w:t>s.</w:t>
      </w:r>
    </w:p>
    <w:p w:rsidR="00321FAC" w:rsidRDefault="00321FAC" w:rsidP="00321FAC">
      <w:pPr>
        <w:ind w:left="1440" w:hanging="1440"/>
        <w:jc w:val="both"/>
      </w:pPr>
    </w:p>
    <w:p w:rsidR="00321FAC" w:rsidRDefault="00321FAC" w:rsidP="00321FAC">
      <w:pPr>
        <w:ind w:left="1440" w:hanging="1440"/>
        <w:jc w:val="both"/>
      </w:pPr>
      <w:r w:rsidRPr="00321FAC">
        <w:rPr>
          <w:rFonts w:ascii="Arial" w:hAnsi="Arial" w:cs="Arial"/>
          <w:b/>
          <w:bCs/>
        </w:rPr>
        <w:t>FIPUG:</w:t>
      </w:r>
      <w:r w:rsidRPr="005D4B47">
        <w:tab/>
      </w:r>
      <w:r w:rsidR="00A62EB6">
        <w:t>No</w:t>
      </w:r>
      <w:r w:rsidR="00A46885">
        <w:t>.</w:t>
      </w:r>
    </w:p>
    <w:p w:rsidR="00FC78B5" w:rsidRDefault="00FC78B5" w:rsidP="00FA2C15">
      <w:pPr>
        <w:pStyle w:val="IssueSubsectionHeading"/>
        <w:spacing w:after="0"/>
      </w:pPr>
    </w:p>
    <w:p w:rsidR="007911DA" w:rsidRPr="004C3641" w:rsidRDefault="007911DA" w:rsidP="00FA2C15">
      <w:pPr>
        <w:pStyle w:val="IssueSubsectionHeading"/>
        <w:spacing w:after="0"/>
        <w:rPr>
          <w:vanish/>
          <w:specVanish/>
        </w:rPr>
      </w:pPr>
      <w:r w:rsidRPr="004C3641">
        <w:t>Staff Analysis: </w:t>
      </w:r>
    </w:p>
    <w:p w:rsidR="00FC78B5" w:rsidRPr="00A746C9" w:rsidRDefault="007911DA">
      <w:pPr>
        <w:pStyle w:val="BodyText"/>
        <w:rPr>
          <w:bCs/>
        </w:rPr>
      </w:pPr>
      <w:r>
        <w:t> </w:t>
      </w:r>
    </w:p>
    <w:p w:rsidR="00A746C9" w:rsidRPr="008C649F" w:rsidRDefault="00A746C9" w:rsidP="00A746C9">
      <w:pPr>
        <w:autoSpaceDE w:val="0"/>
        <w:autoSpaceDN w:val="0"/>
        <w:adjustRightInd w:val="0"/>
        <w:jc w:val="center"/>
        <w:rPr>
          <w:rFonts w:ascii="Arial" w:hAnsi="Arial" w:cs="Arial"/>
          <w:b/>
          <w:bCs/>
        </w:rPr>
      </w:pPr>
      <w:r>
        <w:rPr>
          <w:rFonts w:ascii="Arial" w:hAnsi="Arial" w:cs="Arial"/>
          <w:b/>
          <w:bCs/>
        </w:rPr>
        <w:t xml:space="preserve">Parties’ </w:t>
      </w:r>
      <w:r w:rsidRPr="008C649F">
        <w:rPr>
          <w:rFonts w:ascii="Arial" w:hAnsi="Arial" w:cs="Arial"/>
          <w:b/>
          <w:bCs/>
        </w:rPr>
        <w:t>Arguments</w:t>
      </w:r>
    </w:p>
    <w:p w:rsidR="00A746C9" w:rsidRDefault="00A746C9" w:rsidP="00A746C9">
      <w:pPr>
        <w:autoSpaceDE w:val="0"/>
        <w:autoSpaceDN w:val="0"/>
        <w:adjustRightInd w:val="0"/>
        <w:ind w:firstLine="720"/>
        <w:jc w:val="both"/>
        <w:rPr>
          <w:rFonts w:ascii="Arial" w:hAnsi="Arial" w:cs="Arial"/>
          <w:b/>
          <w:bCs/>
          <w:i/>
        </w:rPr>
      </w:pPr>
      <w:r w:rsidRPr="008C649F">
        <w:rPr>
          <w:rFonts w:ascii="Arial" w:hAnsi="Arial" w:cs="Arial"/>
          <w:b/>
          <w:bCs/>
          <w:i/>
        </w:rPr>
        <w:t>FPL</w:t>
      </w:r>
    </w:p>
    <w:p w:rsidR="00CA6166" w:rsidRPr="00032825" w:rsidRDefault="00CA6166" w:rsidP="00CA6166">
      <w:pPr>
        <w:pStyle w:val="BodyText"/>
        <w:spacing w:after="0"/>
      </w:pPr>
      <w:r>
        <w:t>Purs</w:t>
      </w:r>
      <w:r w:rsidR="0075075D">
        <w:t>uant to the 2016 Agreement, FPL</w:t>
      </w:r>
      <w:r w:rsidR="00BE688F">
        <w:t xml:space="preserve"> proposed</w:t>
      </w:r>
      <w:r>
        <w:t xml:space="preserve"> to construct and operate 298 MW of sola</w:t>
      </w:r>
      <w:r w:rsidR="00BE688F">
        <w:t>r generation by 2019. FPL stated</w:t>
      </w:r>
      <w:r>
        <w:t xml:space="preserve"> that an economic analysis was performed to determine the technology with the greatest value for customers. (FPL </w:t>
      </w:r>
      <w:r w:rsidR="00BE688F">
        <w:t>BR 4) FPL asserted</w:t>
      </w:r>
      <w:r w:rsidRPr="00032825">
        <w:t xml:space="preserve"> that the 2019 </w:t>
      </w:r>
      <w:proofErr w:type="spellStart"/>
      <w:r w:rsidRPr="00032825">
        <w:t>SoBRA</w:t>
      </w:r>
      <w:proofErr w:type="spellEnd"/>
      <w:r w:rsidRPr="00032825">
        <w:t xml:space="preserve"> projects are projected to result in $40 million Cumulative Present Value Revenue Requirement (CPVRR) of customer savings and that the costs for the 2019 projects are reasonable and fall below the $1,750 per </w:t>
      </w:r>
      <w:proofErr w:type="spellStart"/>
      <w:r w:rsidRPr="00032825">
        <w:t>kW</w:t>
      </w:r>
      <w:r w:rsidRPr="00032825">
        <w:rPr>
          <w:vertAlign w:val="subscript"/>
        </w:rPr>
        <w:t>ac</w:t>
      </w:r>
      <w:proofErr w:type="spellEnd"/>
      <w:r w:rsidRPr="00032825">
        <w:rPr>
          <w:vertAlign w:val="subscript"/>
        </w:rPr>
        <w:t xml:space="preserve"> </w:t>
      </w:r>
      <w:r w:rsidR="00BE688F">
        <w:t>cost cap. (FPL BR 2) FPL asserted</w:t>
      </w:r>
      <w:r w:rsidRPr="00032825">
        <w:t xml:space="preserve"> that the 2016 Agreement provides that the 2019 projects are cost effective if they lower the system CPVRR without them, which FPL claims the 2019 projects do. (FPL BR 8)</w:t>
      </w:r>
    </w:p>
    <w:p w:rsidR="00CA6166" w:rsidRPr="00032825" w:rsidRDefault="00CA6166" w:rsidP="00CA6166">
      <w:pPr>
        <w:pStyle w:val="BodyText"/>
        <w:spacing w:after="0"/>
      </w:pPr>
    </w:p>
    <w:p w:rsidR="00A46885" w:rsidRDefault="00BE688F" w:rsidP="00CA6166">
      <w:pPr>
        <w:pStyle w:val="BodyText"/>
      </w:pPr>
      <w:r>
        <w:t>FPL stated</w:t>
      </w:r>
      <w:r w:rsidR="00CA6166">
        <w:t xml:space="preserve"> that the Commission is not required to determine need or separately evaluate prudence, which would cast aside the terms of 2016 A</w:t>
      </w:r>
      <w:r>
        <w:t>greement. (FPL BR 12) FPL claimed</w:t>
      </w:r>
      <w:r w:rsidR="00CA6166">
        <w:t xml:space="preserve"> that, similar to the previous </w:t>
      </w:r>
      <w:proofErr w:type="spellStart"/>
      <w:r w:rsidR="00CA6166">
        <w:t>SoBRA</w:t>
      </w:r>
      <w:proofErr w:type="spellEnd"/>
      <w:r w:rsidR="00CA6166">
        <w:t xml:space="preserve"> proceedings, </w:t>
      </w:r>
      <w:r>
        <w:t>the Commission is not basing it</w:t>
      </w:r>
      <w:r w:rsidR="00CA6166">
        <w:t>s decision on carbon cost forecastin</w:t>
      </w:r>
      <w:r>
        <w:t>g, but the expert testimony of w</w:t>
      </w:r>
      <w:r w:rsidR="00CA6166">
        <w:t xml:space="preserve">itness </w:t>
      </w:r>
      <w:proofErr w:type="spellStart"/>
      <w:r w:rsidR="00CA6166">
        <w:t>Enjamio</w:t>
      </w:r>
      <w:proofErr w:type="spellEnd"/>
      <w:r w:rsidR="00CA6166">
        <w:t>. (FPL BR 13</w:t>
      </w:r>
      <w:r w:rsidR="00A46885">
        <w:t>)</w:t>
      </w:r>
    </w:p>
    <w:p w:rsidR="00A46885" w:rsidRDefault="00A46885" w:rsidP="00A46885">
      <w:pPr>
        <w:pStyle w:val="Second-LevelSubheading"/>
      </w:pPr>
      <w:r>
        <w:t>FIPUG</w:t>
      </w:r>
    </w:p>
    <w:p w:rsidR="00BF5801" w:rsidRDefault="007578E9" w:rsidP="00BF5801">
      <w:pPr>
        <w:autoSpaceDE w:val="0"/>
        <w:autoSpaceDN w:val="0"/>
        <w:adjustRightInd w:val="0"/>
        <w:jc w:val="both"/>
      </w:pPr>
      <w:r>
        <w:t xml:space="preserve">FIPUG did not sponsor a witness to address this issue. The FIPUG brief presented broad arguments about its objections to FPL’s </w:t>
      </w:r>
      <w:proofErr w:type="spellStart"/>
      <w:r>
        <w:t>SoBR</w:t>
      </w:r>
      <w:r w:rsidR="00EA30B2">
        <w:t>A</w:t>
      </w:r>
      <w:proofErr w:type="spellEnd"/>
      <w:r w:rsidR="00EA30B2">
        <w:t xml:space="preserve"> projects, which staff address</w:t>
      </w:r>
      <w:r>
        <w:t xml:space="preserve">ed in Issue </w:t>
      </w:r>
      <w:r w:rsidR="00EA30B2">
        <w:t>2M above. (FIPUG</w:t>
      </w:r>
      <w:r w:rsidR="0075075D">
        <w:t xml:space="preserve"> BR 1-2) Additionally, FIPUG</w:t>
      </w:r>
      <w:r w:rsidR="00EA30B2">
        <w:t xml:space="preserve"> raised the argument that </w:t>
      </w:r>
      <w:r w:rsidR="00BE688F">
        <w:t xml:space="preserve">the </w:t>
      </w:r>
      <w:r w:rsidR="00EA30B2">
        <w:t>carbon dioxide tax projections prepared by ICF</w:t>
      </w:r>
      <w:r w:rsidR="00BE688F">
        <w:t xml:space="preserve"> and</w:t>
      </w:r>
      <w:r w:rsidR="00EA30B2">
        <w:t xml:space="preserve"> used</w:t>
      </w:r>
      <w:r w:rsidR="00BE688F">
        <w:t xml:space="preserve"> by FPL in its CPVRR analysis are</w:t>
      </w:r>
      <w:r w:rsidR="00EA30B2">
        <w:t xml:space="preserve"> b</w:t>
      </w:r>
      <w:r w:rsidR="00BF5801">
        <w:t>ased on uncorroborated hearsay.</w:t>
      </w:r>
    </w:p>
    <w:p w:rsidR="00BE688F" w:rsidRDefault="00BE688F" w:rsidP="00BF5801">
      <w:pPr>
        <w:autoSpaceDE w:val="0"/>
        <w:autoSpaceDN w:val="0"/>
        <w:adjustRightInd w:val="0"/>
        <w:jc w:val="both"/>
      </w:pPr>
    </w:p>
    <w:p w:rsidR="00BE688F" w:rsidRDefault="00BE688F" w:rsidP="00BF5801">
      <w:pPr>
        <w:autoSpaceDE w:val="0"/>
        <w:autoSpaceDN w:val="0"/>
        <w:adjustRightInd w:val="0"/>
        <w:jc w:val="both"/>
      </w:pPr>
    </w:p>
    <w:p w:rsidR="00BE688F" w:rsidRDefault="00BE688F" w:rsidP="00BF5801">
      <w:pPr>
        <w:autoSpaceDE w:val="0"/>
        <w:autoSpaceDN w:val="0"/>
        <w:adjustRightInd w:val="0"/>
        <w:jc w:val="both"/>
      </w:pPr>
    </w:p>
    <w:p w:rsidR="00BE688F" w:rsidRDefault="00BE688F" w:rsidP="00BF5801">
      <w:pPr>
        <w:autoSpaceDE w:val="0"/>
        <w:autoSpaceDN w:val="0"/>
        <w:adjustRightInd w:val="0"/>
        <w:jc w:val="both"/>
      </w:pPr>
    </w:p>
    <w:p w:rsidR="00BE688F" w:rsidRPr="00BF5801" w:rsidRDefault="00BE688F" w:rsidP="00BF5801">
      <w:pPr>
        <w:autoSpaceDE w:val="0"/>
        <w:autoSpaceDN w:val="0"/>
        <w:adjustRightInd w:val="0"/>
        <w:jc w:val="both"/>
      </w:pPr>
    </w:p>
    <w:p w:rsidR="00A746C9" w:rsidRPr="008C649F" w:rsidRDefault="00A746C9" w:rsidP="00A746C9">
      <w:pPr>
        <w:autoSpaceDE w:val="0"/>
        <w:autoSpaceDN w:val="0"/>
        <w:adjustRightInd w:val="0"/>
        <w:jc w:val="center"/>
        <w:rPr>
          <w:rFonts w:ascii="Arial" w:hAnsi="Arial" w:cs="Arial"/>
          <w:b/>
          <w:bCs/>
        </w:rPr>
      </w:pPr>
      <w:r>
        <w:rPr>
          <w:rFonts w:ascii="Arial" w:hAnsi="Arial" w:cs="Arial"/>
          <w:b/>
          <w:bCs/>
        </w:rPr>
        <w:lastRenderedPageBreak/>
        <w:t xml:space="preserve">Analysis </w:t>
      </w:r>
    </w:p>
    <w:p w:rsidR="00BF5801" w:rsidRDefault="005D377D" w:rsidP="00BF5801">
      <w:pPr>
        <w:pStyle w:val="BodyText"/>
        <w:spacing w:after="0"/>
        <w:ind w:firstLine="720"/>
        <w:rPr>
          <w:rFonts w:ascii="Arial" w:hAnsi="Arial" w:cs="Arial"/>
          <w:b/>
          <w:i/>
        </w:rPr>
      </w:pPr>
      <w:r>
        <w:rPr>
          <w:rFonts w:ascii="Arial" w:hAnsi="Arial" w:cs="Arial"/>
          <w:b/>
          <w:i/>
        </w:rPr>
        <w:t>2016 Settlement Agreement</w:t>
      </w:r>
    </w:p>
    <w:p w:rsidR="00CA6166" w:rsidRPr="00BF5801" w:rsidRDefault="00A81C23" w:rsidP="00BF5801">
      <w:pPr>
        <w:pStyle w:val="BodyText"/>
        <w:spacing w:after="0"/>
        <w:rPr>
          <w:rFonts w:ascii="Arial" w:hAnsi="Arial" w:cs="Arial"/>
          <w:b/>
          <w:i/>
        </w:rPr>
      </w:pPr>
      <w:r>
        <w:t xml:space="preserve">The 2019 solar generation projects </w:t>
      </w:r>
      <w:r w:rsidRPr="00B85ACE">
        <w:t xml:space="preserve">for which FPL is seeking approval </w:t>
      </w:r>
      <w:r>
        <w:t>for</w:t>
      </w:r>
      <w:r w:rsidRPr="00B85ACE">
        <w:t xml:space="preserve"> cost recovery are </w:t>
      </w:r>
      <w:r w:rsidR="00D041F3">
        <w:t>specifically provided for in the</w:t>
      </w:r>
      <w:r w:rsidRPr="00B85ACE">
        <w:t xml:space="preserve"> 2016 Agreement approved by Order No. PSC-16-0560-AS-EI.</w:t>
      </w:r>
      <w:r w:rsidRPr="00B85ACE">
        <w:rPr>
          <w:rStyle w:val="FootnoteReference"/>
        </w:rPr>
        <w:footnoteReference w:id="11"/>
      </w:r>
      <w:r>
        <w:t xml:space="preserve"> </w:t>
      </w:r>
      <w:r w:rsidRPr="00B85ACE">
        <w:t>The 2016 Agreement allows FPL to construct up to 300 MW per calendar year of solar capacity during the period 2017-2021 and to recover through base rates the incremental annualized base revenue requirement for those facilities for the first 12 months of operation commencing when the facilities are placed into service.</w:t>
      </w:r>
      <w:r w:rsidRPr="00B85ACE">
        <w:rPr>
          <w:rStyle w:val="FootnoteReference"/>
        </w:rPr>
        <w:footnoteReference w:id="12"/>
      </w:r>
      <w:r w:rsidRPr="00B85ACE">
        <w:t xml:space="preserve"> There are several conditions that must be met for recovery in this case. First, FPL must request recovery for these projects during the term of the 2016 Agreement, or prior to December 31, 2020. Second, the cost of the components, engineering, and construction for any solar project is capped at $1,750 </w:t>
      </w:r>
      <w:proofErr w:type="spellStart"/>
      <w:r w:rsidRPr="00B85ACE">
        <w:t>kW</w:t>
      </w:r>
      <w:r w:rsidRPr="00B85ACE">
        <w:rPr>
          <w:vertAlign w:val="subscript"/>
        </w:rPr>
        <w:t>ac</w:t>
      </w:r>
      <w:proofErr w:type="spellEnd"/>
      <w:r>
        <w:t xml:space="preserve">. </w:t>
      </w:r>
      <w:r w:rsidRPr="00B85ACE">
        <w:t>Third, for projects less than 75 MW (as are all of the projects proposed in this case): 1) the request for base rate recovery must be filed in the Fuel Clause docket as part of its final true-up filing; and 2) the issues are “limited to the cost effectiveness of each such project (i.e., will the project lower the projected system CPVRR as compared to each CPVRR without the solar project) and the amount of revenue requirements and appropriate percentage in base rates needed to collect the estimated revenue requirements.”</w:t>
      </w:r>
      <w:r w:rsidRPr="00B85ACE">
        <w:rPr>
          <w:rStyle w:val="FootnoteReference"/>
        </w:rPr>
        <w:footnoteReference w:id="13"/>
      </w:r>
      <w:r w:rsidRPr="00B85ACE">
        <w:t xml:space="preserve"> If the project meets these requirements, the terms of the 2016 Agreement have been me</w:t>
      </w:r>
      <w:r w:rsidR="00CA6166" w:rsidRPr="00B85ACE">
        <w:t>t.</w:t>
      </w:r>
    </w:p>
    <w:p w:rsidR="00CA6166" w:rsidRPr="00B85ACE" w:rsidRDefault="00CA6166" w:rsidP="00CA6166">
      <w:pPr>
        <w:pStyle w:val="BodyText"/>
        <w:spacing w:after="0"/>
      </w:pPr>
    </w:p>
    <w:p w:rsidR="00CA6166" w:rsidRDefault="00CA6166" w:rsidP="00CA6166">
      <w:pPr>
        <w:pStyle w:val="Second-LevelSubheading"/>
      </w:pPr>
      <w:r>
        <w:t xml:space="preserve">Project Descriptions </w:t>
      </w:r>
    </w:p>
    <w:p w:rsidR="00CA6166" w:rsidRDefault="00A81C23" w:rsidP="00CA6166">
      <w:pPr>
        <w:pStyle w:val="BodyText"/>
        <w:spacing w:after="0"/>
      </w:pPr>
      <w:r>
        <w:t xml:space="preserve">FPL witnesses </w:t>
      </w:r>
      <w:proofErr w:type="spellStart"/>
      <w:r>
        <w:t>Brannen</w:t>
      </w:r>
      <w:proofErr w:type="spellEnd"/>
      <w:r>
        <w:t xml:space="preserve"> and </w:t>
      </w:r>
      <w:proofErr w:type="spellStart"/>
      <w:r>
        <w:t>Enjamio</w:t>
      </w:r>
      <w:proofErr w:type="spellEnd"/>
      <w:r>
        <w:t xml:space="preserve"> provided testimony and exhibits concerning FPL’s proposed 2019 </w:t>
      </w:r>
      <w:proofErr w:type="spellStart"/>
      <w:r>
        <w:t>SoBRA</w:t>
      </w:r>
      <w:proofErr w:type="spellEnd"/>
      <w:r>
        <w:t xml:space="preserve"> projects, including cost effectiveness and the ability to meet the $1,750 per </w:t>
      </w:r>
      <w:proofErr w:type="spellStart"/>
      <w:r>
        <w:t>kW</w:t>
      </w:r>
      <w:r w:rsidRPr="002A170F">
        <w:rPr>
          <w:vertAlign w:val="subscript"/>
        </w:rPr>
        <w:t>ac</w:t>
      </w:r>
      <w:proofErr w:type="spellEnd"/>
      <w:r>
        <w:rPr>
          <w:vertAlign w:val="subscript"/>
        </w:rPr>
        <w:t xml:space="preserve"> </w:t>
      </w:r>
      <w:r>
        <w:t xml:space="preserve">cost cap. As described in the testimony of witness </w:t>
      </w:r>
      <w:proofErr w:type="spellStart"/>
      <w:r>
        <w:t>Enjamio</w:t>
      </w:r>
      <w:proofErr w:type="spellEnd"/>
      <w:r>
        <w:t>,</w:t>
      </w:r>
      <w:r w:rsidRPr="00F458AD">
        <w:t xml:space="preserve"> </w:t>
      </w:r>
      <w:r>
        <w:t xml:space="preserve">FPL is proposing to construct and operate four solar generation centers with a total nameplate capacity of 298 </w:t>
      </w:r>
      <w:proofErr w:type="spellStart"/>
      <w:r>
        <w:t>MW</w:t>
      </w:r>
      <w:r w:rsidRPr="00375173">
        <w:rPr>
          <w:vertAlign w:val="subscript"/>
        </w:rPr>
        <w:t>ac</w:t>
      </w:r>
      <w:proofErr w:type="spellEnd"/>
      <w:r>
        <w:t xml:space="preserve"> (each project is 74.5 </w:t>
      </w:r>
      <w:proofErr w:type="spellStart"/>
      <w:r>
        <w:t>MW</w:t>
      </w:r>
      <w:r w:rsidRPr="003B5572">
        <w:rPr>
          <w:vertAlign w:val="subscript"/>
        </w:rPr>
        <w:t>ac</w:t>
      </w:r>
      <w:proofErr w:type="spellEnd"/>
      <w:r>
        <w:t>) with an in-service date of March 1, 2019.</w:t>
      </w:r>
      <w:r w:rsidRPr="0073458D">
        <w:t xml:space="preserve"> </w:t>
      </w:r>
      <w:r>
        <w:t xml:space="preserve">(TR </w:t>
      </w:r>
      <w:r w:rsidRPr="005C5DEA">
        <w:t>175</w:t>
      </w:r>
      <w:r>
        <w:t>)</w:t>
      </w:r>
      <w:r w:rsidRPr="0073458D">
        <w:t xml:space="preserve"> </w:t>
      </w:r>
      <w:r>
        <w:t xml:space="preserve">Construction of the 2019 </w:t>
      </w:r>
      <w:proofErr w:type="spellStart"/>
      <w:r>
        <w:t>SoBRA</w:t>
      </w:r>
      <w:proofErr w:type="spellEnd"/>
      <w:r>
        <w:t xml:space="preserve"> projects began on </w:t>
      </w:r>
      <w:r w:rsidRPr="005B7630">
        <w:t>September 29, 201</w:t>
      </w:r>
      <w:r>
        <w:t>7.</w:t>
      </w:r>
      <w:r w:rsidRPr="006657CC">
        <w:t xml:space="preserve"> </w:t>
      </w:r>
      <w:r>
        <w:t xml:space="preserve">(EXH </w:t>
      </w:r>
      <w:r w:rsidRPr="009D0279">
        <w:t>32</w:t>
      </w:r>
      <w:r>
        <w:t xml:space="preserve">) The proposed 2019 </w:t>
      </w:r>
      <w:proofErr w:type="spellStart"/>
      <w:r>
        <w:t>SoBRA</w:t>
      </w:r>
      <w:proofErr w:type="spellEnd"/>
      <w:r>
        <w:t xml:space="preserve"> projects are fixed-tilt systems with an average projected first year net capacity factor of </w:t>
      </w:r>
      <w:r w:rsidRPr="009D0279">
        <w:t>26.5</w:t>
      </w:r>
      <w:r>
        <w:t xml:space="preserve"> percent. (EXH 30, TR </w:t>
      </w:r>
      <w:r w:rsidRPr="005C5DEA">
        <w:t>177</w:t>
      </w:r>
      <w:r>
        <w:t xml:space="preserve">) There are no upgrades to existing transmission infrastructure required as part of the construction of the 2019 </w:t>
      </w:r>
      <w:proofErr w:type="spellStart"/>
      <w:r>
        <w:t>SoBRA</w:t>
      </w:r>
      <w:proofErr w:type="spellEnd"/>
      <w:r>
        <w:t xml:space="preserve"> projects. (TR </w:t>
      </w:r>
      <w:r w:rsidRPr="006E3D2D">
        <w:t>167</w:t>
      </w:r>
      <w:r>
        <w:t>)</w:t>
      </w:r>
    </w:p>
    <w:p w:rsidR="00A81C23" w:rsidRDefault="00A81C23" w:rsidP="00CA6166">
      <w:pPr>
        <w:pStyle w:val="BodyText"/>
        <w:spacing w:after="0"/>
      </w:pPr>
    </w:p>
    <w:p w:rsidR="00CA6166" w:rsidRDefault="00A81C23" w:rsidP="00CA6166">
      <w:pPr>
        <w:pStyle w:val="BodyText"/>
        <w:spacing w:after="0"/>
      </w:pPr>
      <w:r>
        <w:t xml:space="preserve">The four proposed construction sites for the 2019 </w:t>
      </w:r>
      <w:proofErr w:type="spellStart"/>
      <w:r>
        <w:t>SoBRA</w:t>
      </w:r>
      <w:proofErr w:type="spellEnd"/>
      <w:r>
        <w:t xml:space="preserve"> projects are Miami-Dade in Miami-Dade County, Interstate in St. Lucie County, Pioneer Trail in Volusia County and Sunshine Gateway in Columbia County. (</w:t>
      </w:r>
      <w:r w:rsidRPr="005C5DEA">
        <w:t>TR 164</w:t>
      </w:r>
      <w:r>
        <w:t xml:space="preserve">) All parcels are new purchases, and the land costs are included in the cost of the 2019 </w:t>
      </w:r>
      <w:proofErr w:type="spellStart"/>
      <w:r>
        <w:t>SoBRA</w:t>
      </w:r>
      <w:proofErr w:type="spellEnd"/>
      <w:r>
        <w:t xml:space="preserve"> projects.</w:t>
      </w:r>
      <w:r w:rsidRPr="003752C9">
        <w:t xml:space="preserve"> </w:t>
      </w:r>
      <w:r>
        <w:t>(TR</w:t>
      </w:r>
      <w:r>
        <w:rPr>
          <w:color w:val="FF0000"/>
        </w:rPr>
        <w:t xml:space="preserve"> </w:t>
      </w:r>
      <w:r w:rsidRPr="005C5DEA">
        <w:t>167</w:t>
      </w:r>
      <w:r>
        <w:t>, EXH 76)</w:t>
      </w:r>
      <w:r w:rsidRPr="0073458D">
        <w:t xml:space="preserve"> </w:t>
      </w:r>
      <w:r>
        <w:t>Staff recognized that not all land for the four newly purchased sites was being used for the 2019 solar generation projects. In response to a staff interrogatory</w:t>
      </w:r>
      <w:r w:rsidR="00BE688F">
        <w:t>,</w:t>
      </w:r>
      <w:r>
        <w:t xml:space="preserve"> it was disclosed that unused areas could include both usable and unusable areas for future solar development. (EXH 76) To develop a better understanding of the ratio of land that could be used for future development, staff requested a more detailed breakdown of each site. This breakdown included four categories: total acreage, acreage used by the projects (Site Acreage), non-usable land, and usable land. Usable land consists of property that could possibly be used for future solar developments on the site, and for sites with adequate </w:t>
      </w:r>
      <w:r>
        <w:lastRenderedPageBreak/>
        <w:t>amounts of usable land, FPL will consider leasing land to third parties. Any revenue from the usable land leased to third parties will be credited to FPL ratepayers via an offset to the revenue requirement associated with the 2019 solar generation projects. (EXH 76) The land usage of each site is illustrated in Table 2P</w:t>
      </w:r>
      <w:r w:rsidR="00CA6166">
        <w:t>-1:</w:t>
      </w:r>
    </w:p>
    <w:p w:rsidR="00CA6166" w:rsidRDefault="00CA6166" w:rsidP="00CA6166">
      <w:pPr>
        <w:pStyle w:val="TableNumber"/>
        <w:keepNext/>
        <w:spacing w:before="0"/>
      </w:pPr>
      <w:r>
        <w:t>Table 2P-1</w:t>
      </w:r>
    </w:p>
    <w:p w:rsidR="00CA6166" w:rsidRDefault="00CA6166" w:rsidP="00CA6166">
      <w:pPr>
        <w:pStyle w:val="TableTitle"/>
        <w:keepNext/>
      </w:pPr>
      <w:r>
        <w:t>Land Usage</w:t>
      </w:r>
    </w:p>
    <w:tbl>
      <w:tblPr>
        <w:tblStyle w:val="TableGrid"/>
        <w:tblW w:w="0" w:type="auto"/>
        <w:tblLook w:val="04A0" w:firstRow="1" w:lastRow="0" w:firstColumn="1" w:lastColumn="0" w:noHBand="0" w:noVBand="1"/>
      </w:tblPr>
      <w:tblGrid>
        <w:gridCol w:w="1915"/>
        <w:gridCol w:w="1915"/>
        <w:gridCol w:w="1915"/>
        <w:gridCol w:w="1915"/>
        <w:gridCol w:w="1916"/>
      </w:tblGrid>
      <w:tr w:rsidR="00CA6166" w:rsidTr="00CF7DB5">
        <w:tc>
          <w:tcPr>
            <w:tcW w:w="1915" w:type="dxa"/>
            <w:vAlign w:val="bottom"/>
          </w:tcPr>
          <w:p w:rsidR="00CA6166" w:rsidRPr="00A071FF" w:rsidRDefault="00CA6166" w:rsidP="00CF7DB5">
            <w:pPr>
              <w:jc w:val="center"/>
              <w:rPr>
                <w:b/>
              </w:rPr>
            </w:pPr>
            <w:r w:rsidRPr="00A071FF">
              <w:rPr>
                <w:b/>
              </w:rPr>
              <w:t>Site Name</w:t>
            </w:r>
          </w:p>
        </w:tc>
        <w:tc>
          <w:tcPr>
            <w:tcW w:w="1915" w:type="dxa"/>
          </w:tcPr>
          <w:p w:rsidR="00CA6166" w:rsidRPr="00A071FF" w:rsidRDefault="00CA6166" w:rsidP="00CF7DB5">
            <w:pPr>
              <w:jc w:val="center"/>
              <w:rPr>
                <w:b/>
              </w:rPr>
            </w:pPr>
            <w:r w:rsidRPr="00A071FF">
              <w:rPr>
                <w:b/>
              </w:rPr>
              <w:t>Total Acreage (acres)</w:t>
            </w:r>
          </w:p>
        </w:tc>
        <w:tc>
          <w:tcPr>
            <w:tcW w:w="1915" w:type="dxa"/>
          </w:tcPr>
          <w:p w:rsidR="00CA6166" w:rsidRPr="00A071FF" w:rsidRDefault="00CA6166" w:rsidP="00CF7DB5">
            <w:pPr>
              <w:jc w:val="center"/>
              <w:rPr>
                <w:b/>
              </w:rPr>
            </w:pPr>
            <w:r w:rsidRPr="00A071FF">
              <w:rPr>
                <w:b/>
              </w:rPr>
              <w:t>Site Acreage  (acres)</w:t>
            </w:r>
          </w:p>
        </w:tc>
        <w:tc>
          <w:tcPr>
            <w:tcW w:w="1915" w:type="dxa"/>
          </w:tcPr>
          <w:p w:rsidR="00CA6166" w:rsidRPr="00A071FF" w:rsidRDefault="00CA6166" w:rsidP="00CF7DB5">
            <w:pPr>
              <w:jc w:val="center"/>
              <w:rPr>
                <w:b/>
              </w:rPr>
            </w:pPr>
            <w:r w:rsidRPr="00A071FF">
              <w:rPr>
                <w:b/>
              </w:rPr>
              <w:t>Non-Usable Land (acres)</w:t>
            </w:r>
          </w:p>
        </w:tc>
        <w:tc>
          <w:tcPr>
            <w:tcW w:w="1916" w:type="dxa"/>
          </w:tcPr>
          <w:p w:rsidR="00CA6166" w:rsidRPr="00A071FF" w:rsidRDefault="00CA6166" w:rsidP="00CF7DB5">
            <w:pPr>
              <w:jc w:val="center"/>
              <w:rPr>
                <w:b/>
              </w:rPr>
            </w:pPr>
            <w:r w:rsidRPr="00A071FF">
              <w:rPr>
                <w:b/>
              </w:rPr>
              <w:t>Usable Land (acres)</w:t>
            </w:r>
          </w:p>
        </w:tc>
      </w:tr>
      <w:tr w:rsidR="00CA6166" w:rsidTr="00CF7DB5">
        <w:tc>
          <w:tcPr>
            <w:tcW w:w="1915" w:type="dxa"/>
          </w:tcPr>
          <w:p w:rsidR="00CA6166" w:rsidRDefault="00CA6166" w:rsidP="00CF7DB5">
            <w:pPr>
              <w:jc w:val="center"/>
            </w:pPr>
            <w:r>
              <w:t>Miami-Dade</w:t>
            </w:r>
          </w:p>
        </w:tc>
        <w:tc>
          <w:tcPr>
            <w:tcW w:w="1915" w:type="dxa"/>
          </w:tcPr>
          <w:p w:rsidR="00CA6166" w:rsidRDefault="00CA6166" w:rsidP="00CF7DB5">
            <w:pPr>
              <w:jc w:val="center"/>
            </w:pPr>
            <w:r w:rsidRPr="0099076F">
              <w:t>465.1</w:t>
            </w:r>
          </w:p>
        </w:tc>
        <w:tc>
          <w:tcPr>
            <w:tcW w:w="1915" w:type="dxa"/>
          </w:tcPr>
          <w:p w:rsidR="00CA6166" w:rsidRDefault="00CA6166" w:rsidP="00CF7DB5">
            <w:pPr>
              <w:jc w:val="center"/>
            </w:pPr>
            <w:r w:rsidRPr="0099076F">
              <w:t>425.1</w:t>
            </w:r>
          </w:p>
        </w:tc>
        <w:tc>
          <w:tcPr>
            <w:tcW w:w="1915" w:type="dxa"/>
          </w:tcPr>
          <w:p w:rsidR="00CA6166" w:rsidRDefault="00CA6166" w:rsidP="00CF7DB5">
            <w:pPr>
              <w:jc w:val="center"/>
            </w:pPr>
            <w:r>
              <w:t>0</w:t>
            </w:r>
          </w:p>
        </w:tc>
        <w:tc>
          <w:tcPr>
            <w:tcW w:w="1916" w:type="dxa"/>
          </w:tcPr>
          <w:p w:rsidR="00CA6166" w:rsidRDefault="00CA6166" w:rsidP="00CF7DB5">
            <w:pPr>
              <w:jc w:val="center"/>
            </w:pPr>
            <w:r w:rsidRPr="0099076F">
              <w:t>40.0</w:t>
            </w:r>
          </w:p>
        </w:tc>
      </w:tr>
      <w:tr w:rsidR="00CA6166" w:rsidTr="00CF7DB5">
        <w:tc>
          <w:tcPr>
            <w:tcW w:w="1915" w:type="dxa"/>
          </w:tcPr>
          <w:p w:rsidR="00CA6166" w:rsidRDefault="00CA6166" w:rsidP="00CF7DB5">
            <w:pPr>
              <w:jc w:val="center"/>
            </w:pPr>
            <w:r>
              <w:t>Interstate</w:t>
            </w:r>
          </w:p>
        </w:tc>
        <w:tc>
          <w:tcPr>
            <w:tcW w:w="1915" w:type="dxa"/>
          </w:tcPr>
          <w:p w:rsidR="00CA6166" w:rsidRDefault="00CA6166" w:rsidP="00CF7DB5">
            <w:pPr>
              <w:jc w:val="center"/>
            </w:pPr>
            <w:r>
              <w:t>539</w:t>
            </w:r>
            <w:r w:rsidR="002B28C3">
              <w:t>.0</w:t>
            </w:r>
          </w:p>
        </w:tc>
        <w:tc>
          <w:tcPr>
            <w:tcW w:w="1915" w:type="dxa"/>
          </w:tcPr>
          <w:p w:rsidR="00CA6166" w:rsidRDefault="00CA6166" w:rsidP="00CF7DB5">
            <w:pPr>
              <w:jc w:val="center"/>
            </w:pPr>
            <w:r w:rsidRPr="0099076F">
              <w:t>522.8</w:t>
            </w:r>
          </w:p>
        </w:tc>
        <w:tc>
          <w:tcPr>
            <w:tcW w:w="1915" w:type="dxa"/>
          </w:tcPr>
          <w:p w:rsidR="00CA6166" w:rsidRDefault="00CA6166" w:rsidP="00CF7DB5">
            <w:pPr>
              <w:jc w:val="center"/>
            </w:pPr>
            <w:r w:rsidRPr="0099076F">
              <w:t>16.2</w:t>
            </w:r>
          </w:p>
        </w:tc>
        <w:tc>
          <w:tcPr>
            <w:tcW w:w="1916" w:type="dxa"/>
          </w:tcPr>
          <w:p w:rsidR="00CA6166" w:rsidRDefault="00CA6166" w:rsidP="00CF7DB5">
            <w:pPr>
              <w:jc w:val="center"/>
            </w:pPr>
            <w:r>
              <w:t>0</w:t>
            </w:r>
          </w:p>
        </w:tc>
      </w:tr>
      <w:tr w:rsidR="00CA6166" w:rsidTr="00CF7DB5">
        <w:tc>
          <w:tcPr>
            <w:tcW w:w="1915" w:type="dxa"/>
          </w:tcPr>
          <w:p w:rsidR="00CA6166" w:rsidRDefault="00CA6166" w:rsidP="00CF7DB5">
            <w:pPr>
              <w:jc w:val="center"/>
            </w:pPr>
            <w:r>
              <w:t>Pioneer Trail</w:t>
            </w:r>
          </w:p>
        </w:tc>
        <w:tc>
          <w:tcPr>
            <w:tcW w:w="1915" w:type="dxa"/>
          </w:tcPr>
          <w:p w:rsidR="00CA6166" w:rsidRDefault="00CA6166" w:rsidP="00CF7DB5">
            <w:pPr>
              <w:jc w:val="center"/>
            </w:pPr>
            <w:r w:rsidRPr="0099076F">
              <w:t>1,189.6</w:t>
            </w:r>
          </w:p>
        </w:tc>
        <w:tc>
          <w:tcPr>
            <w:tcW w:w="1915" w:type="dxa"/>
          </w:tcPr>
          <w:p w:rsidR="00CA6166" w:rsidRDefault="00CA6166" w:rsidP="00CF7DB5">
            <w:pPr>
              <w:jc w:val="center"/>
            </w:pPr>
            <w:r w:rsidRPr="0099076F">
              <w:t>438.6</w:t>
            </w:r>
          </w:p>
        </w:tc>
        <w:tc>
          <w:tcPr>
            <w:tcW w:w="1915" w:type="dxa"/>
          </w:tcPr>
          <w:p w:rsidR="00CA6166" w:rsidRDefault="00CA6166" w:rsidP="00CF7DB5">
            <w:pPr>
              <w:tabs>
                <w:tab w:val="left" w:pos="617"/>
                <w:tab w:val="center" w:pos="849"/>
              </w:tabs>
              <w:jc w:val="center"/>
            </w:pPr>
            <w:r w:rsidRPr="0099076F">
              <w:t>398</w:t>
            </w:r>
            <w:r w:rsidR="002B28C3">
              <w:t>.0</w:t>
            </w:r>
          </w:p>
        </w:tc>
        <w:tc>
          <w:tcPr>
            <w:tcW w:w="1916" w:type="dxa"/>
          </w:tcPr>
          <w:p w:rsidR="00CA6166" w:rsidRDefault="00CA6166" w:rsidP="00CF7DB5">
            <w:pPr>
              <w:jc w:val="center"/>
            </w:pPr>
            <w:r>
              <w:rPr>
                <w:sz w:val="23"/>
                <w:szCs w:val="23"/>
              </w:rPr>
              <w:t>353</w:t>
            </w:r>
            <w:r w:rsidR="002B28C3">
              <w:rPr>
                <w:sz w:val="23"/>
                <w:szCs w:val="23"/>
              </w:rPr>
              <w:t>.0</w:t>
            </w:r>
          </w:p>
        </w:tc>
      </w:tr>
      <w:tr w:rsidR="00CA6166" w:rsidTr="00CF7DB5">
        <w:tc>
          <w:tcPr>
            <w:tcW w:w="1915" w:type="dxa"/>
          </w:tcPr>
          <w:p w:rsidR="00CA6166" w:rsidRDefault="00CA6166" w:rsidP="00CF7DB5">
            <w:pPr>
              <w:jc w:val="center"/>
            </w:pPr>
            <w:r>
              <w:t xml:space="preserve">Sunshine </w:t>
            </w:r>
          </w:p>
        </w:tc>
        <w:tc>
          <w:tcPr>
            <w:tcW w:w="1915" w:type="dxa"/>
          </w:tcPr>
          <w:p w:rsidR="00CA6166" w:rsidRDefault="00CA6166" w:rsidP="00CF7DB5">
            <w:pPr>
              <w:jc w:val="center"/>
            </w:pPr>
            <w:r w:rsidRPr="00F2742B">
              <w:t>954.4</w:t>
            </w:r>
          </w:p>
        </w:tc>
        <w:tc>
          <w:tcPr>
            <w:tcW w:w="1915" w:type="dxa"/>
          </w:tcPr>
          <w:p w:rsidR="00CA6166" w:rsidRDefault="00CA6166" w:rsidP="00CF7DB5">
            <w:pPr>
              <w:jc w:val="center"/>
            </w:pPr>
            <w:r w:rsidRPr="00F2742B">
              <w:t>547.2</w:t>
            </w:r>
          </w:p>
        </w:tc>
        <w:tc>
          <w:tcPr>
            <w:tcW w:w="1915" w:type="dxa"/>
          </w:tcPr>
          <w:p w:rsidR="00CA6166" w:rsidRDefault="00CA6166" w:rsidP="00CF7DB5">
            <w:pPr>
              <w:jc w:val="center"/>
            </w:pPr>
            <w:r w:rsidRPr="00F2742B">
              <w:t>407.2</w:t>
            </w:r>
          </w:p>
        </w:tc>
        <w:tc>
          <w:tcPr>
            <w:tcW w:w="1916" w:type="dxa"/>
          </w:tcPr>
          <w:p w:rsidR="00CA6166" w:rsidRDefault="00CA6166" w:rsidP="00CF7DB5">
            <w:pPr>
              <w:jc w:val="center"/>
            </w:pPr>
            <w:r>
              <w:t>0</w:t>
            </w:r>
          </w:p>
        </w:tc>
      </w:tr>
    </w:tbl>
    <w:p w:rsidR="00A81C23" w:rsidRDefault="00CA6166" w:rsidP="007154B2">
      <w:pPr>
        <w:pStyle w:val="TableSource"/>
        <w:spacing w:after="0"/>
        <w:rPr>
          <w:sz w:val="20"/>
          <w:szCs w:val="20"/>
        </w:rPr>
      </w:pPr>
      <w:r>
        <w:t xml:space="preserve">  </w:t>
      </w:r>
      <w:r w:rsidRPr="00D31B76">
        <w:rPr>
          <w:sz w:val="20"/>
          <w:szCs w:val="20"/>
        </w:rPr>
        <w:t xml:space="preserve">Source: </w:t>
      </w:r>
      <w:r w:rsidRPr="0099076F">
        <w:rPr>
          <w:sz w:val="20"/>
          <w:szCs w:val="20"/>
        </w:rPr>
        <w:t>EXH 76, 77</w:t>
      </w:r>
    </w:p>
    <w:p w:rsidR="007154B2" w:rsidRPr="007154B2" w:rsidRDefault="007154B2" w:rsidP="00BF5801">
      <w:pPr>
        <w:pStyle w:val="BodyText"/>
        <w:spacing w:after="0"/>
      </w:pPr>
    </w:p>
    <w:p w:rsidR="006B05E0" w:rsidRDefault="00CA6166" w:rsidP="00BF5801">
      <w:pPr>
        <w:pStyle w:val="First-LevelSubheading"/>
      </w:pPr>
      <w:r>
        <w:t>2019 Solar Generation Projects Evaluation</w:t>
      </w:r>
    </w:p>
    <w:p w:rsidR="00CA6166" w:rsidRDefault="00CA6166" w:rsidP="00CA6166">
      <w:pPr>
        <w:pStyle w:val="Second-LevelSubheading"/>
      </w:pPr>
      <w:r>
        <w:t>Economic Assumptions</w:t>
      </w:r>
    </w:p>
    <w:p w:rsidR="005D377D" w:rsidRDefault="00A81C23" w:rsidP="005D377D">
      <w:pPr>
        <w:jc w:val="both"/>
      </w:pPr>
      <w:r>
        <w:t>The res</w:t>
      </w:r>
      <w:r w:rsidR="00BE688F">
        <w:t>ource planning document filed with</w:t>
      </w:r>
      <w:r>
        <w:t xml:space="preserve"> FPL’s petition included FPL’s three reliability criteria: 20 percent total reserve margin, 10 percent generation-only reserve margin (GRM) and loss of load probability. (EXH 77) Because FPL’s GRM criterion has not been relied upon by the Commission in previous proceedings, staff requested a revised resource planning document that did not incorporate the GRM criterion in the 2019 </w:t>
      </w:r>
      <w:proofErr w:type="spellStart"/>
      <w:r>
        <w:t>SoBRA</w:t>
      </w:r>
      <w:proofErr w:type="spellEnd"/>
      <w:r>
        <w:t xml:space="preserve"> project resource planning. (EXH 77) </w:t>
      </w:r>
      <w:r w:rsidRPr="00571A64">
        <w:t>FPL</w:t>
      </w:r>
      <w:r>
        <w:t>’s</w:t>
      </w:r>
      <w:r w:rsidRPr="00571A64">
        <w:t xml:space="preserve"> </w:t>
      </w:r>
      <w:r>
        <w:t>revised resource planning document includes two</w:t>
      </w:r>
      <w:r w:rsidRPr="00571A64">
        <w:t xml:space="preserve"> resource plans </w:t>
      </w:r>
      <w:r>
        <w:t>that</w:t>
      </w:r>
      <w:r w:rsidRPr="00571A64">
        <w:t xml:space="preserve"> form the basis of the co</w:t>
      </w:r>
      <w:r>
        <w:t>st effectiveness analysis that the Company</w:t>
      </w:r>
      <w:r w:rsidRPr="00571A64">
        <w:t xml:space="preserve"> performed. These two resource plans are called the No Solar Plan and </w:t>
      </w:r>
      <w:r>
        <w:t>2019</w:t>
      </w:r>
      <w:r w:rsidRPr="00571A64">
        <w:t xml:space="preserve"> Solar Plan. The No Solar Plan</w:t>
      </w:r>
      <w:r>
        <w:t xml:space="preserve"> includes the 2017 and 2018 </w:t>
      </w:r>
      <w:proofErr w:type="spellStart"/>
      <w:r>
        <w:t>SoBRA</w:t>
      </w:r>
      <w:proofErr w:type="spellEnd"/>
      <w:r>
        <w:t xml:space="preserve"> projects</w:t>
      </w:r>
      <w:r w:rsidRPr="00571A64">
        <w:t xml:space="preserve"> </w:t>
      </w:r>
      <w:r>
        <w:t xml:space="preserve">and </w:t>
      </w:r>
      <w:r w:rsidRPr="00571A64">
        <w:t>assumes that</w:t>
      </w:r>
      <w:r>
        <w:t xml:space="preserve"> further</w:t>
      </w:r>
      <w:r w:rsidRPr="00571A64">
        <w:t xml:space="preserve"> resource needs will be met by combined cycle</w:t>
      </w:r>
      <w:r>
        <w:t xml:space="preserve"> (CC)</w:t>
      </w:r>
      <w:r w:rsidRPr="00571A64">
        <w:t xml:space="preserve"> units and short term purchase power agreements (PPAs) through </w:t>
      </w:r>
      <w:r>
        <w:t>the year 2031</w:t>
      </w:r>
      <w:r w:rsidRPr="00571A64">
        <w:t xml:space="preserve">. The </w:t>
      </w:r>
      <w:r>
        <w:t>2019</w:t>
      </w:r>
      <w:r w:rsidRPr="00571A64">
        <w:t xml:space="preserve"> Solar Plan</w:t>
      </w:r>
      <w:r>
        <w:t xml:space="preserve"> includes the 2017 and 2018 </w:t>
      </w:r>
      <w:proofErr w:type="spellStart"/>
      <w:r>
        <w:t>SoBRA</w:t>
      </w:r>
      <w:proofErr w:type="spellEnd"/>
      <w:r>
        <w:t xml:space="preserve"> projects and</w:t>
      </w:r>
      <w:r w:rsidRPr="00571A64">
        <w:t xml:space="preserve"> takes into accou</w:t>
      </w:r>
      <w:r>
        <w:t xml:space="preserve">nt the four 2019 </w:t>
      </w:r>
      <w:proofErr w:type="spellStart"/>
      <w:r>
        <w:t>SoBRA</w:t>
      </w:r>
      <w:proofErr w:type="spellEnd"/>
      <w:r>
        <w:t xml:space="preserve"> projects, which initially defer</w:t>
      </w:r>
      <w:r w:rsidRPr="00571A64">
        <w:t xml:space="preserve"> the </w:t>
      </w:r>
      <w:r>
        <w:t>2028</w:t>
      </w:r>
      <w:r w:rsidRPr="00571A64">
        <w:t xml:space="preserve"> </w:t>
      </w:r>
      <w:r>
        <w:t>CC</w:t>
      </w:r>
      <w:r w:rsidRPr="00571A64">
        <w:t xml:space="preserve"> unit</w:t>
      </w:r>
      <w:r>
        <w:t xml:space="preserve"> and reduces the size of the CC unit projected for 2031.</w:t>
      </w:r>
      <w:r w:rsidRPr="00571A64">
        <w:t xml:space="preserve"> (TR</w:t>
      </w:r>
      <w:r>
        <w:t xml:space="preserve"> 177</w:t>
      </w:r>
      <w:r w:rsidRPr="00571A64">
        <w:t>)</w:t>
      </w:r>
      <w:r>
        <w:t xml:space="preserve"> This resource plan is shown in Table 2P-2</w:t>
      </w:r>
      <w:r w:rsidR="00CA6166">
        <w:t>:</w:t>
      </w:r>
    </w:p>
    <w:p w:rsidR="00BF5801" w:rsidRDefault="00BF5801" w:rsidP="005D377D">
      <w:pPr>
        <w:jc w:val="both"/>
      </w:pPr>
    </w:p>
    <w:p w:rsidR="00BF5801" w:rsidRDefault="00BF5801" w:rsidP="005D377D">
      <w:pPr>
        <w:jc w:val="both"/>
      </w:pPr>
    </w:p>
    <w:p w:rsidR="00BF5801" w:rsidRDefault="00BF5801" w:rsidP="005D377D">
      <w:pPr>
        <w:jc w:val="both"/>
      </w:pPr>
    </w:p>
    <w:p w:rsidR="00BF5801" w:rsidRDefault="00BF5801" w:rsidP="005D377D">
      <w:pPr>
        <w:jc w:val="both"/>
      </w:pPr>
    </w:p>
    <w:p w:rsidR="00BF5801" w:rsidRDefault="00BF5801" w:rsidP="005D377D">
      <w:pPr>
        <w:jc w:val="both"/>
      </w:pPr>
    </w:p>
    <w:p w:rsidR="00BF5801" w:rsidRDefault="00BF5801" w:rsidP="005D377D">
      <w:pPr>
        <w:jc w:val="both"/>
      </w:pPr>
    </w:p>
    <w:p w:rsidR="00BF5801" w:rsidRDefault="00BF5801" w:rsidP="005D377D">
      <w:pPr>
        <w:jc w:val="both"/>
      </w:pPr>
    </w:p>
    <w:p w:rsidR="00BF5801" w:rsidRDefault="00BF5801" w:rsidP="005D377D">
      <w:pPr>
        <w:jc w:val="both"/>
      </w:pPr>
    </w:p>
    <w:p w:rsidR="00BF5801" w:rsidRDefault="00BF5801" w:rsidP="005D377D">
      <w:pPr>
        <w:jc w:val="both"/>
      </w:pPr>
    </w:p>
    <w:p w:rsidR="00BF5801" w:rsidRDefault="00BF5801" w:rsidP="005D377D">
      <w:pPr>
        <w:jc w:val="both"/>
      </w:pPr>
    </w:p>
    <w:p w:rsidR="00BF5801" w:rsidRDefault="00BF5801" w:rsidP="005D377D">
      <w:pPr>
        <w:jc w:val="both"/>
      </w:pPr>
    </w:p>
    <w:p w:rsidR="00BF5801" w:rsidRDefault="00BF5801" w:rsidP="005D377D">
      <w:pPr>
        <w:jc w:val="both"/>
      </w:pPr>
    </w:p>
    <w:p w:rsidR="00BF5801" w:rsidRDefault="00BF5801" w:rsidP="005D377D">
      <w:pPr>
        <w:jc w:val="both"/>
      </w:pPr>
    </w:p>
    <w:p w:rsidR="00BF5801" w:rsidRDefault="00BF5801" w:rsidP="005D377D">
      <w:pPr>
        <w:jc w:val="both"/>
      </w:pPr>
    </w:p>
    <w:p w:rsidR="00BF5801" w:rsidRDefault="00BF5801" w:rsidP="005D377D">
      <w:pPr>
        <w:jc w:val="both"/>
      </w:pPr>
    </w:p>
    <w:p w:rsidR="00BF5801" w:rsidRDefault="00BF5801" w:rsidP="005D377D">
      <w:pPr>
        <w:jc w:val="both"/>
      </w:pPr>
    </w:p>
    <w:p w:rsidR="00CD13EB" w:rsidRDefault="00CD13EB" w:rsidP="005D377D">
      <w:pPr>
        <w:jc w:val="center"/>
        <w:rPr>
          <w:rFonts w:ascii="Arial" w:hAnsi="Arial" w:cs="Arial"/>
          <w:b/>
        </w:rPr>
      </w:pPr>
    </w:p>
    <w:p w:rsidR="00CA6166" w:rsidRPr="005D377D" w:rsidRDefault="00CA6166" w:rsidP="005D377D">
      <w:pPr>
        <w:jc w:val="center"/>
        <w:rPr>
          <w:rFonts w:ascii="Arial" w:hAnsi="Arial" w:cs="Arial"/>
          <w:b/>
        </w:rPr>
      </w:pPr>
      <w:r w:rsidRPr="005D377D">
        <w:rPr>
          <w:rFonts w:ascii="Arial" w:hAnsi="Arial" w:cs="Arial"/>
          <w:b/>
        </w:rPr>
        <w:lastRenderedPageBreak/>
        <w:t>Table 2P-2</w:t>
      </w:r>
    </w:p>
    <w:p w:rsidR="00CA6166" w:rsidRDefault="00CA6166" w:rsidP="00CA6166">
      <w:pPr>
        <w:pStyle w:val="TableTitle"/>
        <w:keepNext/>
      </w:pPr>
      <w:r>
        <w:t>Resource Plan (w/o GRM)</w:t>
      </w:r>
    </w:p>
    <w:tbl>
      <w:tblPr>
        <w:tblStyle w:val="TableGrid"/>
        <w:tblW w:w="0" w:type="auto"/>
        <w:jc w:val="center"/>
        <w:tblInd w:w="-1245" w:type="dxa"/>
        <w:tblLook w:val="04A0" w:firstRow="1" w:lastRow="0" w:firstColumn="1" w:lastColumn="0" w:noHBand="0" w:noVBand="1"/>
      </w:tblPr>
      <w:tblGrid>
        <w:gridCol w:w="2595"/>
        <w:gridCol w:w="3172"/>
        <w:gridCol w:w="3426"/>
      </w:tblGrid>
      <w:tr w:rsidR="00CA6166" w:rsidTr="00CF7DB5">
        <w:trPr>
          <w:jc w:val="center"/>
        </w:trPr>
        <w:tc>
          <w:tcPr>
            <w:tcW w:w="2595" w:type="dxa"/>
          </w:tcPr>
          <w:p w:rsidR="00CA6166" w:rsidRPr="00D31B76" w:rsidRDefault="00CA6166" w:rsidP="00CF7DB5">
            <w:pPr>
              <w:jc w:val="center"/>
              <w:rPr>
                <w:b/>
              </w:rPr>
            </w:pPr>
            <w:r w:rsidRPr="00D31B76">
              <w:rPr>
                <w:b/>
              </w:rPr>
              <w:t>Year</w:t>
            </w:r>
          </w:p>
        </w:tc>
        <w:tc>
          <w:tcPr>
            <w:tcW w:w="3172" w:type="dxa"/>
          </w:tcPr>
          <w:p w:rsidR="00CA6166" w:rsidRPr="00D31B76" w:rsidRDefault="00CA6166" w:rsidP="00CF7DB5">
            <w:pPr>
              <w:jc w:val="center"/>
              <w:rPr>
                <w:b/>
              </w:rPr>
            </w:pPr>
            <w:r w:rsidRPr="00D31B76">
              <w:rPr>
                <w:b/>
              </w:rPr>
              <w:t>No Solar Resource Plan</w:t>
            </w:r>
          </w:p>
        </w:tc>
        <w:tc>
          <w:tcPr>
            <w:tcW w:w="3426" w:type="dxa"/>
          </w:tcPr>
          <w:p w:rsidR="00CA6166" w:rsidRPr="00D31B76" w:rsidRDefault="00CA6166" w:rsidP="00CF7DB5">
            <w:pPr>
              <w:jc w:val="center"/>
              <w:rPr>
                <w:b/>
              </w:rPr>
            </w:pPr>
            <w:r>
              <w:rPr>
                <w:b/>
              </w:rPr>
              <w:t>2019</w:t>
            </w:r>
            <w:r w:rsidRPr="00D31B76">
              <w:rPr>
                <w:b/>
              </w:rPr>
              <w:t xml:space="preserve"> Solar Resource Plan</w:t>
            </w:r>
          </w:p>
        </w:tc>
      </w:tr>
      <w:tr w:rsidR="00CA6166" w:rsidTr="00CF7DB5">
        <w:trPr>
          <w:jc w:val="center"/>
        </w:trPr>
        <w:tc>
          <w:tcPr>
            <w:tcW w:w="2595" w:type="dxa"/>
          </w:tcPr>
          <w:p w:rsidR="00CA6166" w:rsidRDefault="00CA6166" w:rsidP="00CF7DB5">
            <w:pPr>
              <w:jc w:val="center"/>
            </w:pPr>
            <w:r>
              <w:t>2018</w:t>
            </w:r>
          </w:p>
        </w:tc>
        <w:tc>
          <w:tcPr>
            <w:tcW w:w="3172" w:type="dxa"/>
          </w:tcPr>
          <w:p w:rsidR="00CA6166" w:rsidRDefault="00CA6166" w:rsidP="00CF7DB5">
            <w:pPr>
              <w:jc w:val="center"/>
            </w:pPr>
            <w:r>
              <w:t xml:space="preserve">2017/2018 596 MW </w:t>
            </w:r>
            <w:proofErr w:type="spellStart"/>
            <w:r>
              <w:t>SoBRA</w:t>
            </w:r>
            <w:proofErr w:type="spellEnd"/>
          </w:p>
        </w:tc>
        <w:tc>
          <w:tcPr>
            <w:tcW w:w="3426" w:type="dxa"/>
          </w:tcPr>
          <w:p w:rsidR="00CA6166" w:rsidRDefault="00CA6166" w:rsidP="00CF7DB5">
            <w:pPr>
              <w:jc w:val="center"/>
            </w:pPr>
            <w:r>
              <w:t xml:space="preserve">2017/2018 596 MW </w:t>
            </w:r>
            <w:proofErr w:type="spellStart"/>
            <w:r>
              <w:t>SoBRA</w:t>
            </w:r>
            <w:proofErr w:type="spellEnd"/>
          </w:p>
        </w:tc>
      </w:tr>
      <w:tr w:rsidR="00CA6166" w:rsidTr="00911B15">
        <w:trPr>
          <w:jc w:val="center"/>
        </w:trPr>
        <w:tc>
          <w:tcPr>
            <w:tcW w:w="2595" w:type="dxa"/>
            <w:vAlign w:val="center"/>
          </w:tcPr>
          <w:p w:rsidR="00CA6166" w:rsidRDefault="00CA6166" w:rsidP="00911B15">
            <w:pPr>
              <w:jc w:val="center"/>
            </w:pPr>
            <w:r>
              <w:t>2019</w:t>
            </w:r>
          </w:p>
        </w:tc>
        <w:tc>
          <w:tcPr>
            <w:tcW w:w="3172" w:type="dxa"/>
            <w:vAlign w:val="center"/>
          </w:tcPr>
          <w:p w:rsidR="00CA6166" w:rsidRDefault="00CA6166" w:rsidP="00911B15">
            <w:pPr>
              <w:jc w:val="center"/>
            </w:pPr>
            <w:r w:rsidRPr="00702AFB">
              <w:t>Okeechobee Energy Center; 1-year 476 MW PPA</w:t>
            </w:r>
          </w:p>
        </w:tc>
        <w:tc>
          <w:tcPr>
            <w:tcW w:w="3426" w:type="dxa"/>
          </w:tcPr>
          <w:p w:rsidR="00CA6166" w:rsidRDefault="00CA6166" w:rsidP="00CF7DB5">
            <w:pPr>
              <w:jc w:val="center"/>
            </w:pPr>
            <w:r>
              <w:t xml:space="preserve">2019 298 MW </w:t>
            </w:r>
            <w:proofErr w:type="spellStart"/>
            <w:r>
              <w:t>SoBRA</w:t>
            </w:r>
            <w:proofErr w:type="spellEnd"/>
            <w:r>
              <w:t xml:space="preserve">; </w:t>
            </w:r>
            <w:r w:rsidRPr="00702AFB">
              <w:t>Okee</w:t>
            </w:r>
            <w:r>
              <w:t>chobee Energy Center; 1-year 311</w:t>
            </w:r>
            <w:r w:rsidRPr="00702AFB">
              <w:t xml:space="preserve"> MW PPA</w:t>
            </w:r>
          </w:p>
        </w:tc>
      </w:tr>
      <w:tr w:rsidR="00CA6166" w:rsidTr="00CF7DB5">
        <w:trPr>
          <w:jc w:val="center"/>
        </w:trPr>
        <w:tc>
          <w:tcPr>
            <w:tcW w:w="2595" w:type="dxa"/>
          </w:tcPr>
          <w:p w:rsidR="00CA6166" w:rsidRDefault="00CA6166" w:rsidP="00CF7DB5">
            <w:pPr>
              <w:jc w:val="center"/>
            </w:pPr>
            <w:r>
              <w:t>2020</w:t>
            </w:r>
          </w:p>
        </w:tc>
        <w:tc>
          <w:tcPr>
            <w:tcW w:w="3172" w:type="dxa"/>
          </w:tcPr>
          <w:p w:rsidR="00CA6166" w:rsidRDefault="00CA6166" w:rsidP="00CF7DB5">
            <w:pPr>
              <w:jc w:val="center"/>
            </w:pPr>
            <w:r>
              <w:t>1- year 470 MW PPA</w:t>
            </w:r>
          </w:p>
        </w:tc>
        <w:tc>
          <w:tcPr>
            <w:tcW w:w="3426" w:type="dxa"/>
          </w:tcPr>
          <w:p w:rsidR="00CA6166" w:rsidRDefault="00CA6166" w:rsidP="00CF7DB5">
            <w:pPr>
              <w:jc w:val="center"/>
            </w:pPr>
            <w:r>
              <w:t>1- year 305 MW PPA</w:t>
            </w:r>
          </w:p>
        </w:tc>
      </w:tr>
      <w:tr w:rsidR="00CA6166" w:rsidTr="00CF7DB5">
        <w:trPr>
          <w:jc w:val="center"/>
        </w:trPr>
        <w:tc>
          <w:tcPr>
            <w:tcW w:w="2595" w:type="dxa"/>
          </w:tcPr>
          <w:p w:rsidR="00CA6166" w:rsidRDefault="00CA6166" w:rsidP="00CF7DB5">
            <w:pPr>
              <w:jc w:val="center"/>
            </w:pPr>
            <w:r>
              <w:t>2021</w:t>
            </w:r>
          </w:p>
        </w:tc>
        <w:tc>
          <w:tcPr>
            <w:tcW w:w="3172" w:type="dxa"/>
          </w:tcPr>
          <w:p w:rsidR="00CA6166" w:rsidRDefault="00CA6166" w:rsidP="00CF7DB5">
            <w:pPr>
              <w:jc w:val="center"/>
            </w:pPr>
            <w:r>
              <w:t>1- year 717 MW PPA</w:t>
            </w:r>
          </w:p>
        </w:tc>
        <w:tc>
          <w:tcPr>
            <w:tcW w:w="3426" w:type="dxa"/>
          </w:tcPr>
          <w:p w:rsidR="00CA6166" w:rsidRDefault="00CA6166" w:rsidP="00CF7DB5">
            <w:pPr>
              <w:jc w:val="center"/>
            </w:pPr>
            <w:r>
              <w:t>1- year 553 MW PPA</w:t>
            </w:r>
          </w:p>
        </w:tc>
      </w:tr>
      <w:tr w:rsidR="00CA6166" w:rsidTr="00CF7DB5">
        <w:trPr>
          <w:jc w:val="center"/>
        </w:trPr>
        <w:tc>
          <w:tcPr>
            <w:tcW w:w="2595" w:type="dxa"/>
          </w:tcPr>
          <w:p w:rsidR="00CA6166" w:rsidRDefault="00CA6166" w:rsidP="00CF7DB5">
            <w:pPr>
              <w:jc w:val="center"/>
            </w:pPr>
            <w:r>
              <w:t>2022</w:t>
            </w:r>
          </w:p>
        </w:tc>
        <w:tc>
          <w:tcPr>
            <w:tcW w:w="3172" w:type="dxa"/>
          </w:tcPr>
          <w:p w:rsidR="00CA6166" w:rsidRDefault="00CA6166" w:rsidP="00CF7DB5">
            <w:pPr>
              <w:jc w:val="center"/>
            </w:pPr>
            <w:r>
              <w:t>Dania Beach Energy Center</w:t>
            </w:r>
          </w:p>
        </w:tc>
        <w:tc>
          <w:tcPr>
            <w:tcW w:w="3426" w:type="dxa"/>
          </w:tcPr>
          <w:p w:rsidR="00CA6166" w:rsidRDefault="00CA6166" w:rsidP="00CF7DB5">
            <w:pPr>
              <w:jc w:val="center"/>
            </w:pPr>
            <w:r>
              <w:t>Dania Beach Energy Center</w:t>
            </w:r>
          </w:p>
        </w:tc>
      </w:tr>
      <w:tr w:rsidR="00CA6166" w:rsidTr="00CF7DB5">
        <w:trPr>
          <w:jc w:val="center"/>
        </w:trPr>
        <w:tc>
          <w:tcPr>
            <w:tcW w:w="2595" w:type="dxa"/>
          </w:tcPr>
          <w:p w:rsidR="00CA6166" w:rsidRDefault="00CA6166" w:rsidP="00CF7DB5">
            <w:pPr>
              <w:jc w:val="center"/>
            </w:pPr>
            <w:r>
              <w:t>2023</w:t>
            </w:r>
          </w:p>
        </w:tc>
        <w:tc>
          <w:tcPr>
            <w:tcW w:w="3172" w:type="dxa"/>
          </w:tcPr>
          <w:p w:rsidR="00CA6166" w:rsidRDefault="00CA6166" w:rsidP="00CF7DB5">
            <w:pPr>
              <w:jc w:val="center"/>
            </w:pPr>
            <w:r>
              <w:t>1- year 215 MW PPA</w:t>
            </w:r>
          </w:p>
        </w:tc>
        <w:tc>
          <w:tcPr>
            <w:tcW w:w="3426" w:type="dxa"/>
          </w:tcPr>
          <w:p w:rsidR="00CA6166" w:rsidRDefault="00CA6166" w:rsidP="00CF7DB5">
            <w:pPr>
              <w:jc w:val="center"/>
            </w:pPr>
            <w:r>
              <w:t>1- year 52 MW PPA</w:t>
            </w:r>
          </w:p>
        </w:tc>
      </w:tr>
      <w:tr w:rsidR="00CA6166" w:rsidTr="00CF7DB5">
        <w:trPr>
          <w:jc w:val="center"/>
        </w:trPr>
        <w:tc>
          <w:tcPr>
            <w:tcW w:w="2595" w:type="dxa"/>
          </w:tcPr>
          <w:p w:rsidR="00CA6166" w:rsidRDefault="00CA6166" w:rsidP="00CF7DB5">
            <w:pPr>
              <w:jc w:val="center"/>
            </w:pPr>
            <w:r>
              <w:t>2024</w:t>
            </w:r>
          </w:p>
        </w:tc>
        <w:tc>
          <w:tcPr>
            <w:tcW w:w="3172" w:type="dxa"/>
          </w:tcPr>
          <w:p w:rsidR="00CA6166" w:rsidRDefault="00CA6166" w:rsidP="00CF7DB5">
            <w:pPr>
              <w:jc w:val="center"/>
            </w:pPr>
            <w:r>
              <w:t>1 Greenfield 3x1 CC Unit</w:t>
            </w:r>
          </w:p>
        </w:tc>
        <w:tc>
          <w:tcPr>
            <w:tcW w:w="3426" w:type="dxa"/>
          </w:tcPr>
          <w:p w:rsidR="00CA6166" w:rsidRDefault="00CA6166" w:rsidP="00CF7DB5">
            <w:pPr>
              <w:jc w:val="center"/>
            </w:pPr>
            <w:r>
              <w:t>1 Greenfield 3x1 CC Unit</w:t>
            </w:r>
          </w:p>
        </w:tc>
      </w:tr>
      <w:tr w:rsidR="00CA6166" w:rsidTr="00CF7DB5">
        <w:trPr>
          <w:jc w:val="center"/>
        </w:trPr>
        <w:tc>
          <w:tcPr>
            <w:tcW w:w="2595" w:type="dxa"/>
          </w:tcPr>
          <w:p w:rsidR="00CA6166" w:rsidRDefault="00CA6166" w:rsidP="00CF7DB5">
            <w:pPr>
              <w:jc w:val="center"/>
            </w:pPr>
            <w:r>
              <w:t>2025</w:t>
            </w:r>
          </w:p>
        </w:tc>
        <w:tc>
          <w:tcPr>
            <w:tcW w:w="3172" w:type="dxa"/>
          </w:tcPr>
          <w:p w:rsidR="00CA6166" w:rsidRDefault="00CA6166" w:rsidP="00CF7DB5">
            <w:pPr>
              <w:jc w:val="center"/>
            </w:pPr>
          </w:p>
        </w:tc>
        <w:tc>
          <w:tcPr>
            <w:tcW w:w="3426" w:type="dxa"/>
          </w:tcPr>
          <w:p w:rsidR="00CA6166" w:rsidRDefault="00CA6166" w:rsidP="00CF7DB5">
            <w:pPr>
              <w:jc w:val="center"/>
            </w:pPr>
          </w:p>
        </w:tc>
      </w:tr>
      <w:tr w:rsidR="00CA6166" w:rsidTr="00CF7DB5">
        <w:trPr>
          <w:jc w:val="center"/>
        </w:trPr>
        <w:tc>
          <w:tcPr>
            <w:tcW w:w="2595" w:type="dxa"/>
          </w:tcPr>
          <w:p w:rsidR="00CA6166" w:rsidRDefault="00CA6166" w:rsidP="00CF7DB5">
            <w:pPr>
              <w:jc w:val="center"/>
            </w:pPr>
            <w:r>
              <w:t>2026</w:t>
            </w:r>
          </w:p>
        </w:tc>
        <w:tc>
          <w:tcPr>
            <w:tcW w:w="3172" w:type="dxa"/>
          </w:tcPr>
          <w:p w:rsidR="00CA6166" w:rsidRDefault="00CA6166" w:rsidP="00CF7DB5">
            <w:pPr>
              <w:jc w:val="center"/>
            </w:pPr>
          </w:p>
        </w:tc>
        <w:tc>
          <w:tcPr>
            <w:tcW w:w="3426" w:type="dxa"/>
          </w:tcPr>
          <w:p w:rsidR="00CA6166" w:rsidRDefault="00CA6166" w:rsidP="00CF7DB5">
            <w:pPr>
              <w:jc w:val="center"/>
            </w:pPr>
          </w:p>
        </w:tc>
      </w:tr>
      <w:tr w:rsidR="00CA6166" w:rsidTr="00CF7DB5">
        <w:trPr>
          <w:jc w:val="center"/>
        </w:trPr>
        <w:tc>
          <w:tcPr>
            <w:tcW w:w="2595" w:type="dxa"/>
          </w:tcPr>
          <w:p w:rsidR="00CA6166" w:rsidRDefault="00CA6166" w:rsidP="00CF7DB5">
            <w:pPr>
              <w:jc w:val="center"/>
            </w:pPr>
            <w:r>
              <w:t>2027</w:t>
            </w:r>
          </w:p>
        </w:tc>
        <w:tc>
          <w:tcPr>
            <w:tcW w:w="3172" w:type="dxa"/>
          </w:tcPr>
          <w:p w:rsidR="00CA6166" w:rsidRDefault="00CA6166" w:rsidP="00CF7DB5">
            <w:pPr>
              <w:jc w:val="center"/>
            </w:pPr>
            <w:r>
              <w:t>1- year 75 MW PPA</w:t>
            </w:r>
          </w:p>
        </w:tc>
        <w:tc>
          <w:tcPr>
            <w:tcW w:w="3426" w:type="dxa"/>
          </w:tcPr>
          <w:p w:rsidR="00CA6166" w:rsidRDefault="00CA6166" w:rsidP="00CF7DB5">
            <w:pPr>
              <w:jc w:val="center"/>
            </w:pPr>
          </w:p>
        </w:tc>
      </w:tr>
      <w:tr w:rsidR="00CA6166" w:rsidTr="00CF7DB5">
        <w:trPr>
          <w:jc w:val="center"/>
        </w:trPr>
        <w:tc>
          <w:tcPr>
            <w:tcW w:w="2595" w:type="dxa"/>
          </w:tcPr>
          <w:p w:rsidR="00CA6166" w:rsidRDefault="00CA6166" w:rsidP="00CF7DB5">
            <w:pPr>
              <w:jc w:val="center"/>
            </w:pPr>
            <w:r>
              <w:t>2028</w:t>
            </w:r>
          </w:p>
        </w:tc>
        <w:tc>
          <w:tcPr>
            <w:tcW w:w="3172" w:type="dxa"/>
          </w:tcPr>
          <w:p w:rsidR="00CA6166" w:rsidRDefault="00CA6166" w:rsidP="00CF7DB5">
            <w:pPr>
              <w:jc w:val="center"/>
            </w:pPr>
            <w:r>
              <w:t>1 Greenfield 3x1 CC Unit</w:t>
            </w:r>
          </w:p>
        </w:tc>
        <w:tc>
          <w:tcPr>
            <w:tcW w:w="3426" w:type="dxa"/>
          </w:tcPr>
          <w:p w:rsidR="00CA6166" w:rsidRDefault="00CA6166" w:rsidP="00CF7DB5">
            <w:pPr>
              <w:jc w:val="center"/>
            </w:pPr>
            <w:r>
              <w:t>1- year 337 MW PPA</w:t>
            </w:r>
          </w:p>
        </w:tc>
      </w:tr>
      <w:tr w:rsidR="00CA6166" w:rsidTr="00CF7DB5">
        <w:trPr>
          <w:jc w:val="center"/>
        </w:trPr>
        <w:tc>
          <w:tcPr>
            <w:tcW w:w="2595" w:type="dxa"/>
          </w:tcPr>
          <w:p w:rsidR="00CA6166" w:rsidRDefault="00CA6166" w:rsidP="00CF7DB5">
            <w:pPr>
              <w:jc w:val="center"/>
            </w:pPr>
            <w:r>
              <w:t>2029</w:t>
            </w:r>
          </w:p>
        </w:tc>
        <w:tc>
          <w:tcPr>
            <w:tcW w:w="3172" w:type="dxa"/>
          </w:tcPr>
          <w:p w:rsidR="00CA6166" w:rsidRDefault="00CA6166" w:rsidP="00CF7DB5">
            <w:pPr>
              <w:jc w:val="center"/>
            </w:pPr>
          </w:p>
        </w:tc>
        <w:tc>
          <w:tcPr>
            <w:tcW w:w="3426" w:type="dxa"/>
          </w:tcPr>
          <w:p w:rsidR="00CA6166" w:rsidRDefault="00CA6166" w:rsidP="00CF7DB5">
            <w:pPr>
              <w:jc w:val="center"/>
            </w:pPr>
            <w:r>
              <w:t>1 Greenfield 3x1 CC Unit</w:t>
            </w:r>
          </w:p>
        </w:tc>
      </w:tr>
      <w:tr w:rsidR="00CA6166" w:rsidTr="00CF7DB5">
        <w:trPr>
          <w:jc w:val="center"/>
        </w:trPr>
        <w:tc>
          <w:tcPr>
            <w:tcW w:w="2595" w:type="dxa"/>
          </w:tcPr>
          <w:p w:rsidR="00CA6166" w:rsidRDefault="00CA6166" w:rsidP="00CF7DB5">
            <w:pPr>
              <w:jc w:val="center"/>
            </w:pPr>
            <w:r>
              <w:t>2030</w:t>
            </w:r>
          </w:p>
        </w:tc>
        <w:tc>
          <w:tcPr>
            <w:tcW w:w="3172" w:type="dxa"/>
          </w:tcPr>
          <w:p w:rsidR="00CA6166" w:rsidRDefault="00CA6166" w:rsidP="00CF7DB5">
            <w:pPr>
              <w:jc w:val="center"/>
            </w:pPr>
          </w:p>
        </w:tc>
        <w:tc>
          <w:tcPr>
            <w:tcW w:w="3426" w:type="dxa"/>
          </w:tcPr>
          <w:p w:rsidR="00CA6166" w:rsidRDefault="00CA6166" w:rsidP="00CF7DB5">
            <w:pPr>
              <w:jc w:val="center"/>
            </w:pPr>
          </w:p>
        </w:tc>
      </w:tr>
      <w:tr w:rsidR="00CA6166" w:rsidTr="00CF7DB5">
        <w:trPr>
          <w:jc w:val="center"/>
        </w:trPr>
        <w:tc>
          <w:tcPr>
            <w:tcW w:w="2595" w:type="dxa"/>
          </w:tcPr>
          <w:p w:rsidR="00CA6166" w:rsidRDefault="00CA6166" w:rsidP="00CF7DB5">
            <w:pPr>
              <w:jc w:val="center"/>
            </w:pPr>
            <w:r>
              <w:t>2031</w:t>
            </w:r>
          </w:p>
        </w:tc>
        <w:tc>
          <w:tcPr>
            <w:tcW w:w="3172" w:type="dxa"/>
          </w:tcPr>
          <w:p w:rsidR="00CA6166" w:rsidRDefault="00CA6166" w:rsidP="00CF7DB5">
            <w:pPr>
              <w:jc w:val="center"/>
            </w:pPr>
            <w:r w:rsidRPr="00702AFB">
              <w:t>Equalizing 578 MW CC Uni</w:t>
            </w:r>
            <w:r>
              <w:t>t</w:t>
            </w:r>
          </w:p>
        </w:tc>
        <w:tc>
          <w:tcPr>
            <w:tcW w:w="3426" w:type="dxa"/>
          </w:tcPr>
          <w:p w:rsidR="00CA6166" w:rsidRDefault="00CA6166" w:rsidP="00CF7DB5">
            <w:pPr>
              <w:jc w:val="center"/>
            </w:pPr>
            <w:r w:rsidRPr="00702AFB">
              <w:t xml:space="preserve">Equalizing </w:t>
            </w:r>
            <w:r>
              <w:t>419</w:t>
            </w:r>
            <w:r w:rsidRPr="00702AFB">
              <w:t xml:space="preserve"> MW CC Unit</w:t>
            </w:r>
          </w:p>
        </w:tc>
      </w:tr>
    </w:tbl>
    <w:p w:rsidR="00CA6166" w:rsidRPr="00D31B76" w:rsidRDefault="00CA6166" w:rsidP="00CA6166">
      <w:pPr>
        <w:pStyle w:val="TableSource"/>
        <w:spacing w:after="0"/>
        <w:rPr>
          <w:sz w:val="20"/>
          <w:szCs w:val="20"/>
        </w:rPr>
      </w:pPr>
      <w:r w:rsidRPr="00D31B76">
        <w:rPr>
          <w:sz w:val="20"/>
          <w:szCs w:val="20"/>
        </w:rPr>
        <w:t xml:space="preserve">     Source: </w:t>
      </w:r>
      <w:r w:rsidRPr="00384BA9">
        <w:rPr>
          <w:sz w:val="20"/>
          <w:szCs w:val="20"/>
        </w:rPr>
        <w:t>EXH 77</w:t>
      </w:r>
      <w:r>
        <w:rPr>
          <w:sz w:val="20"/>
          <w:szCs w:val="20"/>
        </w:rPr>
        <w:t xml:space="preserve"> </w:t>
      </w:r>
    </w:p>
    <w:p w:rsidR="00CA6166" w:rsidRDefault="00CA6166" w:rsidP="00CA6166">
      <w:pPr>
        <w:pStyle w:val="BodyText"/>
        <w:spacing w:after="0"/>
      </w:pPr>
    </w:p>
    <w:p w:rsidR="00A81C23" w:rsidRDefault="00A81C23" w:rsidP="00A81C23">
      <w:pPr>
        <w:jc w:val="both"/>
      </w:pPr>
      <w:r>
        <w:t>In completing the analysis, FPL considered multiple components to determine cost effectiveness: solar revenue requirements, avoided generation costs, and avoided system costs. For the proposed solar facilities, the revenue requirements included fixed operation and maintenance (O&amp;M), equipment, installation, land cost, and transmission interconnection cost. The avoided generation cost component considered avoided generation capital, avoided fixed O&amp;M, avoided transmission interconnection, avoided capital replaceme</w:t>
      </w:r>
      <w:r w:rsidRPr="00FB2F78">
        <w:t>nt, incremental gas transport</w:t>
      </w:r>
      <w:r>
        <w:t>,</w:t>
      </w:r>
      <w:r w:rsidRPr="00FB2F78">
        <w:t xml:space="preserve"> and short-term purchases</w:t>
      </w:r>
      <w:r>
        <w:t xml:space="preserve">. </w:t>
      </w:r>
      <w:r w:rsidRPr="00FB2F78">
        <w:t>The avoided system cost component considers the factors of fuel savings, avoided variable O&amp;M</w:t>
      </w:r>
      <w:r>
        <w:t>,</w:t>
      </w:r>
      <w:r w:rsidRPr="00FB2F78">
        <w:t xml:space="preserve"> and emission </w:t>
      </w:r>
      <w:r>
        <w:t xml:space="preserve">cost </w:t>
      </w:r>
      <w:r w:rsidRPr="00FB2F78">
        <w:t xml:space="preserve">savings. </w:t>
      </w:r>
      <w:r>
        <w:t>(EXH 77)</w:t>
      </w:r>
    </w:p>
    <w:p w:rsidR="00BF5801" w:rsidRDefault="00BF5801" w:rsidP="00A81C23">
      <w:pPr>
        <w:pStyle w:val="BodyText"/>
        <w:spacing w:after="0"/>
      </w:pPr>
    </w:p>
    <w:p w:rsidR="00CA6166" w:rsidRDefault="00A81C23" w:rsidP="00A81C23">
      <w:pPr>
        <w:pStyle w:val="BodyText"/>
        <w:spacing w:after="0"/>
      </w:pPr>
      <w:r w:rsidRPr="00FB2F78">
        <w:t xml:space="preserve">FPL </w:t>
      </w:r>
      <w:r>
        <w:t xml:space="preserve">witness </w:t>
      </w:r>
      <w:proofErr w:type="spellStart"/>
      <w:r>
        <w:t>Enjamio</w:t>
      </w:r>
      <w:proofErr w:type="spellEnd"/>
      <w:r>
        <w:t xml:space="preserve"> </w:t>
      </w:r>
      <w:r w:rsidRPr="00FB2F78">
        <w:t>stated</w:t>
      </w:r>
      <w:r>
        <w:t xml:space="preserve"> that </w:t>
      </w:r>
      <w:r w:rsidRPr="00FB2F78">
        <w:t xml:space="preserve">the emission </w:t>
      </w:r>
      <w:r>
        <w:t>cost savings</w:t>
      </w:r>
      <w:r w:rsidRPr="00FB2F78">
        <w:t xml:space="preserve"> consideration did not incorporate CO</w:t>
      </w:r>
      <w:r w:rsidRPr="00FB2F78">
        <w:rPr>
          <w:vertAlign w:val="subscript"/>
        </w:rPr>
        <w:t xml:space="preserve">2 </w:t>
      </w:r>
      <w:r w:rsidRPr="00FB2F78">
        <w:t>pricing until 2028. (</w:t>
      </w:r>
      <w:r>
        <w:t>TR</w:t>
      </w:r>
      <w:r w:rsidRPr="00FB2F78">
        <w:t xml:space="preserve"> </w:t>
      </w:r>
      <w:r w:rsidRPr="005C5DEA">
        <w:t>176</w:t>
      </w:r>
      <w:r w:rsidRPr="00FB2F78">
        <w:t xml:space="preserve">) FPL witness </w:t>
      </w:r>
      <w:proofErr w:type="spellStart"/>
      <w:r w:rsidRPr="00FB2F78">
        <w:t>Enjamio</w:t>
      </w:r>
      <w:proofErr w:type="spellEnd"/>
      <w:r w:rsidRPr="00FB2F78">
        <w:t xml:space="preserve"> identified ICF</w:t>
      </w:r>
      <w:r>
        <w:t xml:space="preserve"> International’</w:t>
      </w:r>
      <w:r w:rsidRPr="00FB2F78">
        <w:t>s</w:t>
      </w:r>
      <w:r>
        <w:t xml:space="preserve"> (ICF)</w:t>
      </w:r>
      <w:r w:rsidRPr="00FB2F78">
        <w:t xml:space="preserve"> CO</w:t>
      </w:r>
      <w:r w:rsidRPr="00FB2F78">
        <w:rPr>
          <w:vertAlign w:val="subscript"/>
        </w:rPr>
        <w:t>2</w:t>
      </w:r>
      <w:r>
        <w:t xml:space="preserve"> emission</w:t>
      </w:r>
      <w:r w:rsidRPr="00FB2F78">
        <w:t xml:space="preserve">s cost forecast as a major assumption in FPL’s economic analysis of its proposed </w:t>
      </w:r>
      <w:r>
        <w:t xml:space="preserve">2019 </w:t>
      </w:r>
      <w:r w:rsidRPr="00FB2F78">
        <w:t>sol</w:t>
      </w:r>
      <w:r>
        <w:t xml:space="preserve">ar generation projects. </w:t>
      </w:r>
      <w:r w:rsidRPr="00FB2F78">
        <w:t>(</w:t>
      </w:r>
      <w:r>
        <w:t>TR</w:t>
      </w:r>
      <w:r w:rsidRPr="00FB2F78">
        <w:t xml:space="preserve"> </w:t>
      </w:r>
      <w:r w:rsidRPr="005C5DEA">
        <w:t>176</w:t>
      </w:r>
      <w:r w:rsidRPr="00FB2F78">
        <w:t>) The CO</w:t>
      </w:r>
      <w:r w:rsidRPr="00FB2F78">
        <w:rPr>
          <w:vertAlign w:val="subscript"/>
        </w:rPr>
        <w:t>2</w:t>
      </w:r>
      <w:r w:rsidRPr="00FB2F78">
        <w:t xml:space="preserve"> cost projections used in FPL’s cost-effectiveness analyses are based on ICF’s CO</w:t>
      </w:r>
      <w:r w:rsidRPr="00FB2F78">
        <w:rPr>
          <w:vertAlign w:val="subscript"/>
        </w:rPr>
        <w:t>2</w:t>
      </w:r>
      <w:r w:rsidRPr="00FB2F78">
        <w:t xml:space="preserve"> emission cost forecast dated </w:t>
      </w:r>
      <w:r>
        <w:t>January 31, 2018</w:t>
      </w:r>
      <w:r w:rsidRPr="00FB2F78">
        <w:t>. (</w:t>
      </w:r>
      <w:r>
        <w:t>TR</w:t>
      </w:r>
      <w:r w:rsidRPr="00FB2F78">
        <w:t xml:space="preserve"> </w:t>
      </w:r>
      <w:r w:rsidRPr="005C5DEA">
        <w:t>176</w:t>
      </w:r>
      <w:r w:rsidRPr="00FB2F78">
        <w:t>) ICF is a consulting firm with extensive experience in forecasting the cost of air emissions and is recognized as one of the industry leaders in this field. (</w:t>
      </w:r>
      <w:r>
        <w:t>TR</w:t>
      </w:r>
      <w:r w:rsidRPr="00FB2F78">
        <w:t xml:space="preserve"> </w:t>
      </w:r>
      <w:r w:rsidRPr="005C5DEA">
        <w:t>176</w:t>
      </w:r>
      <w:r w:rsidRPr="00FB2F78">
        <w:t>)</w:t>
      </w:r>
      <w:r>
        <w:t xml:space="preserve"> </w:t>
      </w:r>
      <w:r w:rsidRPr="00DC09B6">
        <w:t>No intervenor offered testimony rebutting FPL’s CO</w:t>
      </w:r>
      <w:r w:rsidRPr="00DC09B6">
        <w:rPr>
          <w:vertAlign w:val="subscript"/>
        </w:rPr>
        <w:t>2</w:t>
      </w:r>
      <w:r w:rsidRPr="00DC09B6">
        <w:t xml:space="preserve"> emission cost forecast or provided any alternative emission cost forecast. </w:t>
      </w:r>
      <w:r w:rsidRPr="00FB2F78">
        <w:t>Staff believes that the CO</w:t>
      </w:r>
      <w:r w:rsidRPr="00FB2F78">
        <w:rPr>
          <w:vertAlign w:val="subscript"/>
        </w:rPr>
        <w:t>2</w:t>
      </w:r>
      <w:r w:rsidRPr="00FB2F78">
        <w:t xml:space="preserve"> cost projections FPL used in this docket are appropria</w:t>
      </w:r>
      <w:r>
        <w:t>t</w:t>
      </w:r>
      <w:r w:rsidR="00CA6166" w:rsidRPr="00FB2F78">
        <w:t xml:space="preserve">e. </w:t>
      </w:r>
    </w:p>
    <w:p w:rsidR="007154B2" w:rsidRDefault="007154B2" w:rsidP="007154B2">
      <w:pPr>
        <w:ind w:firstLine="720"/>
        <w:jc w:val="both"/>
        <w:rPr>
          <w:rFonts w:ascii="Arial" w:hAnsi="Arial" w:cs="Arial"/>
          <w:b/>
          <w:i/>
        </w:rPr>
      </w:pPr>
    </w:p>
    <w:p w:rsidR="007154B2" w:rsidRPr="00EA30B2" w:rsidRDefault="007154B2" w:rsidP="007154B2">
      <w:pPr>
        <w:ind w:firstLine="720"/>
        <w:jc w:val="both"/>
        <w:rPr>
          <w:rFonts w:ascii="Arial" w:hAnsi="Arial" w:cs="Arial"/>
          <w:b/>
          <w:i/>
        </w:rPr>
      </w:pPr>
      <w:r w:rsidRPr="00EA30B2">
        <w:rPr>
          <w:rFonts w:ascii="Arial" w:hAnsi="Arial" w:cs="Arial"/>
          <w:b/>
          <w:i/>
        </w:rPr>
        <w:t xml:space="preserve">Hearsay </w:t>
      </w:r>
    </w:p>
    <w:p w:rsidR="007154B2" w:rsidRDefault="007154B2" w:rsidP="007154B2">
      <w:pPr>
        <w:jc w:val="both"/>
      </w:pPr>
      <w:r>
        <w:t>Staff does not find FIPUG’s argument</w:t>
      </w:r>
      <w:r w:rsidR="00D041F3">
        <w:t>,</w:t>
      </w:r>
      <w:r>
        <w:t xml:space="preserve"> that carbon dioxide tax projections prepared by ICF </w:t>
      </w:r>
      <w:r w:rsidR="00BE688F">
        <w:t xml:space="preserve">and </w:t>
      </w:r>
      <w:r>
        <w:t>used by FPL in its CPVRR analysis is based on uncorroborated hearsay</w:t>
      </w:r>
      <w:r w:rsidR="00D041F3">
        <w:t>,</w:t>
      </w:r>
      <w:r>
        <w:t xml:space="preserve"> to be persuasive. (FIPUG BR 6) Section 120.57(1)(c), F.S., states that “[h]</w:t>
      </w:r>
      <w:proofErr w:type="spellStart"/>
      <w:r>
        <w:t>earsay</w:t>
      </w:r>
      <w:proofErr w:type="spellEnd"/>
      <w:r>
        <w:t xml:space="preserve"> evidence may be used for the purpose of supplementing or explaining other evidence, but it shall not be sufficient in itself to support a finding unless it would be admissible over objection in civil actions.” Section 90.704, </w:t>
      </w:r>
      <w:r>
        <w:lastRenderedPageBreak/>
        <w:t xml:space="preserve">F.S., allows the use by an expert of “facts or data [that] are of a type reasonably relied upon by experts in the subject to support the opinion expressed” even if the facts or data are not admissible in evidence.  </w:t>
      </w:r>
      <w:r>
        <w:rPr>
          <w:u w:val="single"/>
        </w:rPr>
        <w:t>Smith v. State</w:t>
      </w:r>
      <w:r>
        <w:t xml:space="preserve">, 7 So. 3d 473, 501 (Fla. 2009); </w:t>
      </w:r>
      <w:proofErr w:type="spellStart"/>
      <w:r w:rsidRPr="00E63DCF">
        <w:rPr>
          <w:u w:val="single"/>
        </w:rPr>
        <w:t>Geralds</w:t>
      </w:r>
      <w:proofErr w:type="spellEnd"/>
      <w:r w:rsidRPr="00E63DCF">
        <w:rPr>
          <w:u w:val="single"/>
        </w:rPr>
        <w:t xml:space="preserve"> v. State</w:t>
      </w:r>
      <w:r>
        <w:t>, 674 So. 2d 96, 100 (Fla. 1996)(expert allowed to base opinion on cause of death on materials prepared by another doctor).</w:t>
      </w:r>
    </w:p>
    <w:p w:rsidR="007154B2" w:rsidRDefault="007154B2" w:rsidP="007154B2">
      <w:pPr>
        <w:jc w:val="both"/>
      </w:pPr>
    </w:p>
    <w:p w:rsidR="007154B2" w:rsidRDefault="00BE688F" w:rsidP="007154B2">
      <w:pPr>
        <w:jc w:val="both"/>
      </w:pPr>
      <w:r>
        <w:t>FPL identified w</w:t>
      </w:r>
      <w:r w:rsidR="007154B2">
        <w:t xml:space="preserve">itness </w:t>
      </w:r>
      <w:proofErr w:type="spellStart"/>
      <w:r w:rsidR="007154B2">
        <w:t>Enjamio</w:t>
      </w:r>
      <w:proofErr w:type="spellEnd"/>
      <w:r w:rsidR="007154B2">
        <w:t xml:space="preserve"> as an expert in the field of resource planning and the cost-effectiveness of FPL’s 2019 Solar Project.</w:t>
      </w:r>
      <w:r w:rsidR="007154B2">
        <w:rPr>
          <w:rStyle w:val="FootnoteReference"/>
          <w:rFonts w:eastAsiaTheme="minorHAnsi"/>
        </w:rPr>
        <w:footnoteReference w:id="14"/>
      </w:r>
      <w:r w:rsidR="007154B2">
        <w:t xml:space="preserve"> FIPUG objected to any witness being considered an expert witness unless the witness states the subject matter areas in which he or she claims expertise, and </w:t>
      </w:r>
      <w:proofErr w:type="spellStart"/>
      <w:r w:rsidR="007154B2">
        <w:t>voir</w:t>
      </w:r>
      <w:proofErr w:type="spellEnd"/>
      <w:r w:rsidR="007154B2">
        <w:t xml:space="preserve"> dire, if requested, is permitted. However, FIPUG failed to comply with the requirements of Section VI.A(8) of Order No. PSC-2018-0079-PCO-EI, that a party identify each witness the party wishes to </w:t>
      </w:r>
      <w:proofErr w:type="spellStart"/>
      <w:r w:rsidR="007154B2">
        <w:t>voir</w:t>
      </w:r>
      <w:proofErr w:type="spellEnd"/>
      <w:r w:rsidR="007154B2">
        <w:t xml:space="preserve"> dire and specify the portions of the witness’ testimony to which it objects. For that reason, FIPUG was prevented from challenging the expertise of any witness at the final hearing.</w:t>
      </w:r>
      <w:r w:rsidR="007154B2">
        <w:rPr>
          <w:rStyle w:val="FootnoteReference"/>
          <w:rFonts w:eastAsiaTheme="minorHAnsi"/>
        </w:rPr>
        <w:footnoteReference w:id="15"/>
      </w:r>
      <w:r w:rsidR="007154B2">
        <w:t xml:space="preserve">  </w:t>
      </w:r>
    </w:p>
    <w:p w:rsidR="007154B2" w:rsidRDefault="007154B2" w:rsidP="007154B2">
      <w:pPr>
        <w:jc w:val="both"/>
      </w:pPr>
    </w:p>
    <w:p w:rsidR="007154B2" w:rsidRDefault="007154B2" w:rsidP="007154B2">
      <w:pPr>
        <w:jc w:val="both"/>
      </w:pPr>
      <w:r>
        <w:t xml:space="preserve">Witness </w:t>
      </w:r>
      <w:proofErr w:type="spellStart"/>
      <w:r>
        <w:t>Enjamio’s</w:t>
      </w:r>
      <w:proofErr w:type="spellEnd"/>
      <w:r>
        <w:t xml:space="preserve"> testimony is that ICF is recognized as an industry leader in the field of forecasting the cost of air emissions and that its cost projections have been used for many years in FPL’s resource plans and economic analyses, i.e., FPL’s 2018 Ten Year Site Plan. (TR 176) It is important to note that it is witness </w:t>
      </w:r>
      <w:proofErr w:type="spellStart"/>
      <w:r>
        <w:t>Enjamio’s</w:t>
      </w:r>
      <w:proofErr w:type="spellEnd"/>
      <w:r>
        <w:t xml:space="preserve"> expert opinion that ICF’s projection of carbon dioxide costs should be included in FPL’s cost effectiveness analysis for the 2019 </w:t>
      </w:r>
      <w:proofErr w:type="spellStart"/>
      <w:r>
        <w:t>SoBRA</w:t>
      </w:r>
      <w:proofErr w:type="spellEnd"/>
      <w:r>
        <w:t xml:space="preserve"> projects. FIPUG did not present any evidence to support the exclusion of these costs or to refute ICF’s expertise in projecting air emission costs. </w:t>
      </w:r>
      <w:r w:rsidRPr="00EA30B2">
        <w:t>Based on this record, ICF’s carbon dioxide tax costs do not constitute uncorroborated hearsay and can be used in FPL’s cost effectiveness calculation.</w:t>
      </w:r>
    </w:p>
    <w:p w:rsidR="00CA6166" w:rsidRPr="00D674DD" w:rsidRDefault="00CA6166" w:rsidP="00CA6166">
      <w:pPr>
        <w:pStyle w:val="BodyText"/>
        <w:spacing w:after="0"/>
      </w:pPr>
    </w:p>
    <w:p w:rsidR="00CA6166" w:rsidRDefault="00CA6166" w:rsidP="00CA6166">
      <w:pPr>
        <w:pStyle w:val="Second-LevelSubheading"/>
      </w:pPr>
      <w:r>
        <w:t>CPVRR Analysis</w:t>
      </w:r>
    </w:p>
    <w:p w:rsidR="0091580B" w:rsidRDefault="00CD13EB" w:rsidP="0091580B">
      <w:pPr>
        <w:jc w:val="both"/>
      </w:pPr>
      <w:r>
        <w:t>FP</w:t>
      </w:r>
      <w:r w:rsidR="0091580B" w:rsidRPr="00FB2F78">
        <w:t>L’s CPVRR analysis assumed that each project had an actual life of 33 years, with the analysis ending in 2050. (EXH</w:t>
      </w:r>
      <w:r w:rsidR="0091580B" w:rsidRPr="005C5DEA">
        <w:t xml:space="preserve"> 77</w:t>
      </w:r>
      <w:r w:rsidR="0091580B" w:rsidRPr="00FB2F78">
        <w:t>)</w:t>
      </w:r>
      <w:r w:rsidR="0091580B">
        <w:t xml:space="preserve"> </w:t>
      </w:r>
      <w:r w:rsidR="0091580B" w:rsidRPr="00FB2F78">
        <w:t xml:space="preserve">Staff reviewed FPL’s CPVRR for the </w:t>
      </w:r>
      <w:r w:rsidR="0091580B" w:rsidRPr="003F0FA8">
        <w:t xml:space="preserve">2019 </w:t>
      </w:r>
      <w:proofErr w:type="spellStart"/>
      <w:r w:rsidR="0091580B" w:rsidRPr="003F0FA8">
        <w:t>SoBRA</w:t>
      </w:r>
      <w:proofErr w:type="spellEnd"/>
      <w:r w:rsidR="0091580B" w:rsidRPr="003F0FA8">
        <w:t xml:space="preserve"> projects</w:t>
      </w:r>
      <w:r w:rsidR="0091580B">
        <w:t xml:space="preserve"> that produced a savings of $40</w:t>
      </w:r>
      <w:r w:rsidR="0091580B" w:rsidRPr="00FB2F78">
        <w:t xml:space="preserve"> </w:t>
      </w:r>
      <w:r w:rsidR="0091580B">
        <w:t>m</w:t>
      </w:r>
      <w:r w:rsidR="0091580B" w:rsidRPr="00FB2F78">
        <w:t>illion for the base fuel and environmental forecasts. (EXH 3</w:t>
      </w:r>
      <w:r w:rsidR="0091580B">
        <w:t>6</w:t>
      </w:r>
      <w:r w:rsidR="0091580B" w:rsidRPr="00FB2F78">
        <w:t xml:space="preserve">) This </w:t>
      </w:r>
      <w:r w:rsidR="0091580B" w:rsidRPr="00561140">
        <w:t>calculation</w:t>
      </w:r>
      <w:r w:rsidR="0091580B" w:rsidRPr="00FB2F78">
        <w:t xml:space="preserve"> included the previously mentioned CO</w:t>
      </w:r>
      <w:r w:rsidR="0091580B" w:rsidRPr="00FB2F78">
        <w:rPr>
          <w:vertAlign w:val="subscript"/>
        </w:rPr>
        <w:t xml:space="preserve">2 </w:t>
      </w:r>
      <w:r w:rsidR="0091580B" w:rsidRPr="00FB2F78">
        <w:t xml:space="preserve">pricing in 2028. FPL’s CPVRR analysis in support of its </w:t>
      </w:r>
      <w:r w:rsidR="0091580B">
        <w:t xml:space="preserve">2019 </w:t>
      </w:r>
      <w:r w:rsidR="0091580B" w:rsidRPr="00FB2F78">
        <w:t>Solar Plan included assumptions related to future fuel prices. The Company employed its standard fuel forecasting methodology to produce its long-term fuel price forecast. (TR</w:t>
      </w:r>
      <w:r w:rsidR="0091580B">
        <w:t xml:space="preserve"> </w:t>
      </w:r>
      <w:r w:rsidR="0091580B" w:rsidRPr="005C5DEA">
        <w:t>176</w:t>
      </w:r>
      <w:r w:rsidR="0091580B">
        <w:t>, EXH 34</w:t>
      </w:r>
      <w:r w:rsidR="0091580B" w:rsidRPr="00FB2F78">
        <w:t>)</w:t>
      </w:r>
      <w:r w:rsidR="0091580B">
        <w:t xml:space="preserve"> </w:t>
      </w:r>
      <w:r w:rsidR="0091580B" w:rsidRPr="00FB2F78">
        <w:t>Staff believes the forecasted fuel prices used in the Company’s CPVRR analysis associated with its current</w:t>
      </w:r>
      <w:r w:rsidR="0091580B">
        <w:t xml:space="preserve"> proposal are reasonable. (EXH 36</w:t>
      </w:r>
      <w:r w:rsidR="0091580B" w:rsidRPr="00FB2F78">
        <w:t>)</w:t>
      </w:r>
    </w:p>
    <w:p w:rsidR="0091580B" w:rsidRDefault="0091580B" w:rsidP="0091580B">
      <w:pPr>
        <w:jc w:val="both"/>
      </w:pPr>
    </w:p>
    <w:p w:rsidR="0091580B" w:rsidRDefault="0091580B" w:rsidP="0091580B">
      <w:pPr>
        <w:jc w:val="both"/>
      </w:pPr>
      <w:r w:rsidRPr="00FB2F78">
        <w:t xml:space="preserve"> </w:t>
      </w:r>
      <w:r>
        <w:t xml:space="preserve">FPL’s provided CPVRR for the </w:t>
      </w:r>
      <w:r w:rsidRPr="003F0FA8">
        <w:t xml:space="preserve">2019 </w:t>
      </w:r>
      <w:proofErr w:type="spellStart"/>
      <w:r w:rsidRPr="003F0FA8">
        <w:t>SoBRA</w:t>
      </w:r>
      <w:proofErr w:type="spellEnd"/>
      <w:r w:rsidRPr="003F0FA8">
        <w:t xml:space="preserve"> projects</w:t>
      </w:r>
      <w:r>
        <w:t xml:space="preserve"> includes the FPL GRM criteria, which has not been relied upon by the Commission in previous proceedings. </w:t>
      </w:r>
      <w:r w:rsidRPr="00FB2F78">
        <w:t>In res</w:t>
      </w:r>
      <w:r>
        <w:t>ponse to a staff interrogatory</w:t>
      </w:r>
      <w:r w:rsidR="00BE688F">
        <w:t>,</w:t>
      </w:r>
      <w:r>
        <w:t xml:space="preserve"> FPL provided a CPVRR analysis that excludes this GRM criterion and economically evaluates the solar projects based upon FPL’s remaining reliability criteria. (EXH 77) The resulting CPVRR produced a savings of $39.9 million for the base fuel and environmental forecasts, a slight decrease from the $40 million savings that included the GRM criterion. (EXH 77) As noted above, FPL’s GRM criterion was not relied upon by the </w:t>
      </w:r>
      <w:r>
        <w:lastRenderedPageBreak/>
        <w:t xml:space="preserve">Commission in previous proceedings; therefore, staff believes that this criterion is not a critical component to the overall cost-effectiveness of the </w:t>
      </w:r>
      <w:r w:rsidRPr="003F0FA8">
        <w:t xml:space="preserve">2019 </w:t>
      </w:r>
      <w:proofErr w:type="spellStart"/>
      <w:r w:rsidRPr="003F0FA8">
        <w:t>SoBRA</w:t>
      </w:r>
      <w:proofErr w:type="spellEnd"/>
      <w:r w:rsidRPr="003F0FA8">
        <w:t xml:space="preserve"> projects</w:t>
      </w:r>
      <w:r>
        <w:t xml:space="preserve">. </w:t>
      </w:r>
    </w:p>
    <w:p w:rsidR="0091580B" w:rsidRDefault="0091580B" w:rsidP="0091580B">
      <w:pPr>
        <w:jc w:val="both"/>
      </w:pPr>
    </w:p>
    <w:p w:rsidR="0091580B" w:rsidRDefault="0091580B" w:rsidP="0091580B">
      <w:pPr>
        <w:jc w:val="both"/>
      </w:pPr>
      <w:r w:rsidRPr="00FB2F78">
        <w:t>In res</w:t>
      </w:r>
      <w:r>
        <w:t>ponse to a staff interrogatory</w:t>
      </w:r>
      <w:r w:rsidR="00BE688F">
        <w:t>,</w:t>
      </w:r>
      <w:r>
        <w:t xml:space="preserve"> </w:t>
      </w:r>
      <w:r w:rsidRPr="00FB2F78">
        <w:t>FPL provided a CPVRR analysis with both fuel and environmental compliance sensitivities.</w:t>
      </w:r>
      <w:r>
        <w:t xml:space="preserve"> (EXH 77)</w:t>
      </w:r>
      <w:r w:rsidRPr="00FB2F78">
        <w:t xml:space="preserve"> In FPL’s analysis</w:t>
      </w:r>
      <w:r>
        <w:t>,</w:t>
      </w:r>
      <w:r w:rsidRPr="00FB2F78">
        <w:t xml:space="preserve"> a Low, Medium</w:t>
      </w:r>
      <w:r>
        <w:t>,</w:t>
      </w:r>
      <w:r w:rsidRPr="00FB2F78">
        <w:t xml:space="preserve"> and High Fuel Forecast and ENV I, ENV II</w:t>
      </w:r>
      <w:r>
        <w:t>,</w:t>
      </w:r>
      <w:r w:rsidRPr="00FB2F78">
        <w:t xml:space="preserve"> and ENV III compliance costs were considered. ENV I assumes an a</w:t>
      </w:r>
      <w:r>
        <w:t>nnual $0/ton cost</w:t>
      </w:r>
      <w:r w:rsidRPr="00FB2F78">
        <w:t xml:space="preserve"> for CO</w:t>
      </w:r>
      <w:r w:rsidRPr="00FB2F78">
        <w:rPr>
          <w:vertAlign w:val="subscript"/>
        </w:rPr>
        <w:t xml:space="preserve">2 </w:t>
      </w:r>
      <w:r w:rsidRPr="00FB2F78">
        <w:t>pricing and low environmental compliance costs, ENV II assumes a most likely cost</w:t>
      </w:r>
      <w:r>
        <w:t>,</w:t>
      </w:r>
      <w:r w:rsidRPr="00FB2F78">
        <w:t xml:space="preserve"> and ENV III assumes high e</w:t>
      </w:r>
      <w:r>
        <w:t xml:space="preserve">nvironmental compliance costs. </w:t>
      </w:r>
      <w:r w:rsidRPr="00FB2F78">
        <w:t xml:space="preserve">(EXH </w:t>
      </w:r>
      <w:r>
        <w:t>77</w:t>
      </w:r>
      <w:r w:rsidRPr="00FB2F78">
        <w:t xml:space="preserve">) </w:t>
      </w:r>
      <w:r>
        <w:t xml:space="preserve">While this analysis includes FPL’s GRM criterion, it is assumed there would be a similar negligible effect on the other sensitivities as it did on FPL’s base case forecast. </w:t>
      </w:r>
      <w:r w:rsidRPr="00FB2F78">
        <w:t>The range of savin</w:t>
      </w:r>
      <w:r>
        <w:t>gs is illustrated in Table 2P-3:</w:t>
      </w:r>
    </w:p>
    <w:p w:rsidR="0091580B" w:rsidRDefault="0091580B" w:rsidP="0091580B">
      <w:pPr>
        <w:pStyle w:val="TableNumber"/>
        <w:keepNext/>
        <w:spacing w:before="0"/>
      </w:pPr>
      <w:r>
        <w:t>Table 2P-3</w:t>
      </w:r>
    </w:p>
    <w:p w:rsidR="0091580B" w:rsidRDefault="0091580B" w:rsidP="0091580B">
      <w:pPr>
        <w:pStyle w:val="TableTitle"/>
        <w:keepNext/>
      </w:pPr>
      <w:r>
        <w:t>CPVRR Analysis including GRM</w:t>
      </w:r>
    </w:p>
    <w:tbl>
      <w:tblPr>
        <w:tblStyle w:val="TableGrid"/>
        <w:tblW w:w="0" w:type="auto"/>
        <w:jc w:val="center"/>
        <w:tblInd w:w="-832" w:type="dxa"/>
        <w:tblLook w:val="04A0" w:firstRow="1" w:lastRow="0" w:firstColumn="1" w:lastColumn="0" w:noHBand="0" w:noVBand="1"/>
      </w:tblPr>
      <w:tblGrid>
        <w:gridCol w:w="3090"/>
        <w:gridCol w:w="1215"/>
        <w:gridCol w:w="1305"/>
        <w:gridCol w:w="1571"/>
        <w:gridCol w:w="2057"/>
      </w:tblGrid>
      <w:tr w:rsidR="0091580B" w:rsidTr="00BE688F">
        <w:trPr>
          <w:trHeight w:val="305"/>
          <w:jc w:val="center"/>
        </w:trPr>
        <w:tc>
          <w:tcPr>
            <w:tcW w:w="3090" w:type="dxa"/>
          </w:tcPr>
          <w:p w:rsidR="0091580B" w:rsidRDefault="0091580B" w:rsidP="00BE688F"/>
        </w:tc>
        <w:tc>
          <w:tcPr>
            <w:tcW w:w="6148" w:type="dxa"/>
            <w:gridSpan w:val="4"/>
          </w:tcPr>
          <w:p w:rsidR="0091580B" w:rsidRPr="00F313AB" w:rsidRDefault="0091580B" w:rsidP="00BE688F">
            <w:pPr>
              <w:jc w:val="center"/>
              <w:rPr>
                <w:b/>
              </w:rPr>
            </w:pPr>
            <w:r w:rsidRPr="00F313AB">
              <w:rPr>
                <w:b/>
              </w:rPr>
              <w:t>Environmental Compliance Cost Forecast</w:t>
            </w:r>
          </w:p>
        </w:tc>
      </w:tr>
      <w:tr w:rsidR="0091580B" w:rsidTr="00BE688F">
        <w:trPr>
          <w:trHeight w:val="144"/>
          <w:jc w:val="center"/>
        </w:trPr>
        <w:tc>
          <w:tcPr>
            <w:tcW w:w="3090" w:type="dxa"/>
            <w:vMerge w:val="restart"/>
            <w:vAlign w:val="center"/>
          </w:tcPr>
          <w:p w:rsidR="0091580B" w:rsidRDefault="0091580B" w:rsidP="00BE688F">
            <w:pPr>
              <w:jc w:val="center"/>
            </w:pPr>
            <w:r>
              <w:t>Fuel Cost Forecast</w:t>
            </w:r>
          </w:p>
        </w:tc>
        <w:tc>
          <w:tcPr>
            <w:tcW w:w="1215" w:type="dxa"/>
          </w:tcPr>
          <w:p w:rsidR="0091580B" w:rsidRDefault="0091580B" w:rsidP="00BE688F"/>
        </w:tc>
        <w:tc>
          <w:tcPr>
            <w:tcW w:w="1305" w:type="dxa"/>
          </w:tcPr>
          <w:p w:rsidR="0091580B" w:rsidRPr="00835708" w:rsidRDefault="0091580B" w:rsidP="00BE688F">
            <w:pPr>
              <w:jc w:val="center"/>
              <w:rPr>
                <w:b/>
              </w:rPr>
            </w:pPr>
            <w:r w:rsidRPr="00835708">
              <w:rPr>
                <w:b/>
              </w:rPr>
              <w:t>ENV I</w:t>
            </w:r>
          </w:p>
        </w:tc>
        <w:tc>
          <w:tcPr>
            <w:tcW w:w="1571" w:type="dxa"/>
          </w:tcPr>
          <w:p w:rsidR="0091580B" w:rsidRPr="00835708" w:rsidRDefault="0091580B" w:rsidP="00BE688F">
            <w:pPr>
              <w:jc w:val="center"/>
              <w:rPr>
                <w:b/>
              </w:rPr>
            </w:pPr>
            <w:r w:rsidRPr="00835708">
              <w:rPr>
                <w:b/>
              </w:rPr>
              <w:t>ENV II</w:t>
            </w:r>
          </w:p>
        </w:tc>
        <w:tc>
          <w:tcPr>
            <w:tcW w:w="2057" w:type="dxa"/>
          </w:tcPr>
          <w:p w:rsidR="0091580B" w:rsidRPr="00835708" w:rsidRDefault="0091580B" w:rsidP="00BE688F">
            <w:pPr>
              <w:jc w:val="center"/>
              <w:rPr>
                <w:b/>
              </w:rPr>
            </w:pPr>
            <w:r w:rsidRPr="00835708">
              <w:rPr>
                <w:b/>
              </w:rPr>
              <w:t>ENV III</w:t>
            </w:r>
          </w:p>
        </w:tc>
      </w:tr>
      <w:tr w:rsidR="0091580B" w:rsidTr="00BE688F">
        <w:trPr>
          <w:trHeight w:val="144"/>
          <w:jc w:val="center"/>
        </w:trPr>
        <w:tc>
          <w:tcPr>
            <w:tcW w:w="3090" w:type="dxa"/>
            <w:vMerge/>
          </w:tcPr>
          <w:p w:rsidR="0091580B" w:rsidRDefault="0091580B" w:rsidP="00BE688F"/>
        </w:tc>
        <w:tc>
          <w:tcPr>
            <w:tcW w:w="1215" w:type="dxa"/>
          </w:tcPr>
          <w:p w:rsidR="0091580B" w:rsidRPr="00835708" w:rsidRDefault="0091580B" w:rsidP="00BE688F">
            <w:pPr>
              <w:jc w:val="center"/>
              <w:rPr>
                <w:b/>
              </w:rPr>
            </w:pPr>
            <w:r w:rsidRPr="00835708">
              <w:rPr>
                <w:b/>
              </w:rPr>
              <w:t>High</w:t>
            </w:r>
          </w:p>
        </w:tc>
        <w:tc>
          <w:tcPr>
            <w:tcW w:w="1305" w:type="dxa"/>
            <w:vAlign w:val="center"/>
          </w:tcPr>
          <w:p w:rsidR="0091580B" w:rsidRDefault="0091580B" w:rsidP="00BE688F">
            <w:pPr>
              <w:jc w:val="center"/>
            </w:pPr>
            <w:r>
              <w:t>($62)</w:t>
            </w:r>
          </w:p>
        </w:tc>
        <w:tc>
          <w:tcPr>
            <w:tcW w:w="1571" w:type="dxa"/>
            <w:vAlign w:val="center"/>
          </w:tcPr>
          <w:p w:rsidR="0091580B" w:rsidRDefault="0091580B" w:rsidP="00BE688F">
            <w:pPr>
              <w:jc w:val="center"/>
            </w:pPr>
            <w:r>
              <w:t>($81)</w:t>
            </w:r>
          </w:p>
        </w:tc>
        <w:tc>
          <w:tcPr>
            <w:tcW w:w="2057" w:type="dxa"/>
            <w:vAlign w:val="center"/>
          </w:tcPr>
          <w:p w:rsidR="0091580B" w:rsidRDefault="0091580B" w:rsidP="00BE688F">
            <w:pPr>
              <w:jc w:val="center"/>
            </w:pPr>
            <w:r>
              <w:t>($130)</w:t>
            </w:r>
          </w:p>
        </w:tc>
      </w:tr>
      <w:tr w:rsidR="0091580B" w:rsidTr="00BE688F">
        <w:trPr>
          <w:trHeight w:val="20"/>
          <w:jc w:val="center"/>
        </w:trPr>
        <w:tc>
          <w:tcPr>
            <w:tcW w:w="3090" w:type="dxa"/>
            <w:vMerge/>
          </w:tcPr>
          <w:p w:rsidR="0091580B" w:rsidRDefault="0091580B" w:rsidP="00BE688F"/>
        </w:tc>
        <w:tc>
          <w:tcPr>
            <w:tcW w:w="1215" w:type="dxa"/>
          </w:tcPr>
          <w:p w:rsidR="0091580B" w:rsidRPr="00835708" w:rsidRDefault="0091580B" w:rsidP="00BE688F">
            <w:pPr>
              <w:jc w:val="center"/>
              <w:rPr>
                <w:b/>
              </w:rPr>
            </w:pPr>
            <w:r w:rsidRPr="00835708">
              <w:rPr>
                <w:b/>
              </w:rPr>
              <w:t>Medium</w:t>
            </w:r>
          </w:p>
        </w:tc>
        <w:tc>
          <w:tcPr>
            <w:tcW w:w="1305" w:type="dxa"/>
          </w:tcPr>
          <w:p w:rsidR="0091580B" w:rsidRDefault="0091580B" w:rsidP="00BE688F">
            <w:pPr>
              <w:jc w:val="center"/>
            </w:pPr>
            <w:r>
              <w:t>($19)</w:t>
            </w:r>
          </w:p>
        </w:tc>
        <w:tc>
          <w:tcPr>
            <w:tcW w:w="1571" w:type="dxa"/>
          </w:tcPr>
          <w:p w:rsidR="0091580B" w:rsidRDefault="0091580B" w:rsidP="00BE688F">
            <w:pPr>
              <w:jc w:val="center"/>
            </w:pPr>
            <w:r>
              <w:t>($40)</w:t>
            </w:r>
          </w:p>
        </w:tc>
        <w:tc>
          <w:tcPr>
            <w:tcW w:w="2057" w:type="dxa"/>
          </w:tcPr>
          <w:p w:rsidR="0091580B" w:rsidRDefault="0091580B" w:rsidP="00BE688F">
            <w:pPr>
              <w:jc w:val="center"/>
            </w:pPr>
            <w:r>
              <w:t>($89)</w:t>
            </w:r>
          </w:p>
        </w:tc>
      </w:tr>
      <w:tr w:rsidR="0091580B" w:rsidTr="00BE688F">
        <w:trPr>
          <w:trHeight w:val="144"/>
          <w:jc w:val="center"/>
        </w:trPr>
        <w:tc>
          <w:tcPr>
            <w:tcW w:w="3090" w:type="dxa"/>
            <w:vMerge/>
          </w:tcPr>
          <w:p w:rsidR="0091580B" w:rsidRDefault="0091580B" w:rsidP="00BE688F"/>
        </w:tc>
        <w:tc>
          <w:tcPr>
            <w:tcW w:w="1215" w:type="dxa"/>
          </w:tcPr>
          <w:p w:rsidR="0091580B" w:rsidRPr="00835708" w:rsidRDefault="0091580B" w:rsidP="00BE688F">
            <w:pPr>
              <w:jc w:val="center"/>
              <w:rPr>
                <w:b/>
              </w:rPr>
            </w:pPr>
            <w:r w:rsidRPr="00835708">
              <w:rPr>
                <w:b/>
              </w:rPr>
              <w:t>Low</w:t>
            </w:r>
          </w:p>
        </w:tc>
        <w:tc>
          <w:tcPr>
            <w:tcW w:w="1305" w:type="dxa"/>
          </w:tcPr>
          <w:p w:rsidR="0091580B" w:rsidRDefault="0091580B" w:rsidP="00BE688F">
            <w:pPr>
              <w:jc w:val="center"/>
            </w:pPr>
            <w:r>
              <w:t>$24</w:t>
            </w:r>
          </w:p>
        </w:tc>
        <w:tc>
          <w:tcPr>
            <w:tcW w:w="1571" w:type="dxa"/>
          </w:tcPr>
          <w:p w:rsidR="0091580B" w:rsidRDefault="0091580B" w:rsidP="00BE688F">
            <w:pPr>
              <w:jc w:val="center"/>
            </w:pPr>
            <w:r>
              <w:t>$4</w:t>
            </w:r>
          </w:p>
        </w:tc>
        <w:tc>
          <w:tcPr>
            <w:tcW w:w="2057" w:type="dxa"/>
          </w:tcPr>
          <w:p w:rsidR="0091580B" w:rsidRDefault="0091580B" w:rsidP="00BE688F">
            <w:pPr>
              <w:jc w:val="center"/>
            </w:pPr>
            <w:r>
              <w:t>($46)</w:t>
            </w:r>
          </w:p>
        </w:tc>
      </w:tr>
    </w:tbl>
    <w:p w:rsidR="0091580B" w:rsidRDefault="0091580B" w:rsidP="0091580B">
      <w:pPr>
        <w:pStyle w:val="TableSource"/>
        <w:spacing w:after="0"/>
        <w:rPr>
          <w:sz w:val="20"/>
          <w:szCs w:val="20"/>
        </w:rPr>
      </w:pPr>
      <w:r w:rsidRPr="00F313AB">
        <w:rPr>
          <w:sz w:val="20"/>
          <w:szCs w:val="20"/>
        </w:rPr>
        <w:t xml:space="preserve">       Source: EXH </w:t>
      </w:r>
      <w:r w:rsidRPr="005C5DEA">
        <w:rPr>
          <w:sz w:val="20"/>
          <w:szCs w:val="20"/>
        </w:rPr>
        <w:t>77</w:t>
      </w:r>
    </w:p>
    <w:p w:rsidR="00BF5801" w:rsidRDefault="00BF5801" w:rsidP="0091580B">
      <w:pPr>
        <w:pStyle w:val="BodyText"/>
        <w:spacing w:after="0"/>
      </w:pPr>
    </w:p>
    <w:p w:rsidR="0091580B" w:rsidRDefault="0091580B" w:rsidP="0091580B">
      <w:pPr>
        <w:pStyle w:val="BodyText"/>
        <w:spacing w:after="0"/>
      </w:pPr>
      <w:r w:rsidRPr="002F0D19">
        <w:t>Table 2</w:t>
      </w:r>
      <w:r>
        <w:t>P-3</w:t>
      </w:r>
      <w:r w:rsidRPr="002F0D19">
        <w:t xml:space="preserve"> shows that in seven of the nine scenarios, the </w:t>
      </w:r>
      <w:r w:rsidRPr="003F0FA8">
        <w:t xml:space="preserve">2019 </w:t>
      </w:r>
      <w:proofErr w:type="spellStart"/>
      <w:r w:rsidRPr="003F0FA8">
        <w:t>SoBRA</w:t>
      </w:r>
      <w:proofErr w:type="spellEnd"/>
      <w:r w:rsidRPr="003F0FA8">
        <w:t xml:space="preserve"> projects</w:t>
      </w:r>
      <w:r w:rsidRPr="002F0D19">
        <w:t xml:space="preserve"> are cost effective. Notably the base fuel case (medium), ENV I scenario contains no cost for </w:t>
      </w:r>
      <w:r w:rsidRPr="00FB2F78">
        <w:t>CO</w:t>
      </w:r>
      <w:r w:rsidRPr="00FB2F78">
        <w:rPr>
          <w:vertAlign w:val="subscript"/>
        </w:rPr>
        <w:t>2</w:t>
      </w:r>
      <w:r>
        <w:t xml:space="preserve">, but is also cost effective. </w:t>
      </w:r>
      <w:r w:rsidRPr="002F0D19">
        <w:t>While examining the forecasted scenarios, staff observed that in all scenarios avoided fuel costs was the major driving force in producing overall savings for the projects. This fact manifested in even the “worst” case scenario of Low Fuel Cost, ENV I, where there are projected fuel savings in every forecasted year.</w:t>
      </w:r>
      <w:r>
        <w:t xml:space="preserve"> These cost forecast scenarios are ide</w:t>
      </w:r>
      <w:r w:rsidR="008073AE">
        <w:t>ntical to the ones present in the</w:t>
      </w:r>
      <w:r>
        <w:t xml:space="preserve"> 2017 and 2018 solar generation projects in previous proceedings. </w:t>
      </w:r>
      <w:r w:rsidRPr="002F0D19">
        <w:t>When investigating the overall cost effectiveness of the projects, staff observed that the first cumulative benefit occurred in 202</w:t>
      </w:r>
      <w:r>
        <w:t>8 in all scenarios</w:t>
      </w:r>
      <w:r w:rsidRPr="002F0D19">
        <w:t>. This benefit seems to be driven by the avoided capital that would be required for the Greenfield 3x1 CC Unit. Staff has reviewed the CPVRR assumptions discussed and believes them to be reasonable.</w:t>
      </w:r>
    </w:p>
    <w:p w:rsidR="0091580B" w:rsidRDefault="0091580B" w:rsidP="0091580B">
      <w:pPr>
        <w:pStyle w:val="BodyText"/>
        <w:spacing w:after="0"/>
      </w:pPr>
    </w:p>
    <w:p w:rsidR="0091580B" w:rsidRDefault="0091580B" w:rsidP="0091580B">
      <w:pPr>
        <w:pStyle w:val="Second-LevelSubheading"/>
      </w:pPr>
      <w:r>
        <w:t xml:space="preserve">2016 Agreement Threshold </w:t>
      </w:r>
    </w:p>
    <w:p w:rsidR="0091580B" w:rsidRDefault="0091580B" w:rsidP="0091580B">
      <w:pPr>
        <w:pStyle w:val="BodyText"/>
        <w:spacing w:after="0"/>
      </w:pPr>
      <w:r>
        <w:t xml:space="preserve">As stated previously, the 2016 Agreement requires the FPL </w:t>
      </w:r>
      <w:r w:rsidRPr="003F0FA8">
        <w:t xml:space="preserve">2019 </w:t>
      </w:r>
      <w:proofErr w:type="spellStart"/>
      <w:r w:rsidRPr="003F0FA8">
        <w:t>SoBRA</w:t>
      </w:r>
      <w:proofErr w:type="spellEnd"/>
      <w:r w:rsidRPr="003F0FA8">
        <w:t xml:space="preserve"> projects</w:t>
      </w:r>
      <w:r>
        <w:t xml:space="preserve"> to meet a $1,750 per </w:t>
      </w:r>
      <w:proofErr w:type="spellStart"/>
      <w:r>
        <w:t>kW</w:t>
      </w:r>
      <w:r w:rsidRPr="002A170F">
        <w:rPr>
          <w:vertAlign w:val="subscript"/>
        </w:rPr>
        <w:t>ac</w:t>
      </w:r>
      <w:proofErr w:type="spellEnd"/>
      <w:r>
        <w:rPr>
          <w:vertAlign w:val="subscript"/>
        </w:rPr>
        <w:t xml:space="preserve"> </w:t>
      </w:r>
      <w:r>
        <w:t xml:space="preserve">cost cap. The estimated </w:t>
      </w:r>
      <w:r w:rsidR="002B28C3">
        <w:t xml:space="preserve">total </w:t>
      </w:r>
      <w:r>
        <w:t xml:space="preserve">cost to build all of the 2019 solar generation projects is $1,386 per </w:t>
      </w:r>
      <w:proofErr w:type="spellStart"/>
      <w:r>
        <w:t>kW</w:t>
      </w:r>
      <w:r w:rsidRPr="002A170F">
        <w:rPr>
          <w:vertAlign w:val="subscript"/>
        </w:rPr>
        <w:t>ac</w:t>
      </w:r>
      <w:proofErr w:type="spellEnd"/>
      <w:r>
        <w:rPr>
          <w:vertAlign w:val="subscript"/>
        </w:rPr>
        <w:t xml:space="preserve">, </w:t>
      </w:r>
      <w:r>
        <w:t xml:space="preserve">falling below the cost cap. (TR 161) Each of the 2019 solar generation projects also fall under this threshold when considered individually. The cost per </w:t>
      </w:r>
      <w:proofErr w:type="spellStart"/>
      <w:r>
        <w:t>kW</w:t>
      </w:r>
      <w:r w:rsidRPr="002A170F">
        <w:rPr>
          <w:vertAlign w:val="subscript"/>
        </w:rPr>
        <w:t>ac</w:t>
      </w:r>
      <w:proofErr w:type="spellEnd"/>
      <w:r>
        <w:t xml:space="preserve"> for the 2019 solar generation projects is illustrated in Table 2P-4:</w:t>
      </w:r>
    </w:p>
    <w:p w:rsidR="0091580B" w:rsidRDefault="0091580B" w:rsidP="0091580B">
      <w:pPr>
        <w:pStyle w:val="TableNumber"/>
        <w:keepNext/>
        <w:spacing w:before="0"/>
      </w:pPr>
      <w:r>
        <w:t>Table 2P-4</w:t>
      </w:r>
    </w:p>
    <w:p w:rsidR="0091580B" w:rsidRPr="000E76A5" w:rsidRDefault="0091580B" w:rsidP="0091580B">
      <w:pPr>
        <w:pStyle w:val="TableTitle"/>
        <w:keepNext/>
      </w:pPr>
      <w:r>
        <w:t>$/</w:t>
      </w:r>
      <w:proofErr w:type="spellStart"/>
      <w:r>
        <w:t>kW</w:t>
      </w:r>
      <w:r w:rsidRPr="002A170F">
        <w:rPr>
          <w:vertAlign w:val="subscript"/>
        </w:rPr>
        <w:t>ac</w:t>
      </w:r>
      <w:proofErr w:type="spellEnd"/>
      <w:r>
        <w:rPr>
          <w:vertAlign w:val="subscript"/>
        </w:rPr>
        <w:t xml:space="preserve"> </w:t>
      </w:r>
      <w:r>
        <w:t>Cost Cap</w:t>
      </w:r>
    </w:p>
    <w:tbl>
      <w:tblPr>
        <w:tblStyle w:val="TableGrid"/>
        <w:tblW w:w="0" w:type="auto"/>
        <w:tblLook w:val="04A0" w:firstRow="1" w:lastRow="0" w:firstColumn="1" w:lastColumn="0" w:noHBand="0" w:noVBand="1"/>
      </w:tblPr>
      <w:tblGrid>
        <w:gridCol w:w="1915"/>
        <w:gridCol w:w="1793"/>
        <w:gridCol w:w="1800"/>
        <w:gridCol w:w="1800"/>
        <w:gridCol w:w="2268"/>
      </w:tblGrid>
      <w:tr w:rsidR="0091580B" w:rsidTr="00BE688F">
        <w:tc>
          <w:tcPr>
            <w:tcW w:w="9576" w:type="dxa"/>
            <w:gridSpan w:val="5"/>
          </w:tcPr>
          <w:p w:rsidR="0091580B" w:rsidRPr="00533814" w:rsidRDefault="0091580B" w:rsidP="00BE688F">
            <w:pPr>
              <w:jc w:val="center"/>
              <w:rPr>
                <w:b/>
              </w:rPr>
            </w:pPr>
            <w:r w:rsidRPr="00533814">
              <w:rPr>
                <w:b/>
              </w:rPr>
              <w:t>2019 Solar Generation Project</w:t>
            </w:r>
            <w:r>
              <w:rPr>
                <w:b/>
              </w:rPr>
              <w:t>s</w:t>
            </w:r>
            <w:r w:rsidRPr="00533814">
              <w:rPr>
                <w:b/>
              </w:rPr>
              <w:t xml:space="preserve"> </w:t>
            </w:r>
            <w:r>
              <w:rPr>
                <w:b/>
              </w:rPr>
              <w:t xml:space="preserve">Cost per </w:t>
            </w:r>
            <w:r w:rsidRPr="00533814">
              <w:rPr>
                <w:b/>
              </w:rPr>
              <w:t>$/</w:t>
            </w:r>
            <w:proofErr w:type="spellStart"/>
            <w:r w:rsidRPr="00533814">
              <w:rPr>
                <w:b/>
              </w:rPr>
              <w:t>kW</w:t>
            </w:r>
            <w:r w:rsidRPr="00533814">
              <w:rPr>
                <w:b/>
                <w:vertAlign w:val="subscript"/>
              </w:rPr>
              <w:t>ac</w:t>
            </w:r>
            <w:proofErr w:type="spellEnd"/>
          </w:p>
        </w:tc>
      </w:tr>
      <w:tr w:rsidR="0091580B" w:rsidTr="00BE688F">
        <w:tc>
          <w:tcPr>
            <w:tcW w:w="1915" w:type="dxa"/>
          </w:tcPr>
          <w:p w:rsidR="0091580B" w:rsidRPr="000E76A5" w:rsidRDefault="0091580B" w:rsidP="00BE688F">
            <w:pPr>
              <w:jc w:val="center"/>
              <w:rPr>
                <w:b/>
              </w:rPr>
            </w:pPr>
            <w:r w:rsidRPr="000E76A5">
              <w:rPr>
                <w:b/>
              </w:rPr>
              <w:t>Site Name</w:t>
            </w:r>
          </w:p>
        </w:tc>
        <w:tc>
          <w:tcPr>
            <w:tcW w:w="1793" w:type="dxa"/>
          </w:tcPr>
          <w:p w:rsidR="0091580B" w:rsidRDefault="0091580B" w:rsidP="00BE688F">
            <w:pPr>
              <w:jc w:val="center"/>
            </w:pPr>
            <w:r>
              <w:t>Miami Dade</w:t>
            </w:r>
          </w:p>
        </w:tc>
        <w:tc>
          <w:tcPr>
            <w:tcW w:w="1800" w:type="dxa"/>
          </w:tcPr>
          <w:p w:rsidR="0091580B" w:rsidRDefault="0091580B" w:rsidP="00BE688F">
            <w:pPr>
              <w:jc w:val="center"/>
            </w:pPr>
            <w:r>
              <w:t>Interstate</w:t>
            </w:r>
          </w:p>
        </w:tc>
        <w:tc>
          <w:tcPr>
            <w:tcW w:w="1800" w:type="dxa"/>
          </w:tcPr>
          <w:p w:rsidR="0091580B" w:rsidRDefault="0091580B" w:rsidP="00BE688F">
            <w:pPr>
              <w:jc w:val="center"/>
            </w:pPr>
            <w:r>
              <w:t>Pioneer Trail</w:t>
            </w:r>
          </w:p>
        </w:tc>
        <w:tc>
          <w:tcPr>
            <w:tcW w:w="2268" w:type="dxa"/>
          </w:tcPr>
          <w:p w:rsidR="0091580B" w:rsidRDefault="0091580B" w:rsidP="00BE688F">
            <w:pPr>
              <w:jc w:val="center"/>
            </w:pPr>
            <w:r>
              <w:t>Sunshine Gateway</w:t>
            </w:r>
          </w:p>
        </w:tc>
      </w:tr>
      <w:tr w:rsidR="0091580B" w:rsidTr="00BE688F">
        <w:tc>
          <w:tcPr>
            <w:tcW w:w="1915" w:type="dxa"/>
          </w:tcPr>
          <w:p w:rsidR="0091580B" w:rsidRPr="000E76A5" w:rsidRDefault="0091580B" w:rsidP="00BE688F">
            <w:pPr>
              <w:jc w:val="center"/>
            </w:pPr>
            <w:r>
              <w:rPr>
                <w:b/>
              </w:rPr>
              <w:t>Cost (</w:t>
            </w:r>
            <w:r w:rsidRPr="00533814">
              <w:rPr>
                <w:b/>
              </w:rPr>
              <w:t>$/</w:t>
            </w:r>
            <w:proofErr w:type="spellStart"/>
            <w:r w:rsidRPr="00533814">
              <w:rPr>
                <w:b/>
              </w:rPr>
              <w:t>kW</w:t>
            </w:r>
            <w:r w:rsidRPr="00533814">
              <w:rPr>
                <w:b/>
                <w:vertAlign w:val="subscript"/>
              </w:rPr>
              <w:t>ac</w:t>
            </w:r>
            <w:proofErr w:type="spellEnd"/>
            <w:r>
              <w:rPr>
                <w:b/>
              </w:rPr>
              <w:t>)</w:t>
            </w:r>
          </w:p>
        </w:tc>
        <w:tc>
          <w:tcPr>
            <w:tcW w:w="1793" w:type="dxa"/>
          </w:tcPr>
          <w:p w:rsidR="0091580B" w:rsidRDefault="0091580B" w:rsidP="00BE688F">
            <w:pPr>
              <w:jc w:val="center"/>
            </w:pPr>
            <w:r w:rsidRPr="000E76A5">
              <w:t>$1,460</w:t>
            </w:r>
          </w:p>
        </w:tc>
        <w:tc>
          <w:tcPr>
            <w:tcW w:w="1800" w:type="dxa"/>
          </w:tcPr>
          <w:p w:rsidR="0091580B" w:rsidRDefault="0091580B" w:rsidP="00BE688F">
            <w:pPr>
              <w:jc w:val="center"/>
            </w:pPr>
            <w:r w:rsidRPr="000E76A5">
              <w:t>$1,289</w:t>
            </w:r>
          </w:p>
        </w:tc>
        <w:tc>
          <w:tcPr>
            <w:tcW w:w="1800" w:type="dxa"/>
          </w:tcPr>
          <w:p w:rsidR="0091580B" w:rsidRDefault="0091580B" w:rsidP="00BE688F">
            <w:pPr>
              <w:jc w:val="center"/>
            </w:pPr>
            <w:r w:rsidRPr="000E76A5">
              <w:t>$1,422</w:t>
            </w:r>
          </w:p>
        </w:tc>
        <w:tc>
          <w:tcPr>
            <w:tcW w:w="2268" w:type="dxa"/>
          </w:tcPr>
          <w:p w:rsidR="0091580B" w:rsidRDefault="0091580B" w:rsidP="00BE688F">
            <w:pPr>
              <w:jc w:val="center"/>
            </w:pPr>
            <w:r w:rsidRPr="000E76A5">
              <w:t>$1,374</w:t>
            </w:r>
          </w:p>
        </w:tc>
      </w:tr>
    </w:tbl>
    <w:p w:rsidR="0091580B" w:rsidRDefault="0091580B" w:rsidP="0091580B">
      <w:pPr>
        <w:pStyle w:val="TableSource"/>
        <w:spacing w:after="0"/>
        <w:rPr>
          <w:sz w:val="20"/>
          <w:szCs w:val="20"/>
        </w:rPr>
      </w:pPr>
      <w:r w:rsidRPr="000E76A5">
        <w:rPr>
          <w:sz w:val="20"/>
          <w:szCs w:val="20"/>
        </w:rPr>
        <w:t>Source: EXH 76</w:t>
      </w:r>
    </w:p>
    <w:p w:rsidR="0091580B" w:rsidRDefault="0091580B" w:rsidP="0091580B">
      <w:pPr>
        <w:pStyle w:val="BodyText"/>
        <w:spacing w:after="0"/>
      </w:pPr>
    </w:p>
    <w:p w:rsidR="008073AE" w:rsidRDefault="008073AE" w:rsidP="0091580B">
      <w:pPr>
        <w:pStyle w:val="BodyText"/>
        <w:spacing w:after="0"/>
      </w:pPr>
    </w:p>
    <w:p w:rsidR="0091580B" w:rsidRDefault="0091580B" w:rsidP="0091580B">
      <w:pPr>
        <w:pStyle w:val="First-LevelSubheading"/>
      </w:pPr>
      <w:r>
        <w:lastRenderedPageBreak/>
        <w:t xml:space="preserve">Conclusion </w:t>
      </w:r>
    </w:p>
    <w:p w:rsidR="00A746C9" w:rsidRDefault="0091580B" w:rsidP="0091580B">
      <w:pPr>
        <w:autoSpaceDE w:val="0"/>
        <w:autoSpaceDN w:val="0"/>
        <w:adjustRightInd w:val="0"/>
        <w:jc w:val="both"/>
      </w:pPr>
      <w:r>
        <w:t xml:space="preserve">Based on the evidence contained in the record, FPL’s proposed 2019 </w:t>
      </w:r>
      <w:proofErr w:type="spellStart"/>
      <w:r>
        <w:t>SoBRA</w:t>
      </w:r>
      <w:proofErr w:type="spellEnd"/>
      <w:r>
        <w:t xml:space="preserve"> projects are projected to produce savings under multiple scenarios</w:t>
      </w:r>
      <w:r w:rsidR="00A04651">
        <w:t xml:space="preserve"> and therefore are cost effective</w:t>
      </w:r>
      <w:r>
        <w:t xml:space="preserve">. The 2019 </w:t>
      </w:r>
      <w:proofErr w:type="spellStart"/>
      <w:r>
        <w:t>SoBRA</w:t>
      </w:r>
      <w:proofErr w:type="spellEnd"/>
      <w:r>
        <w:t xml:space="preserve"> projects have also met the terms of 2016 Agreement in regards to keeping construction cost under the $1,750 per </w:t>
      </w:r>
      <w:proofErr w:type="spellStart"/>
      <w:r>
        <w:t>kW</w:t>
      </w:r>
      <w:r w:rsidRPr="002A170F">
        <w:rPr>
          <w:vertAlign w:val="subscript"/>
        </w:rPr>
        <w:t>ac</w:t>
      </w:r>
      <w:proofErr w:type="spellEnd"/>
      <w:r>
        <w:t xml:space="preserve"> cost </w:t>
      </w:r>
      <w:r w:rsidR="00CA6166">
        <w:t>c</w:t>
      </w:r>
      <w:r w:rsidR="00A46885">
        <w:t>ap.</w:t>
      </w:r>
    </w:p>
    <w:p w:rsidR="00A746C9" w:rsidRDefault="00A746C9" w:rsidP="00A746C9">
      <w:pPr>
        <w:autoSpaceDE w:val="0"/>
        <w:autoSpaceDN w:val="0"/>
        <w:adjustRightInd w:val="0"/>
        <w:jc w:val="both"/>
      </w:pPr>
    </w:p>
    <w:p w:rsidR="00A746C9" w:rsidRDefault="00A746C9" w:rsidP="00A746C9">
      <w:pPr>
        <w:autoSpaceDE w:val="0"/>
        <w:autoSpaceDN w:val="0"/>
        <w:adjustRightInd w:val="0"/>
        <w:jc w:val="both"/>
      </w:pPr>
    </w:p>
    <w:p w:rsidR="00A746C9" w:rsidRDefault="00A746C9" w:rsidP="00A746C9">
      <w:pPr>
        <w:pStyle w:val="BodyText"/>
        <w:sectPr w:rsidR="00A746C9" w:rsidSect="002E4C6E">
          <w:headerReference w:type="default" r:id="rId15"/>
          <w:pgSz w:w="12240" w:h="15840" w:code="1"/>
          <w:pgMar w:top="1584" w:right="1440" w:bottom="1440" w:left="1440" w:header="720" w:footer="720" w:gutter="0"/>
          <w:cols w:space="720"/>
          <w:formProt w:val="0"/>
          <w:docGrid w:linePitch="360"/>
        </w:sectPr>
      </w:pPr>
    </w:p>
    <w:p w:rsidR="00FC78B5" w:rsidRDefault="00FC78B5">
      <w:pPr>
        <w:pStyle w:val="IssueHeading"/>
        <w:rPr>
          <w:vanish/>
          <w:specVanish/>
        </w:rPr>
      </w:pPr>
      <w:r w:rsidRPr="004C3641">
        <w:lastRenderedPageBreak/>
        <w:t xml:space="preserve">Issue </w:t>
      </w:r>
      <w:r>
        <w:t>2Q</w:t>
      </w:r>
      <w:r w:rsidRPr="004C3641">
        <w:t>:</w:t>
      </w:r>
      <w:r>
        <w:fldChar w:fldCharType="begin"/>
      </w:r>
      <w:r>
        <w:instrText xml:space="preserve"> TC "</w:instrText>
      </w:r>
      <w:bookmarkStart w:id="18" w:name="_Toc530479146"/>
      <w:r>
        <w:instrText>2Q</w:instrText>
      </w:r>
      <w:r>
        <w:tab/>
        <w:instrText>2019 SoBRA Revenue Requirement</w:instrText>
      </w:r>
      <w:bookmarkEnd w:id="18"/>
      <w:r>
        <w:instrText xml:space="preserve">" \l  </w:instrText>
      </w:r>
      <w:r>
        <w:fldChar w:fldCharType="end"/>
      </w:r>
      <w:r>
        <w:t> </w:t>
      </w:r>
    </w:p>
    <w:p w:rsidR="00FC78B5" w:rsidRDefault="00FC78B5">
      <w:pPr>
        <w:pStyle w:val="BodyText"/>
      </w:pPr>
      <w:r>
        <w:t xml:space="preserve"> What are the revenue requirements associated with the 2019 </w:t>
      </w:r>
      <w:proofErr w:type="spellStart"/>
      <w:r>
        <w:t>SoBRA</w:t>
      </w:r>
      <w:proofErr w:type="spellEnd"/>
      <w:r>
        <w:t xml:space="preserve"> projects?</w:t>
      </w:r>
    </w:p>
    <w:p w:rsidR="00321FAC" w:rsidRPr="004C3641" w:rsidRDefault="00FC78B5" w:rsidP="00321FAC">
      <w:pPr>
        <w:pStyle w:val="IssueSubsectionHeading"/>
        <w:rPr>
          <w:vanish/>
          <w:specVanish/>
        </w:rPr>
      </w:pPr>
      <w:r w:rsidRPr="004C3641">
        <w:t>Reco</w:t>
      </w:r>
      <w:r w:rsidR="00321FAC" w:rsidRPr="004C3641">
        <w:t>mmendation: </w:t>
      </w:r>
    </w:p>
    <w:p w:rsidR="00321FAC" w:rsidRDefault="00321FAC" w:rsidP="00321FAC">
      <w:pPr>
        <w:pStyle w:val="BodyText"/>
      </w:pPr>
      <w:r>
        <w:t> The jurisdictional</w:t>
      </w:r>
      <w:r w:rsidR="00701F9A">
        <w:t xml:space="preserve"> annualized revenue requirement</w:t>
      </w:r>
      <w:r w:rsidR="00E56B4E">
        <w:t>s</w:t>
      </w:r>
      <w:r>
        <w:t xml:space="preserve"> associated with the 2019 </w:t>
      </w:r>
      <w:proofErr w:type="spellStart"/>
      <w:r>
        <w:t>SoBRA</w:t>
      </w:r>
      <w:proofErr w:type="spellEnd"/>
      <w:r>
        <w:t xml:space="preserve"> proje</w:t>
      </w:r>
      <w:r w:rsidR="00E56B4E">
        <w:t>cts are</w:t>
      </w:r>
      <w:r w:rsidR="004A1C9F">
        <w:t xml:space="preserve"> $51,685,454.</w:t>
      </w:r>
      <w:r w:rsidR="00CC6EFC">
        <w:t xml:space="preserve"> (Barrett</w:t>
      </w:r>
      <w:r>
        <w:t>)</w:t>
      </w:r>
    </w:p>
    <w:p w:rsidR="00321FAC" w:rsidRPr="004C3641" w:rsidRDefault="00321FAC" w:rsidP="00321FAC">
      <w:pPr>
        <w:pStyle w:val="IssueSubsectionHeading"/>
        <w:keepNext/>
        <w:rPr>
          <w:iCs w:val="0"/>
        </w:rPr>
      </w:pPr>
      <w:r w:rsidRPr="004C3641">
        <w:rPr>
          <w:iCs w:val="0"/>
        </w:rPr>
        <w:t>Position of the Parties</w:t>
      </w:r>
    </w:p>
    <w:p w:rsidR="00321FAC" w:rsidRDefault="00321FAC" w:rsidP="00321FAC">
      <w:pPr>
        <w:ind w:left="1440" w:hanging="1440"/>
        <w:jc w:val="both"/>
      </w:pPr>
      <w:r w:rsidRPr="00321FAC">
        <w:rPr>
          <w:rFonts w:ascii="Arial" w:hAnsi="Arial" w:cs="Arial"/>
          <w:b/>
          <w:bCs/>
        </w:rPr>
        <w:t>FPL</w:t>
      </w:r>
      <w:r w:rsidRPr="005D4B47">
        <w:rPr>
          <w:b/>
          <w:bCs/>
        </w:rPr>
        <w:t>:</w:t>
      </w:r>
      <w:r w:rsidRPr="005D4B47">
        <w:tab/>
      </w:r>
      <w:r w:rsidR="00D15EEF">
        <w:t xml:space="preserve">The revenue requirement for the 2019 Project is </w:t>
      </w:r>
      <w:r w:rsidRPr="00A05569">
        <w:t>$</w:t>
      </w:r>
      <w:r w:rsidRPr="00365D96">
        <w:t>51</w:t>
      </w:r>
      <w:r>
        <w:t>,</w:t>
      </w:r>
      <w:r w:rsidRPr="00365D96">
        <w:t>685</w:t>
      </w:r>
      <w:r>
        <w:t>,</w:t>
      </w:r>
      <w:r w:rsidRPr="00365D96">
        <w:t>45</w:t>
      </w:r>
      <w:r w:rsidR="00D15EEF">
        <w:t xml:space="preserve">4. </w:t>
      </w:r>
    </w:p>
    <w:p w:rsidR="00321FAC" w:rsidRDefault="00321FAC" w:rsidP="00321FAC">
      <w:pPr>
        <w:ind w:left="1440" w:hanging="1440"/>
        <w:jc w:val="both"/>
      </w:pPr>
    </w:p>
    <w:p w:rsidR="00321FAC" w:rsidRDefault="00321FAC" w:rsidP="00321FAC">
      <w:pPr>
        <w:ind w:left="1440" w:hanging="1440"/>
        <w:jc w:val="both"/>
      </w:pPr>
      <w:r w:rsidRPr="00321FAC">
        <w:rPr>
          <w:rFonts w:ascii="Arial" w:hAnsi="Arial" w:cs="Arial"/>
          <w:b/>
          <w:bCs/>
        </w:rPr>
        <w:t>FIPUG:</w:t>
      </w:r>
      <w:r w:rsidRPr="005D4B47">
        <w:tab/>
      </w:r>
      <w:r>
        <w:t xml:space="preserve">As the </w:t>
      </w:r>
      <w:proofErr w:type="spellStart"/>
      <w:r>
        <w:t>SoBRA</w:t>
      </w:r>
      <w:proofErr w:type="spellEnd"/>
      <w:r>
        <w:t xml:space="preserve"> projects are neither cost effective nor needed, no new rates should be recovered.</w:t>
      </w:r>
    </w:p>
    <w:p w:rsidR="00321FAC" w:rsidRDefault="00321FAC" w:rsidP="00321FAC">
      <w:pPr>
        <w:ind w:left="1440" w:hanging="1440"/>
        <w:jc w:val="both"/>
      </w:pPr>
    </w:p>
    <w:p w:rsidR="00321FAC" w:rsidRPr="004C3641" w:rsidRDefault="00321FAC" w:rsidP="00321FAC">
      <w:pPr>
        <w:pStyle w:val="IssueSubsectionHeading"/>
        <w:rPr>
          <w:vanish/>
          <w:specVanish/>
        </w:rPr>
      </w:pPr>
      <w:r w:rsidRPr="004C3641">
        <w:t>Staff Analysis: </w:t>
      </w:r>
    </w:p>
    <w:p w:rsidR="00321FAC" w:rsidRDefault="00321FAC" w:rsidP="00321FAC">
      <w:pPr>
        <w:autoSpaceDE w:val="0"/>
        <w:autoSpaceDN w:val="0"/>
        <w:adjustRightInd w:val="0"/>
        <w:jc w:val="both"/>
      </w:pPr>
      <w:r>
        <w:t> </w:t>
      </w:r>
    </w:p>
    <w:p w:rsidR="00321FAC" w:rsidRDefault="00321FAC" w:rsidP="00321FAC">
      <w:pPr>
        <w:autoSpaceDE w:val="0"/>
        <w:autoSpaceDN w:val="0"/>
        <w:adjustRightInd w:val="0"/>
        <w:jc w:val="both"/>
        <w:rPr>
          <w:bCs/>
        </w:rPr>
      </w:pPr>
      <w:r>
        <w:rPr>
          <w:bCs/>
        </w:rPr>
        <w:t xml:space="preserve"> </w:t>
      </w:r>
    </w:p>
    <w:p w:rsidR="00321FAC" w:rsidRPr="008C649F" w:rsidRDefault="00321FAC" w:rsidP="00321FAC">
      <w:pPr>
        <w:autoSpaceDE w:val="0"/>
        <w:autoSpaceDN w:val="0"/>
        <w:adjustRightInd w:val="0"/>
        <w:jc w:val="center"/>
        <w:rPr>
          <w:rFonts w:ascii="Arial" w:hAnsi="Arial" w:cs="Arial"/>
          <w:b/>
          <w:bCs/>
        </w:rPr>
      </w:pPr>
      <w:r>
        <w:rPr>
          <w:rFonts w:ascii="Arial" w:hAnsi="Arial" w:cs="Arial"/>
          <w:b/>
          <w:bCs/>
        </w:rPr>
        <w:t xml:space="preserve">Parties’ </w:t>
      </w:r>
      <w:r w:rsidRPr="008C649F">
        <w:rPr>
          <w:rFonts w:ascii="Arial" w:hAnsi="Arial" w:cs="Arial"/>
          <w:b/>
          <w:bCs/>
        </w:rPr>
        <w:t>Arguments</w:t>
      </w:r>
    </w:p>
    <w:p w:rsidR="00321FAC" w:rsidRPr="008C649F" w:rsidRDefault="00321FAC" w:rsidP="00321FAC">
      <w:pPr>
        <w:autoSpaceDE w:val="0"/>
        <w:autoSpaceDN w:val="0"/>
        <w:adjustRightInd w:val="0"/>
        <w:ind w:firstLine="720"/>
        <w:jc w:val="both"/>
        <w:rPr>
          <w:rFonts w:ascii="Arial" w:hAnsi="Arial" w:cs="Arial"/>
          <w:b/>
          <w:bCs/>
          <w:i/>
        </w:rPr>
      </w:pPr>
      <w:r w:rsidRPr="008C649F">
        <w:rPr>
          <w:rFonts w:ascii="Arial" w:hAnsi="Arial" w:cs="Arial"/>
          <w:b/>
          <w:bCs/>
          <w:i/>
        </w:rPr>
        <w:t>FPL</w:t>
      </w:r>
    </w:p>
    <w:p w:rsidR="00321FAC" w:rsidRDefault="00357361" w:rsidP="00321FAC">
      <w:pPr>
        <w:autoSpaceDE w:val="0"/>
        <w:autoSpaceDN w:val="0"/>
        <w:adjustRightInd w:val="0"/>
        <w:jc w:val="both"/>
        <w:rPr>
          <w:bCs/>
        </w:rPr>
      </w:pPr>
      <w:r>
        <w:rPr>
          <w:bCs/>
        </w:rPr>
        <w:t>According to FPL witness Castaneda</w:t>
      </w:r>
      <w:r w:rsidR="00321FAC">
        <w:rPr>
          <w:bCs/>
        </w:rPr>
        <w:t>, FPL is authori</w:t>
      </w:r>
      <w:r w:rsidR="00DF1FD0">
        <w:rPr>
          <w:bCs/>
        </w:rPr>
        <w:t>zed to seek recovery of the 2019</w:t>
      </w:r>
      <w:r w:rsidR="00321FAC">
        <w:rPr>
          <w:bCs/>
        </w:rPr>
        <w:t xml:space="preserve"> </w:t>
      </w:r>
      <w:proofErr w:type="spellStart"/>
      <w:r w:rsidR="00321FAC">
        <w:rPr>
          <w:bCs/>
        </w:rPr>
        <w:t>SoBRA</w:t>
      </w:r>
      <w:proofErr w:type="spellEnd"/>
      <w:r w:rsidR="00321FAC">
        <w:rPr>
          <w:bCs/>
        </w:rPr>
        <w:t xml:space="preserve"> projects pursuant to the </w:t>
      </w:r>
      <w:r w:rsidR="000333CD">
        <w:rPr>
          <w:bCs/>
        </w:rPr>
        <w:t xml:space="preserve">order </w:t>
      </w:r>
      <w:r w:rsidR="00321FAC">
        <w:rPr>
          <w:bCs/>
        </w:rPr>
        <w:t>in FPL’s mo</w:t>
      </w:r>
      <w:r w:rsidR="000333CD">
        <w:rPr>
          <w:bCs/>
        </w:rPr>
        <w:t xml:space="preserve">st recent rate case proceeding. </w:t>
      </w:r>
      <w:r>
        <w:rPr>
          <w:bCs/>
        </w:rPr>
        <w:t>(</w:t>
      </w:r>
      <w:r w:rsidR="0019419E">
        <w:rPr>
          <w:bCs/>
        </w:rPr>
        <w:t>TR 154</w:t>
      </w:r>
      <w:r w:rsidR="00321FAC" w:rsidRPr="0019419E">
        <w:rPr>
          <w:bCs/>
        </w:rPr>
        <w:t>)</w:t>
      </w:r>
      <w:r w:rsidR="00321FAC">
        <w:rPr>
          <w:bCs/>
        </w:rPr>
        <w:t xml:space="preserve"> In its brief, F</w:t>
      </w:r>
      <w:r w:rsidR="000333CD">
        <w:rPr>
          <w:bCs/>
        </w:rPr>
        <w:t xml:space="preserve">PL asserted the 2016 </w:t>
      </w:r>
      <w:r w:rsidR="00321FAC">
        <w:rPr>
          <w:bCs/>
        </w:rPr>
        <w:t xml:space="preserve">Agreement authorized the construction of up to 300 MWs of new solar generation each </w:t>
      </w:r>
      <w:r w:rsidR="000333CD">
        <w:rPr>
          <w:bCs/>
        </w:rPr>
        <w:t>year between 2017 and 2020, if three</w:t>
      </w:r>
      <w:r w:rsidR="00321FAC">
        <w:rPr>
          <w:bCs/>
        </w:rPr>
        <w:t xml:space="preserve"> requirements are satisfied:</w:t>
      </w:r>
    </w:p>
    <w:p w:rsidR="00321FAC" w:rsidRDefault="00321FAC" w:rsidP="00321FAC">
      <w:pPr>
        <w:autoSpaceDE w:val="0"/>
        <w:autoSpaceDN w:val="0"/>
        <w:adjustRightInd w:val="0"/>
        <w:jc w:val="both"/>
        <w:rPr>
          <w:bCs/>
        </w:rPr>
      </w:pPr>
    </w:p>
    <w:p w:rsidR="00321FAC" w:rsidRPr="00FD2B35" w:rsidRDefault="00321FAC" w:rsidP="00321FAC">
      <w:pPr>
        <w:pStyle w:val="ListParagraph"/>
        <w:numPr>
          <w:ilvl w:val="0"/>
          <w:numId w:val="11"/>
        </w:numPr>
        <w:autoSpaceDE w:val="0"/>
        <w:autoSpaceDN w:val="0"/>
        <w:adjustRightInd w:val="0"/>
        <w:jc w:val="both"/>
        <w:rPr>
          <w:rFonts w:asciiTheme="minorHAnsi" w:hAnsiTheme="minorHAnsi"/>
          <w:bCs/>
        </w:rPr>
      </w:pPr>
      <w:r>
        <w:rPr>
          <w:bCs/>
        </w:rPr>
        <w:t>The total costs of the solar projects do not exceed $1,750/</w:t>
      </w:r>
      <w:proofErr w:type="spellStart"/>
      <w:r>
        <w:t>kW</w:t>
      </w:r>
      <w:r w:rsidRPr="002A170F">
        <w:rPr>
          <w:vertAlign w:val="subscript"/>
        </w:rPr>
        <w:t>ac</w:t>
      </w:r>
      <w:proofErr w:type="spellEnd"/>
      <w:r>
        <w:rPr>
          <w:bCs/>
        </w:rPr>
        <w:t>;</w:t>
      </w:r>
    </w:p>
    <w:p w:rsidR="00321FAC" w:rsidRPr="00FD2B35" w:rsidRDefault="00321FAC" w:rsidP="00321FAC">
      <w:pPr>
        <w:pStyle w:val="ListParagraph"/>
        <w:numPr>
          <w:ilvl w:val="0"/>
          <w:numId w:val="11"/>
        </w:numPr>
        <w:autoSpaceDE w:val="0"/>
        <w:autoSpaceDN w:val="0"/>
        <w:adjustRightInd w:val="0"/>
        <w:jc w:val="both"/>
        <w:rPr>
          <w:rFonts w:asciiTheme="minorHAnsi" w:hAnsiTheme="minorHAnsi"/>
          <w:bCs/>
        </w:rPr>
      </w:pPr>
      <w:r>
        <w:rPr>
          <w:bCs/>
        </w:rPr>
        <w:t>The construction, engineering, and component costs are reasonable; and</w:t>
      </w:r>
    </w:p>
    <w:p w:rsidR="00321FAC" w:rsidRPr="00FD2B35" w:rsidRDefault="00321FAC" w:rsidP="00321FAC">
      <w:pPr>
        <w:pStyle w:val="ListParagraph"/>
        <w:numPr>
          <w:ilvl w:val="0"/>
          <w:numId w:val="11"/>
        </w:numPr>
        <w:autoSpaceDE w:val="0"/>
        <w:autoSpaceDN w:val="0"/>
        <w:adjustRightInd w:val="0"/>
        <w:jc w:val="both"/>
        <w:rPr>
          <w:rFonts w:asciiTheme="minorHAnsi" w:hAnsiTheme="minorHAnsi"/>
          <w:bCs/>
        </w:rPr>
      </w:pPr>
      <w:r>
        <w:rPr>
          <w:bCs/>
        </w:rPr>
        <w:t>The solar projects are cost-effective additions to FPL’s system.</w:t>
      </w:r>
    </w:p>
    <w:p w:rsidR="00321FAC" w:rsidRDefault="00321FAC" w:rsidP="00321FAC">
      <w:pPr>
        <w:autoSpaceDE w:val="0"/>
        <w:autoSpaceDN w:val="0"/>
        <w:adjustRightInd w:val="0"/>
        <w:jc w:val="both"/>
        <w:rPr>
          <w:bCs/>
        </w:rPr>
      </w:pPr>
      <w:r>
        <w:rPr>
          <w:bCs/>
        </w:rPr>
        <w:t xml:space="preserve">(FPL </w:t>
      </w:r>
      <w:r w:rsidRPr="00D15EEF">
        <w:rPr>
          <w:bCs/>
          <w:color w:val="000000" w:themeColor="text1"/>
        </w:rPr>
        <w:t>BR 2</w:t>
      </w:r>
      <w:r w:rsidRPr="00D15EEF">
        <w:rPr>
          <w:bCs/>
        </w:rPr>
        <w:t>,</w:t>
      </w:r>
      <w:r>
        <w:rPr>
          <w:bCs/>
        </w:rPr>
        <w:t xml:space="preserve"> citing </w:t>
      </w:r>
      <w:r w:rsidR="000333CD">
        <w:rPr>
          <w:bCs/>
        </w:rPr>
        <w:t xml:space="preserve">the 2016 Agreement approved in </w:t>
      </w:r>
      <w:r>
        <w:rPr>
          <w:bCs/>
        </w:rPr>
        <w:t>Order No. PSC-</w:t>
      </w:r>
      <w:r w:rsidR="00D15EEF">
        <w:rPr>
          <w:bCs/>
        </w:rPr>
        <w:t>20</w:t>
      </w:r>
      <w:r>
        <w:rPr>
          <w:bCs/>
        </w:rPr>
        <w:t>16-0560-AS-EI)</w:t>
      </w:r>
      <w:r>
        <w:rPr>
          <w:rStyle w:val="FootnoteReference"/>
          <w:bCs/>
        </w:rPr>
        <w:footnoteReference w:id="16"/>
      </w:r>
    </w:p>
    <w:p w:rsidR="00321FAC" w:rsidRDefault="00321FAC" w:rsidP="00321FAC">
      <w:pPr>
        <w:autoSpaceDE w:val="0"/>
        <w:autoSpaceDN w:val="0"/>
        <w:adjustRightInd w:val="0"/>
        <w:jc w:val="both"/>
        <w:rPr>
          <w:bCs/>
        </w:rPr>
      </w:pPr>
    </w:p>
    <w:p w:rsidR="00321FAC" w:rsidRPr="00FD2B35" w:rsidRDefault="00321FAC" w:rsidP="00321FAC">
      <w:pPr>
        <w:autoSpaceDE w:val="0"/>
        <w:autoSpaceDN w:val="0"/>
        <w:adjustRightInd w:val="0"/>
        <w:jc w:val="both"/>
        <w:rPr>
          <w:rFonts w:asciiTheme="minorHAnsi" w:hAnsiTheme="minorHAnsi"/>
          <w:bCs/>
        </w:rPr>
      </w:pPr>
      <w:r>
        <w:t>The witness testified that the annualized jurisdictional revenue requirements for the first 12 months o</w:t>
      </w:r>
      <w:r w:rsidR="00357361">
        <w:t>f operations related to the 2019</w:t>
      </w:r>
      <w:r>
        <w:t xml:space="preserve"> </w:t>
      </w:r>
      <w:proofErr w:type="spellStart"/>
      <w:r>
        <w:t>SoBRA</w:t>
      </w:r>
      <w:proofErr w:type="spellEnd"/>
      <w:r>
        <w:t xml:space="preserve"> projects are </w:t>
      </w:r>
      <w:r w:rsidR="00357361">
        <w:t>$51,685,45</w:t>
      </w:r>
      <w:r w:rsidR="00357361" w:rsidRPr="0019419E">
        <w:t>4</w:t>
      </w:r>
      <w:r w:rsidRPr="0019419E">
        <w:t xml:space="preserve">. </w:t>
      </w:r>
      <w:r w:rsidR="00357361" w:rsidRPr="0019419E">
        <w:rPr>
          <w:bCs/>
        </w:rPr>
        <w:t>(T</w:t>
      </w:r>
      <w:r w:rsidR="0019419E">
        <w:rPr>
          <w:bCs/>
        </w:rPr>
        <w:t>R 154-155; EXH 39</w:t>
      </w:r>
      <w:r w:rsidRPr="0019419E">
        <w:rPr>
          <w:bCs/>
        </w:rPr>
        <w:t xml:space="preserve">, p. </w:t>
      </w:r>
      <w:r w:rsidRPr="00D15EEF">
        <w:rPr>
          <w:bCs/>
        </w:rPr>
        <w:t>1; FPL BR 17</w:t>
      </w:r>
      <w:r w:rsidR="00D15EEF" w:rsidRPr="00D15EEF">
        <w:rPr>
          <w:bCs/>
        </w:rPr>
        <w:t>, 21</w:t>
      </w:r>
      <w:r w:rsidRPr="00D15EEF">
        <w:rPr>
          <w:bCs/>
        </w:rPr>
        <w:t>)</w:t>
      </w:r>
      <w:r w:rsidR="00DC55A1">
        <w:rPr>
          <w:bCs/>
        </w:rPr>
        <w:t xml:space="preserve"> Witness Castaneda</w:t>
      </w:r>
      <w:r w:rsidR="00F61C2C">
        <w:rPr>
          <w:bCs/>
        </w:rPr>
        <w:t xml:space="preserve"> further stated that the</w:t>
      </w:r>
      <w:r>
        <w:t xml:space="preserve"> revenue requirement </w:t>
      </w:r>
      <w:r w:rsidR="00A7169F">
        <w:t xml:space="preserve">value </w:t>
      </w:r>
      <w:r>
        <w:t xml:space="preserve">was calculated by following the methodologies approved by the Commission for FPL’s </w:t>
      </w:r>
      <w:r w:rsidR="00F12740">
        <w:t>2017 and 2018 solar base rate projects, which is the same methodology used for</w:t>
      </w:r>
      <w:r w:rsidR="00A7169F">
        <w:t xml:space="preserve"> the</w:t>
      </w:r>
      <w:r w:rsidR="00F12740">
        <w:t xml:space="preserve"> </w:t>
      </w:r>
      <w:r>
        <w:t>generation base rate adjustments (GBRA) for Turkey Point Unit 5 and West County Energy Center Units 1 and 2 in Order No. PSC-</w:t>
      </w:r>
      <w:r w:rsidR="005042BB">
        <w:t>20</w:t>
      </w:r>
      <w:r>
        <w:t>05-0902-S-EI,</w:t>
      </w:r>
      <w:r>
        <w:rPr>
          <w:rStyle w:val="FootnoteReference"/>
        </w:rPr>
        <w:footnoteReference w:id="17"/>
      </w:r>
      <w:r>
        <w:t xml:space="preserve"> West County Energy Center Unit 3 in Order No. PSC-</w:t>
      </w:r>
      <w:r w:rsidR="005042BB">
        <w:t>20</w:t>
      </w:r>
      <w:r>
        <w:t>11-0089-S-EI,</w:t>
      </w:r>
      <w:r>
        <w:rPr>
          <w:rStyle w:val="FootnoteReference"/>
        </w:rPr>
        <w:footnoteReference w:id="18"/>
      </w:r>
      <w:r>
        <w:t xml:space="preserve"> and the modernization projects at Canaveral, Riviera Beach, and Port Everglades in Order No. PSC-</w:t>
      </w:r>
      <w:r w:rsidR="005042BB">
        <w:t>20</w:t>
      </w:r>
      <w:r>
        <w:t>13-0023-S-EI.</w:t>
      </w:r>
      <w:r w:rsidRPr="0019419E">
        <w:rPr>
          <w:rStyle w:val="FootnoteReference"/>
        </w:rPr>
        <w:footnoteReference w:id="19"/>
      </w:r>
      <w:r w:rsidRPr="0019419E">
        <w:t xml:space="preserve"> </w:t>
      </w:r>
      <w:r w:rsidR="00E107C8" w:rsidRPr="0019419E">
        <w:rPr>
          <w:bCs/>
        </w:rPr>
        <w:t>(</w:t>
      </w:r>
      <w:r w:rsidR="0019419E">
        <w:rPr>
          <w:bCs/>
        </w:rPr>
        <w:t>TR 155</w:t>
      </w:r>
      <w:r w:rsidR="00E107C8" w:rsidRPr="0019419E">
        <w:rPr>
          <w:bCs/>
        </w:rPr>
        <w:t>)</w:t>
      </w:r>
    </w:p>
    <w:p w:rsidR="00321FAC" w:rsidRDefault="00321FAC" w:rsidP="00321FAC">
      <w:pPr>
        <w:autoSpaceDE w:val="0"/>
        <w:autoSpaceDN w:val="0"/>
        <w:adjustRightInd w:val="0"/>
        <w:jc w:val="both"/>
      </w:pPr>
    </w:p>
    <w:p w:rsidR="00321FAC" w:rsidRDefault="00321FAC" w:rsidP="00321FAC">
      <w:pPr>
        <w:autoSpaceDE w:val="0"/>
        <w:autoSpaceDN w:val="0"/>
        <w:adjustRightInd w:val="0"/>
        <w:jc w:val="both"/>
      </w:pPr>
      <w:r>
        <w:lastRenderedPageBreak/>
        <w:t>The jurisdictional annualized revenue requ</w:t>
      </w:r>
      <w:r w:rsidR="00DC55A1">
        <w:t>irement calculation for the 2019</w:t>
      </w:r>
      <w:r>
        <w:t xml:space="preserve"> </w:t>
      </w:r>
      <w:proofErr w:type="spellStart"/>
      <w:r>
        <w:t>SoBRA</w:t>
      </w:r>
      <w:proofErr w:type="spellEnd"/>
      <w:r>
        <w:t xml:space="preserve"> projects used several inputs, including the most current estimated capital expenditures presented by FPL witness </w:t>
      </w:r>
      <w:proofErr w:type="spellStart"/>
      <w:r>
        <w:t>Brannen</w:t>
      </w:r>
      <w:proofErr w:type="spellEnd"/>
      <w:r>
        <w:t xml:space="preserve">. </w:t>
      </w:r>
      <w:r w:rsidRPr="008252BE">
        <w:t>(</w:t>
      </w:r>
      <w:r w:rsidR="005B7A61">
        <w:t xml:space="preserve">Castaneda, </w:t>
      </w:r>
      <w:r w:rsidR="0019419E">
        <w:t>TR 154-157; EXH 39, pp.1-5;</w:t>
      </w:r>
      <w:r w:rsidR="00B864B9" w:rsidRPr="00B864B9">
        <w:rPr>
          <w:bCs/>
        </w:rPr>
        <w:t xml:space="preserve"> </w:t>
      </w:r>
      <w:proofErr w:type="spellStart"/>
      <w:r w:rsidR="00B864B9" w:rsidRPr="00B864B9">
        <w:rPr>
          <w:bCs/>
        </w:rPr>
        <w:t>Brannen</w:t>
      </w:r>
      <w:proofErr w:type="spellEnd"/>
      <w:r w:rsidR="00B864B9" w:rsidRPr="00B864B9">
        <w:rPr>
          <w:bCs/>
        </w:rPr>
        <w:t xml:space="preserve">, TR </w:t>
      </w:r>
      <w:r w:rsidR="00B864B9">
        <w:rPr>
          <w:bCs/>
        </w:rPr>
        <w:t>168-171</w:t>
      </w:r>
      <w:r w:rsidRPr="008B7F54">
        <w:rPr>
          <w:bCs/>
        </w:rPr>
        <w:t>)</w:t>
      </w:r>
      <w:r>
        <w:t xml:space="preserve"> </w:t>
      </w:r>
    </w:p>
    <w:p w:rsidR="00321FAC" w:rsidRPr="00720292" w:rsidRDefault="00321FAC" w:rsidP="00321FAC">
      <w:pPr>
        <w:autoSpaceDE w:val="0"/>
        <w:autoSpaceDN w:val="0"/>
        <w:adjustRightInd w:val="0"/>
        <w:jc w:val="both"/>
        <w:rPr>
          <w:rFonts w:asciiTheme="minorHAnsi" w:hAnsiTheme="minorHAnsi"/>
          <w:bCs/>
        </w:rPr>
      </w:pPr>
    </w:p>
    <w:p w:rsidR="00321FAC" w:rsidRPr="008C649F" w:rsidRDefault="00321FAC" w:rsidP="00321FAC">
      <w:pPr>
        <w:autoSpaceDE w:val="0"/>
        <w:autoSpaceDN w:val="0"/>
        <w:adjustRightInd w:val="0"/>
        <w:ind w:firstLine="720"/>
        <w:jc w:val="both"/>
        <w:rPr>
          <w:rFonts w:ascii="Arial" w:hAnsi="Arial" w:cs="Arial"/>
          <w:b/>
          <w:bCs/>
          <w:i/>
        </w:rPr>
      </w:pPr>
      <w:r>
        <w:rPr>
          <w:bCs/>
        </w:rPr>
        <w:t xml:space="preserve"> </w:t>
      </w:r>
      <w:r w:rsidRPr="008C649F">
        <w:rPr>
          <w:rFonts w:ascii="Arial" w:hAnsi="Arial" w:cs="Arial"/>
          <w:b/>
          <w:bCs/>
          <w:i/>
        </w:rPr>
        <w:t>FIPUG</w:t>
      </w:r>
    </w:p>
    <w:p w:rsidR="00A62EB6" w:rsidRDefault="005D377D" w:rsidP="00A62EB6">
      <w:pPr>
        <w:autoSpaceDE w:val="0"/>
        <w:autoSpaceDN w:val="0"/>
        <w:adjustRightInd w:val="0"/>
        <w:jc w:val="both"/>
      </w:pPr>
      <w:r>
        <w:t xml:space="preserve">FIPUG did not sponsor a witness to address this issue or specifically </w:t>
      </w:r>
      <w:r w:rsidR="00911B15">
        <w:t>address this issue in its post-</w:t>
      </w:r>
      <w:r>
        <w:t xml:space="preserve">hearing brief. </w:t>
      </w:r>
      <w:r w:rsidR="00A62EB6">
        <w:t xml:space="preserve">The FIPUG brief presented broad arguments about its objections to FPL’s </w:t>
      </w:r>
      <w:proofErr w:type="spellStart"/>
      <w:r w:rsidR="00A62EB6">
        <w:t>SoBRA</w:t>
      </w:r>
      <w:proofErr w:type="spellEnd"/>
      <w:r w:rsidR="00A62EB6">
        <w:t xml:space="preserve"> projects, which staff summarized in Issue 2M. (FIPUG BR 1-2) </w:t>
      </w:r>
    </w:p>
    <w:p w:rsidR="00321FAC" w:rsidRDefault="00321FAC" w:rsidP="00321FAC">
      <w:pPr>
        <w:autoSpaceDE w:val="0"/>
        <w:autoSpaceDN w:val="0"/>
        <w:adjustRightInd w:val="0"/>
        <w:jc w:val="both"/>
        <w:rPr>
          <w:bCs/>
        </w:rPr>
      </w:pPr>
    </w:p>
    <w:p w:rsidR="00321FAC" w:rsidRPr="008C649F" w:rsidRDefault="00321FAC" w:rsidP="00321FAC">
      <w:pPr>
        <w:autoSpaceDE w:val="0"/>
        <w:autoSpaceDN w:val="0"/>
        <w:adjustRightInd w:val="0"/>
        <w:jc w:val="center"/>
        <w:rPr>
          <w:rFonts w:ascii="Arial" w:hAnsi="Arial" w:cs="Arial"/>
          <w:b/>
          <w:bCs/>
        </w:rPr>
      </w:pPr>
      <w:r>
        <w:rPr>
          <w:rFonts w:ascii="Arial" w:hAnsi="Arial" w:cs="Arial"/>
          <w:b/>
          <w:bCs/>
        </w:rPr>
        <w:t xml:space="preserve">Analysis </w:t>
      </w:r>
    </w:p>
    <w:p w:rsidR="000333CD" w:rsidRDefault="00321FAC" w:rsidP="00321FAC">
      <w:pPr>
        <w:autoSpaceDE w:val="0"/>
        <w:autoSpaceDN w:val="0"/>
        <w:adjustRightInd w:val="0"/>
        <w:jc w:val="both"/>
        <w:rPr>
          <w:bCs/>
        </w:rPr>
      </w:pPr>
      <w:r>
        <w:rPr>
          <w:bCs/>
        </w:rPr>
        <w:t xml:space="preserve">This issue addresses </w:t>
      </w:r>
      <w:r>
        <w:t>the revenue requi</w:t>
      </w:r>
      <w:r w:rsidR="00E107C8">
        <w:t>rements associated with the 2019</w:t>
      </w:r>
      <w:r>
        <w:t xml:space="preserve"> </w:t>
      </w:r>
      <w:proofErr w:type="spellStart"/>
      <w:r>
        <w:t>SoBRA</w:t>
      </w:r>
      <w:proofErr w:type="spellEnd"/>
      <w:r>
        <w:t xml:space="preserve"> projects.</w:t>
      </w:r>
      <w:r>
        <w:rPr>
          <w:bCs/>
        </w:rPr>
        <w:t xml:space="preserve"> Staff believes FPL is authori</w:t>
      </w:r>
      <w:r w:rsidR="00E107C8">
        <w:rPr>
          <w:bCs/>
        </w:rPr>
        <w:t>zed to seek recovery of the 2019</w:t>
      </w:r>
      <w:r>
        <w:rPr>
          <w:bCs/>
        </w:rPr>
        <w:t xml:space="preserve"> </w:t>
      </w:r>
      <w:proofErr w:type="spellStart"/>
      <w:r>
        <w:rPr>
          <w:bCs/>
        </w:rPr>
        <w:t>SoBRA</w:t>
      </w:r>
      <w:proofErr w:type="spellEnd"/>
      <w:r>
        <w:rPr>
          <w:bCs/>
        </w:rPr>
        <w:t xml:space="preserve"> projects pursuant to the 2016 Agreement. </w:t>
      </w:r>
    </w:p>
    <w:p w:rsidR="000333CD" w:rsidRDefault="000333CD" w:rsidP="00321FAC">
      <w:pPr>
        <w:autoSpaceDE w:val="0"/>
        <w:autoSpaceDN w:val="0"/>
        <w:adjustRightInd w:val="0"/>
        <w:jc w:val="both"/>
        <w:rPr>
          <w:bCs/>
        </w:rPr>
      </w:pPr>
    </w:p>
    <w:p w:rsidR="00321FAC" w:rsidRDefault="00321FAC" w:rsidP="00321FAC">
      <w:pPr>
        <w:autoSpaceDE w:val="0"/>
        <w:autoSpaceDN w:val="0"/>
        <w:adjustRightInd w:val="0"/>
        <w:jc w:val="both"/>
      </w:pPr>
      <w:r>
        <w:rPr>
          <w:bCs/>
        </w:rPr>
        <w:t>Staff reviewed the testimony, exhibits, and calculat</w:t>
      </w:r>
      <w:r w:rsidR="00E107C8">
        <w:rPr>
          <w:bCs/>
        </w:rPr>
        <w:t>ions used by FPL witness Castaneda</w:t>
      </w:r>
      <w:r>
        <w:rPr>
          <w:bCs/>
        </w:rPr>
        <w:t xml:space="preserve"> </w:t>
      </w:r>
      <w:r>
        <w:t>for determining the amount of revenue requirement</w:t>
      </w:r>
      <w:r w:rsidR="00E56B4E">
        <w:t>s</w:t>
      </w:r>
      <w:r w:rsidR="00E107C8">
        <w:t xml:space="preserve"> associated with the 2019</w:t>
      </w:r>
      <w:r>
        <w:t xml:space="preserve"> </w:t>
      </w:r>
      <w:proofErr w:type="spellStart"/>
      <w:r>
        <w:t>SoBRA</w:t>
      </w:r>
      <w:proofErr w:type="spellEnd"/>
      <w:r>
        <w:t xml:space="preserve"> projects </w:t>
      </w:r>
      <w:r w:rsidR="0052405B">
        <w:t>and found them to be reasonable. Staff believes the jurisdictional annualized revenue requirement</w:t>
      </w:r>
      <w:r w:rsidR="00E56B4E">
        <w:t>s</w:t>
      </w:r>
      <w:r w:rsidR="0052405B">
        <w:t xml:space="preserve"> associated</w:t>
      </w:r>
      <w:r w:rsidR="00E56B4E">
        <w:t xml:space="preserve"> with the 2019 </w:t>
      </w:r>
      <w:proofErr w:type="spellStart"/>
      <w:r w:rsidR="00E56B4E">
        <w:t>SoBRA</w:t>
      </w:r>
      <w:proofErr w:type="spellEnd"/>
      <w:r w:rsidR="00E56B4E">
        <w:t xml:space="preserve"> projects are</w:t>
      </w:r>
      <w:r w:rsidR="0052405B">
        <w:t xml:space="preserve"> $51,685,454</w:t>
      </w:r>
      <w:r>
        <w:t xml:space="preserve">. </w:t>
      </w:r>
    </w:p>
    <w:p w:rsidR="00321FAC" w:rsidRDefault="00321FAC" w:rsidP="00321FAC">
      <w:pPr>
        <w:autoSpaceDE w:val="0"/>
        <w:autoSpaceDN w:val="0"/>
        <w:adjustRightInd w:val="0"/>
        <w:jc w:val="both"/>
      </w:pPr>
    </w:p>
    <w:p w:rsidR="00321FAC" w:rsidRDefault="00321FAC" w:rsidP="00321FAC">
      <w:pPr>
        <w:pStyle w:val="BodyText"/>
        <w:spacing w:after="0"/>
        <w:jc w:val="center"/>
      </w:pPr>
      <w:r w:rsidRPr="008C649F">
        <w:rPr>
          <w:rFonts w:ascii="Arial" w:hAnsi="Arial" w:cs="Arial"/>
          <w:b/>
          <w:bCs/>
        </w:rPr>
        <w:t>Conclusion</w:t>
      </w:r>
    </w:p>
    <w:p w:rsidR="00DF1FD0" w:rsidRDefault="0052405B" w:rsidP="00DF1FD0">
      <w:pPr>
        <w:pStyle w:val="BodyText"/>
        <w:rPr>
          <w:rFonts w:ascii="Arial" w:hAnsi="Arial" w:cs="Arial"/>
          <w:bCs/>
          <w:kern w:val="32"/>
          <w:szCs w:val="32"/>
        </w:rPr>
      </w:pPr>
      <w:r>
        <w:rPr>
          <w:bCs/>
          <w:kern w:val="32"/>
          <w:szCs w:val="32"/>
        </w:rPr>
        <w:t>Staff recommends that t</w:t>
      </w:r>
      <w:r w:rsidR="00CC6EFC">
        <w:t>he jurisdictional</w:t>
      </w:r>
      <w:r w:rsidR="00701F9A">
        <w:t xml:space="preserve"> annualized revenue requirement</w:t>
      </w:r>
      <w:r w:rsidR="00E56B4E">
        <w:t>s</w:t>
      </w:r>
      <w:r w:rsidR="00CC6EFC">
        <w:t xml:space="preserve"> associated with the 2019 </w:t>
      </w:r>
      <w:proofErr w:type="spellStart"/>
      <w:r w:rsidR="00CC6EFC">
        <w:t>SoBRA</w:t>
      </w:r>
      <w:proofErr w:type="spellEnd"/>
      <w:r w:rsidR="00CC6EFC">
        <w:t xml:space="preserve"> proje</w:t>
      </w:r>
      <w:r w:rsidR="00E56B4E">
        <w:t>cts are</w:t>
      </w:r>
      <w:r w:rsidR="00014BF3">
        <w:t xml:space="preserve"> $51,685,454.</w:t>
      </w:r>
    </w:p>
    <w:p w:rsidR="00DF1FD0" w:rsidRPr="00DF1FD0" w:rsidRDefault="00DF1FD0" w:rsidP="00DF1FD0">
      <w:pPr>
        <w:pStyle w:val="BodyText"/>
        <w:sectPr w:rsidR="00DF1FD0" w:rsidRPr="00DF1FD0" w:rsidSect="002E4C6E">
          <w:headerReference w:type="default" r:id="rId16"/>
          <w:pgSz w:w="12240" w:h="15840" w:code="1"/>
          <w:pgMar w:top="1584" w:right="1440" w:bottom="1440" w:left="1440" w:header="720" w:footer="720" w:gutter="0"/>
          <w:cols w:space="720"/>
          <w:formProt w:val="0"/>
          <w:docGrid w:linePitch="360"/>
        </w:sectPr>
      </w:pPr>
    </w:p>
    <w:p w:rsidR="00FC78B5" w:rsidRDefault="00FC78B5">
      <w:pPr>
        <w:pStyle w:val="IssueHeading"/>
        <w:rPr>
          <w:vanish/>
          <w:specVanish/>
        </w:rPr>
      </w:pPr>
      <w:r w:rsidRPr="004C3641">
        <w:lastRenderedPageBreak/>
        <w:t xml:space="preserve">Issue </w:t>
      </w:r>
      <w:r>
        <w:t>2R</w:t>
      </w:r>
      <w:r w:rsidRPr="004C3641">
        <w:t>:</w:t>
      </w:r>
      <w:r>
        <w:fldChar w:fldCharType="begin"/>
      </w:r>
      <w:r>
        <w:instrText xml:space="preserve"> TC "</w:instrText>
      </w:r>
      <w:bookmarkStart w:id="19" w:name="_Toc530479147"/>
      <w:r>
        <w:instrText xml:space="preserve">2R </w:instrText>
      </w:r>
      <w:r>
        <w:tab/>
        <w:instrText>2019 SoBRA Base Rate Percentage Increase</w:instrText>
      </w:r>
      <w:bookmarkEnd w:id="19"/>
      <w:r>
        <w:instrText xml:space="preserve">" \l  </w:instrText>
      </w:r>
      <w:r>
        <w:fldChar w:fldCharType="end"/>
      </w:r>
      <w:r>
        <w:t> </w:t>
      </w:r>
    </w:p>
    <w:p w:rsidR="00FC78B5" w:rsidRDefault="00FC78B5">
      <w:pPr>
        <w:pStyle w:val="BodyText"/>
      </w:pPr>
      <w:r>
        <w:t xml:space="preserve"> What is the appropriate base rate percentage increase for the 2019 </w:t>
      </w:r>
      <w:proofErr w:type="spellStart"/>
      <w:r>
        <w:t>SoBRA</w:t>
      </w:r>
      <w:proofErr w:type="spellEnd"/>
      <w:r>
        <w:t xml:space="preserve"> projects to be effective when all 2019 projects are in service, currently projected to be March 1, 2019? </w:t>
      </w:r>
    </w:p>
    <w:p w:rsidR="00FC78B5" w:rsidRPr="004C3641" w:rsidRDefault="00FC78B5">
      <w:pPr>
        <w:pStyle w:val="IssueSubsectionHeading"/>
        <w:rPr>
          <w:vanish/>
          <w:specVanish/>
        </w:rPr>
      </w:pPr>
      <w:r w:rsidRPr="004C3641">
        <w:t>Recommendation: </w:t>
      </w:r>
    </w:p>
    <w:p w:rsidR="00FC78B5" w:rsidRDefault="00FC78B5">
      <w:pPr>
        <w:pStyle w:val="BodyText"/>
      </w:pPr>
      <w:r>
        <w:t> </w:t>
      </w:r>
      <w:r w:rsidR="001628F0">
        <w:t>The appropriate base rate percentage increase (</w:t>
      </w:r>
      <w:proofErr w:type="spellStart"/>
      <w:r w:rsidR="001628F0">
        <w:t>SoBRA</w:t>
      </w:r>
      <w:proofErr w:type="spellEnd"/>
      <w:r w:rsidR="001628F0">
        <w:t xml:space="preserve"> Factor) for the 2019 </w:t>
      </w:r>
      <w:proofErr w:type="spellStart"/>
      <w:r w:rsidR="001628F0">
        <w:t>SoBRA</w:t>
      </w:r>
      <w:proofErr w:type="spellEnd"/>
      <w:r w:rsidR="001628F0">
        <w:t xml:space="preserve"> projects is 0.795 percent. (Barrett) </w:t>
      </w:r>
      <w:r>
        <w:t xml:space="preserve"> </w:t>
      </w:r>
    </w:p>
    <w:p w:rsidR="00FC78B5" w:rsidRPr="004C3641" w:rsidRDefault="00FC78B5">
      <w:pPr>
        <w:pStyle w:val="IssueSubsectionHeading"/>
        <w:keepNext/>
        <w:rPr>
          <w:iCs w:val="0"/>
        </w:rPr>
      </w:pPr>
      <w:r w:rsidRPr="004C3641">
        <w:rPr>
          <w:iCs w:val="0"/>
        </w:rPr>
        <w:t>Position of the Parties</w:t>
      </w:r>
    </w:p>
    <w:p w:rsidR="00FC78B5" w:rsidRDefault="00FC78B5" w:rsidP="00FC78B5">
      <w:pPr>
        <w:ind w:left="1440" w:hanging="1440"/>
        <w:jc w:val="both"/>
      </w:pPr>
      <w:r>
        <w:rPr>
          <w:b/>
          <w:bCs/>
        </w:rPr>
        <w:t>FPL</w:t>
      </w:r>
      <w:r w:rsidRPr="005D4B47">
        <w:rPr>
          <w:b/>
          <w:bCs/>
        </w:rPr>
        <w:t>:</w:t>
      </w:r>
      <w:r w:rsidRPr="005D4B47">
        <w:tab/>
      </w:r>
      <w:r w:rsidR="00462BFA">
        <w:t>T</w:t>
      </w:r>
      <w:r w:rsidR="00462BFA" w:rsidRPr="009360CD">
        <w:t xml:space="preserve">he appropriate base rate percentage increase for the 2019 </w:t>
      </w:r>
      <w:proofErr w:type="spellStart"/>
      <w:r w:rsidR="00462BFA" w:rsidRPr="009360CD">
        <w:t>SoBRA</w:t>
      </w:r>
      <w:proofErr w:type="spellEnd"/>
      <w:r w:rsidR="00462BFA" w:rsidRPr="009360CD">
        <w:t xml:space="preserve"> </w:t>
      </w:r>
      <w:r w:rsidR="00462BFA">
        <w:t>P</w:t>
      </w:r>
      <w:r w:rsidR="00462BFA" w:rsidRPr="009360CD">
        <w:t xml:space="preserve">roject </w:t>
      </w:r>
      <w:r w:rsidR="00462BFA">
        <w:t xml:space="preserve">is </w:t>
      </w:r>
      <w:r w:rsidR="00462BFA" w:rsidRPr="00507C39">
        <w:t>0.795%</w:t>
      </w:r>
      <w:r w:rsidR="00462BFA">
        <w:t xml:space="preserve">. The increase is </w:t>
      </w:r>
      <w:r w:rsidR="00462BFA" w:rsidRPr="009360CD">
        <w:t xml:space="preserve">to be effective when </w:t>
      </w:r>
      <w:r w:rsidR="00462BFA">
        <w:t xml:space="preserve">the </w:t>
      </w:r>
      <w:r w:rsidR="00462BFA" w:rsidRPr="009360CD">
        <w:t xml:space="preserve">2019 </w:t>
      </w:r>
      <w:r w:rsidR="00462BFA">
        <w:t>P</w:t>
      </w:r>
      <w:r w:rsidR="00462BFA" w:rsidRPr="009360CD">
        <w:t xml:space="preserve">roject </w:t>
      </w:r>
      <w:r w:rsidR="00462BFA">
        <w:t xml:space="preserve">is </w:t>
      </w:r>
      <w:r w:rsidR="00462BFA" w:rsidRPr="009360CD">
        <w:t>in service, currently projected to be March 1, 201</w:t>
      </w:r>
      <w:r w:rsidR="00462BFA">
        <w:t>9.</w:t>
      </w:r>
    </w:p>
    <w:p w:rsidR="00FC78B5" w:rsidRDefault="00FC78B5" w:rsidP="00FC78B5">
      <w:pPr>
        <w:ind w:left="1440" w:hanging="1440"/>
        <w:jc w:val="both"/>
      </w:pPr>
    </w:p>
    <w:p w:rsidR="00FC78B5" w:rsidRDefault="00FC78B5" w:rsidP="00FC78B5">
      <w:pPr>
        <w:ind w:left="1440" w:hanging="1440"/>
        <w:jc w:val="both"/>
      </w:pPr>
      <w:r>
        <w:rPr>
          <w:b/>
          <w:bCs/>
        </w:rPr>
        <w:t>FIPUG</w:t>
      </w:r>
      <w:r w:rsidRPr="005D4B47">
        <w:rPr>
          <w:b/>
          <w:bCs/>
        </w:rPr>
        <w:t>:</w:t>
      </w:r>
      <w:r w:rsidRPr="005D4B47">
        <w:tab/>
      </w:r>
      <w:r>
        <w:t xml:space="preserve">As the </w:t>
      </w:r>
      <w:proofErr w:type="spellStart"/>
      <w:r>
        <w:t>SoBRA</w:t>
      </w:r>
      <w:proofErr w:type="spellEnd"/>
      <w:r>
        <w:t xml:space="preserve"> projects are neither cost effective nor needed, no new rates should be recovered.</w:t>
      </w:r>
    </w:p>
    <w:p w:rsidR="00FC78B5" w:rsidRDefault="00FC78B5" w:rsidP="00FC78B5">
      <w:pPr>
        <w:ind w:left="1440" w:hanging="1440"/>
        <w:jc w:val="both"/>
      </w:pPr>
    </w:p>
    <w:p w:rsidR="00FC78B5" w:rsidRPr="004C3641" w:rsidRDefault="00FC78B5">
      <w:pPr>
        <w:pStyle w:val="IssueSubsectionHeading"/>
        <w:rPr>
          <w:vanish/>
          <w:specVanish/>
        </w:rPr>
      </w:pPr>
      <w:r w:rsidRPr="004C3641">
        <w:t>Staff Analysis: </w:t>
      </w:r>
    </w:p>
    <w:p w:rsidR="001628F0" w:rsidRDefault="00FC78B5" w:rsidP="001628F0">
      <w:pPr>
        <w:autoSpaceDE w:val="0"/>
        <w:autoSpaceDN w:val="0"/>
        <w:adjustRightInd w:val="0"/>
        <w:jc w:val="both"/>
      </w:pPr>
      <w:r>
        <w:t> </w:t>
      </w:r>
    </w:p>
    <w:p w:rsidR="001628F0" w:rsidRDefault="001628F0" w:rsidP="001628F0">
      <w:pPr>
        <w:autoSpaceDE w:val="0"/>
        <w:autoSpaceDN w:val="0"/>
        <w:adjustRightInd w:val="0"/>
        <w:jc w:val="both"/>
        <w:rPr>
          <w:bCs/>
        </w:rPr>
      </w:pPr>
      <w:r>
        <w:rPr>
          <w:bCs/>
        </w:rPr>
        <w:t xml:space="preserve"> </w:t>
      </w:r>
    </w:p>
    <w:p w:rsidR="001628F0" w:rsidRPr="00016C82" w:rsidRDefault="001628F0" w:rsidP="001628F0">
      <w:pPr>
        <w:autoSpaceDE w:val="0"/>
        <w:autoSpaceDN w:val="0"/>
        <w:adjustRightInd w:val="0"/>
        <w:jc w:val="center"/>
        <w:rPr>
          <w:rFonts w:ascii="Arial" w:hAnsi="Arial" w:cs="Arial"/>
          <w:b/>
          <w:bCs/>
        </w:rPr>
      </w:pPr>
      <w:r>
        <w:rPr>
          <w:rFonts w:ascii="Arial" w:hAnsi="Arial" w:cs="Arial"/>
          <w:b/>
          <w:bCs/>
        </w:rPr>
        <w:t xml:space="preserve">Parties’ </w:t>
      </w:r>
      <w:r w:rsidRPr="00016C82">
        <w:rPr>
          <w:rFonts w:ascii="Arial" w:hAnsi="Arial" w:cs="Arial"/>
          <w:b/>
          <w:bCs/>
        </w:rPr>
        <w:t>Arguments</w:t>
      </w:r>
    </w:p>
    <w:p w:rsidR="001628F0" w:rsidRPr="00016C82" w:rsidRDefault="001628F0" w:rsidP="001628F0">
      <w:pPr>
        <w:autoSpaceDE w:val="0"/>
        <w:autoSpaceDN w:val="0"/>
        <w:adjustRightInd w:val="0"/>
        <w:ind w:firstLine="720"/>
        <w:jc w:val="both"/>
        <w:rPr>
          <w:rFonts w:ascii="Arial" w:hAnsi="Arial" w:cs="Arial"/>
          <w:b/>
          <w:bCs/>
          <w:i/>
        </w:rPr>
      </w:pPr>
      <w:r w:rsidRPr="00016C82">
        <w:rPr>
          <w:rFonts w:ascii="Arial" w:hAnsi="Arial" w:cs="Arial"/>
          <w:b/>
          <w:bCs/>
          <w:i/>
        </w:rPr>
        <w:t>FPL</w:t>
      </w:r>
    </w:p>
    <w:p w:rsidR="001628F0" w:rsidRDefault="001628F0" w:rsidP="00136F85">
      <w:pPr>
        <w:autoSpaceDE w:val="0"/>
        <w:autoSpaceDN w:val="0"/>
        <w:adjustRightInd w:val="0"/>
        <w:jc w:val="both"/>
      </w:pPr>
      <w:r>
        <w:rPr>
          <w:bCs/>
        </w:rPr>
        <w:t xml:space="preserve">According to FPL witness Cohen, the </w:t>
      </w:r>
      <w:proofErr w:type="spellStart"/>
      <w:r>
        <w:rPr>
          <w:bCs/>
        </w:rPr>
        <w:t>SoBRA</w:t>
      </w:r>
      <w:proofErr w:type="spellEnd"/>
      <w:r>
        <w:rPr>
          <w:bCs/>
        </w:rPr>
        <w:t xml:space="preserve"> factors are incremental cost recovery factors that will be applied to base rate charges in order for the Company to collect the revenue necessary to recover the costs associated with</w:t>
      </w:r>
      <w:r w:rsidR="00352561">
        <w:rPr>
          <w:bCs/>
        </w:rPr>
        <w:t xml:space="preserve"> building and operating the 2019</w:t>
      </w:r>
      <w:r>
        <w:rPr>
          <w:bCs/>
        </w:rPr>
        <w:t xml:space="preserve"> </w:t>
      </w:r>
      <w:proofErr w:type="spellStart"/>
      <w:r>
        <w:rPr>
          <w:bCs/>
        </w:rPr>
        <w:t>SoBRA</w:t>
      </w:r>
      <w:proofErr w:type="spellEnd"/>
      <w:r>
        <w:rPr>
          <w:bCs/>
        </w:rPr>
        <w:t xml:space="preserve"> projects. </w:t>
      </w:r>
      <w:r w:rsidRPr="00CA22BA">
        <w:rPr>
          <w:bCs/>
        </w:rPr>
        <w:t>(TR 182)</w:t>
      </w:r>
      <w:r>
        <w:rPr>
          <w:bCs/>
        </w:rPr>
        <w:t xml:space="preserve"> Witness Cohen testified that</w:t>
      </w:r>
      <w:r w:rsidR="00352561">
        <w:rPr>
          <w:bCs/>
        </w:rPr>
        <w:t xml:space="preserve"> the </w:t>
      </w:r>
      <w:proofErr w:type="spellStart"/>
      <w:r w:rsidR="00352561">
        <w:rPr>
          <w:bCs/>
        </w:rPr>
        <w:t>SoBRA</w:t>
      </w:r>
      <w:proofErr w:type="spellEnd"/>
      <w:r w:rsidR="00352561">
        <w:rPr>
          <w:bCs/>
        </w:rPr>
        <w:t xml:space="preserve"> factor is equal to</w:t>
      </w:r>
      <w:r w:rsidR="00136F85">
        <w:rPr>
          <w:bCs/>
        </w:rPr>
        <w:t xml:space="preserve"> </w:t>
      </w:r>
      <w:r>
        <w:t>the ratio of (1) the Company’s jurisdictional revenue requirements for</w:t>
      </w:r>
      <w:r w:rsidR="00352561">
        <w:t xml:space="preserve"> the</w:t>
      </w:r>
      <w:r>
        <w:t xml:space="preserve"> </w:t>
      </w:r>
      <w:r w:rsidR="00352561">
        <w:t xml:space="preserve">Project </w:t>
      </w:r>
      <w:r>
        <w:t xml:space="preserve">and (2) the forecasted retail base revenue from electricity sales for the first twelve months of </w:t>
      </w:r>
      <w:r w:rsidR="00352561">
        <w:t>operations, expected to begin March 1, 2019.</w:t>
      </w:r>
      <w:r w:rsidR="00E56B4E">
        <w:t xml:space="preserve"> </w:t>
      </w:r>
      <w:r w:rsidRPr="00CA22BA">
        <w:t xml:space="preserve">(Cohen, </w:t>
      </w:r>
      <w:r w:rsidRPr="00CA22BA">
        <w:rPr>
          <w:bCs/>
        </w:rPr>
        <w:t>TR 182</w:t>
      </w:r>
      <w:r w:rsidR="0052405B">
        <w:rPr>
          <w:bCs/>
        </w:rPr>
        <w:t xml:space="preserve">; </w:t>
      </w:r>
      <w:r w:rsidR="0028120C">
        <w:rPr>
          <w:bCs/>
        </w:rPr>
        <w:t>FPL BR 18-19</w:t>
      </w:r>
      <w:r w:rsidRPr="00CA22BA">
        <w:rPr>
          <w:bCs/>
        </w:rPr>
        <w:t>)</w:t>
      </w:r>
      <w:r w:rsidR="00136F85">
        <w:t xml:space="preserve"> </w:t>
      </w:r>
      <w:r w:rsidR="00352561">
        <w:t>W</w:t>
      </w:r>
      <w:r>
        <w:t xml:space="preserve">itness Cohen </w:t>
      </w:r>
      <w:r w:rsidR="00136F85">
        <w:t xml:space="preserve">also </w:t>
      </w:r>
      <w:r>
        <w:t>presented an exhibit to demonstrate the inputs and calculations performed to determine the resulting increment</w:t>
      </w:r>
      <w:r w:rsidR="00352561">
        <w:t>al cost recovery factor of 0.795 percent for the 2019</w:t>
      </w:r>
      <w:r w:rsidR="00F21B29">
        <w:t xml:space="preserve"> </w:t>
      </w:r>
      <w:proofErr w:type="spellStart"/>
      <w:r w:rsidR="00F21B29">
        <w:t>SoBRA</w:t>
      </w:r>
      <w:proofErr w:type="spellEnd"/>
      <w:r w:rsidR="00F21B29">
        <w:t xml:space="preserve"> projects. (EXH 40</w:t>
      </w:r>
      <w:r>
        <w:t xml:space="preserve">) </w:t>
      </w:r>
    </w:p>
    <w:p w:rsidR="001628F0" w:rsidRPr="00720292" w:rsidRDefault="001628F0" w:rsidP="001628F0">
      <w:pPr>
        <w:autoSpaceDE w:val="0"/>
        <w:autoSpaceDN w:val="0"/>
        <w:adjustRightInd w:val="0"/>
        <w:jc w:val="both"/>
        <w:rPr>
          <w:bCs/>
        </w:rPr>
      </w:pPr>
    </w:p>
    <w:p w:rsidR="001628F0" w:rsidRPr="00016C82" w:rsidRDefault="001628F0" w:rsidP="001628F0">
      <w:pPr>
        <w:autoSpaceDE w:val="0"/>
        <w:autoSpaceDN w:val="0"/>
        <w:adjustRightInd w:val="0"/>
        <w:ind w:firstLine="720"/>
        <w:jc w:val="both"/>
        <w:rPr>
          <w:rFonts w:ascii="Arial" w:hAnsi="Arial" w:cs="Arial"/>
          <w:b/>
          <w:bCs/>
          <w:i/>
        </w:rPr>
      </w:pPr>
      <w:r w:rsidRPr="00016C82">
        <w:rPr>
          <w:rFonts w:ascii="Arial" w:hAnsi="Arial" w:cs="Arial"/>
          <w:bCs/>
        </w:rPr>
        <w:t xml:space="preserve"> </w:t>
      </w:r>
      <w:r w:rsidRPr="00016C82">
        <w:rPr>
          <w:rFonts w:ascii="Arial" w:hAnsi="Arial" w:cs="Arial"/>
          <w:b/>
          <w:bCs/>
          <w:i/>
        </w:rPr>
        <w:t>FIPUG</w:t>
      </w:r>
    </w:p>
    <w:p w:rsidR="005D377D" w:rsidRDefault="005D377D" w:rsidP="005D377D">
      <w:pPr>
        <w:autoSpaceDE w:val="0"/>
        <w:autoSpaceDN w:val="0"/>
        <w:adjustRightInd w:val="0"/>
        <w:jc w:val="both"/>
      </w:pPr>
      <w:r>
        <w:t xml:space="preserve">FIPUG did not sponsor a witness to address this issue or specifically </w:t>
      </w:r>
      <w:r w:rsidR="00124933">
        <w:t>address this issue in its post-</w:t>
      </w:r>
      <w:r>
        <w:t xml:space="preserve">hearing brief. The FIPUG brief presented broad arguments about its objections to FPL’s </w:t>
      </w:r>
      <w:proofErr w:type="spellStart"/>
      <w:r>
        <w:t>SoBRA</w:t>
      </w:r>
      <w:proofErr w:type="spellEnd"/>
      <w:r>
        <w:t xml:space="preserve"> projects, which staff summarized in Issue 2M. (FIPUG BR 1-2) </w:t>
      </w:r>
    </w:p>
    <w:p w:rsidR="001628F0" w:rsidRDefault="001628F0" w:rsidP="001628F0">
      <w:pPr>
        <w:autoSpaceDE w:val="0"/>
        <w:autoSpaceDN w:val="0"/>
        <w:adjustRightInd w:val="0"/>
        <w:jc w:val="both"/>
        <w:rPr>
          <w:bCs/>
        </w:rPr>
      </w:pPr>
    </w:p>
    <w:p w:rsidR="001628F0" w:rsidRPr="00016C82" w:rsidRDefault="001628F0" w:rsidP="001628F0">
      <w:pPr>
        <w:autoSpaceDE w:val="0"/>
        <w:autoSpaceDN w:val="0"/>
        <w:adjustRightInd w:val="0"/>
        <w:jc w:val="center"/>
        <w:rPr>
          <w:rFonts w:ascii="Arial" w:hAnsi="Arial" w:cs="Arial"/>
          <w:b/>
          <w:bCs/>
        </w:rPr>
      </w:pPr>
      <w:r>
        <w:rPr>
          <w:rFonts w:ascii="Arial" w:hAnsi="Arial" w:cs="Arial"/>
          <w:b/>
          <w:bCs/>
        </w:rPr>
        <w:t>Analysis</w:t>
      </w:r>
    </w:p>
    <w:p w:rsidR="001628F0" w:rsidRDefault="001628F0" w:rsidP="001628F0">
      <w:pPr>
        <w:autoSpaceDE w:val="0"/>
        <w:autoSpaceDN w:val="0"/>
        <w:adjustRightInd w:val="0"/>
        <w:jc w:val="both"/>
        <w:rPr>
          <w:bCs/>
        </w:rPr>
      </w:pPr>
      <w:r>
        <w:rPr>
          <w:bCs/>
        </w:rPr>
        <w:t xml:space="preserve">This issue addresses </w:t>
      </w:r>
      <w:r>
        <w:t>the proposed base rate percentage i</w:t>
      </w:r>
      <w:r w:rsidR="00136F85">
        <w:t xml:space="preserve">ncrease associated </w:t>
      </w:r>
      <w:r w:rsidR="00F21B29">
        <w:t>with the</w:t>
      </w:r>
      <w:r w:rsidR="00F21B29">
        <w:rPr>
          <w:bCs/>
        </w:rPr>
        <w:t xml:space="preserve"> 2019 </w:t>
      </w:r>
      <w:proofErr w:type="spellStart"/>
      <w:r w:rsidR="00F21B29">
        <w:rPr>
          <w:bCs/>
        </w:rPr>
        <w:t>SoBRA</w:t>
      </w:r>
      <w:proofErr w:type="spellEnd"/>
      <w:r w:rsidR="00F21B29">
        <w:rPr>
          <w:bCs/>
        </w:rPr>
        <w:t xml:space="preserve"> projects</w:t>
      </w:r>
      <w:r w:rsidR="0046237A">
        <w:rPr>
          <w:bCs/>
        </w:rPr>
        <w:t>. Staff believe</w:t>
      </w:r>
      <w:r>
        <w:rPr>
          <w:bCs/>
        </w:rPr>
        <w:t>s that FPL is authori</w:t>
      </w:r>
      <w:r w:rsidR="00136F85">
        <w:rPr>
          <w:bCs/>
        </w:rPr>
        <w:t>zed to seek recovery of the 2019</w:t>
      </w:r>
      <w:r>
        <w:rPr>
          <w:bCs/>
        </w:rPr>
        <w:t xml:space="preserve"> </w:t>
      </w:r>
      <w:proofErr w:type="spellStart"/>
      <w:r>
        <w:rPr>
          <w:bCs/>
        </w:rPr>
        <w:t>SoBRA</w:t>
      </w:r>
      <w:proofErr w:type="spellEnd"/>
      <w:r>
        <w:rPr>
          <w:bCs/>
        </w:rPr>
        <w:t xml:space="preserve"> projects pursuant to the 2016 Agreement, and </w:t>
      </w:r>
      <w:r>
        <w:t>apply the appropriate base rate percentage incr</w:t>
      </w:r>
      <w:r w:rsidR="00136F85">
        <w:t>ease (</w:t>
      </w:r>
      <w:proofErr w:type="spellStart"/>
      <w:r w:rsidR="00136F85">
        <w:t>SoBRA</w:t>
      </w:r>
      <w:proofErr w:type="spellEnd"/>
      <w:r w:rsidR="00136F85">
        <w:t xml:space="preserve"> Factor)</w:t>
      </w:r>
      <w:r w:rsidR="0046237A">
        <w:t xml:space="preserve"> when the plants enter commercial service</w:t>
      </w:r>
      <w:r>
        <w:rPr>
          <w:bCs/>
        </w:rPr>
        <w:t xml:space="preserve">. </w:t>
      </w:r>
    </w:p>
    <w:p w:rsidR="001628F0" w:rsidRDefault="001628F0" w:rsidP="001628F0">
      <w:pPr>
        <w:autoSpaceDE w:val="0"/>
        <w:autoSpaceDN w:val="0"/>
        <w:adjustRightInd w:val="0"/>
        <w:jc w:val="both"/>
        <w:rPr>
          <w:bCs/>
        </w:rPr>
      </w:pPr>
    </w:p>
    <w:p w:rsidR="001628F0" w:rsidRPr="00016C82" w:rsidRDefault="001628F0" w:rsidP="001628F0">
      <w:pPr>
        <w:autoSpaceDE w:val="0"/>
        <w:autoSpaceDN w:val="0"/>
        <w:adjustRightInd w:val="0"/>
        <w:jc w:val="center"/>
        <w:rPr>
          <w:rFonts w:ascii="Arial" w:hAnsi="Arial" w:cs="Arial"/>
          <w:b/>
          <w:bCs/>
        </w:rPr>
      </w:pPr>
      <w:r w:rsidRPr="00016C82">
        <w:rPr>
          <w:rFonts w:ascii="Arial" w:hAnsi="Arial" w:cs="Arial"/>
          <w:b/>
          <w:bCs/>
        </w:rPr>
        <w:t>Conclusion</w:t>
      </w:r>
    </w:p>
    <w:p w:rsidR="00FC78B5" w:rsidRPr="00FC78B5" w:rsidRDefault="001628F0" w:rsidP="001628F0">
      <w:pPr>
        <w:pStyle w:val="BodyText"/>
        <w:rPr>
          <w:bCs/>
        </w:rPr>
        <w:sectPr w:rsidR="00FC78B5" w:rsidRPr="00FC78B5" w:rsidSect="002E4C6E">
          <w:headerReference w:type="default" r:id="rId17"/>
          <w:pgSz w:w="12240" w:h="15840" w:code="1"/>
          <w:pgMar w:top="1584" w:right="1440" w:bottom="1440" w:left="1440" w:header="720" w:footer="720" w:gutter="0"/>
          <w:cols w:space="720"/>
          <w:formProt w:val="0"/>
          <w:docGrid w:linePitch="360"/>
        </w:sectPr>
      </w:pPr>
      <w:r>
        <w:rPr>
          <w:bCs/>
        </w:rPr>
        <w:t xml:space="preserve">Staff reviewed the testimony, exhibits, and calculations used by FPL witness Cohen </w:t>
      </w:r>
      <w:r>
        <w:t>for determining the appropriate incremental cost recovery factor associated with the 201</w:t>
      </w:r>
      <w:r w:rsidR="00136F85">
        <w:t>9</w:t>
      </w:r>
      <w:r>
        <w:t xml:space="preserve"> </w:t>
      </w:r>
      <w:proofErr w:type="spellStart"/>
      <w:r>
        <w:t>SoBRA</w:t>
      </w:r>
      <w:proofErr w:type="spellEnd"/>
      <w:r>
        <w:t xml:space="preserve"> projects. Based on this review, staff recommends that the appropriate base rate percentage incr</w:t>
      </w:r>
      <w:r w:rsidR="00136F85">
        <w:t>ease (</w:t>
      </w:r>
      <w:proofErr w:type="spellStart"/>
      <w:r w:rsidR="00136F85">
        <w:t>SoBRA</w:t>
      </w:r>
      <w:proofErr w:type="spellEnd"/>
      <w:r w:rsidR="00136F85">
        <w:t xml:space="preserve"> Factor) for the 2019</w:t>
      </w:r>
      <w:r>
        <w:t xml:space="preserve"> </w:t>
      </w:r>
      <w:proofErr w:type="spellStart"/>
      <w:r>
        <w:t>SoBRA</w:t>
      </w:r>
      <w:proofErr w:type="spellEnd"/>
      <w:r w:rsidR="00E56B4E">
        <w:t xml:space="preserve"> projects is</w:t>
      </w:r>
      <w:r w:rsidR="00136F85">
        <w:t xml:space="preserve"> 0.795</w:t>
      </w:r>
      <w:r>
        <w:t xml:space="preserve"> perc</w:t>
      </w:r>
      <w:r w:rsidR="00136F85">
        <w:t>ent.</w:t>
      </w:r>
    </w:p>
    <w:p w:rsidR="00FC78B5" w:rsidRDefault="00FC78B5">
      <w:pPr>
        <w:pStyle w:val="IssueHeading"/>
        <w:rPr>
          <w:vanish/>
          <w:specVanish/>
        </w:rPr>
      </w:pPr>
      <w:r w:rsidRPr="004C3641">
        <w:lastRenderedPageBreak/>
        <w:t xml:space="preserve">Issue </w:t>
      </w:r>
      <w:r>
        <w:t>2S</w:t>
      </w:r>
      <w:r w:rsidRPr="004C3641">
        <w:t>:</w:t>
      </w:r>
      <w:r>
        <w:fldChar w:fldCharType="begin"/>
      </w:r>
      <w:r>
        <w:instrText xml:space="preserve"> TC "</w:instrText>
      </w:r>
      <w:bookmarkStart w:id="20" w:name="_Toc530479148"/>
      <w:r>
        <w:instrText xml:space="preserve">2S </w:instrText>
      </w:r>
      <w:r>
        <w:tab/>
        <w:instrText>Tariff Approvals for 2019 SoBRA Factors</w:instrText>
      </w:r>
      <w:bookmarkEnd w:id="20"/>
      <w:r>
        <w:instrText xml:space="preserve">" \l  </w:instrText>
      </w:r>
      <w:r>
        <w:fldChar w:fldCharType="end"/>
      </w:r>
      <w:r>
        <w:t> </w:t>
      </w:r>
    </w:p>
    <w:p w:rsidR="00FC78B5" w:rsidRDefault="00FC78B5">
      <w:pPr>
        <w:pStyle w:val="BodyText"/>
      </w:pPr>
      <w:r>
        <w:t xml:space="preserve"> Should the Commission approve revised tariffs for FPL reflecting the base rate percentage increase for the 2019 </w:t>
      </w:r>
      <w:proofErr w:type="spellStart"/>
      <w:r>
        <w:t>SoBRA</w:t>
      </w:r>
      <w:proofErr w:type="spellEnd"/>
      <w:r>
        <w:t xml:space="preserve"> projects determined to be appropriate in this proceeding? </w:t>
      </w:r>
    </w:p>
    <w:p w:rsidR="00FC78B5" w:rsidRPr="004C3641" w:rsidRDefault="00FC78B5">
      <w:pPr>
        <w:pStyle w:val="IssueSubsectionHeading"/>
        <w:rPr>
          <w:vanish/>
          <w:specVanish/>
        </w:rPr>
      </w:pPr>
      <w:r w:rsidRPr="004C3641">
        <w:t>Recommendation: </w:t>
      </w:r>
    </w:p>
    <w:p w:rsidR="0088372D" w:rsidRDefault="00FC78B5" w:rsidP="0088372D">
      <w:pPr>
        <w:pStyle w:val="BodyText"/>
      </w:pPr>
      <w:r>
        <w:t> </w:t>
      </w:r>
      <w:r w:rsidR="0088372D">
        <w:t xml:space="preserve">Yes. The Commission should </w:t>
      </w:r>
      <w:r w:rsidR="009D1013">
        <w:t>give staff administrative authority to approve the</w:t>
      </w:r>
      <w:r w:rsidR="0088372D">
        <w:t xml:space="preserve"> revised tariff</w:t>
      </w:r>
      <w:r w:rsidR="009D1013">
        <w:t xml:space="preserve"> sheet</w:t>
      </w:r>
      <w:r w:rsidR="0088372D">
        <w:t xml:space="preserve">s for FPL reflecting the base rate percentage increases for the 2019 </w:t>
      </w:r>
      <w:proofErr w:type="spellStart"/>
      <w:r w:rsidR="0088372D">
        <w:t>SoBRA</w:t>
      </w:r>
      <w:proofErr w:type="spellEnd"/>
      <w:r w:rsidR="0088372D">
        <w:t xml:space="preserve"> projects determined to be appropriate in this proceeding. (</w:t>
      </w:r>
      <w:proofErr w:type="spellStart"/>
      <w:r w:rsidR="0088372D">
        <w:t>Guffey</w:t>
      </w:r>
      <w:proofErr w:type="spellEnd"/>
      <w:r w:rsidR="0088372D">
        <w:t>, Barrett)</w:t>
      </w:r>
    </w:p>
    <w:p w:rsidR="0088372D" w:rsidRPr="004C3641" w:rsidRDefault="0088372D" w:rsidP="0088372D">
      <w:pPr>
        <w:pStyle w:val="IssueSubsectionHeading"/>
        <w:keepNext/>
        <w:rPr>
          <w:iCs w:val="0"/>
        </w:rPr>
      </w:pPr>
      <w:r w:rsidRPr="004C3641">
        <w:rPr>
          <w:iCs w:val="0"/>
        </w:rPr>
        <w:t>Position of the Parties</w:t>
      </w:r>
    </w:p>
    <w:p w:rsidR="0088372D" w:rsidRDefault="0088372D" w:rsidP="0088372D">
      <w:pPr>
        <w:pStyle w:val="PartyName"/>
        <w:rPr>
          <w:vanish/>
          <w:specVanish/>
        </w:rPr>
      </w:pPr>
      <w:r>
        <w:t>FPL: </w:t>
      </w:r>
    </w:p>
    <w:p w:rsidR="0088372D" w:rsidRDefault="0088372D" w:rsidP="0088372D">
      <w:pPr>
        <w:pStyle w:val="BodyText"/>
      </w:pPr>
      <w:r>
        <w:t xml:space="preserve"> Yes. </w:t>
      </w:r>
    </w:p>
    <w:p w:rsidR="0088372D" w:rsidRDefault="0088372D" w:rsidP="0088372D">
      <w:pPr>
        <w:pStyle w:val="PartyName"/>
        <w:rPr>
          <w:vanish/>
          <w:specVanish/>
        </w:rPr>
      </w:pPr>
      <w:r>
        <w:t>FIPUG: </w:t>
      </w:r>
    </w:p>
    <w:p w:rsidR="0088372D" w:rsidRPr="00D12EE8" w:rsidRDefault="0088372D" w:rsidP="0088372D">
      <w:pPr>
        <w:pStyle w:val="IssueSubsectionHeading"/>
        <w:rPr>
          <w:rFonts w:ascii="Times New Roman" w:hAnsi="Times New Roman" w:cs="Times New Roman"/>
          <w:b w:val="0"/>
          <w:i w:val="0"/>
        </w:rPr>
      </w:pPr>
      <w:r>
        <w:t> </w:t>
      </w:r>
      <w:r w:rsidRPr="00D12EE8">
        <w:rPr>
          <w:rFonts w:ascii="Times New Roman" w:hAnsi="Times New Roman" w:cs="Times New Roman"/>
          <w:b w:val="0"/>
          <w:i w:val="0"/>
        </w:rPr>
        <w:t xml:space="preserve">No. </w:t>
      </w:r>
    </w:p>
    <w:p w:rsidR="0088372D" w:rsidRPr="004C3641" w:rsidRDefault="0088372D" w:rsidP="0088372D">
      <w:pPr>
        <w:pStyle w:val="IssueSubsectionHeading"/>
        <w:rPr>
          <w:vanish/>
          <w:specVanish/>
        </w:rPr>
      </w:pPr>
      <w:r w:rsidRPr="004C3641">
        <w:t>Staff Analysis: </w:t>
      </w:r>
    </w:p>
    <w:p w:rsidR="0088372D" w:rsidRDefault="0088372D" w:rsidP="0088372D">
      <w:pPr>
        <w:autoSpaceDE w:val="0"/>
        <w:autoSpaceDN w:val="0"/>
        <w:adjustRightInd w:val="0"/>
        <w:jc w:val="both"/>
      </w:pPr>
      <w:r>
        <w:t> </w:t>
      </w:r>
    </w:p>
    <w:p w:rsidR="0088372D" w:rsidRDefault="0088372D" w:rsidP="0088372D">
      <w:pPr>
        <w:autoSpaceDE w:val="0"/>
        <w:autoSpaceDN w:val="0"/>
        <w:adjustRightInd w:val="0"/>
        <w:jc w:val="both"/>
        <w:rPr>
          <w:bCs/>
        </w:rPr>
      </w:pPr>
      <w:r>
        <w:rPr>
          <w:bCs/>
        </w:rPr>
        <w:t xml:space="preserve"> </w:t>
      </w:r>
    </w:p>
    <w:p w:rsidR="0088372D" w:rsidRPr="00016C82" w:rsidRDefault="0088372D" w:rsidP="0088372D">
      <w:pPr>
        <w:autoSpaceDE w:val="0"/>
        <w:autoSpaceDN w:val="0"/>
        <w:adjustRightInd w:val="0"/>
        <w:jc w:val="center"/>
        <w:rPr>
          <w:rFonts w:ascii="Arial" w:hAnsi="Arial" w:cs="Arial"/>
          <w:b/>
          <w:bCs/>
        </w:rPr>
      </w:pPr>
      <w:r>
        <w:rPr>
          <w:rFonts w:ascii="Arial" w:hAnsi="Arial" w:cs="Arial"/>
          <w:b/>
          <w:bCs/>
        </w:rPr>
        <w:t xml:space="preserve">Parties’ </w:t>
      </w:r>
      <w:r w:rsidRPr="00016C82">
        <w:rPr>
          <w:rFonts w:ascii="Arial" w:hAnsi="Arial" w:cs="Arial"/>
          <w:b/>
          <w:bCs/>
        </w:rPr>
        <w:t>Arguments</w:t>
      </w:r>
    </w:p>
    <w:p w:rsidR="0088372D" w:rsidRPr="00016C82" w:rsidRDefault="0088372D" w:rsidP="0088372D">
      <w:pPr>
        <w:autoSpaceDE w:val="0"/>
        <w:autoSpaceDN w:val="0"/>
        <w:adjustRightInd w:val="0"/>
        <w:ind w:firstLine="720"/>
        <w:jc w:val="both"/>
        <w:rPr>
          <w:rFonts w:ascii="Arial" w:hAnsi="Arial" w:cs="Arial"/>
          <w:b/>
          <w:bCs/>
          <w:i/>
        </w:rPr>
      </w:pPr>
      <w:r w:rsidRPr="00016C82">
        <w:rPr>
          <w:rFonts w:ascii="Arial" w:hAnsi="Arial" w:cs="Arial"/>
          <w:b/>
          <w:bCs/>
          <w:i/>
        </w:rPr>
        <w:t>FPL</w:t>
      </w:r>
    </w:p>
    <w:p w:rsidR="0088372D" w:rsidRDefault="0088372D" w:rsidP="001429A9">
      <w:pPr>
        <w:autoSpaceDE w:val="0"/>
        <w:autoSpaceDN w:val="0"/>
        <w:adjustRightInd w:val="0"/>
        <w:jc w:val="both"/>
        <w:rPr>
          <w:bCs/>
        </w:rPr>
      </w:pPr>
      <w:r>
        <w:rPr>
          <w:bCs/>
        </w:rPr>
        <w:t>FPL witness Cohen sponsored exhibits that summarize the tariff changes for the</w:t>
      </w:r>
      <w:r w:rsidR="00853546">
        <w:rPr>
          <w:bCs/>
        </w:rPr>
        <w:t xml:space="preserve"> 2019 </w:t>
      </w:r>
      <w:proofErr w:type="spellStart"/>
      <w:r w:rsidR="00853546">
        <w:rPr>
          <w:bCs/>
        </w:rPr>
        <w:t>SoBRA</w:t>
      </w:r>
      <w:proofErr w:type="spellEnd"/>
      <w:r w:rsidR="00853546">
        <w:rPr>
          <w:bCs/>
        </w:rPr>
        <w:t xml:space="preserve"> projects, which are</w:t>
      </w:r>
      <w:r>
        <w:rPr>
          <w:bCs/>
        </w:rPr>
        <w:t xml:space="preserve"> scheduled to enter </w:t>
      </w:r>
      <w:r w:rsidR="00853546">
        <w:rPr>
          <w:bCs/>
        </w:rPr>
        <w:t xml:space="preserve">into </w:t>
      </w:r>
      <w:r>
        <w:rPr>
          <w:bCs/>
        </w:rPr>
        <w:t>commercial service on March 1, 2019. (TR 181; EXH 42) Witness Cohen testified that</w:t>
      </w:r>
      <w:r>
        <w:t xml:space="preserve"> the Company will formally notify the Commission by letter of the specific in-service dates for each set of projects, and the base rate changes will become effective on or after that date. </w:t>
      </w:r>
      <w:r w:rsidRPr="00CA22BA">
        <w:t>(</w:t>
      </w:r>
      <w:r>
        <w:rPr>
          <w:bCs/>
        </w:rPr>
        <w:t>TR 183</w:t>
      </w:r>
      <w:r w:rsidRPr="00CA22BA">
        <w:rPr>
          <w:bCs/>
        </w:rPr>
        <w:t>)</w:t>
      </w:r>
    </w:p>
    <w:p w:rsidR="0088372D" w:rsidRDefault="0088372D" w:rsidP="00F0327D">
      <w:pPr>
        <w:autoSpaceDE w:val="0"/>
        <w:autoSpaceDN w:val="0"/>
        <w:adjustRightInd w:val="0"/>
        <w:ind w:right="720"/>
        <w:jc w:val="both"/>
        <w:rPr>
          <w:bCs/>
        </w:rPr>
      </w:pPr>
    </w:p>
    <w:p w:rsidR="00F0327D" w:rsidRPr="00AF679B" w:rsidRDefault="00F0327D" w:rsidP="00F0327D">
      <w:pPr>
        <w:autoSpaceDE w:val="0"/>
        <w:autoSpaceDN w:val="0"/>
        <w:adjustRightInd w:val="0"/>
        <w:ind w:right="720"/>
        <w:jc w:val="both"/>
        <w:rPr>
          <w:rFonts w:ascii="Arial" w:hAnsi="Arial" w:cs="Arial"/>
          <w:b/>
          <w:bCs/>
        </w:rPr>
      </w:pPr>
      <w:r w:rsidRPr="00AF679B">
        <w:rPr>
          <w:rFonts w:ascii="Arial" w:hAnsi="Arial" w:cs="Arial"/>
          <w:b/>
          <w:bCs/>
        </w:rPr>
        <w:t>Bill Impact</w:t>
      </w:r>
    </w:p>
    <w:p w:rsidR="00B403E9" w:rsidRDefault="00542FA5" w:rsidP="00F22507">
      <w:pPr>
        <w:tabs>
          <w:tab w:val="left" w:pos="9270"/>
        </w:tabs>
        <w:autoSpaceDE w:val="0"/>
        <w:autoSpaceDN w:val="0"/>
        <w:adjustRightInd w:val="0"/>
        <w:jc w:val="both"/>
        <w:rPr>
          <w:bCs/>
        </w:rPr>
      </w:pPr>
      <w:r>
        <w:rPr>
          <w:bCs/>
        </w:rPr>
        <w:t xml:space="preserve">Based on the approval of stipulations in other issues in this proceeding, </w:t>
      </w:r>
      <w:r w:rsidR="00F22507">
        <w:rPr>
          <w:bCs/>
        </w:rPr>
        <w:t>new cost recovery factors will</w:t>
      </w:r>
      <w:r w:rsidR="002C3299">
        <w:rPr>
          <w:bCs/>
        </w:rPr>
        <w:t xml:space="preserve"> be </w:t>
      </w:r>
      <w:r w:rsidR="0011141D">
        <w:rPr>
          <w:bCs/>
        </w:rPr>
        <w:t>implemented</w:t>
      </w:r>
      <w:r w:rsidR="002C3299">
        <w:rPr>
          <w:bCs/>
        </w:rPr>
        <w:t xml:space="preserve"> in</w:t>
      </w:r>
      <w:r w:rsidR="0011141D">
        <w:rPr>
          <w:bCs/>
        </w:rPr>
        <w:t xml:space="preserve"> the first billing cycle of January</w:t>
      </w:r>
      <w:r w:rsidR="002C3299">
        <w:rPr>
          <w:bCs/>
        </w:rPr>
        <w:t xml:space="preserve"> 2019. Witness Deaton provided </w:t>
      </w:r>
      <w:r w:rsidR="00B403E9">
        <w:rPr>
          <w:bCs/>
        </w:rPr>
        <w:t xml:space="preserve">testimony and </w:t>
      </w:r>
      <w:r w:rsidR="002C3299">
        <w:rPr>
          <w:bCs/>
        </w:rPr>
        <w:t>schedules that reflect</w:t>
      </w:r>
      <w:r w:rsidR="00F22507">
        <w:rPr>
          <w:bCs/>
        </w:rPr>
        <w:t xml:space="preserve"> the </w:t>
      </w:r>
      <w:r w:rsidR="00952CFD">
        <w:rPr>
          <w:bCs/>
        </w:rPr>
        <w:t>three</w:t>
      </w:r>
      <w:r w:rsidR="00B403E9">
        <w:rPr>
          <w:bCs/>
        </w:rPr>
        <w:t xml:space="preserve"> billing changes that customers can anticipate </w:t>
      </w:r>
      <w:r w:rsidR="00853546">
        <w:rPr>
          <w:bCs/>
        </w:rPr>
        <w:t>in 2019</w:t>
      </w:r>
      <w:r w:rsidR="00A97E20">
        <w:rPr>
          <w:bCs/>
        </w:rPr>
        <w:t>. Billing changes</w:t>
      </w:r>
      <w:r w:rsidR="0056268D">
        <w:rPr>
          <w:bCs/>
        </w:rPr>
        <w:t xml:space="preserve"> </w:t>
      </w:r>
      <w:r w:rsidR="00B403E9">
        <w:rPr>
          <w:bCs/>
        </w:rPr>
        <w:t>summarized below</w:t>
      </w:r>
      <w:r w:rsidR="0056268D">
        <w:rPr>
          <w:bCs/>
        </w:rPr>
        <w:t xml:space="preserve"> </w:t>
      </w:r>
      <w:r w:rsidR="0021748B">
        <w:rPr>
          <w:bCs/>
        </w:rPr>
        <w:t xml:space="preserve">are for </w:t>
      </w:r>
      <w:r w:rsidR="0056268D">
        <w:rPr>
          <w:bCs/>
        </w:rPr>
        <w:t>a residential customer using 1,000 kWh of electricity per month</w:t>
      </w:r>
      <w:r w:rsidR="00B403E9">
        <w:rPr>
          <w:bCs/>
        </w:rPr>
        <w:t>:</w:t>
      </w:r>
    </w:p>
    <w:p w:rsidR="0045157E" w:rsidRDefault="0045157E" w:rsidP="00F22507">
      <w:pPr>
        <w:tabs>
          <w:tab w:val="left" w:pos="9270"/>
        </w:tabs>
        <w:autoSpaceDE w:val="0"/>
        <w:autoSpaceDN w:val="0"/>
        <w:adjustRightInd w:val="0"/>
        <w:jc w:val="both"/>
        <w:rPr>
          <w:bCs/>
        </w:rPr>
      </w:pPr>
    </w:p>
    <w:p w:rsidR="00B403E9" w:rsidRPr="0045157E" w:rsidRDefault="00B403E9" w:rsidP="00B403E9">
      <w:pPr>
        <w:pStyle w:val="ListParagraph"/>
        <w:numPr>
          <w:ilvl w:val="0"/>
          <w:numId w:val="13"/>
        </w:numPr>
        <w:tabs>
          <w:tab w:val="left" w:pos="9270"/>
        </w:tabs>
        <w:autoSpaceDE w:val="0"/>
        <w:autoSpaceDN w:val="0"/>
        <w:adjustRightInd w:val="0"/>
        <w:jc w:val="both"/>
        <w:rPr>
          <w:bCs/>
        </w:rPr>
      </w:pPr>
      <w:r>
        <w:rPr>
          <w:bCs/>
        </w:rPr>
        <w:t xml:space="preserve">For the January and February </w:t>
      </w:r>
      <w:r w:rsidR="00F65B19">
        <w:rPr>
          <w:bCs/>
        </w:rPr>
        <w:t xml:space="preserve">2019 </w:t>
      </w:r>
      <w:r w:rsidR="0011141D">
        <w:rPr>
          <w:bCs/>
        </w:rPr>
        <w:t>billing cycles,</w:t>
      </w:r>
      <w:r>
        <w:rPr>
          <w:bCs/>
        </w:rPr>
        <w:t xml:space="preserve"> changes to various cost r</w:t>
      </w:r>
      <w:r w:rsidR="0011141D">
        <w:rPr>
          <w:bCs/>
        </w:rPr>
        <w:t>ecovery factors will</w:t>
      </w:r>
      <w:r w:rsidR="009C5E43">
        <w:rPr>
          <w:bCs/>
        </w:rPr>
        <w:t xml:space="preserve"> increase</w:t>
      </w:r>
      <w:r>
        <w:rPr>
          <w:bCs/>
        </w:rPr>
        <w:t xml:space="preserve"> customer bill</w:t>
      </w:r>
      <w:r w:rsidR="00F65B19">
        <w:rPr>
          <w:bCs/>
        </w:rPr>
        <w:t>s</w:t>
      </w:r>
      <w:r>
        <w:rPr>
          <w:bCs/>
        </w:rPr>
        <w:t xml:space="preserve"> by </w:t>
      </w:r>
      <w:r w:rsidR="00F65B19">
        <w:rPr>
          <w:bCs/>
        </w:rPr>
        <w:t>a total of $1.81</w:t>
      </w:r>
      <w:r>
        <w:rPr>
          <w:bCs/>
        </w:rPr>
        <w:t xml:space="preserve"> per month.</w:t>
      </w:r>
      <w:r w:rsidR="00F65B19">
        <w:rPr>
          <w:bCs/>
        </w:rPr>
        <w:t xml:space="preserve"> </w:t>
      </w:r>
      <w:r w:rsidR="00C717E6" w:rsidRPr="00C717E6">
        <w:rPr>
          <w:bCs/>
        </w:rPr>
        <w:t>(</w:t>
      </w:r>
      <w:r w:rsidR="00F22F0A">
        <w:rPr>
          <w:bCs/>
        </w:rPr>
        <w:t xml:space="preserve">TR 91; </w:t>
      </w:r>
      <w:r w:rsidR="00C717E6" w:rsidRPr="00C717E6">
        <w:rPr>
          <w:color w:val="000000"/>
        </w:rPr>
        <w:t xml:space="preserve">EXH </w:t>
      </w:r>
      <w:r w:rsidR="00C717E6">
        <w:rPr>
          <w:color w:val="000000"/>
        </w:rPr>
        <w:t xml:space="preserve">17 </w:t>
      </w:r>
      <w:r w:rsidR="00C717E6" w:rsidRPr="00C717E6">
        <w:rPr>
          <w:color w:val="000000"/>
        </w:rPr>
        <w:t xml:space="preserve">(f/k/a, Exhibit </w:t>
      </w:r>
      <w:r w:rsidR="00C717E6">
        <w:rPr>
          <w:color w:val="000000"/>
        </w:rPr>
        <w:t>RBD-5</w:t>
      </w:r>
      <w:r w:rsidR="00C717E6" w:rsidRPr="00C717E6">
        <w:rPr>
          <w:color w:val="000000"/>
        </w:rPr>
        <w:t xml:space="preserve"> (Appendix </w:t>
      </w:r>
      <w:r w:rsidR="00C717E6">
        <w:rPr>
          <w:color w:val="000000"/>
        </w:rPr>
        <w:t>II</w:t>
      </w:r>
      <w:r w:rsidR="00C717E6" w:rsidRPr="00C717E6">
        <w:rPr>
          <w:color w:val="000000"/>
        </w:rPr>
        <w:t xml:space="preserve"> – 2019 </w:t>
      </w:r>
      <w:r w:rsidR="00C717E6">
        <w:rPr>
          <w:color w:val="000000"/>
        </w:rPr>
        <w:t>FCR Projection for January-February), Page 87 of 91</w:t>
      </w:r>
      <w:r w:rsidR="00C717E6" w:rsidRPr="00C717E6">
        <w:rPr>
          <w:color w:val="000000"/>
        </w:rPr>
        <w:t>)</w:t>
      </w:r>
      <w:r w:rsidR="00C717E6">
        <w:rPr>
          <w:color w:val="000000"/>
        </w:rPr>
        <w:t>.</w:t>
      </w:r>
    </w:p>
    <w:p w:rsidR="0045157E" w:rsidRDefault="0045157E" w:rsidP="0045157E">
      <w:pPr>
        <w:pStyle w:val="ListParagraph"/>
        <w:tabs>
          <w:tab w:val="left" w:pos="9270"/>
        </w:tabs>
        <w:autoSpaceDE w:val="0"/>
        <w:autoSpaceDN w:val="0"/>
        <w:adjustRightInd w:val="0"/>
        <w:jc w:val="both"/>
        <w:rPr>
          <w:bCs/>
        </w:rPr>
      </w:pPr>
    </w:p>
    <w:p w:rsidR="00B403E9" w:rsidRDefault="00B403E9" w:rsidP="00B403E9">
      <w:pPr>
        <w:pStyle w:val="ListParagraph"/>
        <w:numPr>
          <w:ilvl w:val="0"/>
          <w:numId w:val="13"/>
        </w:numPr>
        <w:tabs>
          <w:tab w:val="left" w:pos="9270"/>
        </w:tabs>
        <w:autoSpaceDE w:val="0"/>
        <w:autoSpaceDN w:val="0"/>
        <w:adjustRightInd w:val="0"/>
        <w:jc w:val="both"/>
        <w:rPr>
          <w:bCs/>
        </w:rPr>
      </w:pPr>
      <w:r>
        <w:rPr>
          <w:bCs/>
        </w:rPr>
        <w:t xml:space="preserve">The </w:t>
      </w:r>
      <w:r w:rsidR="00F22507" w:rsidRPr="00B403E9">
        <w:rPr>
          <w:bCs/>
        </w:rPr>
        <w:t xml:space="preserve">changes attributable to the 2019 </w:t>
      </w:r>
      <w:proofErr w:type="spellStart"/>
      <w:r w:rsidR="00F22507" w:rsidRPr="00B403E9">
        <w:rPr>
          <w:bCs/>
        </w:rPr>
        <w:t>SoBRA</w:t>
      </w:r>
      <w:proofErr w:type="spellEnd"/>
      <w:r w:rsidR="00F22507" w:rsidRPr="00B403E9">
        <w:rPr>
          <w:bCs/>
        </w:rPr>
        <w:t xml:space="preserve"> projects begin in the </w:t>
      </w:r>
      <w:r w:rsidR="003C246E" w:rsidRPr="00B403E9">
        <w:rPr>
          <w:bCs/>
        </w:rPr>
        <w:t>March</w:t>
      </w:r>
      <w:r w:rsidR="00C717E6">
        <w:rPr>
          <w:bCs/>
        </w:rPr>
        <w:t xml:space="preserve"> 2019 billing cycle </w:t>
      </w:r>
      <w:r w:rsidR="0056268D">
        <w:rPr>
          <w:bCs/>
        </w:rPr>
        <w:t xml:space="preserve">will </w:t>
      </w:r>
      <w:r w:rsidR="009C5E43">
        <w:rPr>
          <w:bCs/>
        </w:rPr>
        <w:t>increase</w:t>
      </w:r>
      <w:r w:rsidR="00C717E6">
        <w:rPr>
          <w:bCs/>
        </w:rPr>
        <w:t xml:space="preserve"> customer bills by a total of $0.31 per month. </w:t>
      </w:r>
      <w:r w:rsidR="00C717E6" w:rsidRPr="00C717E6">
        <w:rPr>
          <w:bCs/>
        </w:rPr>
        <w:t>(</w:t>
      </w:r>
      <w:r w:rsidR="00F22F0A">
        <w:rPr>
          <w:bCs/>
        </w:rPr>
        <w:t xml:space="preserve">TR 92; </w:t>
      </w:r>
      <w:r w:rsidR="00C717E6" w:rsidRPr="00C717E6">
        <w:rPr>
          <w:color w:val="000000"/>
        </w:rPr>
        <w:t xml:space="preserve">EXH </w:t>
      </w:r>
      <w:r w:rsidR="00C717E6">
        <w:rPr>
          <w:color w:val="000000"/>
        </w:rPr>
        <w:t xml:space="preserve">18 </w:t>
      </w:r>
      <w:r w:rsidR="00C717E6" w:rsidRPr="00C717E6">
        <w:rPr>
          <w:color w:val="000000"/>
        </w:rPr>
        <w:t xml:space="preserve">(f/k/a, Exhibit </w:t>
      </w:r>
      <w:r w:rsidR="00C717E6">
        <w:rPr>
          <w:color w:val="000000"/>
        </w:rPr>
        <w:t>RBD-6</w:t>
      </w:r>
      <w:r w:rsidR="00C717E6" w:rsidRPr="00C717E6">
        <w:rPr>
          <w:color w:val="000000"/>
        </w:rPr>
        <w:t xml:space="preserve"> (Appendix </w:t>
      </w:r>
      <w:r w:rsidR="00C717E6">
        <w:rPr>
          <w:color w:val="000000"/>
        </w:rPr>
        <w:t>III</w:t>
      </w:r>
      <w:r w:rsidR="00C717E6" w:rsidRPr="00C717E6">
        <w:rPr>
          <w:color w:val="000000"/>
        </w:rPr>
        <w:t xml:space="preserve"> – 2019 </w:t>
      </w:r>
      <w:r w:rsidR="00C717E6">
        <w:rPr>
          <w:color w:val="000000"/>
        </w:rPr>
        <w:t>FCR Projection for March-May), Page 7 of 7</w:t>
      </w:r>
      <w:r w:rsidR="00C717E6" w:rsidRPr="00C717E6">
        <w:rPr>
          <w:color w:val="000000"/>
        </w:rPr>
        <w:t>)</w:t>
      </w:r>
      <w:r w:rsidR="00C717E6">
        <w:rPr>
          <w:color w:val="000000"/>
        </w:rPr>
        <w:t>.</w:t>
      </w:r>
      <w:r w:rsidR="00F22507" w:rsidRPr="00B403E9">
        <w:rPr>
          <w:bCs/>
        </w:rPr>
        <w:t xml:space="preserve"> </w:t>
      </w:r>
    </w:p>
    <w:p w:rsidR="0056268D" w:rsidRPr="0056268D" w:rsidRDefault="0056268D" w:rsidP="0056268D">
      <w:pPr>
        <w:tabs>
          <w:tab w:val="left" w:pos="9270"/>
        </w:tabs>
        <w:autoSpaceDE w:val="0"/>
        <w:autoSpaceDN w:val="0"/>
        <w:adjustRightInd w:val="0"/>
        <w:jc w:val="both"/>
        <w:rPr>
          <w:bCs/>
        </w:rPr>
      </w:pPr>
    </w:p>
    <w:p w:rsidR="00B403E9" w:rsidRDefault="00B403E9" w:rsidP="00B403E9">
      <w:pPr>
        <w:pStyle w:val="ListParagraph"/>
        <w:numPr>
          <w:ilvl w:val="0"/>
          <w:numId w:val="13"/>
        </w:numPr>
        <w:tabs>
          <w:tab w:val="left" w:pos="9270"/>
        </w:tabs>
        <w:autoSpaceDE w:val="0"/>
        <w:autoSpaceDN w:val="0"/>
        <w:adjustRightInd w:val="0"/>
        <w:jc w:val="both"/>
        <w:rPr>
          <w:bCs/>
        </w:rPr>
      </w:pPr>
      <w:r>
        <w:rPr>
          <w:bCs/>
        </w:rPr>
        <w:t>A third</w:t>
      </w:r>
      <w:r w:rsidR="00F22507" w:rsidRPr="00B403E9">
        <w:rPr>
          <w:bCs/>
        </w:rPr>
        <w:t xml:space="preserve"> change is an</w:t>
      </w:r>
      <w:r w:rsidR="003C246E" w:rsidRPr="00B403E9">
        <w:rPr>
          <w:bCs/>
        </w:rPr>
        <w:t>ticipated for bills in the June</w:t>
      </w:r>
      <w:r w:rsidR="00F22507" w:rsidRPr="00B403E9">
        <w:rPr>
          <w:bCs/>
        </w:rPr>
        <w:t xml:space="preserve"> 2019 billing cycle, </w:t>
      </w:r>
      <w:r w:rsidR="00853546">
        <w:rPr>
          <w:bCs/>
        </w:rPr>
        <w:t>when the proposed Okeech</w:t>
      </w:r>
      <w:r w:rsidR="0034595C">
        <w:rPr>
          <w:bCs/>
        </w:rPr>
        <w:t xml:space="preserve">obee Clean Energy Center </w:t>
      </w:r>
      <w:r w:rsidR="00853546">
        <w:rPr>
          <w:bCs/>
        </w:rPr>
        <w:t>enters into commercial service</w:t>
      </w:r>
      <w:r w:rsidR="00B33504">
        <w:rPr>
          <w:bCs/>
        </w:rPr>
        <w:t>.</w:t>
      </w:r>
      <w:r w:rsidR="00952CFD">
        <w:rPr>
          <w:rStyle w:val="FootnoteReference"/>
          <w:bCs/>
        </w:rPr>
        <w:footnoteReference w:id="20"/>
      </w:r>
      <w:r w:rsidR="00B33504">
        <w:rPr>
          <w:bCs/>
        </w:rPr>
        <w:t xml:space="preserve"> </w:t>
      </w:r>
      <w:r w:rsidR="009C5E43">
        <w:rPr>
          <w:bCs/>
        </w:rPr>
        <w:t>This change will increase</w:t>
      </w:r>
      <w:r w:rsidR="00CB2DAE">
        <w:rPr>
          <w:bCs/>
        </w:rPr>
        <w:t xml:space="preserve"> customer bills by a total of $0.44 per month.</w:t>
      </w:r>
      <w:r w:rsidR="00CB2DAE" w:rsidRPr="00C717E6">
        <w:rPr>
          <w:bCs/>
        </w:rPr>
        <w:t xml:space="preserve"> </w:t>
      </w:r>
      <w:r w:rsidR="00C717E6" w:rsidRPr="00C717E6">
        <w:rPr>
          <w:bCs/>
        </w:rPr>
        <w:t>(</w:t>
      </w:r>
      <w:r w:rsidR="00F22F0A">
        <w:rPr>
          <w:bCs/>
        </w:rPr>
        <w:t xml:space="preserve">TR 92; </w:t>
      </w:r>
      <w:r w:rsidR="00C717E6" w:rsidRPr="00C717E6">
        <w:rPr>
          <w:color w:val="000000"/>
        </w:rPr>
        <w:t xml:space="preserve">EXH </w:t>
      </w:r>
      <w:r w:rsidR="00CB0E11">
        <w:rPr>
          <w:color w:val="000000"/>
        </w:rPr>
        <w:t>19</w:t>
      </w:r>
      <w:r w:rsidR="00C717E6">
        <w:rPr>
          <w:color w:val="000000"/>
        </w:rPr>
        <w:t xml:space="preserve"> </w:t>
      </w:r>
      <w:r w:rsidR="00C717E6" w:rsidRPr="00C717E6">
        <w:rPr>
          <w:color w:val="000000"/>
        </w:rPr>
        <w:t xml:space="preserve">(f/k/a, Exhibit </w:t>
      </w:r>
      <w:r w:rsidR="00CB0E11">
        <w:rPr>
          <w:color w:val="000000"/>
        </w:rPr>
        <w:t>RBD-7</w:t>
      </w:r>
      <w:r w:rsidR="00C717E6" w:rsidRPr="00C717E6">
        <w:rPr>
          <w:color w:val="000000"/>
        </w:rPr>
        <w:t xml:space="preserve"> (Appendix </w:t>
      </w:r>
      <w:r w:rsidR="00B33504">
        <w:rPr>
          <w:color w:val="000000"/>
        </w:rPr>
        <w:t>IV</w:t>
      </w:r>
      <w:r w:rsidR="00C717E6" w:rsidRPr="00C717E6">
        <w:rPr>
          <w:color w:val="000000"/>
        </w:rPr>
        <w:t xml:space="preserve"> – 2019 </w:t>
      </w:r>
      <w:r w:rsidR="00C717E6">
        <w:rPr>
          <w:color w:val="000000"/>
        </w:rPr>
        <w:t>FCR Proje</w:t>
      </w:r>
      <w:r w:rsidR="00CB0E11">
        <w:rPr>
          <w:color w:val="000000"/>
        </w:rPr>
        <w:t>ction for June-December), Page 7 of 7</w:t>
      </w:r>
      <w:r w:rsidR="00C717E6" w:rsidRPr="00C717E6">
        <w:rPr>
          <w:color w:val="000000"/>
        </w:rPr>
        <w:t>)</w:t>
      </w:r>
      <w:r w:rsidR="00C717E6">
        <w:rPr>
          <w:color w:val="000000"/>
        </w:rPr>
        <w:t>.</w:t>
      </w:r>
    </w:p>
    <w:p w:rsidR="00F22507" w:rsidRDefault="00B33504" w:rsidP="00F22507">
      <w:pPr>
        <w:tabs>
          <w:tab w:val="left" w:pos="9270"/>
        </w:tabs>
        <w:autoSpaceDE w:val="0"/>
        <w:autoSpaceDN w:val="0"/>
        <w:adjustRightInd w:val="0"/>
        <w:jc w:val="both"/>
        <w:rPr>
          <w:bCs/>
        </w:rPr>
      </w:pPr>
      <w:r>
        <w:rPr>
          <w:bCs/>
        </w:rPr>
        <w:lastRenderedPageBreak/>
        <w:t>All of these</w:t>
      </w:r>
      <w:r w:rsidR="00F22507" w:rsidRPr="00B403E9">
        <w:rPr>
          <w:bCs/>
        </w:rPr>
        <w:t xml:space="preserve"> billing change</w:t>
      </w:r>
      <w:r w:rsidR="0056268D">
        <w:rPr>
          <w:bCs/>
        </w:rPr>
        <w:t xml:space="preserve"> impacts</w:t>
      </w:r>
      <w:r w:rsidR="0046237A" w:rsidRPr="00B403E9">
        <w:rPr>
          <w:bCs/>
        </w:rPr>
        <w:t xml:space="preserve"> are</w:t>
      </w:r>
      <w:r w:rsidR="00AF679B" w:rsidRPr="00B403E9">
        <w:rPr>
          <w:bCs/>
        </w:rPr>
        <w:t xml:space="preserve"> shown in Table 2</w:t>
      </w:r>
      <w:r w:rsidR="00F22507" w:rsidRPr="00B403E9">
        <w:rPr>
          <w:bCs/>
        </w:rPr>
        <w:t>S</w:t>
      </w:r>
      <w:r w:rsidR="00AF679B" w:rsidRPr="00B403E9">
        <w:rPr>
          <w:bCs/>
        </w:rPr>
        <w:t>-</w:t>
      </w:r>
      <w:r w:rsidR="00E56B4E">
        <w:rPr>
          <w:bCs/>
        </w:rPr>
        <w:t xml:space="preserve">1 below: </w:t>
      </w:r>
    </w:p>
    <w:p w:rsidR="00E56B4E" w:rsidRDefault="00E56B4E" w:rsidP="00F22507">
      <w:pPr>
        <w:tabs>
          <w:tab w:val="left" w:pos="9270"/>
        </w:tabs>
        <w:autoSpaceDE w:val="0"/>
        <w:autoSpaceDN w:val="0"/>
        <w:adjustRightInd w:val="0"/>
        <w:jc w:val="both"/>
        <w:rPr>
          <w:bCs/>
        </w:rPr>
      </w:pPr>
    </w:p>
    <w:p w:rsidR="00F22507" w:rsidRPr="00AF679B" w:rsidRDefault="00AF679B" w:rsidP="00AF679B">
      <w:pPr>
        <w:tabs>
          <w:tab w:val="left" w:pos="9270"/>
        </w:tabs>
        <w:autoSpaceDE w:val="0"/>
        <w:autoSpaceDN w:val="0"/>
        <w:adjustRightInd w:val="0"/>
        <w:jc w:val="center"/>
        <w:rPr>
          <w:rFonts w:ascii="Arial" w:hAnsi="Arial" w:cs="Arial"/>
          <w:b/>
          <w:bCs/>
        </w:rPr>
      </w:pPr>
      <w:r w:rsidRPr="00AF679B">
        <w:rPr>
          <w:rFonts w:ascii="Arial" w:hAnsi="Arial" w:cs="Arial"/>
          <w:b/>
          <w:bCs/>
        </w:rPr>
        <w:t>Table 2S-1</w:t>
      </w:r>
    </w:p>
    <w:p w:rsidR="00AF679B" w:rsidRPr="00AF679B" w:rsidRDefault="00F61C2C" w:rsidP="00AF679B">
      <w:pPr>
        <w:tabs>
          <w:tab w:val="left" w:pos="9270"/>
        </w:tabs>
        <w:autoSpaceDE w:val="0"/>
        <w:autoSpaceDN w:val="0"/>
        <w:adjustRightInd w:val="0"/>
        <w:jc w:val="center"/>
        <w:rPr>
          <w:rFonts w:ascii="Arial" w:hAnsi="Arial" w:cs="Arial"/>
          <w:b/>
          <w:bCs/>
        </w:rPr>
      </w:pPr>
      <w:r>
        <w:rPr>
          <w:rFonts w:ascii="Arial" w:hAnsi="Arial" w:cs="Arial"/>
          <w:b/>
          <w:bCs/>
        </w:rPr>
        <w:t xml:space="preserve">FPL’s </w:t>
      </w:r>
      <w:r w:rsidR="00AF679B" w:rsidRPr="00AF679B">
        <w:rPr>
          <w:rFonts w:ascii="Arial" w:hAnsi="Arial" w:cs="Arial"/>
          <w:b/>
          <w:bCs/>
        </w:rPr>
        <w:t>Residential Bill Impact for the period January-Dece</w:t>
      </w:r>
      <w:r w:rsidR="00853546">
        <w:rPr>
          <w:rFonts w:ascii="Arial" w:hAnsi="Arial" w:cs="Arial"/>
          <w:b/>
          <w:bCs/>
        </w:rPr>
        <w:t>mber,</w:t>
      </w:r>
      <w:r w:rsidR="00AF679B" w:rsidRPr="00AF679B">
        <w:rPr>
          <w:rFonts w:ascii="Arial" w:hAnsi="Arial" w:cs="Arial"/>
          <w:b/>
          <w:bCs/>
        </w:rPr>
        <w:t xml:space="preserve"> 2019</w:t>
      </w:r>
    </w:p>
    <w:tbl>
      <w:tblPr>
        <w:tblW w:w="9375" w:type="dxa"/>
        <w:tblInd w:w="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7"/>
        <w:gridCol w:w="262"/>
        <w:gridCol w:w="1355"/>
        <w:gridCol w:w="262"/>
        <w:gridCol w:w="1177"/>
        <w:gridCol w:w="262"/>
        <w:gridCol w:w="1239"/>
        <w:gridCol w:w="262"/>
        <w:gridCol w:w="1177"/>
        <w:gridCol w:w="262"/>
        <w:gridCol w:w="1400"/>
      </w:tblGrid>
      <w:tr w:rsidR="00F22507" w:rsidTr="00F61C2C">
        <w:trPr>
          <w:trHeight w:val="1602"/>
        </w:trPr>
        <w:tc>
          <w:tcPr>
            <w:tcW w:w="1979" w:type="dxa"/>
            <w:gridSpan w:val="2"/>
            <w:tcBorders>
              <w:top w:val="single" w:sz="4" w:space="0" w:color="auto"/>
              <w:bottom w:val="single" w:sz="4" w:space="0" w:color="auto"/>
            </w:tcBorders>
            <w:shd w:val="clear" w:color="auto" w:fill="FFFFFF" w:themeFill="background1"/>
            <w:noWrap/>
            <w:vAlign w:val="center"/>
            <w:hideMark/>
          </w:tcPr>
          <w:p w:rsidR="00F22507" w:rsidRDefault="00F22507">
            <w:pPr>
              <w:jc w:val="center"/>
              <w:rPr>
                <w:rFonts w:ascii="Calibri" w:hAnsi="Calibri"/>
                <w:color w:val="000000"/>
                <w:sz w:val="20"/>
                <w:szCs w:val="20"/>
              </w:rPr>
            </w:pPr>
            <w:r>
              <w:rPr>
                <w:rFonts w:ascii="Calibri" w:hAnsi="Calibri"/>
                <w:color w:val="000000"/>
                <w:sz w:val="20"/>
                <w:szCs w:val="20"/>
              </w:rPr>
              <w:t>Bill Components</w:t>
            </w:r>
          </w:p>
        </w:tc>
        <w:tc>
          <w:tcPr>
            <w:tcW w:w="1355" w:type="dxa"/>
            <w:tcBorders>
              <w:top w:val="single" w:sz="4" w:space="0" w:color="auto"/>
              <w:bottom w:val="single" w:sz="4" w:space="0" w:color="auto"/>
            </w:tcBorders>
            <w:shd w:val="clear" w:color="auto" w:fill="FFFFFF" w:themeFill="background1"/>
            <w:vAlign w:val="center"/>
            <w:hideMark/>
          </w:tcPr>
          <w:p w:rsidR="00F22507" w:rsidRDefault="00F22507">
            <w:pPr>
              <w:jc w:val="center"/>
              <w:rPr>
                <w:rFonts w:ascii="Calibri" w:hAnsi="Calibri"/>
                <w:color w:val="000000"/>
                <w:sz w:val="20"/>
                <w:szCs w:val="20"/>
              </w:rPr>
            </w:pPr>
            <w:r>
              <w:rPr>
                <w:rFonts w:ascii="Calibri" w:hAnsi="Calibri"/>
                <w:color w:val="000000"/>
                <w:sz w:val="20"/>
                <w:szCs w:val="20"/>
              </w:rPr>
              <w:t xml:space="preserve">Present (2018) </w:t>
            </w:r>
          </w:p>
        </w:tc>
        <w:tc>
          <w:tcPr>
            <w:tcW w:w="1439" w:type="dxa"/>
            <w:gridSpan w:val="2"/>
            <w:tcBorders>
              <w:top w:val="single" w:sz="4" w:space="0" w:color="auto"/>
              <w:bottom w:val="single" w:sz="4" w:space="0" w:color="auto"/>
            </w:tcBorders>
            <w:shd w:val="clear" w:color="auto" w:fill="FFFFFF" w:themeFill="background1"/>
            <w:vAlign w:val="center"/>
            <w:hideMark/>
          </w:tcPr>
          <w:p w:rsidR="00F22507" w:rsidRDefault="00F22507" w:rsidP="0056268D">
            <w:pPr>
              <w:jc w:val="center"/>
              <w:rPr>
                <w:rFonts w:ascii="Calibri" w:hAnsi="Calibri"/>
                <w:color w:val="000000"/>
                <w:sz w:val="20"/>
                <w:szCs w:val="20"/>
              </w:rPr>
            </w:pPr>
            <w:r>
              <w:rPr>
                <w:rFonts w:ascii="Calibri" w:hAnsi="Calibri"/>
                <w:color w:val="000000"/>
                <w:sz w:val="20"/>
                <w:szCs w:val="20"/>
              </w:rPr>
              <w:t xml:space="preserve">Proposed in Projection filing (Jan </w:t>
            </w:r>
            <w:r w:rsidR="0056268D">
              <w:rPr>
                <w:rFonts w:ascii="Calibri" w:hAnsi="Calibri"/>
                <w:color w:val="000000"/>
                <w:sz w:val="20"/>
                <w:szCs w:val="20"/>
              </w:rPr>
              <w:t>and</w:t>
            </w:r>
            <w:r>
              <w:rPr>
                <w:rFonts w:ascii="Calibri" w:hAnsi="Calibri"/>
                <w:color w:val="000000"/>
                <w:sz w:val="20"/>
                <w:szCs w:val="20"/>
              </w:rPr>
              <w:t xml:space="preserve"> Feb, 2018) </w:t>
            </w:r>
          </w:p>
        </w:tc>
        <w:tc>
          <w:tcPr>
            <w:tcW w:w="262" w:type="dxa"/>
            <w:tcBorders>
              <w:top w:val="single" w:sz="4" w:space="0" w:color="auto"/>
              <w:bottom w:val="single" w:sz="4" w:space="0" w:color="auto"/>
            </w:tcBorders>
            <w:shd w:val="clear" w:color="auto" w:fill="FFFFFF" w:themeFill="background1"/>
            <w:noWrap/>
            <w:vAlign w:val="bottom"/>
            <w:hideMark/>
          </w:tcPr>
          <w:p w:rsidR="00F22507" w:rsidRDefault="00F22507">
            <w:pPr>
              <w:rPr>
                <w:rFonts w:ascii="Calibri" w:hAnsi="Calibri"/>
                <w:color w:val="000000"/>
                <w:sz w:val="20"/>
                <w:szCs w:val="20"/>
              </w:rPr>
            </w:pPr>
            <w:r>
              <w:rPr>
                <w:rFonts w:ascii="Calibri" w:hAnsi="Calibri"/>
                <w:color w:val="000000"/>
                <w:sz w:val="20"/>
                <w:szCs w:val="20"/>
              </w:rPr>
              <w:t> </w:t>
            </w:r>
          </w:p>
        </w:tc>
        <w:tc>
          <w:tcPr>
            <w:tcW w:w="1239" w:type="dxa"/>
            <w:tcBorders>
              <w:top w:val="single" w:sz="4" w:space="0" w:color="auto"/>
              <w:bottom w:val="single" w:sz="4" w:space="0" w:color="auto"/>
            </w:tcBorders>
            <w:shd w:val="clear" w:color="auto" w:fill="FFFFFF" w:themeFill="background1"/>
            <w:vAlign w:val="center"/>
            <w:hideMark/>
          </w:tcPr>
          <w:p w:rsidR="00F22507" w:rsidRDefault="00F22507">
            <w:pPr>
              <w:jc w:val="center"/>
              <w:rPr>
                <w:rFonts w:ascii="Calibri" w:hAnsi="Calibri"/>
                <w:color w:val="000000"/>
                <w:sz w:val="20"/>
                <w:szCs w:val="20"/>
              </w:rPr>
            </w:pPr>
            <w:r>
              <w:rPr>
                <w:rFonts w:ascii="Calibri" w:hAnsi="Calibri"/>
                <w:color w:val="000000"/>
                <w:sz w:val="20"/>
                <w:szCs w:val="20"/>
              </w:rPr>
              <w:t>Change from 2018</w:t>
            </w:r>
          </w:p>
        </w:tc>
        <w:tc>
          <w:tcPr>
            <w:tcW w:w="1439" w:type="dxa"/>
            <w:gridSpan w:val="2"/>
            <w:tcBorders>
              <w:top w:val="single" w:sz="4" w:space="0" w:color="auto"/>
              <w:bottom w:val="single" w:sz="4" w:space="0" w:color="auto"/>
            </w:tcBorders>
            <w:shd w:val="clear" w:color="auto" w:fill="FFFFFF" w:themeFill="background1"/>
            <w:vAlign w:val="center"/>
            <w:hideMark/>
          </w:tcPr>
          <w:p w:rsidR="00F22507" w:rsidRDefault="00F22507">
            <w:pPr>
              <w:jc w:val="center"/>
              <w:rPr>
                <w:rFonts w:ascii="Calibri" w:hAnsi="Calibri"/>
                <w:color w:val="000000"/>
                <w:sz w:val="20"/>
                <w:szCs w:val="20"/>
              </w:rPr>
            </w:pPr>
            <w:r>
              <w:rPr>
                <w:rFonts w:ascii="Calibri" w:hAnsi="Calibri"/>
                <w:color w:val="000000"/>
                <w:sz w:val="20"/>
                <w:szCs w:val="20"/>
              </w:rPr>
              <w:t xml:space="preserve">Proposed in Projection filing (March-May, 2019), incl. 2019 </w:t>
            </w:r>
            <w:proofErr w:type="spellStart"/>
            <w:r>
              <w:rPr>
                <w:rFonts w:ascii="Calibri" w:hAnsi="Calibri"/>
                <w:color w:val="000000"/>
                <w:sz w:val="20"/>
                <w:szCs w:val="20"/>
              </w:rPr>
              <w:t>SoBRAs</w:t>
            </w:r>
            <w:proofErr w:type="spellEnd"/>
            <w:r>
              <w:rPr>
                <w:rFonts w:ascii="Calibri" w:hAnsi="Calibri"/>
                <w:color w:val="000000"/>
                <w:sz w:val="20"/>
                <w:szCs w:val="20"/>
              </w:rPr>
              <w:t xml:space="preserve"> </w:t>
            </w:r>
          </w:p>
        </w:tc>
        <w:tc>
          <w:tcPr>
            <w:tcW w:w="1662" w:type="dxa"/>
            <w:gridSpan w:val="2"/>
            <w:tcBorders>
              <w:top w:val="single" w:sz="4" w:space="0" w:color="auto"/>
              <w:bottom w:val="single" w:sz="4" w:space="0" w:color="auto"/>
            </w:tcBorders>
            <w:shd w:val="clear" w:color="auto" w:fill="FFFFFF" w:themeFill="background1"/>
            <w:vAlign w:val="center"/>
            <w:hideMark/>
          </w:tcPr>
          <w:p w:rsidR="00F22507" w:rsidRDefault="00F22507">
            <w:pPr>
              <w:jc w:val="center"/>
              <w:rPr>
                <w:rFonts w:ascii="Calibri" w:hAnsi="Calibri"/>
                <w:color w:val="000000"/>
                <w:sz w:val="20"/>
                <w:szCs w:val="20"/>
              </w:rPr>
            </w:pPr>
            <w:r>
              <w:rPr>
                <w:rFonts w:ascii="Calibri" w:hAnsi="Calibri"/>
                <w:color w:val="000000"/>
                <w:sz w:val="20"/>
                <w:szCs w:val="20"/>
              </w:rPr>
              <w:t xml:space="preserve">Proposed in Projection filing (June-Dec, 2019), incl. </w:t>
            </w:r>
            <w:proofErr w:type="spellStart"/>
            <w:r>
              <w:rPr>
                <w:rFonts w:ascii="Calibri" w:hAnsi="Calibri"/>
                <w:color w:val="000000"/>
                <w:sz w:val="20"/>
                <w:szCs w:val="20"/>
              </w:rPr>
              <w:t>SoBRAs</w:t>
            </w:r>
            <w:proofErr w:type="spellEnd"/>
            <w:r>
              <w:rPr>
                <w:rFonts w:ascii="Calibri" w:hAnsi="Calibri"/>
                <w:color w:val="000000"/>
                <w:sz w:val="20"/>
                <w:szCs w:val="20"/>
              </w:rPr>
              <w:t xml:space="preserve"> and new power plant</w:t>
            </w:r>
          </w:p>
        </w:tc>
      </w:tr>
      <w:tr w:rsidR="00F22507" w:rsidTr="00F61C2C">
        <w:trPr>
          <w:trHeight w:val="300"/>
        </w:trPr>
        <w:tc>
          <w:tcPr>
            <w:tcW w:w="1979" w:type="dxa"/>
            <w:gridSpan w:val="2"/>
            <w:tcBorders>
              <w:top w:val="single" w:sz="4" w:space="0" w:color="auto"/>
            </w:tcBorders>
            <w:shd w:val="clear" w:color="auto" w:fill="auto"/>
            <w:noWrap/>
            <w:vAlign w:val="bottom"/>
            <w:hideMark/>
          </w:tcPr>
          <w:p w:rsidR="00F22507" w:rsidRDefault="00F22507">
            <w:pPr>
              <w:rPr>
                <w:rFonts w:ascii="Calibri" w:hAnsi="Calibri"/>
                <w:color w:val="000000"/>
                <w:sz w:val="20"/>
                <w:szCs w:val="20"/>
              </w:rPr>
            </w:pPr>
            <w:r>
              <w:rPr>
                <w:rFonts w:ascii="Calibri" w:hAnsi="Calibri"/>
                <w:color w:val="000000"/>
                <w:sz w:val="20"/>
                <w:szCs w:val="20"/>
              </w:rPr>
              <w:t>Base Rate Charges</w:t>
            </w:r>
          </w:p>
        </w:tc>
        <w:tc>
          <w:tcPr>
            <w:tcW w:w="1355" w:type="dxa"/>
            <w:tcBorders>
              <w:top w:val="single" w:sz="4" w:space="0" w:color="auto"/>
            </w:tcBorders>
            <w:shd w:val="clear" w:color="auto" w:fill="auto"/>
            <w:noWrap/>
            <w:vAlign w:val="bottom"/>
            <w:hideMark/>
          </w:tcPr>
          <w:p w:rsidR="00F22507" w:rsidRDefault="00F22507">
            <w:pPr>
              <w:jc w:val="center"/>
              <w:rPr>
                <w:rFonts w:ascii="Calibri" w:hAnsi="Calibri"/>
                <w:color w:val="000000"/>
                <w:sz w:val="20"/>
                <w:szCs w:val="20"/>
              </w:rPr>
            </w:pPr>
            <w:r>
              <w:rPr>
                <w:rFonts w:ascii="Calibri" w:hAnsi="Calibri"/>
                <w:color w:val="000000"/>
                <w:sz w:val="20"/>
                <w:szCs w:val="20"/>
              </w:rPr>
              <w:t>$66.88</w:t>
            </w:r>
          </w:p>
        </w:tc>
        <w:tc>
          <w:tcPr>
            <w:tcW w:w="262" w:type="dxa"/>
            <w:tcBorders>
              <w:top w:val="single" w:sz="4" w:space="0" w:color="auto"/>
            </w:tcBorders>
            <w:shd w:val="clear" w:color="auto" w:fill="auto"/>
            <w:noWrap/>
            <w:vAlign w:val="bottom"/>
            <w:hideMark/>
          </w:tcPr>
          <w:p w:rsidR="00F22507" w:rsidRDefault="00F22507">
            <w:pPr>
              <w:jc w:val="center"/>
              <w:rPr>
                <w:rFonts w:ascii="Calibri" w:hAnsi="Calibri"/>
                <w:color w:val="000000"/>
                <w:sz w:val="20"/>
                <w:szCs w:val="20"/>
              </w:rPr>
            </w:pPr>
          </w:p>
        </w:tc>
        <w:tc>
          <w:tcPr>
            <w:tcW w:w="1177" w:type="dxa"/>
            <w:tcBorders>
              <w:top w:val="single" w:sz="4" w:space="0" w:color="auto"/>
            </w:tcBorders>
            <w:shd w:val="clear" w:color="auto" w:fill="auto"/>
            <w:noWrap/>
            <w:vAlign w:val="bottom"/>
            <w:hideMark/>
          </w:tcPr>
          <w:p w:rsidR="00F22507" w:rsidRDefault="00F22507">
            <w:pPr>
              <w:jc w:val="center"/>
              <w:rPr>
                <w:rFonts w:ascii="Calibri" w:hAnsi="Calibri"/>
                <w:color w:val="000000"/>
                <w:sz w:val="20"/>
                <w:szCs w:val="20"/>
              </w:rPr>
            </w:pPr>
            <w:r>
              <w:rPr>
                <w:rFonts w:ascii="Calibri" w:hAnsi="Calibri"/>
                <w:color w:val="000000"/>
                <w:sz w:val="20"/>
                <w:szCs w:val="20"/>
              </w:rPr>
              <w:t>$66.88</w:t>
            </w:r>
          </w:p>
        </w:tc>
        <w:tc>
          <w:tcPr>
            <w:tcW w:w="262" w:type="dxa"/>
            <w:tcBorders>
              <w:top w:val="single" w:sz="4" w:space="0" w:color="auto"/>
            </w:tcBorders>
            <w:shd w:val="clear" w:color="auto" w:fill="auto"/>
            <w:noWrap/>
            <w:vAlign w:val="bottom"/>
            <w:hideMark/>
          </w:tcPr>
          <w:p w:rsidR="00F22507" w:rsidRDefault="00F22507">
            <w:pPr>
              <w:jc w:val="center"/>
              <w:rPr>
                <w:rFonts w:ascii="Calibri" w:hAnsi="Calibri"/>
                <w:color w:val="000000"/>
                <w:sz w:val="20"/>
                <w:szCs w:val="20"/>
              </w:rPr>
            </w:pPr>
          </w:p>
        </w:tc>
        <w:tc>
          <w:tcPr>
            <w:tcW w:w="1239" w:type="dxa"/>
            <w:tcBorders>
              <w:top w:val="single" w:sz="4" w:space="0" w:color="auto"/>
            </w:tcBorders>
            <w:shd w:val="clear" w:color="auto" w:fill="auto"/>
            <w:noWrap/>
            <w:vAlign w:val="bottom"/>
            <w:hideMark/>
          </w:tcPr>
          <w:p w:rsidR="00F22507" w:rsidRDefault="00F22507">
            <w:pPr>
              <w:jc w:val="center"/>
              <w:rPr>
                <w:rFonts w:ascii="Calibri" w:hAnsi="Calibri"/>
                <w:color w:val="000000"/>
                <w:sz w:val="20"/>
                <w:szCs w:val="20"/>
              </w:rPr>
            </w:pPr>
            <w:r>
              <w:rPr>
                <w:rFonts w:ascii="Calibri" w:hAnsi="Calibri"/>
                <w:color w:val="000000"/>
                <w:sz w:val="20"/>
                <w:szCs w:val="20"/>
              </w:rPr>
              <w:t>$0.00</w:t>
            </w:r>
          </w:p>
        </w:tc>
        <w:tc>
          <w:tcPr>
            <w:tcW w:w="262" w:type="dxa"/>
            <w:tcBorders>
              <w:top w:val="single" w:sz="4" w:space="0" w:color="auto"/>
            </w:tcBorders>
            <w:shd w:val="clear" w:color="auto" w:fill="auto"/>
            <w:noWrap/>
            <w:vAlign w:val="bottom"/>
            <w:hideMark/>
          </w:tcPr>
          <w:p w:rsidR="00F22507" w:rsidRDefault="00F22507">
            <w:pPr>
              <w:rPr>
                <w:rFonts w:ascii="Calibri" w:hAnsi="Calibri"/>
                <w:color w:val="000000"/>
                <w:sz w:val="20"/>
                <w:szCs w:val="20"/>
              </w:rPr>
            </w:pPr>
          </w:p>
        </w:tc>
        <w:tc>
          <w:tcPr>
            <w:tcW w:w="1177" w:type="dxa"/>
            <w:tcBorders>
              <w:top w:val="single" w:sz="4" w:space="0" w:color="auto"/>
            </w:tcBorders>
            <w:shd w:val="clear" w:color="auto" w:fill="auto"/>
            <w:noWrap/>
            <w:vAlign w:val="bottom"/>
            <w:hideMark/>
          </w:tcPr>
          <w:p w:rsidR="00F22507" w:rsidRDefault="00F22507">
            <w:pPr>
              <w:jc w:val="center"/>
              <w:rPr>
                <w:rFonts w:ascii="Calibri" w:hAnsi="Calibri"/>
                <w:color w:val="000000"/>
                <w:sz w:val="20"/>
                <w:szCs w:val="20"/>
              </w:rPr>
            </w:pPr>
            <w:r>
              <w:rPr>
                <w:rFonts w:ascii="Calibri" w:hAnsi="Calibri"/>
                <w:color w:val="000000"/>
                <w:sz w:val="20"/>
                <w:szCs w:val="20"/>
              </w:rPr>
              <w:t>$67.41</w:t>
            </w:r>
          </w:p>
        </w:tc>
        <w:tc>
          <w:tcPr>
            <w:tcW w:w="262" w:type="dxa"/>
            <w:tcBorders>
              <w:top w:val="single" w:sz="4" w:space="0" w:color="auto"/>
            </w:tcBorders>
            <w:shd w:val="clear" w:color="auto" w:fill="auto"/>
            <w:noWrap/>
            <w:vAlign w:val="bottom"/>
            <w:hideMark/>
          </w:tcPr>
          <w:p w:rsidR="00F22507" w:rsidRDefault="00F22507">
            <w:pPr>
              <w:rPr>
                <w:rFonts w:ascii="Calibri" w:hAnsi="Calibri"/>
                <w:color w:val="000000"/>
                <w:sz w:val="20"/>
                <w:szCs w:val="20"/>
              </w:rPr>
            </w:pPr>
          </w:p>
        </w:tc>
        <w:tc>
          <w:tcPr>
            <w:tcW w:w="1400" w:type="dxa"/>
            <w:tcBorders>
              <w:top w:val="single" w:sz="4" w:space="0" w:color="auto"/>
            </w:tcBorders>
            <w:shd w:val="clear" w:color="auto" w:fill="auto"/>
            <w:noWrap/>
            <w:vAlign w:val="bottom"/>
            <w:hideMark/>
          </w:tcPr>
          <w:p w:rsidR="00F22507" w:rsidRDefault="00B33504">
            <w:pPr>
              <w:jc w:val="center"/>
              <w:rPr>
                <w:rFonts w:ascii="Calibri" w:hAnsi="Calibri"/>
                <w:color w:val="000000"/>
                <w:sz w:val="20"/>
                <w:szCs w:val="20"/>
              </w:rPr>
            </w:pPr>
            <w:r>
              <w:rPr>
                <w:rFonts w:ascii="Calibri" w:hAnsi="Calibri"/>
                <w:color w:val="000000"/>
                <w:sz w:val="20"/>
                <w:szCs w:val="20"/>
              </w:rPr>
              <w:t>$69.46</w:t>
            </w:r>
          </w:p>
        </w:tc>
      </w:tr>
      <w:tr w:rsidR="00F22507" w:rsidTr="00F61C2C">
        <w:trPr>
          <w:trHeight w:val="300"/>
        </w:trPr>
        <w:tc>
          <w:tcPr>
            <w:tcW w:w="1979" w:type="dxa"/>
            <w:gridSpan w:val="2"/>
            <w:shd w:val="clear" w:color="auto" w:fill="auto"/>
            <w:noWrap/>
            <w:vAlign w:val="bottom"/>
            <w:hideMark/>
          </w:tcPr>
          <w:p w:rsidR="00F22507" w:rsidRDefault="00F22507">
            <w:pPr>
              <w:rPr>
                <w:rFonts w:ascii="Calibri" w:hAnsi="Calibri"/>
                <w:color w:val="000000"/>
                <w:sz w:val="20"/>
                <w:szCs w:val="20"/>
              </w:rPr>
            </w:pPr>
            <w:r>
              <w:rPr>
                <w:rFonts w:ascii="Calibri" w:hAnsi="Calibri"/>
                <w:color w:val="000000"/>
                <w:sz w:val="20"/>
                <w:szCs w:val="20"/>
              </w:rPr>
              <w:t>Fuel Cost Recovery</w:t>
            </w:r>
          </w:p>
        </w:tc>
        <w:tc>
          <w:tcPr>
            <w:tcW w:w="1355" w:type="dxa"/>
            <w:shd w:val="clear" w:color="auto" w:fill="auto"/>
            <w:noWrap/>
            <w:vAlign w:val="bottom"/>
            <w:hideMark/>
          </w:tcPr>
          <w:p w:rsidR="00F22507" w:rsidRDefault="00F22507">
            <w:pPr>
              <w:jc w:val="center"/>
              <w:rPr>
                <w:rFonts w:ascii="Calibri" w:hAnsi="Calibri"/>
                <w:color w:val="000000"/>
                <w:sz w:val="20"/>
                <w:szCs w:val="20"/>
              </w:rPr>
            </w:pPr>
            <w:r>
              <w:rPr>
                <w:rFonts w:ascii="Calibri" w:hAnsi="Calibri"/>
                <w:color w:val="000000"/>
                <w:sz w:val="20"/>
                <w:szCs w:val="20"/>
              </w:rPr>
              <w:t>$22.93</w:t>
            </w:r>
          </w:p>
        </w:tc>
        <w:tc>
          <w:tcPr>
            <w:tcW w:w="262" w:type="dxa"/>
            <w:shd w:val="clear" w:color="auto" w:fill="auto"/>
            <w:noWrap/>
            <w:vAlign w:val="bottom"/>
            <w:hideMark/>
          </w:tcPr>
          <w:p w:rsidR="00F22507" w:rsidRDefault="00F22507">
            <w:pPr>
              <w:jc w:val="center"/>
              <w:rPr>
                <w:rFonts w:ascii="Calibri" w:hAnsi="Calibri"/>
                <w:color w:val="000000"/>
                <w:sz w:val="20"/>
                <w:szCs w:val="20"/>
              </w:rPr>
            </w:pPr>
          </w:p>
        </w:tc>
        <w:tc>
          <w:tcPr>
            <w:tcW w:w="1177" w:type="dxa"/>
            <w:shd w:val="clear" w:color="auto" w:fill="auto"/>
            <w:noWrap/>
            <w:vAlign w:val="bottom"/>
            <w:hideMark/>
          </w:tcPr>
          <w:p w:rsidR="00F22507" w:rsidRDefault="00B33504">
            <w:pPr>
              <w:jc w:val="center"/>
              <w:rPr>
                <w:rFonts w:ascii="Calibri" w:hAnsi="Calibri"/>
                <w:color w:val="000000"/>
                <w:sz w:val="20"/>
                <w:szCs w:val="20"/>
              </w:rPr>
            </w:pPr>
            <w:r>
              <w:rPr>
                <w:rFonts w:ascii="Calibri" w:hAnsi="Calibri"/>
                <w:color w:val="000000"/>
                <w:sz w:val="20"/>
                <w:szCs w:val="20"/>
              </w:rPr>
              <w:t>$24.12</w:t>
            </w:r>
          </w:p>
        </w:tc>
        <w:tc>
          <w:tcPr>
            <w:tcW w:w="262" w:type="dxa"/>
            <w:shd w:val="clear" w:color="auto" w:fill="auto"/>
            <w:noWrap/>
            <w:vAlign w:val="bottom"/>
            <w:hideMark/>
          </w:tcPr>
          <w:p w:rsidR="00F22507" w:rsidRDefault="00F22507">
            <w:pPr>
              <w:jc w:val="center"/>
              <w:rPr>
                <w:rFonts w:ascii="Calibri" w:hAnsi="Calibri"/>
                <w:color w:val="000000"/>
                <w:sz w:val="20"/>
                <w:szCs w:val="20"/>
              </w:rPr>
            </w:pPr>
          </w:p>
        </w:tc>
        <w:tc>
          <w:tcPr>
            <w:tcW w:w="1239" w:type="dxa"/>
            <w:shd w:val="clear" w:color="auto" w:fill="auto"/>
            <w:noWrap/>
            <w:vAlign w:val="bottom"/>
            <w:hideMark/>
          </w:tcPr>
          <w:p w:rsidR="00F22507" w:rsidRDefault="00B33504">
            <w:pPr>
              <w:jc w:val="center"/>
              <w:rPr>
                <w:rFonts w:ascii="Calibri" w:hAnsi="Calibri"/>
                <w:color w:val="000000"/>
                <w:sz w:val="20"/>
                <w:szCs w:val="20"/>
              </w:rPr>
            </w:pPr>
            <w:r>
              <w:rPr>
                <w:rFonts w:ascii="Calibri" w:hAnsi="Calibri"/>
                <w:color w:val="000000"/>
                <w:sz w:val="20"/>
                <w:szCs w:val="20"/>
              </w:rPr>
              <w:t>$1.19</w:t>
            </w:r>
          </w:p>
        </w:tc>
        <w:tc>
          <w:tcPr>
            <w:tcW w:w="262" w:type="dxa"/>
            <w:shd w:val="clear" w:color="auto" w:fill="auto"/>
            <w:noWrap/>
            <w:vAlign w:val="bottom"/>
            <w:hideMark/>
          </w:tcPr>
          <w:p w:rsidR="00F22507" w:rsidRDefault="00F22507">
            <w:pPr>
              <w:rPr>
                <w:rFonts w:ascii="Calibri" w:hAnsi="Calibri"/>
                <w:color w:val="000000"/>
                <w:sz w:val="20"/>
                <w:szCs w:val="20"/>
              </w:rPr>
            </w:pPr>
          </w:p>
        </w:tc>
        <w:tc>
          <w:tcPr>
            <w:tcW w:w="1177" w:type="dxa"/>
            <w:shd w:val="clear" w:color="auto" w:fill="auto"/>
            <w:noWrap/>
            <w:vAlign w:val="bottom"/>
            <w:hideMark/>
          </w:tcPr>
          <w:p w:rsidR="00F22507" w:rsidRDefault="00B33504">
            <w:pPr>
              <w:jc w:val="center"/>
              <w:rPr>
                <w:rFonts w:ascii="Calibri" w:hAnsi="Calibri"/>
                <w:color w:val="000000"/>
                <w:sz w:val="20"/>
                <w:szCs w:val="20"/>
              </w:rPr>
            </w:pPr>
            <w:r>
              <w:rPr>
                <w:rFonts w:ascii="Calibri" w:hAnsi="Calibri"/>
                <w:color w:val="000000"/>
                <w:sz w:val="20"/>
                <w:szCs w:val="20"/>
              </w:rPr>
              <w:t>$23.89</w:t>
            </w:r>
          </w:p>
        </w:tc>
        <w:tc>
          <w:tcPr>
            <w:tcW w:w="262" w:type="dxa"/>
            <w:shd w:val="clear" w:color="auto" w:fill="auto"/>
            <w:noWrap/>
            <w:vAlign w:val="bottom"/>
            <w:hideMark/>
          </w:tcPr>
          <w:p w:rsidR="00F22507" w:rsidRDefault="00F22507">
            <w:pPr>
              <w:rPr>
                <w:rFonts w:ascii="Calibri" w:hAnsi="Calibri"/>
                <w:color w:val="000000"/>
                <w:sz w:val="20"/>
                <w:szCs w:val="20"/>
              </w:rPr>
            </w:pPr>
          </w:p>
        </w:tc>
        <w:tc>
          <w:tcPr>
            <w:tcW w:w="1400" w:type="dxa"/>
            <w:shd w:val="clear" w:color="auto" w:fill="auto"/>
            <w:noWrap/>
            <w:vAlign w:val="bottom"/>
            <w:hideMark/>
          </w:tcPr>
          <w:p w:rsidR="00F22507" w:rsidRDefault="00B33504">
            <w:pPr>
              <w:jc w:val="center"/>
              <w:rPr>
                <w:rFonts w:ascii="Calibri" w:hAnsi="Calibri"/>
                <w:color w:val="000000"/>
                <w:sz w:val="20"/>
                <w:szCs w:val="20"/>
              </w:rPr>
            </w:pPr>
            <w:r>
              <w:rPr>
                <w:rFonts w:ascii="Calibri" w:hAnsi="Calibri"/>
                <w:color w:val="000000"/>
                <w:sz w:val="20"/>
                <w:szCs w:val="20"/>
              </w:rPr>
              <w:t>$22.27</w:t>
            </w:r>
          </w:p>
        </w:tc>
      </w:tr>
      <w:tr w:rsidR="00F22507" w:rsidTr="00F61C2C">
        <w:trPr>
          <w:trHeight w:val="300"/>
        </w:trPr>
        <w:tc>
          <w:tcPr>
            <w:tcW w:w="1979" w:type="dxa"/>
            <w:gridSpan w:val="2"/>
            <w:shd w:val="clear" w:color="auto" w:fill="auto"/>
            <w:noWrap/>
            <w:vAlign w:val="bottom"/>
            <w:hideMark/>
          </w:tcPr>
          <w:p w:rsidR="00F22507" w:rsidRDefault="00F22507">
            <w:pPr>
              <w:rPr>
                <w:rFonts w:ascii="Calibri" w:hAnsi="Calibri"/>
                <w:color w:val="000000"/>
                <w:sz w:val="20"/>
                <w:szCs w:val="20"/>
              </w:rPr>
            </w:pPr>
            <w:r>
              <w:rPr>
                <w:rFonts w:ascii="Calibri" w:hAnsi="Calibri"/>
                <w:color w:val="000000"/>
                <w:sz w:val="20"/>
                <w:szCs w:val="20"/>
              </w:rPr>
              <w:t>Capacity Cost recovery</w:t>
            </w:r>
          </w:p>
        </w:tc>
        <w:tc>
          <w:tcPr>
            <w:tcW w:w="1355" w:type="dxa"/>
            <w:shd w:val="clear" w:color="auto" w:fill="auto"/>
            <w:noWrap/>
            <w:vAlign w:val="bottom"/>
            <w:hideMark/>
          </w:tcPr>
          <w:p w:rsidR="00F22507" w:rsidRDefault="00F22507">
            <w:pPr>
              <w:jc w:val="center"/>
              <w:rPr>
                <w:rFonts w:ascii="Calibri" w:hAnsi="Calibri"/>
                <w:color w:val="000000"/>
                <w:sz w:val="20"/>
                <w:szCs w:val="20"/>
              </w:rPr>
            </w:pPr>
            <w:r>
              <w:rPr>
                <w:rFonts w:ascii="Calibri" w:hAnsi="Calibri"/>
                <w:color w:val="000000"/>
                <w:sz w:val="20"/>
                <w:szCs w:val="20"/>
              </w:rPr>
              <w:t>$2.34</w:t>
            </w:r>
          </w:p>
        </w:tc>
        <w:tc>
          <w:tcPr>
            <w:tcW w:w="262" w:type="dxa"/>
            <w:shd w:val="clear" w:color="auto" w:fill="auto"/>
            <w:noWrap/>
            <w:vAlign w:val="bottom"/>
            <w:hideMark/>
          </w:tcPr>
          <w:p w:rsidR="00F22507" w:rsidRDefault="00F22507">
            <w:pPr>
              <w:jc w:val="center"/>
              <w:rPr>
                <w:rFonts w:ascii="Calibri" w:hAnsi="Calibri"/>
                <w:color w:val="000000"/>
                <w:sz w:val="20"/>
                <w:szCs w:val="20"/>
              </w:rPr>
            </w:pPr>
          </w:p>
        </w:tc>
        <w:tc>
          <w:tcPr>
            <w:tcW w:w="1177" w:type="dxa"/>
            <w:shd w:val="clear" w:color="auto" w:fill="auto"/>
            <w:noWrap/>
            <w:vAlign w:val="bottom"/>
            <w:hideMark/>
          </w:tcPr>
          <w:p w:rsidR="00F22507" w:rsidRDefault="00F22507">
            <w:pPr>
              <w:jc w:val="center"/>
              <w:rPr>
                <w:rFonts w:ascii="Calibri" w:hAnsi="Calibri"/>
                <w:color w:val="000000"/>
                <w:sz w:val="20"/>
                <w:szCs w:val="20"/>
              </w:rPr>
            </w:pPr>
            <w:r>
              <w:rPr>
                <w:rFonts w:ascii="Calibri" w:hAnsi="Calibri"/>
                <w:color w:val="000000"/>
                <w:sz w:val="20"/>
                <w:szCs w:val="20"/>
              </w:rPr>
              <w:t>$2.58</w:t>
            </w:r>
          </w:p>
        </w:tc>
        <w:tc>
          <w:tcPr>
            <w:tcW w:w="262" w:type="dxa"/>
            <w:shd w:val="clear" w:color="auto" w:fill="auto"/>
            <w:noWrap/>
            <w:vAlign w:val="bottom"/>
            <w:hideMark/>
          </w:tcPr>
          <w:p w:rsidR="00F22507" w:rsidRDefault="00F22507">
            <w:pPr>
              <w:jc w:val="center"/>
              <w:rPr>
                <w:rFonts w:ascii="Calibri" w:hAnsi="Calibri"/>
                <w:color w:val="000000"/>
                <w:sz w:val="20"/>
                <w:szCs w:val="20"/>
              </w:rPr>
            </w:pPr>
          </w:p>
        </w:tc>
        <w:tc>
          <w:tcPr>
            <w:tcW w:w="1239" w:type="dxa"/>
            <w:shd w:val="clear" w:color="auto" w:fill="auto"/>
            <w:noWrap/>
            <w:vAlign w:val="bottom"/>
            <w:hideMark/>
          </w:tcPr>
          <w:p w:rsidR="00F22507" w:rsidRDefault="00F22507">
            <w:pPr>
              <w:jc w:val="center"/>
              <w:rPr>
                <w:rFonts w:ascii="Calibri" w:hAnsi="Calibri"/>
                <w:color w:val="000000"/>
                <w:sz w:val="20"/>
                <w:szCs w:val="20"/>
              </w:rPr>
            </w:pPr>
            <w:r>
              <w:rPr>
                <w:rFonts w:ascii="Calibri" w:hAnsi="Calibri"/>
                <w:color w:val="000000"/>
                <w:sz w:val="20"/>
                <w:szCs w:val="20"/>
              </w:rPr>
              <w:t>$0.24</w:t>
            </w:r>
          </w:p>
        </w:tc>
        <w:tc>
          <w:tcPr>
            <w:tcW w:w="262" w:type="dxa"/>
            <w:shd w:val="clear" w:color="auto" w:fill="auto"/>
            <w:noWrap/>
            <w:vAlign w:val="bottom"/>
            <w:hideMark/>
          </w:tcPr>
          <w:p w:rsidR="00F22507" w:rsidRDefault="00F22507">
            <w:pPr>
              <w:rPr>
                <w:rFonts w:ascii="Calibri" w:hAnsi="Calibri"/>
                <w:color w:val="000000"/>
                <w:sz w:val="20"/>
                <w:szCs w:val="20"/>
              </w:rPr>
            </w:pPr>
          </w:p>
        </w:tc>
        <w:tc>
          <w:tcPr>
            <w:tcW w:w="1177" w:type="dxa"/>
            <w:shd w:val="clear" w:color="auto" w:fill="auto"/>
            <w:noWrap/>
            <w:vAlign w:val="bottom"/>
            <w:hideMark/>
          </w:tcPr>
          <w:p w:rsidR="00F22507" w:rsidRDefault="00F22507">
            <w:pPr>
              <w:jc w:val="center"/>
              <w:rPr>
                <w:rFonts w:ascii="Calibri" w:hAnsi="Calibri"/>
                <w:color w:val="000000"/>
                <w:sz w:val="20"/>
                <w:szCs w:val="20"/>
              </w:rPr>
            </w:pPr>
            <w:r>
              <w:rPr>
                <w:rFonts w:ascii="Calibri" w:hAnsi="Calibri"/>
                <w:color w:val="000000"/>
                <w:sz w:val="20"/>
                <w:szCs w:val="20"/>
              </w:rPr>
              <w:t>$2.58</w:t>
            </w:r>
          </w:p>
        </w:tc>
        <w:tc>
          <w:tcPr>
            <w:tcW w:w="262" w:type="dxa"/>
            <w:shd w:val="clear" w:color="auto" w:fill="auto"/>
            <w:noWrap/>
            <w:vAlign w:val="bottom"/>
            <w:hideMark/>
          </w:tcPr>
          <w:p w:rsidR="00F22507" w:rsidRDefault="00F22507">
            <w:pPr>
              <w:rPr>
                <w:rFonts w:ascii="Calibri" w:hAnsi="Calibri"/>
                <w:color w:val="000000"/>
                <w:sz w:val="20"/>
                <w:szCs w:val="20"/>
              </w:rPr>
            </w:pPr>
          </w:p>
        </w:tc>
        <w:tc>
          <w:tcPr>
            <w:tcW w:w="1400" w:type="dxa"/>
            <w:shd w:val="clear" w:color="auto" w:fill="auto"/>
            <w:noWrap/>
            <w:vAlign w:val="bottom"/>
            <w:hideMark/>
          </w:tcPr>
          <w:p w:rsidR="00F22507" w:rsidRDefault="00F22507">
            <w:pPr>
              <w:jc w:val="center"/>
              <w:rPr>
                <w:rFonts w:ascii="Calibri" w:hAnsi="Calibri"/>
                <w:color w:val="000000"/>
                <w:sz w:val="20"/>
                <w:szCs w:val="20"/>
              </w:rPr>
            </w:pPr>
            <w:r>
              <w:rPr>
                <w:rFonts w:ascii="Calibri" w:hAnsi="Calibri"/>
                <w:color w:val="000000"/>
                <w:sz w:val="20"/>
                <w:szCs w:val="20"/>
              </w:rPr>
              <w:t>$2.58</w:t>
            </w:r>
          </w:p>
        </w:tc>
      </w:tr>
      <w:tr w:rsidR="00F22507" w:rsidTr="00F61C2C">
        <w:trPr>
          <w:trHeight w:val="300"/>
        </w:trPr>
        <w:tc>
          <w:tcPr>
            <w:tcW w:w="1979" w:type="dxa"/>
            <w:gridSpan w:val="2"/>
            <w:shd w:val="clear" w:color="auto" w:fill="auto"/>
            <w:noWrap/>
            <w:vAlign w:val="bottom"/>
            <w:hideMark/>
          </w:tcPr>
          <w:p w:rsidR="00F22507" w:rsidRDefault="00F22507">
            <w:pPr>
              <w:rPr>
                <w:rFonts w:ascii="Calibri" w:hAnsi="Calibri"/>
                <w:color w:val="000000"/>
                <w:sz w:val="20"/>
                <w:szCs w:val="20"/>
              </w:rPr>
            </w:pPr>
            <w:r>
              <w:rPr>
                <w:rFonts w:ascii="Calibri" w:hAnsi="Calibri"/>
                <w:color w:val="000000"/>
                <w:sz w:val="20"/>
                <w:szCs w:val="20"/>
              </w:rPr>
              <w:t>Energy Conservation</w:t>
            </w:r>
          </w:p>
        </w:tc>
        <w:tc>
          <w:tcPr>
            <w:tcW w:w="1355" w:type="dxa"/>
            <w:shd w:val="clear" w:color="auto" w:fill="auto"/>
            <w:noWrap/>
            <w:vAlign w:val="bottom"/>
            <w:hideMark/>
          </w:tcPr>
          <w:p w:rsidR="00F22507" w:rsidRDefault="00F22507">
            <w:pPr>
              <w:jc w:val="center"/>
              <w:rPr>
                <w:rFonts w:ascii="Calibri" w:hAnsi="Calibri"/>
                <w:color w:val="000000"/>
                <w:sz w:val="20"/>
                <w:szCs w:val="20"/>
              </w:rPr>
            </w:pPr>
            <w:r>
              <w:rPr>
                <w:rFonts w:ascii="Calibri" w:hAnsi="Calibri"/>
                <w:color w:val="000000"/>
                <w:sz w:val="20"/>
                <w:szCs w:val="20"/>
              </w:rPr>
              <w:t>$1.53</w:t>
            </w:r>
          </w:p>
        </w:tc>
        <w:tc>
          <w:tcPr>
            <w:tcW w:w="262" w:type="dxa"/>
            <w:shd w:val="clear" w:color="auto" w:fill="auto"/>
            <w:noWrap/>
            <w:vAlign w:val="bottom"/>
            <w:hideMark/>
          </w:tcPr>
          <w:p w:rsidR="00F22507" w:rsidRDefault="00F22507">
            <w:pPr>
              <w:jc w:val="center"/>
              <w:rPr>
                <w:rFonts w:ascii="Calibri" w:hAnsi="Calibri"/>
                <w:color w:val="000000"/>
                <w:sz w:val="20"/>
                <w:szCs w:val="20"/>
              </w:rPr>
            </w:pPr>
          </w:p>
        </w:tc>
        <w:tc>
          <w:tcPr>
            <w:tcW w:w="1177" w:type="dxa"/>
            <w:shd w:val="clear" w:color="auto" w:fill="auto"/>
            <w:noWrap/>
            <w:vAlign w:val="bottom"/>
            <w:hideMark/>
          </w:tcPr>
          <w:p w:rsidR="00F22507" w:rsidRDefault="00F22507">
            <w:pPr>
              <w:jc w:val="center"/>
              <w:rPr>
                <w:rFonts w:ascii="Calibri" w:hAnsi="Calibri"/>
                <w:color w:val="000000"/>
                <w:sz w:val="20"/>
                <w:szCs w:val="20"/>
              </w:rPr>
            </w:pPr>
            <w:r>
              <w:rPr>
                <w:rFonts w:ascii="Calibri" w:hAnsi="Calibri"/>
                <w:color w:val="000000"/>
                <w:sz w:val="20"/>
                <w:szCs w:val="20"/>
              </w:rPr>
              <w:t>$1.50</w:t>
            </w:r>
          </w:p>
        </w:tc>
        <w:tc>
          <w:tcPr>
            <w:tcW w:w="262" w:type="dxa"/>
            <w:shd w:val="clear" w:color="auto" w:fill="auto"/>
            <w:noWrap/>
            <w:vAlign w:val="bottom"/>
            <w:hideMark/>
          </w:tcPr>
          <w:p w:rsidR="00F22507" w:rsidRDefault="00F22507">
            <w:pPr>
              <w:jc w:val="center"/>
              <w:rPr>
                <w:rFonts w:ascii="Calibri" w:hAnsi="Calibri"/>
                <w:color w:val="000000"/>
                <w:sz w:val="20"/>
                <w:szCs w:val="20"/>
              </w:rPr>
            </w:pPr>
          </w:p>
        </w:tc>
        <w:tc>
          <w:tcPr>
            <w:tcW w:w="1239" w:type="dxa"/>
            <w:shd w:val="clear" w:color="auto" w:fill="auto"/>
            <w:noWrap/>
            <w:vAlign w:val="bottom"/>
            <w:hideMark/>
          </w:tcPr>
          <w:p w:rsidR="00F22507" w:rsidRDefault="00F22507">
            <w:pPr>
              <w:jc w:val="center"/>
              <w:rPr>
                <w:rFonts w:ascii="Calibri" w:hAnsi="Calibri"/>
                <w:color w:val="000000"/>
                <w:sz w:val="20"/>
                <w:szCs w:val="20"/>
              </w:rPr>
            </w:pPr>
            <w:r>
              <w:rPr>
                <w:rFonts w:ascii="Calibri" w:hAnsi="Calibri"/>
                <w:color w:val="000000"/>
                <w:sz w:val="20"/>
                <w:szCs w:val="20"/>
              </w:rPr>
              <w:t>-$0.03</w:t>
            </w:r>
          </w:p>
        </w:tc>
        <w:tc>
          <w:tcPr>
            <w:tcW w:w="262" w:type="dxa"/>
            <w:shd w:val="clear" w:color="auto" w:fill="auto"/>
            <w:noWrap/>
            <w:vAlign w:val="bottom"/>
            <w:hideMark/>
          </w:tcPr>
          <w:p w:rsidR="00F22507" w:rsidRDefault="00F22507">
            <w:pPr>
              <w:rPr>
                <w:rFonts w:ascii="Calibri" w:hAnsi="Calibri"/>
                <w:color w:val="000000"/>
                <w:sz w:val="20"/>
                <w:szCs w:val="20"/>
              </w:rPr>
            </w:pPr>
          </w:p>
        </w:tc>
        <w:tc>
          <w:tcPr>
            <w:tcW w:w="1177" w:type="dxa"/>
            <w:shd w:val="clear" w:color="auto" w:fill="auto"/>
            <w:noWrap/>
            <w:vAlign w:val="bottom"/>
            <w:hideMark/>
          </w:tcPr>
          <w:p w:rsidR="00F22507" w:rsidRDefault="00F22507">
            <w:pPr>
              <w:jc w:val="center"/>
              <w:rPr>
                <w:rFonts w:ascii="Calibri" w:hAnsi="Calibri"/>
                <w:color w:val="000000"/>
                <w:sz w:val="20"/>
                <w:szCs w:val="20"/>
              </w:rPr>
            </w:pPr>
            <w:r>
              <w:rPr>
                <w:rFonts w:ascii="Calibri" w:hAnsi="Calibri"/>
                <w:color w:val="000000"/>
                <w:sz w:val="20"/>
                <w:szCs w:val="20"/>
              </w:rPr>
              <w:t>$1.50</w:t>
            </w:r>
          </w:p>
        </w:tc>
        <w:tc>
          <w:tcPr>
            <w:tcW w:w="262" w:type="dxa"/>
            <w:shd w:val="clear" w:color="auto" w:fill="auto"/>
            <w:noWrap/>
            <w:vAlign w:val="bottom"/>
            <w:hideMark/>
          </w:tcPr>
          <w:p w:rsidR="00F22507" w:rsidRDefault="00F22507">
            <w:pPr>
              <w:rPr>
                <w:rFonts w:ascii="Calibri" w:hAnsi="Calibri"/>
                <w:color w:val="000000"/>
                <w:sz w:val="20"/>
                <w:szCs w:val="20"/>
              </w:rPr>
            </w:pPr>
          </w:p>
        </w:tc>
        <w:tc>
          <w:tcPr>
            <w:tcW w:w="1400" w:type="dxa"/>
            <w:shd w:val="clear" w:color="auto" w:fill="auto"/>
            <w:noWrap/>
            <w:vAlign w:val="bottom"/>
            <w:hideMark/>
          </w:tcPr>
          <w:p w:rsidR="00F22507" w:rsidRDefault="00F22507">
            <w:pPr>
              <w:jc w:val="center"/>
              <w:rPr>
                <w:rFonts w:ascii="Calibri" w:hAnsi="Calibri"/>
                <w:color w:val="000000"/>
                <w:sz w:val="20"/>
                <w:szCs w:val="20"/>
              </w:rPr>
            </w:pPr>
            <w:r>
              <w:rPr>
                <w:rFonts w:ascii="Calibri" w:hAnsi="Calibri"/>
                <w:color w:val="000000"/>
                <w:sz w:val="20"/>
                <w:szCs w:val="20"/>
              </w:rPr>
              <w:t>$1.50</w:t>
            </w:r>
          </w:p>
        </w:tc>
      </w:tr>
      <w:tr w:rsidR="00F22507" w:rsidTr="00F61C2C">
        <w:trPr>
          <w:trHeight w:val="300"/>
        </w:trPr>
        <w:tc>
          <w:tcPr>
            <w:tcW w:w="1979" w:type="dxa"/>
            <w:gridSpan w:val="2"/>
            <w:shd w:val="clear" w:color="auto" w:fill="auto"/>
            <w:noWrap/>
            <w:vAlign w:val="bottom"/>
            <w:hideMark/>
          </w:tcPr>
          <w:p w:rsidR="00F22507" w:rsidRDefault="00F22507">
            <w:pPr>
              <w:rPr>
                <w:rFonts w:ascii="Calibri" w:hAnsi="Calibri"/>
                <w:color w:val="000000"/>
                <w:sz w:val="20"/>
                <w:szCs w:val="20"/>
              </w:rPr>
            </w:pPr>
            <w:r>
              <w:rPr>
                <w:rFonts w:ascii="Calibri" w:hAnsi="Calibri"/>
                <w:color w:val="000000"/>
                <w:sz w:val="20"/>
                <w:szCs w:val="20"/>
              </w:rPr>
              <w:t xml:space="preserve">Environmental </w:t>
            </w:r>
          </w:p>
        </w:tc>
        <w:tc>
          <w:tcPr>
            <w:tcW w:w="1355" w:type="dxa"/>
            <w:shd w:val="clear" w:color="auto" w:fill="auto"/>
            <w:noWrap/>
            <w:vAlign w:val="bottom"/>
            <w:hideMark/>
          </w:tcPr>
          <w:p w:rsidR="00F22507" w:rsidRDefault="00F22507">
            <w:pPr>
              <w:jc w:val="center"/>
              <w:rPr>
                <w:rFonts w:ascii="Calibri" w:hAnsi="Calibri"/>
                <w:color w:val="000000"/>
                <w:sz w:val="20"/>
                <w:szCs w:val="20"/>
              </w:rPr>
            </w:pPr>
            <w:r>
              <w:rPr>
                <w:rFonts w:ascii="Calibri" w:hAnsi="Calibri"/>
                <w:color w:val="000000"/>
                <w:sz w:val="20"/>
                <w:szCs w:val="20"/>
              </w:rPr>
              <w:t>$1.22</w:t>
            </w:r>
          </w:p>
        </w:tc>
        <w:tc>
          <w:tcPr>
            <w:tcW w:w="262" w:type="dxa"/>
            <w:shd w:val="clear" w:color="auto" w:fill="auto"/>
            <w:noWrap/>
            <w:vAlign w:val="bottom"/>
            <w:hideMark/>
          </w:tcPr>
          <w:p w:rsidR="00F22507" w:rsidRDefault="00F22507">
            <w:pPr>
              <w:jc w:val="center"/>
              <w:rPr>
                <w:rFonts w:ascii="Calibri" w:hAnsi="Calibri"/>
                <w:color w:val="000000"/>
                <w:sz w:val="20"/>
                <w:szCs w:val="20"/>
              </w:rPr>
            </w:pPr>
          </w:p>
        </w:tc>
        <w:tc>
          <w:tcPr>
            <w:tcW w:w="1177" w:type="dxa"/>
            <w:shd w:val="clear" w:color="auto" w:fill="auto"/>
            <w:noWrap/>
            <w:vAlign w:val="bottom"/>
            <w:hideMark/>
          </w:tcPr>
          <w:p w:rsidR="00F22507" w:rsidRDefault="00F22507">
            <w:pPr>
              <w:jc w:val="center"/>
              <w:rPr>
                <w:rFonts w:ascii="Calibri" w:hAnsi="Calibri"/>
                <w:color w:val="000000"/>
                <w:sz w:val="20"/>
                <w:szCs w:val="20"/>
              </w:rPr>
            </w:pPr>
            <w:r>
              <w:rPr>
                <w:rFonts w:ascii="Calibri" w:hAnsi="Calibri"/>
                <w:color w:val="000000"/>
                <w:sz w:val="20"/>
                <w:szCs w:val="20"/>
              </w:rPr>
              <w:t>$1.59</w:t>
            </w:r>
          </w:p>
        </w:tc>
        <w:tc>
          <w:tcPr>
            <w:tcW w:w="262" w:type="dxa"/>
            <w:shd w:val="clear" w:color="auto" w:fill="auto"/>
            <w:noWrap/>
            <w:vAlign w:val="bottom"/>
            <w:hideMark/>
          </w:tcPr>
          <w:p w:rsidR="00F22507" w:rsidRDefault="00F22507">
            <w:pPr>
              <w:jc w:val="center"/>
              <w:rPr>
                <w:rFonts w:ascii="Calibri" w:hAnsi="Calibri"/>
                <w:color w:val="000000"/>
                <w:sz w:val="20"/>
                <w:szCs w:val="20"/>
              </w:rPr>
            </w:pPr>
          </w:p>
        </w:tc>
        <w:tc>
          <w:tcPr>
            <w:tcW w:w="1239" w:type="dxa"/>
            <w:shd w:val="clear" w:color="auto" w:fill="auto"/>
            <w:noWrap/>
            <w:vAlign w:val="bottom"/>
            <w:hideMark/>
          </w:tcPr>
          <w:p w:rsidR="00F22507" w:rsidRDefault="00F22507">
            <w:pPr>
              <w:jc w:val="center"/>
              <w:rPr>
                <w:rFonts w:ascii="Calibri" w:hAnsi="Calibri"/>
                <w:color w:val="000000"/>
                <w:sz w:val="20"/>
                <w:szCs w:val="20"/>
              </w:rPr>
            </w:pPr>
            <w:r>
              <w:rPr>
                <w:rFonts w:ascii="Calibri" w:hAnsi="Calibri"/>
                <w:color w:val="000000"/>
                <w:sz w:val="20"/>
                <w:szCs w:val="20"/>
              </w:rPr>
              <w:t>$0.37</w:t>
            </w:r>
          </w:p>
        </w:tc>
        <w:tc>
          <w:tcPr>
            <w:tcW w:w="262" w:type="dxa"/>
            <w:shd w:val="clear" w:color="auto" w:fill="auto"/>
            <w:noWrap/>
            <w:vAlign w:val="bottom"/>
            <w:hideMark/>
          </w:tcPr>
          <w:p w:rsidR="00F22507" w:rsidRDefault="00F22507">
            <w:pPr>
              <w:rPr>
                <w:rFonts w:ascii="Calibri" w:hAnsi="Calibri"/>
                <w:color w:val="000000"/>
                <w:sz w:val="20"/>
                <w:szCs w:val="20"/>
              </w:rPr>
            </w:pPr>
          </w:p>
        </w:tc>
        <w:tc>
          <w:tcPr>
            <w:tcW w:w="1177" w:type="dxa"/>
            <w:shd w:val="clear" w:color="auto" w:fill="auto"/>
            <w:noWrap/>
            <w:vAlign w:val="bottom"/>
            <w:hideMark/>
          </w:tcPr>
          <w:p w:rsidR="00F22507" w:rsidRDefault="00F22507">
            <w:pPr>
              <w:jc w:val="center"/>
              <w:rPr>
                <w:rFonts w:ascii="Calibri" w:hAnsi="Calibri"/>
                <w:color w:val="000000"/>
                <w:sz w:val="20"/>
                <w:szCs w:val="20"/>
              </w:rPr>
            </w:pPr>
            <w:r>
              <w:rPr>
                <w:rFonts w:ascii="Calibri" w:hAnsi="Calibri"/>
                <w:color w:val="000000"/>
                <w:sz w:val="20"/>
                <w:szCs w:val="20"/>
              </w:rPr>
              <w:t>$1.59</w:t>
            </w:r>
          </w:p>
        </w:tc>
        <w:tc>
          <w:tcPr>
            <w:tcW w:w="262" w:type="dxa"/>
            <w:shd w:val="clear" w:color="auto" w:fill="auto"/>
            <w:noWrap/>
            <w:vAlign w:val="bottom"/>
            <w:hideMark/>
          </w:tcPr>
          <w:p w:rsidR="00F22507" w:rsidRDefault="00F22507">
            <w:pPr>
              <w:rPr>
                <w:rFonts w:ascii="Calibri" w:hAnsi="Calibri"/>
                <w:color w:val="000000"/>
                <w:sz w:val="20"/>
                <w:szCs w:val="20"/>
              </w:rPr>
            </w:pPr>
          </w:p>
        </w:tc>
        <w:tc>
          <w:tcPr>
            <w:tcW w:w="1400" w:type="dxa"/>
            <w:shd w:val="clear" w:color="auto" w:fill="auto"/>
            <w:noWrap/>
            <w:vAlign w:val="bottom"/>
            <w:hideMark/>
          </w:tcPr>
          <w:p w:rsidR="00F22507" w:rsidRDefault="00F22507">
            <w:pPr>
              <w:jc w:val="center"/>
              <w:rPr>
                <w:rFonts w:ascii="Calibri" w:hAnsi="Calibri"/>
                <w:color w:val="000000"/>
                <w:sz w:val="20"/>
                <w:szCs w:val="20"/>
              </w:rPr>
            </w:pPr>
            <w:r>
              <w:rPr>
                <w:rFonts w:ascii="Calibri" w:hAnsi="Calibri"/>
                <w:color w:val="000000"/>
                <w:sz w:val="20"/>
                <w:szCs w:val="20"/>
              </w:rPr>
              <w:t>$1.59</w:t>
            </w:r>
          </w:p>
        </w:tc>
      </w:tr>
      <w:tr w:rsidR="00F22507" w:rsidTr="00F61C2C">
        <w:trPr>
          <w:trHeight w:val="300"/>
        </w:trPr>
        <w:tc>
          <w:tcPr>
            <w:tcW w:w="1979" w:type="dxa"/>
            <w:gridSpan w:val="2"/>
            <w:shd w:val="clear" w:color="auto" w:fill="auto"/>
            <w:noWrap/>
            <w:vAlign w:val="bottom"/>
            <w:hideMark/>
          </w:tcPr>
          <w:p w:rsidR="00F22507" w:rsidRDefault="00F22507">
            <w:pPr>
              <w:rPr>
                <w:rFonts w:ascii="Calibri" w:hAnsi="Calibri"/>
                <w:color w:val="000000"/>
                <w:sz w:val="20"/>
                <w:szCs w:val="20"/>
              </w:rPr>
            </w:pPr>
            <w:r>
              <w:rPr>
                <w:rFonts w:ascii="Calibri" w:hAnsi="Calibri"/>
                <w:color w:val="000000"/>
                <w:sz w:val="20"/>
                <w:szCs w:val="20"/>
              </w:rPr>
              <w:t>Storm Restoration</w:t>
            </w:r>
          </w:p>
        </w:tc>
        <w:tc>
          <w:tcPr>
            <w:tcW w:w="1355" w:type="dxa"/>
            <w:shd w:val="clear" w:color="auto" w:fill="auto"/>
            <w:noWrap/>
            <w:vAlign w:val="bottom"/>
            <w:hideMark/>
          </w:tcPr>
          <w:p w:rsidR="00F22507" w:rsidRDefault="00F22507">
            <w:pPr>
              <w:jc w:val="center"/>
              <w:rPr>
                <w:rFonts w:ascii="Calibri" w:hAnsi="Calibri"/>
                <w:color w:val="000000"/>
                <w:sz w:val="20"/>
                <w:szCs w:val="20"/>
                <w:u w:val="single"/>
              </w:rPr>
            </w:pPr>
            <w:r>
              <w:rPr>
                <w:rFonts w:ascii="Calibri" w:hAnsi="Calibri"/>
                <w:color w:val="000000"/>
                <w:sz w:val="20"/>
                <w:szCs w:val="20"/>
                <w:u w:val="single"/>
              </w:rPr>
              <w:t>$1.24</w:t>
            </w:r>
          </w:p>
        </w:tc>
        <w:tc>
          <w:tcPr>
            <w:tcW w:w="262" w:type="dxa"/>
            <w:shd w:val="clear" w:color="auto" w:fill="auto"/>
            <w:noWrap/>
            <w:vAlign w:val="bottom"/>
            <w:hideMark/>
          </w:tcPr>
          <w:p w:rsidR="00F22507" w:rsidRDefault="00F22507">
            <w:pPr>
              <w:jc w:val="center"/>
              <w:rPr>
                <w:rFonts w:ascii="Calibri" w:hAnsi="Calibri"/>
                <w:color w:val="000000"/>
                <w:sz w:val="20"/>
                <w:szCs w:val="20"/>
              </w:rPr>
            </w:pPr>
          </w:p>
        </w:tc>
        <w:tc>
          <w:tcPr>
            <w:tcW w:w="1177" w:type="dxa"/>
            <w:shd w:val="clear" w:color="auto" w:fill="auto"/>
            <w:noWrap/>
            <w:vAlign w:val="bottom"/>
            <w:hideMark/>
          </w:tcPr>
          <w:p w:rsidR="00F22507" w:rsidRDefault="00F22507">
            <w:pPr>
              <w:jc w:val="center"/>
              <w:rPr>
                <w:rFonts w:ascii="Calibri" w:hAnsi="Calibri"/>
                <w:color w:val="000000"/>
                <w:sz w:val="20"/>
                <w:szCs w:val="20"/>
                <w:u w:val="single"/>
              </w:rPr>
            </w:pPr>
            <w:r>
              <w:rPr>
                <w:rFonts w:ascii="Calibri" w:hAnsi="Calibri"/>
                <w:color w:val="000000"/>
                <w:sz w:val="20"/>
                <w:szCs w:val="20"/>
                <w:u w:val="single"/>
              </w:rPr>
              <w:t>$1.24</w:t>
            </w:r>
          </w:p>
        </w:tc>
        <w:tc>
          <w:tcPr>
            <w:tcW w:w="262" w:type="dxa"/>
            <w:shd w:val="clear" w:color="auto" w:fill="auto"/>
            <w:noWrap/>
            <w:vAlign w:val="bottom"/>
            <w:hideMark/>
          </w:tcPr>
          <w:p w:rsidR="00F22507" w:rsidRDefault="00F22507">
            <w:pPr>
              <w:jc w:val="center"/>
              <w:rPr>
                <w:rFonts w:ascii="Calibri" w:hAnsi="Calibri"/>
                <w:color w:val="000000"/>
                <w:sz w:val="20"/>
                <w:szCs w:val="20"/>
              </w:rPr>
            </w:pPr>
          </w:p>
        </w:tc>
        <w:tc>
          <w:tcPr>
            <w:tcW w:w="1239" w:type="dxa"/>
            <w:shd w:val="clear" w:color="auto" w:fill="auto"/>
            <w:noWrap/>
            <w:vAlign w:val="bottom"/>
            <w:hideMark/>
          </w:tcPr>
          <w:p w:rsidR="00F22507" w:rsidRDefault="00F22507">
            <w:pPr>
              <w:jc w:val="center"/>
              <w:rPr>
                <w:rFonts w:ascii="Calibri" w:hAnsi="Calibri"/>
                <w:color w:val="000000"/>
                <w:sz w:val="20"/>
                <w:szCs w:val="20"/>
                <w:u w:val="single"/>
              </w:rPr>
            </w:pPr>
            <w:r>
              <w:rPr>
                <w:rFonts w:ascii="Calibri" w:hAnsi="Calibri"/>
                <w:color w:val="000000"/>
                <w:sz w:val="20"/>
                <w:szCs w:val="20"/>
                <w:u w:val="single"/>
              </w:rPr>
              <w:t>$0.00</w:t>
            </w:r>
          </w:p>
        </w:tc>
        <w:tc>
          <w:tcPr>
            <w:tcW w:w="262" w:type="dxa"/>
            <w:shd w:val="clear" w:color="auto" w:fill="auto"/>
            <w:noWrap/>
            <w:vAlign w:val="bottom"/>
            <w:hideMark/>
          </w:tcPr>
          <w:p w:rsidR="00F22507" w:rsidRDefault="00F22507">
            <w:pPr>
              <w:rPr>
                <w:rFonts w:ascii="Calibri" w:hAnsi="Calibri"/>
                <w:color w:val="000000"/>
                <w:sz w:val="20"/>
                <w:szCs w:val="20"/>
              </w:rPr>
            </w:pPr>
          </w:p>
        </w:tc>
        <w:tc>
          <w:tcPr>
            <w:tcW w:w="1177" w:type="dxa"/>
            <w:shd w:val="clear" w:color="auto" w:fill="auto"/>
            <w:noWrap/>
            <w:vAlign w:val="bottom"/>
            <w:hideMark/>
          </w:tcPr>
          <w:p w:rsidR="00F22507" w:rsidRDefault="00F22507">
            <w:pPr>
              <w:jc w:val="center"/>
              <w:rPr>
                <w:rFonts w:ascii="Calibri" w:hAnsi="Calibri"/>
                <w:color w:val="000000"/>
                <w:sz w:val="20"/>
                <w:szCs w:val="20"/>
                <w:u w:val="single"/>
              </w:rPr>
            </w:pPr>
            <w:r>
              <w:rPr>
                <w:rFonts w:ascii="Calibri" w:hAnsi="Calibri"/>
                <w:color w:val="000000"/>
                <w:sz w:val="20"/>
                <w:szCs w:val="20"/>
                <w:u w:val="single"/>
              </w:rPr>
              <w:t>$1.24</w:t>
            </w:r>
          </w:p>
        </w:tc>
        <w:tc>
          <w:tcPr>
            <w:tcW w:w="262" w:type="dxa"/>
            <w:shd w:val="clear" w:color="auto" w:fill="auto"/>
            <w:noWrap/>
            <w:vAlign w:val="bottom"/>
            <w:hideMark/>
          </w:tcPr>
          <w:p w:rsidR="00F22507" w:rsidRDefault="00F22507">
            <w:pPr>
              <w:rPr>
                <w:rFonts w:ascii="Calibri" w:hAnsi="Calibri"/>
                <w:color w:val="000000"/>
                <w:sz w:val="20"/>
                <w:szCs w:val="20"/>
              </w:rPr>
            </w:pPr>
          </w:p>
        </w:tc>
        <w:tc>
          <w:tcPr>
            <w:tcW w:w="1400" w:type="dxa"/>
            <w:shd w:val="clear" w:color="auto" w:fill="auto"/>
            <w:noWrap/>
            <w:vAlign w:val="bottom"/>
            <w:hideMark/>
          </w:tcPr>
          <w:p w:rsidR="00F22507" w:rsidRDefault="00F22507">
            <w:pPr>
              <w:jc w:val="center"/>
              <w:rPr>
                <w:rFonts w:ascii="Calibri" w:hAnsi="Calibri"/>
                <w:color w:val="000000"/>
                <w:sz w:val="20"/>
                <w:szCs w:val="20"/>
                <w:u w:val="single"/>
              </w:rPr>
            </w:pPr>
            <w:r>
              <w:rPr>
                <w:rFonts w:ascii="Calibri" w:hAnsi="Calibri"/>
                <w:color w:val="000000"/>
                <w:sz w:val="20"/>
                <w:szCs w:val="20"/>
                <w:u w:val="single"/>
              </w:rPr>
              <w:t>$1.24</w:t>
            </w:r>
          </w:p>
        </w:tc>
      </w:tr>
      <w:tr w:rsidR="00F22507" w:rsidTr="00F61C2C">
        <w:trPr>
          <w:trHeight w:val="300"/>
        </w:trPr>
        <w:tc>
          <w:tcPr>
            <w:tcW w:w="1717" w:type="dxa"/>
            <w:shd w:val="clear" w:color="auto" w:fill="auto"/>
            <w:noWrap/>
            <w:vAlign w:val="bottom"/>
            <w:hideMark/>
          </w:tcPr>
          <w:p w:rsidR="00F22507" w:rsidRDefault="00F22507">
            <w:pPr>
              <w:rPr>
                <w:rFonts w:ascii="Calibri" w:hAnsi="Calibri"/>
                <w:color w:val="000000"/>
                <w:sz w:val="20"/>
                <w:szCs w:val="20"/>
              </w:rPr>
            </w:pPr>
            <w:r>
              <w:rPr>
                <w:rFonts w:ascii="Calibri" w:hAnsi="Calibri"/>
                <w:color w:val="000000"/>
                <w:sz w:val="20"/>
                <w:szCs w:val="20"/>
              </w:rPr>
              <w:t> </w:t>
            </w:r>
          </w:p>
        </w:tc>
        <w:tc>
          <w:tcPr>
            <w:tcW w:w="262" w:type="dxa"/>
            <w:shd w:val="clear" w:color="auto" w:fill="auto"/>
            <w:noWrap/>
            <w:vAlign w:val="bottom"/>
            <w:hideMark/>
          </w:tcPr>
          <w:p w:rsidR="00F22507" w:rsidRDefault="00F22507">
            <w:pPr>
              <w:rPr>
                <w:rFonts w:ascii="Calibri" w:hAnsi="Calibri"/>
                <w:color w:val="000000"/>
                <w:sz w:val="20"/>
                <w:szCs w:val="20"/>
              </w:rPr>
            </w:pPr>
          </w:p>
        </w:tc>
        <w:tc>
          <w:tcPr>
            <w:tcW w:w="1355" w:type="dxa"/>
            <w:shd w:val="clear" w:color="auto" w:fill="auto"/>
            <w:noWrap/>
            <w:vAlign w:val="bottom"/>
            <w:hideMark/>
          </w:tcPr>
          <w:p w:rsidR="00F22507" w:rsidRDefault="00F22507">
            <w:pPr>
              <w:rPr>
                <w:rFonts w:ascii="Calibri" w:hAnsi="Calibri"/>
                <w:color w:val="000000"/>
                <w:sz w:val="22"/>
                <w:szCs w:val="22"/>
              </w:rPr>
            </w:pPr>
          </w:p>
        </w:tc>
        <w:tc>
          <w:tcPr>
            <w:tcW w:w="262" w:type="dxa"/>
            <w:shd w:val="clear" w:color="auto" w:fill="auto"/>
            <w:noWrap/>
            <w:vAlign w:val="bottom"/>
            <w:hideMark/>
          </w:tcPr>
          <w:p w:rsidR="00F22507" w:rsidRDefault="00F22507">
            <w:pPr>
              <w:jc w:val="center"/>
              <w:rPr>
                <w:rFonts w:ascii="Calibri" w:hAnsi="Calibri"/>
                <w:color w:val="000000"/>
                <w:sz w:val="20"/>
                <w:szCs w:val="20"/>
                <w:u w:val="single"/>
              </w:rPr>
            </w:pPr>
          </w:p>
        </w:tc>
        <w:tc>
          <w:tcPr>
            <w:tcW w:w="1177" w:type="dxa"/>
            <w:shd w:val="clear" w:color="auto" w:fill="auto"/>
            <w:noWrap/>
            <w:vAlign w:val="bottom"/>
            <w:hideMark/>
          </w:tcPr>
          <w:p w:rsidR="00F22507" w:rsidRDefault="00F22507">
            <w:pPr>
              <w:jc w:val="center"/>
              <w:rPr>
                <w:rFonts w:ascii="Calibri" w:hAnsi="Calibri"/>
                <w:color w:val="000000"/>
                <w:sz w:val="20"/>
                <w:szCs w:val="20"/>
                <w:u w:val="single"/>
              </w:rPr>
            </w:pPr>
          </w:p>
        </w:tc>
        <w:tc>
          <w:tcPr>
            <w:tcW w:w="262" w:type="dxa"/>
            <w:shd w:val="clear" w:color="auto" w:fill="auto"/>
            <w:noWrap/>
            <w:vAlign w:val="bottom"/>
            <w:hideMark/>
          </w:tcPr>
          <w:p w:rsidR="00F22507" w:rsidRDefault="00F22507">
            <w:pPr>
              <w:jc w:val="center"/>
              <w:rPr>
                <w:rFonts w:ascii="Calibri" w:hAnsi="Calibri"/>
                <w:color w:val="000000"/>
                <w:sz w:val="20"/>
                <w:szCs w:val="20"/>
                <w:u w:val="single"/>
              </w:rPr>
            </w:pPr>
          </w:p>
        </w:tc>
        <w:tc>
          <w:tcPr>
            <w:tcW w:w="1239" w:type="dxa"/>
            <w:shd w:val="clear" w:color="auto" w:fill="auto"/>
            <w:noWrap/>
            <w:vAlign w:val="bottom"/>
            <w:hideMark/>
          </w:tcPr>
          <w:p w:rsidR="00F22507" w:rsidRDefault="00F22507">
            <w:pPr>
              <w:jc w:val="center"/>
              <w:rPr>
                <w:rFonts w:ascii="Calibri" w:hAnsi="Calibri"/>
                <w:color w:val="000000"/>
                <w:sz w:val="20"/>
                <w:szCs w:val="20"/>
                <w:u w:val="single"/>
              </w:rPr>
            </w:pPr>
          </w:p>
        </w:tc>
        <w:tc>
          <w:tcPr>
            <w:tcW w:w="262" w:type="dxa"/>
            <w:shd w:val="clear" w:color="auto" w:fill="auto"/>
            <w:noWrap/>
            <w:vAlign w:val="bottom"/>
            <w:hideMark/>
          </w:tcPr>
          <w:p w:rsidR="00F22507" w:rsidRDefault="00F22507">
            <w:pPr>
              <w:rPr>
                <w:rFonts w:ascii="Calibri" w:hAnsi="Calibri"/>
                <w:color w:val="000000"/>
                <w:sz w:val="20"/>
                <w:szCs w:val="20"/>
              </w:rPr>
            </w:pPr>
          </w:p>
        </w:tc>
        <w:tc>
          <w:tcPr>
            <w:tcW w:w="1177" w:type="dxa"/>
            <w:shd w:val="clear" w:color="auto" w:fill="auto"/>
            <w:noWrap/>
            <w:vAlign w:val="bottom"/>
            <w:hideMark/>
          </w:tcPr>
          <w:p w:rsidR="00F22507" w:rsidRDefault="00F22507">
            <w:pPr>
              <w:jc w:val="center"/>
              <w:rPr>
                <w:rFonts w:ascii="Calibri" w:hAnsi="Calibri"/>
                <w:color w:val="000000"/>
                <w:sz w:val="20"/>
                <w:szCs w:val="20"/>
                <w:u w:val="single"/>
              </w:rPr>
            </w:pPr>
          </w:p>
        </w:tc>
        <w:tc>
          <w:tcPr>
            <w:tcW w:w="262" w:type="dxa"/>
            <w:shd w:val="clear" w:color="auto" w:fill="auto"/>
            <w:noWrap/>
            <w:vAlign w:val="bottom"/>
            <w:hideMark/>
          </w:tcPr>
          <w:p w:rsidR="00F22507" w:rsidRDefault="00F22507">
            <w:pPr>
              <w:rPr>
                <w:rFonts w:ascii="Calibri" w:hAnsi="Calibri"/>
                <w:color w:val="000000"/>
                <w:sz w:val="20"/>
                <w:szCs w:val="20"/>
              </w:rPr>
            </w:pPr>
          </w:p>
        </w:tc>
        <w:tc>
          <w:tcPr>
            <w:tcW w:w="1400" w:type="dxa"/>
            <w:shd w:val="clear" w:color="auto" w:fill="auto"/>
            <w:noWrap/>
            <w:vAlign w:val="bottom"/>
            <w:hideMark/>
          </w:tcPr>
          <w:p w:rsidR="00F22507" w:rsidRDefault="00F22507">
            <w:pPr>
              <w:jc w:val="center"/>
              <w:rPr>
                <w:rFonts w:ascii="Calibri" w:hAnsi="Calibri"/>
                <w:color w:val="000000"/>
                <w:sz w:val="20"/>
                <w:szCs w:val="20"/>
              </w:rPr>
            </w:pPr>
            <w:r>
              <w:rPr>
                <w:rFonts w:ascii="Calibri" w:hAnsi="Calibri"/>
                <w:color w:val="000000"/>
                <w:sz w:val="20"/>
                <w:szCs w:val="20"/>
              </w:rPr>
              <w:t> </w:t>
            </w:r>
          </w:p>
        </w:tc>
      </w:tr>
      <w:tr w:rsidR="00F22507" w:rsidTr="00F61C2C">
        <w:trPr>
          <w:trHeight w:val="300"/>
        </w:trPr>
        <w:tc>
          <w:tcPr>
            <w:tcW w:w="1717" w:type="dxa"/>
            <w:shd w:val="clear" w:color="auto" w:fill="auto"/>
            <w:noWrap/>
            <w:vAlign w:val="bottom"/>
            <w:hideMark/>
          </w:tcPr>
          <w:p w:rsidR="00F22507" w:rsidRDefault="00F22507">
            <w:pPr>
              <w:rPr>
                <w:rFonts w:ascii="Calibri" w:hAnsi="Calibri"/>
                <w:color w:val="000000"/>
                <w:sz w:val="20"/>
                <w:szCs w:val="20"/>
              </w:rPr>
            </w:pPr>
            <w:r>
              <w:rPr>
                <w:rFonts w:ascii="Calibri" w:hAnsi="Calibri"/>
                <w:color w:val="000000"/>
                <w:sz w:val="20"/>
                <w:szCs w:val="20"/>
              </w:rPr>
              <w:t>Sub-Total</w:t>
            </w:r>
          </w:p>
        </w:tc>
        <w:tc>
          <w:tcPr>
            <w:tcW w:w="262" w:type="dxa"/>
            <w:shd w:val="clear" w:color="auto" w:fill="auto"/>
            <w:noWrap/>
            <w:vAlign w:val="bottom"/>
            <w:hideMark/>
          </w:tcPr>
          <w:p w:rsidR="00F22507" w:rsidRDefault="00F22507">
            <w:pPr>
              <w:rPr>
                <w:rFonts w:ascii="Calibri" w:hAnsi="Calibri"/>
                <w:color w:val="000000"/>
                <w:sz w:val="20"/>
                <w:szCs w:val="20"/>
              </w:rPr>
            </w:pPr>
          </w:p>
        </w:tc>
        <w:tc>
          <w:tcPr>
            <w:tcW w:w="1355" w:type="dxa"/>
            <w:shd w:val="clear" w:color="auto" w:fill="auto"/>
            <w:noWrap/>
            <w:vAlign w:val="bottom"/>
            <w:hideMark/>
          </w:tcPr>
          <w:p w:rsidR="00F22507" w:rsidRDefault="00F22507">
            <w:pPr>
              <w:jc w:val="center"/>
              <w:rPr>
                <w:rFonts w:ascii="Calibri" w:hAnsi="Calibri"/>
                <w:color w:val="000000"/>
                <w:sz w:val="20"/>
                <w:szCs w:val="20"/>
              </w:rPr>
            </w:pPr>
            <w:r>
              <w:rPr>
                <w:rFonts w:ascii="Calibri" w:hAnsi="Calibri"/>
                <w:color w:val="000000"/>
                <w:sz w:val="20"/>
                <w:szCs w:val="20"/>
              </w:rPr>
              <w:t>$96.14</w:t>
            </w:r>
          </w:p>
        </w:tc>
        <w:tc>
          <w:tcPr>
            <w:tcW w:w="262" w:type="dxa"/>
            <w:shd w:val="clear" w:color="auto" w:fill="auto"/>
            <w:noWrap/>
            <w:vAlign w:val="bottom"/>
            <w:hideMark/>
          </w:tcPr>
          <w:p w:rsidR="00F22507" w:rsidRDefault="00F22507">
            <w:pPr>
              <w:jc w:val="center"/>
              <w:rPr>
                <w:rFonts w:ascii="Calibri" w:hAnsi="Calibri"/>
                <w:color w:val="000000"/>
                <w:sz w:val="20"/>
                <w:szCs w:val="20"/>
              </w:rPr>
            </w:pPr>
          </w:p>
        </w:tc>
        <w:tc>
          <w:tcPr>
            <w:tcW w:w="1177" w:type="dxa"/>
            <w:shd w:val="clear" w:color="auto" w:fill="auto"/>
            <w:noWrap/>
            <w:vAlign w:val="bottom"/>
            <w:hideMark/>
          </w:tcPr>
          <w:p w:rsidR="00F22507" w:rsidRDefault="00B33504">
            <w:pPr>
              <w:jc w:val="center"/>
              <w:rPr>
                <w:rFonts w:ascii="Calibri" w:hAnsi="Calibri"/>
                <w:color w:val="000000"/>
                <w:sz w:val="20"/>
                <w:szCs w:val="20"/>
              </w:rPr>
            </w:pPr>
            <w:r>
              <w:rPr>
                <w:rFonts w:ascii="Calibri" w:hAnsi="Calibri"/>
                <w:color w:val="000000"/>
                <w:sz w:val="20"/>
                <w:szCs w:val="20"/>
              </w:rPr>
              <w:t>$97.91</w:t>
            </w:r>
          </w:p>
        </w:tc>
        <w:tc>
          <w:tcPr>
            <w:tcW w:w="262" w:type="dxa"/>
            <w:shd w:val="clear" w:color="auto" w:fill="auto"/>
            <w:noWrap/>
            <w:vAlign w:val="bottom"/>
            <w:hideMark/>
          </w:tcPr>
          <w:p w:rsidR="00F22507" w:rsidRDefault="00F22507">
            <w:pPr>
              <w:jc w:val="center"/>
              <w:rPr>
                <w:rFonts w:ascii="Calibri" w:hAnsi="Calibri"/>
                <w:color w:val="000000"/>
                <w:sz w:val="20"/>
                <w:szCs w:val="20"/>
              </w:rPr>
            </w:pPr>
          </w:p>
        </w:tc>
        <w:tc>
          <w:tcPr>
            <w:tcW w:w="1239" w:type="dxa"/>
            <w:shd w:val="clear" w:color="auto" w:fill="auto"/>
            <w:noWrap/>
            <w:vAlign w:val="bottom"/>
            <w:hideMark/>
          </w:tcPr>
          <w:p w:rsidR="00F22507" w:rsidRDefault="00B33504">
            <w:pPr>
              <w:jc w:val="center"/>
              <w:rPr>
                <w:rFonts w:ascii="Calibri" w:hAnsi="Calibri"/>
                <w:color w:val="000000"/>
                <w:sz w:val="20"/>
                <w:szCs w:val="20"/>
              </w:rPr>
            </w:pPr>
            <w:r>
              <w:rPr>
                <w:rFonts w:ascii="Calibri" w:hAnsi="Calibri"/>
                <w:color w:val="000000"/>
                <w:sz w:val="20"/>
                <w:szCs w:val="20"/>
              </w:rPr>
              <w:t>$1.77</w:t>
            </w:r>
          </w:p>
        </w:tc>
        <w:tc>
          <w:tcPr>
            <w:tcW w:w="262" w:type="dxa"/>
            <w:shd w:val="clear" w:color="auto" w:fill="auto"/>
            <w:noWrap/>
            <w:vAlign w:val="bottom"/>
            <w:hideMark/>
          </w:tcPr>
          <w:p w:rsidR="00F22507" w:rsidRDefault="00F22507">
            <w:pPr>
              <w:rPr>
                <w:rFonts w:ascii="Calibri" w:hAnsi="Calibri"/>
                <w:color w:val="000000"/>
                <w:sz w:val="20"/>
                <w:szCs w:val="20"/>
              </w:rPr>
            </w:pPr>
          </w:p>
        </w:tc>
        <w:tc>
          <w:tcPr>
            <w:tcW w:w="1177" w:type="dxa"/>
            <w:shd w:val="clear" w:color="auto" w:fill="auto"/>
            <w:noWrap/>
            <w:vAlign w:val="bottom"/>
            <w:hideMark/>
          </w:tcPr>
          <w:p w:rsidR="00F22507" w:rsidRDefault="00B33504">
            <w:pPr>
              <w:jc w:val="center"/>
              <w:rPr>
                <w:rFonts w:ascii="Calibri" w:hAnsi="Calibri"/>
                <w:color w:val="000000"/>
                <w:sz w:val="20"/>
                <w:szCs w:val="20"/>
              </w:rPr>
            </w:pPr>
            <w:r>
              <w:rPr>
                <w:rFonts w:ascii="Calibri" w:hAnsi="Calibri"/>
                <w:color w:val="000000"/>
                <w:sz w:val="20"/>
                <w:szCs w:val="20"/>
              </w:rPr>
              <w:t>$98.21</w:t>
            </w:r>
          </w:p>
        </w:tc>
        <w:tc>
          <w:tcPr>
            <w:tcW w:w="262" w:type="dxa"/>
            <w:shd w:val="clear" w:color="auto" w:fill="auto"/>
            <w:noWrap/>
            <w:vAlign w:val="bottom"/>
            <w:hideMark/>
          </w:tcPr>
          <w:p w:rsidR="00F22507" w:rsidRDefault="00F22507">
            <w:pPr>
              <w:rPr>
                <w:rFonts w:ascii="Calibri" w:hAnsi="Calibri"/>
                <w:color w:val="000000"/>
                <w:sz w:val="20"/>
                <w:szCs w:val="20"/>
              </w:rPr>
            </w:pPr>
          </w:p>
        </w:tc>
        <w:tc>
          <w:tcPr>
            <w:tcW w:w="1400" w:type="dxa"/>
            <w:shd w:val="clear" w:color="auto" w:fill="auto"/>
            <w:noWrap/>
            <w:vAlign w:val="bottom"/>
            <w:hideMark/>
          </w:tcPr>
          <w:p w:rsidR="00F22507" w:rsidRDefault="00B33504">
            <w:pPr>
              <w:jc w:val="center"/>
              <w:rPr>
                <w:rFonts w:ascii="Calibri" w:hAnsi="Calibri"/>
                <w:color w:val="000000"/>
                <w:sz w:val="20"/>
                <w:szCs w:val="20"/>
              </w:rPr>
            </w:pPr>
            <w:r>
              <w:rPr>
                <w:rFonts w:ascii="Calibri" w:hAnsi="Calibri"/>
                <w:color w:val="000000"/>
                <w:sz w:val="20"/>
                <w:szCs w:val="20"/>
              </w:rPr>
              <w:t>$98.64</w:t>
            </w:r>
          </w:p>
        </w:tc>
      </w:tr>
      <w:tr w:rsidR="00F22507" w:rsidTr="00F61C2C">
        <w:trPr>
          <w:trHeight w:val="300"/>
        </w:trPr>
        <w:tc>
          <w:tcPr>
            <w:tcW w:w="1979" w:type="dxa"/>
            <w:gridSpan w:val="2"/>
            <w:shd w:val="clear" w:color="auto" w:fill="auto"/>
            <w:noWrap/>
            <w:vAlign w:val="bottom"/>
            <w:hideMark/>
          </w:tcPr>
          <w:p w:rsidR="00F22507" w:rsidRDefault="00F22507">
            <w:pPr>
              <w:rPr>
                <w:rFonts w:ascii="Calibri" w:hAnsi="Calibri"/>
                <w:color w:val="000000"/>
                <w:sz w:val="20"/>
                <w:szCs w:val="20"/>
              </w:rPr>
            </w:pPr>
            <w:r>
              <w:rPr>
                <w:rFonts w:ascii="Calibri" w:hAnsi="Calibri"/>
                <w:color w:val="000000"/>
                <w:sz w:val="20"/>
                <w:szCs w:val="20"/>
              </w:rPr>
              <w:t>Gross Receipts Tax</w:t>
            </w:r>
          </w:p>
        </w:tc>
        <w:tc>
          <w:tcPr>
            <w:tcW w:w="1355" w:type="dxa"/>
            <w:shd w:val="clear" w:color="auto" w:fill="auto"/>
            <w:noWrap/>
            <w:vAlign w:val="bottom"/>
            <w:hideMark/>
          </w:tcPr>
          <w:p w:rsidR="00F22507" w:rsidRDefault="00F22507">
            <w:pPr>
              <w:jc w:val="center"/>
              <w:rPr>
                <w:rFonts w:ascii="Calibri" w:hAnsi="Calibri"/>
                <w:color w:val="000000"/>
                <w:sz w:val="20"/>
                <w:szCs w:val="20"/>
              </w:rPr>
            </w:pPr>
            <w:r>
              <w:rPr>
                <w:rFonts w:ascii="Calibri" w:hAnsi="Calibri"/>
                <w:color w:val="000000"/>
                <w:sz w:val="20"/>
                <w:szCs w:val="20"/>
              </w:rPr>
              <w:t>$2.47</w:t>
            </w:r>
          </w:p>
        </w:tc>
        <w:tc>
          <w:tcPr>
            <w:tcW w:w="262" w:type="dxa"/>
            <w:shd w:val="clear" w:color="auto" w:fill="auto"/>
            <w:noWrap/>
            <w:vAlign w:val="bottom"/>
            <w:hideMark/>
          </w:tcPr>
          <w:p w:rsidR="00F22507" w:rsidRDefault="00F22507">
            <w:pPr>
              <w:jc w:val="center"/>
              <w:rPr>
                <w:rFonts w:ascii="Calibri" w:hAnsi="Calibri"/>
                <w:color w:val="000000"/>
                <w:sz w:val="20"/>
                <w:szCs w:val="20"/>
              </w:rPr>
            </w:pPr>
          </w:p>
        </w:tc>
        <w:tc>
          <w:tcPr>
            <w:tcW w:w="1177" w:type="dxa"/>
            <w:shd w:val="clear" w:color="auto" w:fill="auto"/>
            <w:noWrap/>
            <w:vAlign w:val="bottom"/>
            <w:hideMark/>
          </w:tcPr>
          <w:p w:rsidR="00F22507" w:rsidRDefault="00B33504">
            <w:pPr>
              <w:jc w:val="center"/>
              <w:rPr>
                <w:rFonts w:ascii="Calibri" w:hAnsi="Calibri"/>
                <w:color w:val="000000"/>
                <w:sz w:val="20"/>
                <w:szCs w:val="20"/>
              </w:rPr>
            </w:pPr>
            <w:r>
              <w:rPr>
                <w:rFonts w:ascii="Calibri" w:hAnsi="Calibri"/>
                <w:color w:val="000000"/>
                <w:sz w:val="20"/>
                <w:szCs w:val="20"/>
              </w:rPr>
              <w:t>$2.51</w:t>
            </w:r>
          </w:p>
        </w:tc>
        <w:tc>
          <w:tcPr>
            <w:tcW w:w="262" w:type="dxa"/>
            <w:shd w:val="clear" w:color="auto" w:fill="auto"/>
            <w:noWrap/>
            <w:vAlign w:val="bottom"/>
            <w:hideMark/>
          </w:tcPr>
          <w:p w:rsidR="00F22507" w:rsidRDefault="00F22507">
            <w:pPr>
              <w:jc w:val="center"/>
              <w:rPr>
                <w:rFonts w:ascii="Calibri" w:hAnsi="Calibri"/>
                <w:color w:val="000000"/>
                <w:sz w:val="20"/>
                <w:szCs w:val="20"/>
              </w:rPr>
            </w:pPr>
          </w:p>
        </w:tc>
        <w:tc>
          <w:tcPr>
            <w:tcW w:w="1239" w:type="dxa"/>
            <w:shd w:val="clear" w:color="auto" w:fill="auto"/>
            <w:noWrap/>
            <w:vAlign w:val="bottom"/>
            <w:hideMark/>
          </w:tcPr>
          <w:p w:rsidR="00F22507" w:rsidRDefault="00B33504">
            <w:pPr>
              <w:jc w:val="center"/>
              <w:rPr>
                <w:rFonts w:ascii="Calibri" w:hAnsi="Calibri"/>
                <w:color w:val="000000"/>
                <w:sz w:val="20"/>
                <w:szCs w:val="20"/>
              </w:rPr>
            </w:pPr>
            <w:r>
              <w:rPr>
                <w:rFonts w:ascii="Calibri" w:hAnsi="Calibri"/>
                <w:color w:val="000000"/>
                <w:sz w:val="20"/>
                <w:szCs w:val="20"/>
              </w:rPr>
              <w:t>$0.04</w:t>
            </w:r>
          </w:p>
        </w:tc>
        <w:tc>
          <w:tcPr>
            <w:tcW w:w="262" w:type="dxa"/>
            <w:shd w:val="clear" w:color="auto" w:fill="auto"/>
            <w:noWrap/>
            <w:vAlign w:val="bottom"/>
            <w:hideMark/>
          </w:tcPr>
          <w:p w:rsidR="00F22507" w:rsidRDefault="00F22507">
            <w:pPr>
              <w:rPr>
                <w:rFonts w:ascii="Calibri" w:hAnsi="Calibri"/>
                <w:color w:val="000000"/>
                <w:sz w:val="20"/>
                <w:szCs w:val="20"/>
              </w:rPr>
            </w:pPr>
          </w:p>
        </w:tc>
        <w:tc>
          <w:tcPr>
            <w:tcW w:w="1177" w:type="dxa"/>
            <w:shd w:val="clear" w:color="auto" w:fill="auto"/>
            <w:noWrap/>
            <w:vAlign w:val="bottom"/>
            <w:hideMark/>
          </w:tcPr>
          <w:p w:rsidR="00F22507" w:rsidRDefault="00B33504">
            <w:pPr>
              <w:jc w:val="center"/>
              <w:rPr>
                <w:rFonts w:ascii="Calibri" w:hAnsi="Calibri"/>
                <w:color w:val="000000"/>
                <w:sz w:val="20"/>
                <w:szCs w:val="20"/>
              </w:rPr>
            </w:pPr>
            <w:r>
              <w:rPr>
                <w:rFonts w:ascii="Calibri" w:hAnsi="Calibri"/>
                <w:color w:val="000000"/>
                <w:sz w:val="20"/>
                <w:szCs w:val="20"/>
              </w:rPr>
              <w:t>$2.52</w:t>
            </w:r>
          </w:p>
        </w:tc>
        <w:tc>
          <w:tcPr>
            <w:tcW w:w="262" w:type="dxa"/>
            <w:shd w:val="clear" w:color="auto" w:fill="auto"/>
            <w:noWrap/>
            <w:vAlign w:val="bottom"/>
            <w:hideMark/>
          </w:tcPr>
          <w:p w:rsidR="00F22507" w:rsidRDefault="00F22507">
            <w:pPr>
              <w:rPr>
                <w:rFonts w:ascii="Calibri" w:hAnsi="Calibri"/>
                <w:color w:val="000000"/>
                <w:sz w:val="20"/>
                <w:szCs w:val="20"/>
              </w:rPr>
            </w:pPr>
          </w:p>
        </w:tc>
        <w:tc>
          <w:tcPr>
            <w:tcW w:w="1400" w:type="dxa"/>
            <w:shd w:val="clear" w:color="auto" w:fill="auto"/>
            <w:noWrap/>
            <w:vAlign w:val="bottom"/>
            <w:hideMark/>
          </w:tcPr>
          <w:p w:rsidR="00F22507" w:rsidRDefault="00B33504">
            <w:pPr>
              <w:jc w:val="center"/>
              <w:rPr>
                <w:rFonts w:ascii="Calibri" w:hAnsi="Calibri"/>
                <w:color w:val="000000"/>
                <w:sz w:val="20"/>
                <w:szCs w:val="20"/>
              </w:rPr>
            </w:pPr>
            <w:r>
              <w:rPr>
                <w:rFonts w:ascii="Calibri" w:hAnsi="Calibri"/>
                <w:color w:val="000000"/>
                <w:sz w:val="20"/>
                <w:szCs w:val="20"/>
              </w:rPr>
              <w:t>$2.53</w:t>
            </w:r>
          </w:p>
        </w:tc>
      </w:tr>
      <w:tr w:rsidR="00F22507" w:rsidTr="00F61C2C">
        <w:trPr>
          <w:trHeight w:val="300"/>
        </w:trPr>
        <w:tc>
          <w:tcPr>
            <w:tcW w:w="1717" w:type="dxa"/>
            <w:shd w:val="clear" w:color="auto" w:fill="auto"/>
            <w:noWrap/>
            <w:vAlign w:val="bottom"/>
            <w:hideMark/>
          </w:tcPr>
          <w:p w:rsidR="00F22507" w:rsidRDefault="00F22507">
            <w:pPr>
              <w:rPr>
                <w:rFonts w:ascii="Calibri" w:hAnsi="Calibri"/>
                <w:color w:val="000000"/>
                <w:sz w:val="20"/>
                <w:szCs w:val="20"/>
              </w:rPr>
            </w:pPr>
            <w:r>
              <w:rPr>
                <w:rFonts w:ascii="Calibri" w:hAnsi="Calibri"/>
                <w:color w:val="000000"/>
                <w:sz w:val="20"/>
                <w:szCs w:val="20"/>
              </w:rPr>
              <w:t> </w:t>
            </w:r>
          </w:p>
        </w:tc>
        <w:tc>
          <w:tcPr>
            <w:tcW w:w="262" w:type="dxa"/>
            <w:shd w:val="clear" w:color="auto" w:fill="auto"/>
            <w:noWrap/>
            <w:vAlign w:val="bottom"/>
            <w:hideMark/>
          </w:tcPr>
          <w:p w:rsidR="00F22507" w:rsidRDefault="00F22507">
            <w:pPr>
              <w:rPr>
                <w:rFonts w:ascii="Calibri" w:hAnsi="Calibri"/>
                <w:color w:val="000000"/>
                <w:sz w:val="20"/>
                <w:szCs w:val="20"/>
              </w:rPr>
            </w:pPr>
          </w:p>
        </w:tc>
        <w:tc>
          <w:tcPr>
            <w:tcW w:w="1355" w:type="dxa"/>
            <w:shd w:val="clear" w:color="auto" w:fill="auto"/>
            <w:noWrap/>
            <w:vAlign w:val="bottom"/>
            <w:hideMark/>
          </w:tcPr>
          <w:p w:rsidR="00F22507" w:rsidRDefault="00F22507">
            <w:pPr>
              <w:rPr>
                <w:rFonts w:ascii="Calibri" w:hAnsi="Calibri"/>
                <w:color w:val="000000"/>
                <w:sz w:val="22"/>
                <w:szCs w:val="22"/>
              </w:rPr>
            </w:pPr>
          </w:p>
        </w:tc>
        <w:tc>
          <w:tcPr>
            <w:tcW w:w="262" w:type="dxa"/>
            <w:shd w:val="clear" w:color="auto" w:fill="auto"/>
            <w:noWrap/>
            <w:vAlign w:val="bottom"/>
            <w:hideMark/>
          </w:tcPr>
          <w:p w:rsidR="00F22507" w:rsidRDefault="00F22507">
            <w:pPr>
              <w:jc w:val="center"/>
              <w:rPr>
                <w:rFonts w:ascii="Calibri" w:hAnsi="Calibri"/>
                <w:color w:val="000000"/>
                <w:sz w:val="20"/>
                <w:szCs w:val="20"/>
              </w:rPr>
            </w:pPr>
          </w:p>
        </w:tc>
        <w:tc>
          <w:tcPr>
            <w:tcW w:w="1177" w:type="dxa"/>
            <w:shd w:val="clear" w:color="auto" w:fill="auto"/>
            <w:noWrap/>
            <w:vAlign w:val="bottom"/>
            <w:hideMark/>
          </w:tcPr>
          <w:p w:rsidR="00F22507" w:rsidRDefault="00F22507">
            <w:pPr>
              <w:jc w:val="center"/>
              <w:rPr>
                <w:rFonts w:ascii="Calibri" w:hAnsi="Calibri"/>
                <w:color w:val="000000"/>
                <w:sz w:val="20"/>
                <w:szCs w:val="20"/>
              </w:rPr>
            </w:pPr>
          </w:p>
        </w:tc>
        <w:tc>
          <w:tcPr>
            <w:tcW w:w="262" w:type="dxa"/>
            <w:shd w:val="clear" w:color="auto" w:fill="auto"/>
            <w:noWrap/>
            <w:vAlign w:val="bottom"/>
            <w:hideMark/>
          </w:tcPr>
          <w:p w:rsidR="00F22507" w:rsidRDefault="00F22507">
            <w:pPr>
              <w:jc w:val="center"/>
              <w:rPr>
                <w:rFonts w:ascii="Calibri" w:hAnsi="Calibri"/>
                <w:color w:val="000000"/>
                <w:sz w:val="20"/>
                <w:szCs w:val="20"/>
              </w:rPr>
            </w:pPr>
          </w:p>
        </w:tc>
        <w:tc>
          <w:tcPr>
            <w:tcW w:w="1239" w:type="dxa"/>
            <w:shd w:val="clear" w:color="auto" w:fill="auto"/>
            <w:noWrap/>
            <w:vAlign w:val="bottom"/>
            <w:hideMark/>
          </w:tcPr>
          <w:p w:rsidR="00F22507" w:rsidRDefault="00F22507">
            <w:pPr>
              <w:jc w:val="center"/>
              <w:rPr>
                <w:rFonts w:ascii="Calibri" w:hAnsi="Calibri"/>
                <w:color w:val="000000"/>
                <w:sz w:val="20"/>
                <w:szCs w:val="20"/>
              </w:rPr>
            </w:pPr>
          </w:p>
        </w:tc>
        <w:tc>
          <w:tcPr>
            <w:tcW w:w="262" w:type="dxa"/>
            <w:shd w:val="clear" w:color="auto" w:fill="auto"/>
            <w:noWrap/>
            <w:vAlign w:val="bottom"/>
            <w:hideMark/>
          </w:tcPr>
          <w:p w:rsidR="00F22507" w:rsidRDefault="00F22507">
            <w:pPr>
              <w:rPr>
                <w:rFonts w:ascii="Calibri" w:hAnsi="Calibri"/>
                <w:color w:val="000000"/>
                <w:sz w:val="20"/>
                <w:szCs w:val="20"/>
              </w:rPr>
            </w:pPr>
          </w:p>
        </w:tc>
        <w:tc>
          <w:tcPr>
            <w:tcW w:w="1177" w:type="dxa"/>
            <w:shd w:val="clear" w:color="auto" w:fill="auto"/>
            <w:noWrap/>
            <w:vAlign w:val="bottom"/>
            <w:hideMark/>
          </w:tcPr>
          <w:p w:rsidR="00F22507" w:rsidRDefault="00F22507">
            <w:pPr>
              <w:jc w:val="center"/>
              <w:rPr>
                <w:rFonts w:ascii="Calibri" w:hAnsi="Calibri"/>
                <w:color w:val="000000"/>
                <w:sz w:val="20"/>
                <w:szCs w:val="20"/>
              </w:rPr>
            </w:pPr>
          </w:p>
        </w:tc>
        <w:tc>
          <w:tcPr>
            <w:tcW w:w="262" w:type="dxa"/>
            <w:shd w:val="clear" w:color="auto" w:fill="auto"/>
            <w:noWrap/>
            <w:vAlign w:val="bottom"/>
            <w:hideMark/>
          </w:tcPr>
          <w:p w:rsidR="00F22507" w:rsidRDefault="00F22507">
            <w:pPr>
              <w:rPr>
                <w:rFonts w:ascii="Calibri" w:hAnsi="Calibri"/>
                <w:color w:val="000000"/>
                <w:sz w:val="20"/>
                <w:szCs w:val="20"/>
              </w:rPr>
            </w:pPr>
          </w:p>
        </w:tc>
        <w:tc>
          <w:tcPr>
            <w:tcW w:w="1400" w:type="dxa"/>
            <w:shd w:val="clear" w:color="auto" w:fill="auto"/>
            <w:noWrap/>
            <w:vAlign w:val="bottom"/>
            <w:hideMark/>
          </w:tcPr>
          <w:p w:rsidR="00F22507" w:rsidRDefault="00F22507">
            <w:pPr>
              <w:jc w:val="center"/>
              <w:rPr>
                <w:rFonts w:ascii="Calibri" w:hAnsi="Calibri"/>
                <w:color w:val="000000"/>
                <w:sz w:val="20"/>
                <w:szCs w:val="20"/>
              </w:rPr>
            </w:pPr>
            <w:r>
              <w:rPr>
                <w:rFonts w:ascii="Calibri" w:hAnsi="Calibri"/>
                <w:color w:val="000000"/>
                <w:sz w:val="20"/>
                <w:szCs w:val="20"/>
              </w:rPr>
              <w:t> </w:t>
            </w:r>
          </w:p>
        </w:tc>
      </w:tr>
      <w:tr w:rsidR="00F22507" w:rsidTr="00F61C2C">
        <w:trPr>
          <w:trHeight w:val="315"/>
        </w:trPr>
        <w:tc>
          <w:tcPr>
            <w:tcW w:w="1717" w:type="dxa"/>
            <w:shd w:val="clear" w:color="auto" w:fill="auto"/>
            <w:noWrap/>
            <w:vAlign w:val="bottom"/>
            <w:hideMark/>
          </w:tcPr>
          <w:p w:rsidR="00F22507" w:rsidRDefault="00F22507">
            <w:pPr>
              <w:rPr>
                <w:rFonts w:ascii="Calibri" w:hAnsi="Calibri"/>
                <w:color w:val="000000"/>
                <w:sz w:val="20"/>
                <w:szCs w:val="20"/>
              </w:rPr>
            </w:pPr>
            <w:r>
              <w:rPr>
                <w:rFonts w:ascii="Calibri" w:hAnsi="Calibri"/>
                <w:color w:val="000000"/>
                <w:sz w:val="20"/>
                <w:szCs w:val="20"/>
              </w:rPr>
              <w:t>TOTAL</w:t>
            </w:r>
          </w:p>
        </w:tc>
        <w:tc>
          <w:tcPr>
            <w:tcW w:w="262" w:type="dxa"/>
            <w:shd w:val="clear" w:color="auto" w:fill="auto"/>
            <w:noWrap/>
            <w:vAlign w:val="bottom"/>
            <w:hideMark/>
          </w:tcPr>
          <w:p w:rsidR="00F22507" w:rsidRDefault="00F22507">
            <w:pPr>
              <w:rPr>
                <w:rFonts w:ascii="Calibri" w:hAnsi="Calibri"/>
                <w:color w:val="000000"/>
                <w:sz w:val="20"/>
                <w:szCs w:val="20"/>
              </w:rPr>
            </w:pPr>
            <w:r>
              <w:rPr>
                <w:rFonts w:ascii="Calibri" w:hAnsi="Calibri"/>
                <w:color w:val="000000"/>
                <w:sz w:val="20"/>
                <w:szCs w:val="20"/>
              </w:rPr>
              <w:t> </w:t>
            </w:r>
          </w:p>
        </w:tc>
        <w:tc>
          <w:tcPr>
            <w:tcW w:w="1355" w:type="dxa"/>
            <w:shd w:val="clear" w:color="auto" w:fill="auto"/>
            <w:noWrap/>
            <w:vAlign w:val="bottom"/>
            <w:hideMark/>
          </w:tcPr>
          <w:p w:rsidR="00F22507" w:rsidRDefault="00F22507">
            <w:pPr>
              <w:jc w:val="center"/>
              <w:rPr>
                <w:rFonts w:ascii="Calibri" w:hAnsi="Calibri"/>
                <w:b/>
                <w:bCs/>
                <w:color w:val="000000"/>
                <w:sz w:val="20"/>
                <w:szCs w:val="20"/>
                <w:u w:val="double"/>
              </w:rPr>
            </w:pPr>
            <w:r>
              <w:rPr>
                <w:rFonts w:ascii="Calibri" w:hAnsi="Calibri"/>
                <w:b/>
                <w:bCs/>
                <w:color w:val="000000"/>
                <w:sz w:val="20"/>
                <w:szCs w:val="20"/>
                <w:u w:val="double"/>
              </w:rPr>
              <w:t>$98.61</w:t>
            </w:r>
          </w:p>
        </w:tc>
        <w:tc>
          <w:tcPr>
            <w:tcW w:w="262" w:type="dxa"/>
            <w:shd w:val="clear" w:color="auto" w:fill="auto"/>
            <w:noWrap/>
            <w:vAlign w:val="bottom"/>
            <w:hideMark/>
          </w:tcPr>
          <w:p w:rsidR="00F22507" w:rsidRDefault="00F22507">
            <w:pPr>
              <w:jc w:val="center"/>
              <w:rPr>
                <w:rFonts w:ascii="Calibri" w:hAnsi="Calibri"/>
                <w:b/>
                <w:bCs/>
                <w:color w:val="000000"/>
                <w:sz w:val="20"/>
                <w:szCs w:val="20"/>
                <w:u w:val="double"/>
              </w:rPr>
            </w:pPr>
          </w:p>
        </w:tc>
        <w:tc>
          <w:tcPr>
            <w:tcW w:w="1177" w:type="dxa"/>
            <w:shd w:val="clear" w:color="auto" w:fill="auto"/>
            <w:noWrap/>
            <w:vAlign w:val="bottom"/>
            <w:hideMark/>
          </w:tcPr>
          <w:p w:rsidR="00F22507" w:rsidRDefault="00B33504">
            <w:pPr>
              <w:jc w:val="center"/>
              <w:rPr>
                <w:rFonts w:ascii="Calibri" w:hAnsi="Calibri"/>
                <w:b/>
                <w:bCs/>
                <w:color w:val="000000"/>
                <w:sz w:val="20"/>
                <w:szCs w:val="20"/>
                <w:u w:val="double"/>
              </w:rPr>
            </w:pPr>
            <w:r>
              <w:rPr>
                <w:rFonts w:ascii="Calibri" w:hAnsi="Calibri"/>
                <w:b/>
                <w:bCs/>
                <w:color w:val="000000"/>
                <w:sz w:val="20"/>
                <w:szCs w:val="20"/>
                <w:u w:val="double"/>
              </w:rPr>
              <w:t>$100.42</w:t>
            </w:r>
          </w:p>
        </w:tc>
        <w:tc>
          <w:tcPr>
            <w:tcW w:w="262" w:type="dxa"/>
            <w:shd w:val="clear" w:color="auto" w:fill="auto"/>
            <w:noWrap/>
            <w:vAlign w:val="bottom"/>
            <w:hideMark/>
          </w:tcPr>
          <w:p w:rsidR="00F22507" w:rsidRDefault="00F22507">
            <w:pPr>
              <w:jc w:val="center"/>
              <w:rPr>
                <w:rFonts w:ascii="Calibri" w:hAnsi="Calibri"/>
                <w:b/>
                <w:bCs/>
                <w:color w:val="000000"/>
                <w:sz w:val="20"/>
                <w:szCs w:val="20"/>
                <w:u w:val="double"/>
              </w:rPr>
            </w:pPr>
          </w:p>
        </w:tc>
        <w:tc>
          <w:tcPr>
            <w:tcW w:w="1239" w:type="dxa"/>
            <w:shd w:val="clear" w:color="auto" w:fill="auto"/>
            <w:noWrap/>
            <w:vAlign w:val="bottom"/>
            <w:hideMark/>
          </w:tcPr>
          <w:p w:rsidR="00F22507" w:rsidRDefault="00B33504">
            <w:pPr>
              <w:jc w:val="center"/>
              <w:rPr>
                <w:rFonts w:ascii="Calibri" w:hAnsi="Calibri"/>
                <w:color w:val="000000"/>
                <w:sz w:val="20"/>
                <w:szCs w:val="20"/>
              </w:rPr>
            </w:pPr>
            <w:r>
              <w:rPr>
                <w:rFonts w:ascii="Calibri" w:hAnsi="Calibri"/>
                <w:color w:val="000000"/>
                <w:sz w:val="20"/>
                <w:szCs w:val="20"/>
              </w:rPr>
              <w:t>$1.81</w:t>
            </w:r>
          </w:p>
        </w:tc>
        <w:tc>
          <w:tcPr>
            <w:tcW w:w="262" w:type="dxa"/>
            <w:shd w:val="clear" w:color="auto" w:fill="auto"/>
            <w:noWrap/>
            <w:vAlign w:val="bottom"/>
            <w:hideMark/>
          </w:tcPr>
          <w:p w:rsidR="00F22507" w:rsidRDefault="00F22507">
            <w:pPr>
              <w:rPr>
                <w:rFonts w:ascii="Calibri" w:hAnsi="Calibri"/>
                <w:color w:val="000000"/>
                <w:sz w:val="20"/>
                <w:szCs w:val="20"/>
              </w:rPr>
            </w:pPr>
            <w:r>
              <w:rPr>
                <w:rFonts w:ascii="Calibri" w:hAnsi="Calibri"/>
                <w:color w:val="000000"/>
                <w:sz w:val="20"/>
                <w:szCs w:val="20"/>
              </w:rPr>
              <w:t> </w:t>
            </w:r>
          </w:p>
        </w:tc>
        <w:tc>
          <w:tcPr>
            <w:tcW w:w="1177" w:type="dxa"/>
            <w:shd w:val="clear" w:color="auto" w:fill="auto"/>
            <w:noWrap/>
            <w:vAlign w:val="bottom"/>
            <w:hideMark/>
          </w:tcPr>
          <w:p w:rsidR="00F22507" w:rsidRDefault="00B33504">
            <w:pPr>
              <w:jc w:val="center"/>
              <w:rPr>
                <w:rFonts w:ascii="Calibri" w:hAnsi="Calibri"/>
                <w:b/>
                <w:bCs/>
                <w:color w:val="000000"/>
                <w:sz w:val="20"/>
                <w:szCs w:val="20"/>
                <w:u w:val="double"/>
              </w:rPr>
            </w:pPr>
            <w:r>
              <w:rPr>
                <w:rFonts w:ascii="Calibri" w:hAnsi="Calibri"/>
                <w:b/>
                <w:bCs/>
                <w:color w:val="000000"/>
                <w:sz w:val="20"/>
                <w:szCs w:val="20"/>
                <w:u w:val="double"/>
              </w:rPr>
              <w:t>$100.73</w:t>
            </w:r>
          </w:p>
        </w:tc>
        <w:tc>
          <w:tcPr>
            <w:tcW w:w="262" w:type="dxa"/>
            <w:shd w:val="clear" w:color="auto" w:fill="auto"/>
            <w:noWrap/>
            <w:vAlign w:val="bottom"/>
            <w:hideMark/>
          </w:tcPr>
          <w:p w:rsidR="00F22507" w:rsidRDefault="00F22507">
            <w:pPr>
              <w:rPr>
                <w:rFonts w:ascii="Calibri" w:hAnsi="Calibri"/>
                <w:color w:val="000000"/>
                <w:sz w:val="20"/>
                <w:szCs w:val="20"/>
              </w:rPr>
            </w:pPr>
            <w:r>
              <w:rPr>
                <w:rFonts w:ascii="Calibri" w:hAnsi="Calibri"/>
                <w:color w:val="000000"/>
                <w:sz w:val="20"/>
                <w:szCs w:val="20"/>
              </w:rPr>
              <w:t> </w:t>
            </w:r>
          </w:p>
        </w:tc>
        <w:tc>
          <w:tcPr>
            <w:tcW w:w="1400" w:type="dxa"/>
            <w:shd w:val="clear" w:color="auto" w:fill="auto"/>
            <w:noWrap/>
            <w:vAlign w:val="bottom"/>
            <w:hideMark/>
          </w:tcPr>
          <w:p w:rsidR="00F22507" w:rsidRDefault="00B33504">
            <w:pPr>
              <w:jc w:val="center"/>
              <w:rPr>
                <w:rFonts w:ascii="Calibri" w:hAnsi="Calibri"/>
                <w:b/>
                <w:bCs/>
                <w:color w:val="000000"/>
                <w:sz w:val="20"/>
                <w:szCs w:val="20"/>
                <w:u w:val="double"/>
              </w:rPr>
            </w:pPr>
            <w:r>
              <w:rPr>
                <w:rFonts w:ascii="Calibri" w:hAnsi="Calibri"/>
                <w:b/>
                <w:bCs/>
                <w:color w:val="000000"/>
                <w:sz w:val="20"/>
                <w:szCs w:val="20"/>
                <w:u w:val="double"/>
              </w:rPr>
              <w:t>$101.17</w:t>
            </w:r>
          </w:p>
        </w:tc>
      </w:tr>
    </w:tbl>
    <w:p w:rsidR="00AF679B" w:rsidRDefault="00F22507" w:rsidP="00AF679B">
      <w:pPr>
        <w:jc w:val="both"/>
        <w:rPr>
          <w:rFonts w:ascii="Calibri" w:hAnsi="Calibri"/>
          <w:color w:val="000000"/>
          <w:sz w:val="16"/>
          <w:szCs w:val="16"/>
        </w:rPr>
      </w:pPr>
      <w:r>
        <w:rPr>
          <w:bCs/>
        </w:rPr>
        <w:t xml:space="preserve">  </w:t>
      </w:r>
      <w:r w:rsidR="00AF679B" w:rsidRPr="00AF679B">
        <w:rPr>
          <w:bCs/>
          <w:sz w:val="20"/>
          <w:szCs w:val="20"/>
        </w:rPr>
        <w:t>Source:</w:t>
      </w:r>
      <w:r w:rsidR="00AF679B">
        <w:rPr>
          <w:bCs/>
        </w:rPr>
        <w:t xml:space="preserve"> </w:t>
      </w:r>
      <w:r w:rsidR="00FC7B98">
        <w:rPr>
          <w:color w:val="000000"/>
          <w:sz w:val="20"/>
          <w:szCs w:val="20"/>
        </w:rPr>
        <w:t>EXH</w:t>
      </w:r>
      <w:r w:rsidR="00AF679B" w:rsidRPr="00AF679B">
        <w:rPr>
          <w:color w:val="000000"/>
          <w:sz w:val="20"/>
          <w:szCs w:val="20"/>
        </w:rPr>
        <w:t xml:space="preserve"> </w:t>
      </w:r>
      <w:r w:rsidR="00B33504">
        <w:rPr>
          <w:color w:val="000000"/>
          <w:sz w:val="20"/>
          <w:szCs w:val="20"/>
        </w:rPr>
        <w:t>19</w:t>
      </w:r>
      <w:r w:rsidR="00FC7B98">
        <w:rPr>
          <w:color w:val="000000"/>
          <w:sz w:val="20"/>
          <w:szCs w:val="20"/>
        </w:rPr>
        <w:t xml:space="preserve"> (f/k/a, Exhibit </w:t>
      </w:r>
      <w:r w:rsidR="00B33504">
        <w:rPr>
          <w:color w:val="000000"/>
          <w:sz w:val="20"/>
          <w:szCs w:val="20"/>
        </w:rPr>
        <w:t>RBD-7</w:t>
      </w:r>
      <w:r w:rsidR="00AF679B" w:rsidRPr="00AF679B">
        <w:rPr>
          <w:color w:val="000000"/>
          <w:sz w:val="20"/>
          <w:szCs w:val="20"/>
        </w:rPr>
        <w:t xml:space="preserve"> (Appendix </w:t>
      </w:r>
      <w:r w:rsidR="00B33504">
        <w:rPr>
          <w:color w:val="000000"/>
          <w:sz w:val="20"/>
          <w:szCs w:val="20"/>
        </w:rPr>
        <w:t>I</w:t>
      </w:r>
      <w:r w:rsidR="0063629F">
        <w:rPr>
          <w:color w:val="000000"/>
          <w:sz w:val="20"/>
          <w:szCs w:val="20"/>
        </w:rPr>
        <w:t>V – 2019 FCR Projections</w:t>
      </w:r>
      <w:r w:rsidR="00B33504">
        <w:rPr>
          <w:color w:val="000000"/>
          <w:sz w:val="20"/>
          <w:szCs w:val="20"/>
        </w:rPr>
        <w:t>), Page 7 of 7</w:t>
      </w:r>
      <w:r w:rsidR="00FC7B98">
        <w:rPr>
          <w:color w:val="000000"/>
          <w:sz w:val="20"/>
          <w:szCs w:val="20"/>
        </w:rPr>
        <w:t>)</w:t>
      </w:r>
    </w:p>
    <w:p w:rsidR="00F0327D" w:rsidRPr="00720292" w:rsidRDefault="00F0327D" w:rsidP="00F22507">
      <w:pPr>
        <w:tabs>
          <w:tab w:val="left" w:pos="9270"/>
        </w:tabs>
        <w:autoSpaceDE w:val="0"/>
        <w:autoSpaceDN w:val="0"/>
        <w:adjustRightInd w:val="0"/>
        <w:jc w:val="both"/>
        <w:rPr>
          <w:bCs/>
        </w:rPr>
      </w:pPr>
    </w:p>
    <w:p w:rsidR="0088372D" w:rsidRPr="00016C82" w:rsidRDefault="0088372D" w:rsidP="0088372D">
      <w:pPr>
        <w:autoSpaceDE w:val="0"/>
        <w:autoSpaceDN w:val="0"/>
        <w:adjustRightInd w:val="0"/>
        <w:ind w:firstLine="720"/>
        <w:jc w:val="both"/>
        <w:rPr>
          <w:rFonts w:ascii="Arial" w:hAnsi="Arial" w:cs="Arial"/>
          <w:b/>
          <w:bCs/>
          <w:i/>
        </w:rPr>
      </w:pPr>
      <w:r w:rsidRPr="00016C82">
        <w:rPr>
          <w:rFonts w:ascii="Arial" w:hAnsi="Arial" w:cs="Arial"/>
          <w:b/>
          <w:bCs/>
          <w:i/>
        </w:rPr>
        <w:t>FIPUG</w:t>
      </w:r>
    </w:p>
    <w:p w:rsidR="005D377D" w:rsidRDefault="005D377D" w:rsidP="005D377D">
      <w:pPr>
        <w:autoSpaceDE w:val="0"/>
        <w:autoSpaceDN w:val="0"/>
        <w:adjustRightInd w:val="0"/>
        <w:jc w:val="both"/>
      </w:pPr>
      <w:r>
        <w:t xml:space="preserve">FIPUG did not sponsor a witness to address this issue or specifically </w:t>
      </w:r>
      <w:r w:rsidR="00124933">
        <w:t>address this issue in its post-</w:t>
      </w:r>
      <w:r>
        <w:t xml:space="preserve">hearing brief. The FIPUG brief presented broad arguments about its objections to FPL’s </w:t>
      </w:r>
      <w:proofErr w:type="spellStart"/>
      <w:r>
        <w:t>SoBRA</w:t>
      </w:r>
      <w:proofErr w:type="spellEnd"/>
      <w:r>
        <w:t xml:space="preserve"> projects, which staff summarized in Issue 2M. (FIPUG BR 1-2) </w:t>
      </w:r>
    </w:p>
    <w:p w:rsidR="0088372D" w:rsidRDefault="0088372D" w:rsidP="0088372D">
      <w:pPr>
        <w:autoSpaceDE w:val="0"/>
        <w:autoSpaceDN w:val="0"/>
        <w:adjustRightInd w:val="0"/>
        <w:jc w:val="both"/>
        <w:rPr>
          <w:bCs/>
        </w:rPr>
      </w:pPr>
    </w:p>
    <w:p w:rsidR="0088372D" w:rsidRPr="00016C82" w:rsidRDefault="0088372D" w:rsidP="0088372D">
      <w:pPr>
        <w:autoSpaceDE w:val="0"/>
        <w:autoSpaceDN w:val="0"/>
        <w:adjustRightInd w:val="0"/>
        <w:jc w:val="center"/>
        <w:rPr>
          <w:rFonts w:ascii="Arial" w:hAnsi="Arial" w:cs="Arial"/>
          <w:b/>
          <w:bCs/>
        </w:rPr>
      </w:pPr>
      <w:r>
        <w:rPr>
          <w:rFonts w:ascii="Arial" w:hAnsi="Arial" w:cs="Arial"/>
          <w:b/>
          <w:bCs/>
        </w:rPr>
        <w:t>Analysis</w:t>
      </w:r>
    </w:p>
    <w:p w:rsidR="0088372D" w:rsidRDefault="0088372D" w:rsidP="0088372D">
      <w:pPr>
        <w:autoSpaceDE w:val="0"/>
        <w:autoSpaceDN w:val="0"/>
        <w:adjustRightInd w:val="0"/>
        <w:jc w:val="both"/>
        <w:rPr>
          <w:bCs/>
        </w:rPr>
      </w:pPr>
      <w:r>
        <w:rPr>
          <w:bCs/>
        </w:rPr>
        <w:t xml:space="preserve">This issue addresses </w:t>
      </w:r>
      <w:r w:rsidR="00F0327D">
        <w:t>approving the tariff filings</w:t>
      </w:r>
      <w:r>
        <w:t xml:space="preserve"> for the 2019 </w:t>
      </w:r>
      <w:proofErr w:type="spellStart"/>
      <w:r>
        <w:t>SoBRA</w:t>
      </w:r>
      <w:proofErr w:type="spellEnd"/>
      <w:r>
        <w:t xml:space="preserve"> projects. </w:t>
      </w:r>
      <w:r>
        <w:rPr>
          <w:bCs/>
        </w:rPr>
        <w:t>As set forth in the preceding issues, staff observes that FPL’s 2016 Agreement states that the issues for determination are limited to three principle considerations:</w:t>
      </w:r>
    </w:p>
    <w:p w:rsidR="0088372D" w:rsidRDefault="0088372D" w:rsidP="0088372D">
      <w:pPr>
        <w:autoSpaceDE w:val="0"/>
        <w:autoSpaceDN w:val="0"/>
        <w:adjustRightInd w:val="0"/>
        <w:jc w:val="both"/>
        <w:rPr>
          <w:bCs/>
        </w:rPr>
      </w:pPr>
    </w:p>
    <w:p w:rsidR="0088372D" w:rsidRPr="008A765B" w:rsidRDefault="009D1013" w:rsidP="0088372D">
      <w:pPr>
        <w:pStyle w:val="ListParagraph"/>
        <w:numPr>
          <w:ilvl w:val="0"/>
          <w:numId w:val="12"/>
        </w:numPr>
        <w:autoSpaceDE w:val="0"/>
        <w:autoSpaceDN w:val="0"/>
        <w:adjustRightInd w:val="0"/>
        <w:jc w:val="both"/>
        <w:rPr>
          <w:rFonts w:asciiTheme="minorHAnsi" w:hAnsiTheme="minorHAnsi"/>
          <w:bCs/>
        </w:rPr>
      </w:pPr>
      <w:r>
        <w:rPr>
          <w:bCs/>
        </w:rPr>
        <w:t>The c</w:t>
      </w:r>
      <w:r w:rsidR="0088372D">
        <w:rPr>
          <w:bCs/>
        </w:rPr>
        <w:t>ost effectiveness</w:t>
      </w:r>
      <w:r>
        <w:rPr>
          <w:bCs/>
        </w:rPr>
        <w:t xml:space="preserve"> of the 2019 Projects</w:t>
      </w:r>
      <w:r w:rsidR="0088372D">
        <w:rPr>
          <w:bCs/>
        </w:rPr>
        <w:t>, as discussed in Issues 2P.</w:t>
      </w:r>
    </w:p>
    <w:p w:rsidR="0088372D" w:rsidRPr="00E37727" w:rsidRDefault="0088372D" w:rsidP="0088372D">
      <w:pPr>
        <w:pStyle w:val="ListParagraph"/>
        <w:numPr>
          <w:ilvl w:val="0"/>
          <w:numId w:val="12"/>
        </w:numPr>
        <w:autoSpaceDE w:val="0"/>
        <w:autoSpaceDN w:val="0"/>
        <w:adjustRightInd w:val="0"/>
        <w:jc w:val="both"/>
        <w:rPr>
          <w:rFonts w:asciiTheme="minorHAnsi" w:hAnsiTheme="minorHAnsi"/>
          <w:bCs/>
        </w:rPr>
      </w:pPr>
      <w:r>
        <w:rPr>
          <w:bCs/>
        </w:rPr>
        <w:t>The amount of revenue requirements</w:t>
      </w:r>
      <w:r w:rsidR="009D1013">
        <w:rPr>
          <w:bCs/>
        </w:rPr>
        <w:t xml:space="preserve"> for the 2019 Projects</w:t>
      </w:r>
      <w:r>
        <w:rPr>
          <w:bCs/>
        </w:rPr>
        <w:t>, as discussed in Issues 2Q.</w:t>
      </w:r>
    </w:p>
    <w:p w:rsidR="0088372D" w:rsidRPr="00E37727" w:rsidRDefault="0088372D" w:rsidP="0088372D">
      <w:pPr>
        <w:pStyle w:val="ListParagraph"/>
        <w:numPr>
          <w:ilvl w:val="0"/>
          <w:numId w:val="12"/>
        </w:numPr>
        <w:autoSpaceDE w:val="0"/>
        <w:autoSpaceDN w:val="0"/>
        <w:adjustRightInd w:val="0"/>
        <w:jc w:val="both"/>
      </w:pPr>
      <w:r>
        <w:rPr>
          <w:bCs/>
        </w:rPr>
        <w:t>The appropriate percentage increase in base rates needed to recover the revenue requirement amounts identified above. These percentage increases are reflected as recovery factors, as discussed in Issues 2R.</w:t>
      </w:r>
    </w:p>
    <w:p w:rsidR="0088372D" w:rsidRDefault="0088372D" w:rsidP="0088372D">
      <w:pPr>
        <w:autoSpaceDE w:val="0"/>
        <w:autoSpaceDN w:val="0"/>
        <w:adjustRightInd w:val="0"/>
        <w:jc w:val="both"/>
        <w:rPr>
          <w:bCs/>
        </w:rPr>
      </w:pPr>
    </w:p>
    <w:p w:rsidR="001C7A8C" w:rsidRPr="001C7A8C" w:rsidRDefault="001C7A8C" w:rsidP="001C7A8C">
      <w:pPr>
        <w:autoSpaceDE w:val="0"/>
        <w:autoSpaceDN w:val="0"/>
        <w:adjustRightInd w:val="0"/>
        <w:jc w:val="center"/>
        <w:rPr>
          <w:rFonts w:ascii="Arial" w:hAnsi="Arial" w:cs="Arial"/>
          <w:b/>
          <w:bCs/>
        </w:rPr>
      </w:pPr>
      <w:r w:rsidRPr="00016C82">
        <w:rPr>
          <w:rFonts w:ascii="Arial" w:hAnsi="Arial" w:cs="Arial"/>
          <w:b/>
          <w:bCs/>
        </w:rPr>
        <w:t>Conclusion</w:t>
      </w:r>
    </w:p>
    <w:p w:rsidR="0088372D" w:rsidRDefault="0088372D" w:rsidP="0088372D">
      <w:pPr>
        <w:autoSpaceDE w:val="0"/>
        <w:autoSpaceDN w:val="0"/>
        <w:adjustRightInd w:val="0"/>
        <w:jc w:val="both"/>
        <w:sectPr w:rsidR="0088372D" w:rsidSect="002E4C6E">
          <w:headerReference w:type="default" r:id="rId18"/>
          <w:pgSz w:w="12240" w:h="15840" w:code="1"/>
          <w:pgMar w:top="1584" w:right="1440" w:bottom="1440" w:left="1440" w:header="720" w:footer="720" w:gutter="0"/>
          <w:cols w:space="720"/>
          <w:formProt w:val="0"/>
          <w:docGrid w:linePitch="360"/>
        </w:sectPr>
      </w:pPr>
      <w:r>
        <w:rPr>
          <w:bCs/>
        </w:rPr>
        <w:t>Based on</w:t>
      </w:r>
      <w:r w:rsidR="009D1013">
        <w:rPr>
          <w:bCs/>
        </w:rPr>
        <w:t xml:space="preserve"> </w:t>
      </w:r>
      <w:r w:rsidR="0046237A">
        <w:rPr>
          <w:bCs/>
        </w:rPr>
        <w:t xml:space="preserve">the staff’s </w:t>
      </w:r>
      <w:r w:rsidR="009D1013">
        <w:rPr>
          <w:bCs/>
        </w:rPr>
        <w:t>recommendations in Issues 2P</w:t>
      </w:r>
      <w:r w:rsidR="0046237A">
        <w:rPr>
          <w:bCs/>
        </w:rPr>
        <w:t xml:space="preserve">, 2Q, and </w:t>
      </w:r>
      <w:r w:rsidR="009D1013">
        <w:rPr>
          <w:bCs/>
        </w:rPr>
        <w:t>2R</w:t>
      </w:r>
      <w:r>
        <w:rPr>
          <w:bCs/>
        </w:rPr>
        <w:t>, s</w:t>
      </w:r>
      <w:r w:rsidRPr="00E37727">
        <w:rPr>
          <w:bCs/>
        </w:rPr>
        <w:t xml:space="preserve">taff </w:t>
      </w:r>
      <w:r w:rsidR="0046237A">
        <w:rPr>
          <w:bCs/>
        </w:rPr>
        <w:t>believe</w:t>
      </w:r>
      <w:r>
        <w:rPr>
          <w:bCs/>
        </w:rPr>
        <w:t>s</w:t>
      </w:r>
      <w:r w:rsidRPr="00E37727">
        <w:rPr>
          <w:bCs/>
        </w:rPr>
        <w:t xml:space="preserve"> </w:t>
      </w:r>
      <w:r>
        <w:t xml:space="preserve">the Commission </w:t>
      </w:r>
      <w:r w:rsidR="009D1013">
        <w:t xml:space="preserve">should give staff administrative authority to approve the revised tariff sheets for FPL reflecting the base rate percentage increases for the 2019 </w:t>
      </w:r>
      <w:proofErr w:type="spellStart"/>
      <w:r w:rsidR="009D1013">
        <w:t>SoBRA</w:t>
      </w:r>
      <w:proofErr w:type="spellEnd"/>
      <w:r w:rsidR="009D1013">
        <w:t xml:space="preserve"> projects determined to be appropriate in this proceeding.</w:t>
      </w:r>
    </w:p>
    <w:p w:rsidR="007B21A6" w:rsidRDefault="007B21A6">
      <w:pPr>
        <w:pStyle w:val="IssueHeading"/>
        <w:rPr>
          <w:vanish/>
          <w:specVanish/>
        </w:rPr>
      </w:pPr>
      <w:r w:rsidRPr="004C3641">
        <w:lastRenderedPageBreak/>
        <w:t xml:space="preserve">Issue </w:t>
      </w:r>
      <w:r w:rsidR="007620EE">
        <w:t>36</w:t>
      </w:r>
      <w:r w:rsidRPr="004C3641">
        <w:t>:</w:t>
      </w:r>
      <w:r>
        <w:fldChar w:fldCharType="begin"/>
      </w:r>
      <w:r>
        <w:instrText xml:space="preserve"> TC "</w:instrText>
      </w:r>
      <w:r>
        <w:fldChar w:fldCharType="begin"/>
      </w:r>
      <w:r w:rsidR="007620EE">
        <w:instrText>seq issue \r 36</w:instrText>
      </w:r>
      <w:r>
        <w:fldChar w:fldCharType="separate"/>
      </w:r>
      <w:bookmarkStart w:id="21" w:name="_Toc530479149"/>
      <w:r w:rsidR="006F23BB">
        <w:rPr>
          <w:noProof/>
        </w:rPr>
        <w:instrText>36</w:instrText>
      </w:r>
      <w:r>
        <w:fldChar w:fldCharType="end"/>
      </w:r>
      <w:r>
        <w:tab/>
        <w:instrText>Close Docket</w:instrText>
      </w:r>
      <w:bookmarkEnd w:id="21"/>
      <w:r>
        <w:instrText xml:space="preserve">" \l 1 </w:instrText>
      </w:r>
      <w:r>
        <w:fldChar w:fldCharType="end"/>
      </w:r>
      <w:r>
        <w:t> </w:t>
      </w:r>
    </w:p>
    <w:p w:rsidR="00390FB3" w:rsidRDefault="00390FB3" w:rsidP="00390FB3">
      <w:pPr>
        <w:pStyle w:val="IssueHeading"/>
        <w:tabs>
          <w:tab w:val="left" w:pos="5475"/>
        </w:tabs>
      </w:pPr>
      <w:r>
        <w:t> </w:t>
      </w:r>
      <w:r>
        <w:rPr>
          <w:rFonts w:ascii="Times New Roman" w:hAnsi="Times New Roman" w:cs="Times New Roman"/>
          <w:b w:val="0"/>
          <w:i w:val="0"/>
        </w:rPr>
        <w:t>S</w:t>
      </w:r>
      <w:r w:rsidRPr="00D12EE8">
        <w:rPr>
          <w:rFonts w:ascii="Times New Roman" w:hAnsi="Times New Roman" w:cs="Times New Roman"/>
          <w:b w:val="0"/>
          <w:i w:val="0"/>
        </w:rPr>
        <w:t>hould this docket be closed?</w:t>
      </w:r>
    </w:p>
    <w:p w:rsidR="00390FB3" w:rsidRPr="004C3641" w:rsidRDefault="00390FB3" w:rsidP="00390FB3">
      <w:pPr>
        <w:pStyle w:val="IssueSubsectionHeading"/>
        <w:tabs>
          <w:tab w:val="left" w:pos="720"/>
          <w:tab w:val="left" w:pos="1440"/>
          <w:tab w:val="left" w:pos="2160"/>
          <w:tab w:val="left" w:pos="2880"/>
          <w:tab w:val="left" w:pos="3600"/>
          <w:tab w:val="left" w:pos="4320"/>
          <w:tab w:val="left" w:pos="5040"/>
          <w:tab w:val="left" w:pos="5760"/>
          <w:tab w:val="left" w:pos="6480"/>
          <w:tab w:val="left" w:pos="7200"/>
        </w:tabs>
        <w:rPr>
          <w:vanish/>
          <w:specVanish/>
        </w:rPr>
      </w:pPr>
      <w:r w:rsidRPr="004C3641">
        <w:t>Recommendation: </w:t>
      </w:r>
    </w:p>
    <w:p w:rsidR="00390FB3" w:rsidRDefault="00CB2DAE" w:rsidP="00390FB3">
      <w:pPr>
        <w:pStyle w:val="BodyText"/>
        <w:tabs>
          <w:tab w:val="left" w:pos="8610"/>
        </w:tabs>
        <w:spacing w:after="0"/>
      </w:pPr>
      <w:r>
        <w:t xml:space="preserve"> No. </w:t>
      </w:r>
      <w:r w:rsidR="00390FB3">
        <w:t>While a separate docket number is assigned each year for administrative convenience, this is a continuing docket and should remain open. (</w:t>
      </w:r>
      <w:proofErr w:type="spellStart"/>
      <w:r w:rsidR="00390FB3">
        <w:t>Brownless</w:t>
      </w:r>
      <w:proofErr w:type="spellEnd"/>
      <w:r w:rsidR="00390FB3">
        <w:t xml:space="preserve">) </w:t>
      </w:r>
      <w:r w:rsidR="00390FB3">
        <w:tab/>
      </w:r>
      <w:r w:rsidR="00390FB3">
        <w:tab/>
      </w:r>
    </w:p>
    <w:p w:rsidR="00390FB3" w:rsidRPr="004C3641" w:rsidRDefault="00390FB3" w:rsidP="00390FB3">
      <w:pPr>
        <w:pStyle w:val="IssueSubsectionHeading"/>
        <w:spacing w:after="0"/>
        <w:rPr>
          <w:vanish/>
          <w:specVanish/>
        </w:rPr>
      </w:pPr>
      <w:r w:rsidRPr="004C3641">
        <w:t>Staff Analysis: </w:t>
      </w:r>
    </w:p>
    <w:p w:rsidR="00390FB3" w:rsidRDefault="00390FB3" w:rsidP="00390FB3">
      <w:pPr>
        <w:pStyle w:val="BodyText"/>
      </w:pPr>
      <w:r>
        <w:t> While a separate docket number is assigned each year for administrative convenience, this is a continuing docket and should remain open.</w:t>
      </w:r>
    </w:p>
    <w:p w:rsidR="00B93607" w:rsidRDefault="00B93607" w:rsidP="00390FB3">
      <w:pPr>
        <w:pStyle w:val="BodyText"/>
      </w:pPr>
    </w:p>
    <w:sectPr w:rsidR="00B93607" w:rsidSect="002E4C6E">
      <w:headerReference w:type="default" r:id="rId19"/>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3D10" w:rsidRDefault="00A73D10">
      <w:r>
        <w:separator/>
      </w:r>
    </w:p>
  </w:endnote>
  <w:endnote w:type="continuationSeparator" w:id="0">
    <w:p w:rsidR="00A73D10" w:rsidRDefault="00A73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Lao UI">
    <w:panose1 w:val="020B0502040204020203"/>
    <w:charset w:val="00"/>
    <w:family w:val="swiss"/>
    <w:pitch w:val="variable"/>
    <w:sig w:usb0="02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D10" w:rsidRDefault="005479FC">
    <w:pPr>
      <w:pStyle w:val="Footer"/>
      <w:jc w:val="center"/>
    </w:pPr>
    <w:sdt>
      <w:sdtPr>
        <w:id w:val="-772483062"/>
        <w:docPartObj>
          <w:docPartGallery w:val="Page Numbers (Bottom of Page)"/>
          <w:docPartUnique/>
        </w:docPartObj>
      </w:sdtPr>
      <w:sdtEndPr>
        <w:rPr>
          <w:noProof/>
        </w:rPr>
      </w:sdtEndPr>
      <w:sdtContent>
        <w:r w:rsidR="00A73D10">
          <w:t>-</w:t>
        </w:r>
        <w:r w:rsidR="00A73D10">
          <w:fldChar w:fldCharType="begin"/>
        </w:r>
        <w:r w:rsidR="00A73D10">
          <w:instrText xml:space="preserve"> PAGE   \* MERGEFORMAT </w:instrText>
        </w:r>
        <w:r w:rsidR="00A73D10">
          <w:fldChar w:fldCharType="separate"/>
        </w:r>
        <w:r w:rsidR="00BC2419">
          <w:rPr>
            <w:noProof/>
          </w:rPr>
          <w:t>2</w:t>
        </w:r>
        <w:r w:rsidR="00A73D10">
          <w:rPr>
            <w:noProof/>
          </w:rPr>
          <w:fldChar w:fldCharType="end"/>
        </w:r>
      </w:sdtContent>
    </w:sdt>
    <w:r w:rsidR="00A73D10">
      <w:rPr>
        <w:noProof/>
      </w:rPr>
      <w:t>-</w:t>
    </w:r>
  </w:p>
  <w:p w:rsidR="00A73D10" w:rsidRDefault="00A73D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D10" w:rsidRDefault="00A73D10">
    <w:pPr>
      <w:pStyle w:val="Footer"/>
      <w:jc w:val="center"/>
    </w:pPr>
  </w:p>
  <w:p w:rsidR="00A73D10" w:rsidRDefault="00A73D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3D10" w:rsidRDefault="00A73D10">
      <w:r>
        <w:separator/>
      </w:r>
    </w:p>
  </w:footnote>
  <w:footnote w:type="continuationSeparator" w:id="0">
    <w:p w:rsidR="00A73D10" w:rsidRDefault="00A73D10">
      <w:r>
        <w:continuationSeparator/>
      </w:r>
    </w:p>
  </w:footnote>
  <w:footnote w:id="1">
    <w:p w:rsidR="00A73D10" w:rsidRDefault="00A73D10">
      <w:pPr>
        <w:pStyle w:val="FootnoteText"/>
      </w:pPr>
      <w:r>
        <w:rPr>
          <w:rStyle w:val="FootnoteReference"/>
        </w:rPr>
        <w:footnoteRef/>
      </w:r>
      <w:r>
        <w:t xml:space="preserve">Order No. PSC-2016-0560-AS-EI, issued on December 15, 2016, in Docket No. 20160021-EI, </w:t>
      </w:r>
      <w:r w:rsidRPr="00CC0982">
        <w:rPr>
          <w:i/>
        </w:rPr>
        <w:t xml:space="preserve"> </w:t>
      </w:r>
      <w:r w:rsidRPr="00B85ACE">
        <w:rPr>
          <w:i/>
        </w:rPr>
        <w:t>In re: Petition for rate increase by Florida Power &amp; Light Company.</w:t>
      </w:r>
    </w:p>
  </w:footnote>
  <w:footnote w:id="2">
    <w:p w:rsidR="00A73D10" w:rsidRDefault="00A73D10" w:rsidP="00AD4A9E">
      <w:pPr>
        <w:pStyle w:val="FootnoteText"/>
      </w:pPr>
      <w:r>
        <w:rPr>
          <w:rStyle w:val="FootnoteReference"/>
        </w:rPr>
        <w:footnoteRef/>
      </w:r>
      <w:r>
        <w:t>See page 20, FPSC Document No. 07154-2018, filed on November 16, 2018, in Docket No. 2018-0001-EI.</w:t>
      </w:r>
    </w:p>
  </w:footnote>
  <w:footnote w:id="3">
    <w:p w:rsidR="00A73D10" w:rsidRDefault="00A73D10" w:rsidP="00A45FAD">
      <w:pPr>
        <w:pStyle w:val="FootnoteText"/>
      </w:pPr>
      <w:r>
        <w:rPr>
          <w:rStyle w:val="FootnoteReference"/>
          <w:rFonts w:eastAsiaTheme="minorHAnsi"/>
        </w:rPr>
        <w:footnoteRef/>
      </w:r>
      <w:r>
        <w:t xml:space="preserve">“Should the Commission approve revised tariffs for FPL reflecting the revised </w:t>
      </w:r>
      <w:proofErr w:type="spellStart"/>
      <w:r>
        <w:t>SoBRA</w:t>
      </w:r>
      <w:proofErr w:type="spellEnd"/>
      <w:r>
        <w:t xml:space="preserve"> factors for the 2017 and 2018 projects determined to be appropriate in this proceeding, effective January 1, 2019?”</w:t>
      </w:r>
    </w:p>
  </w:footnote>
  <w:footnote w:id="4">
    <w:p w:rsidR="00A73D10" w:rsidRDefault="00A73D10" w:rsidP="00A45FAD">
      <w:pPr>
        <w:pStyle w:val="FootnoteText"/>
      </w:pPr>
      <w:r>
        <w:rPr>
          <w:rStyle w:val="FootnoteReference"/>
          <w:rFonts w:eastAsiaTheme="minorHAnsi"/>
        </w:rPr>
        <w:footnoteRef/>
      </w:r>
      <w:r>
        <w:t>All parties were given until noon on October 24, 2018, to file final positions on each issue or have “No position at this time” be changed to “No position.”  [Prehearing TR 9-10; TR 9-11]]</w:t>
      </w:r>
    </w:p>
  </w:footnote>
  <w:footnote w:id="5">
    <w:p w:rsidR="00A73D10" w:rsidRPr="00DB6347" w:rsidRDefault="00A73D10" w:rsidP="00A45FAD">
      <w:pPr>
        <w:pStyle w:val="FootnoteText"/>
      </w:pPr>
      <w:r>
        <w:rPr>
          <w:rStyle w:val="FootnoteReference"/>
          <w:rFonts w:eastAsiaTheme="minorHAnsi"/>
        </w:rPr>
        <w:footnoteRef/>
      </w:r>
      <w:r>
        <w:t xml:space="preserve"> </w:t>
      </w:r>
      <w:r>
        <w:rPr>
          <w:u w:val="single"/>
        </w:rPr>
        <w:t>Id</w:t>
      </w:r>
      <w:r>
        <w:t>.</w:t>
      </w:r>
    </w:p>
  </w:footnote>
  <w:footnote w:id="6">
    <w:p w:rsidR="00A73D10" w:rsidRDefault="00A73D10" w:rsidP="00A45FAD">
      <w:pPr>
        <w:pStyle w:val="FootnoteText"/>
      </w:pPr>
      <w:r>
        <w:rPr>
          <w:rStyle w:val="FootnoteReference"/>
          <w:rFonts w:eastAsiaTheme="minorHAnsi"/>
        </w:rPr>
        <w:footnoteRef/>
      </w:r>
      <w:r>
        <w:t>Issue A: “Are FPL’s proposed solar projects prudent?” and Issue B: “Are FPL’s proposed solar projects needed?”</w:t>
      </w:r>
    </w:p>
  </w:footnote>
  <w:footnote w:id="7">
    <w:p w:rsidR="00A73D10" w:rsidRPr="00F804F6" w:rsidRDefault="00A73D10" w:rsidP="00A45FAD">
      <w:pPr>
        <w:pStyle w:val="FootnoteText"/>
        <w:rPr>
          <w:i/>
        </w:rPr>
      </w:pPr>
      <w:r>
        <w:rPr>
          <w:rStyle w:val="FootnoteReference"/>
          <w:rFonts w:eastAsiaTheme="minorHAnsi"/>
        </w:rPr>
        <w:footnoteRef/>
      </w:r>
      <w:r>
        <w:t xml:space="preserve">Order No. PSC-16-0560-AS-EI, issued December 15, 2016, in Docket No. 20160021, </w:t>
      </w:r>
      <w:r w:rsidRPr="00F804F6">
        <w:rPr>
          <w:i/>
        </w:rPr>
        <w:t xml:space="preserve">In re: Petition for rate increase by Florida Power &amp; Light Company.  </w:t>
      </w:r>
    </w:p>
  </w:footnote>
  <w:footnote w:id="8">
    <w:p w:rsidR="00A73D10" w:rsidRPr="00631837" w:rsidRDefault="00A73D10" w:rsidP="00A45FAD">
      <w:pPr>
        <w:pStyle w:val="FootnoteText"/>
      </w:pPr>
      <w:r>
        <w:rPr>
          <w:rStyle w:val="FootnoteReference"/>
          <w:rFonts w:eastAsiaTheme="minorHAnsi"/>
        </w:rPr>
        <w:footnoteRef/>
      </w:r>
      <w:r>
        <w:t xml:space="preserve">Order No. PSC-2018-0520-PHO-EI, issued  November 1, 2018, in Docket No. 20180001-EI, </w:t>
      </w:r>
      <w:r w:rsidRPr="00F804F6">
        <w:rPr>
          <w:i/>
        </w:rPr>
        <w:t>In re: Fuel and purchased power cost recovery clause with generating performance incentive factor,</w:t>
      </w:r>
      <w:r>
        <w:t xml:space="preserve"> at 65-66.</w:t>
      </w:r>
    </w:p>
  </w:footnote>
  <w:footnote w:id="9">
    <w:p w:rsidR="00A73D10" w:rsidRDefault="00A73D10" w:rsidP="00A45FAD">
      <w:pPr>
        <w:pStyle w:val="FootnoteText"/>
      </w:pPr>
      <w:r>
        <w:rPr>
          <w:rStyle w:val="FootnoteReference"/>
          <w:rFonts w:eastAsiaTheme="minorHAnsi"/>
        </w:rPr>
        <w:footnoteRef/>
      </w:r>
      <w:r w:rsidR="002B28C3">
        <w:t xml:space="preserve">2016 </w:t>
      </w:r>
      <w:r>
        <w:t xml:space="preserve">Agreement at </w:t>
      </w:r>
      <w:r>
        <w:rPr>
          <w:rFonts w:ascii="Lao UI" w:hAnsi="Lao UI" w:cs="Lao UI"/>
        </w:rPr>
        <w:t>¶¶</w:t>
      </w:r>
      <w:r>
        <w:t xml:space="preserve"> 10(c), 10(e), 10(</w:t>
      </w:r>
      <w:proofErr w:type="spellStart"/>
      <w:r>
        <w:t>i</w:t>
      </w:r>
      <w:proofErr w:type="spellEnd"/>
      <w:r>
        <w:t>).</w:t>
      </w:r>
    </w:p>
  </w:footnote>
  <w:footnote w:id="10">
    <w:p w:rsidR="00A73D10" w:rsidRDefault="00A73D10" w:rsidP="00293F63">
      <w:pPr>
        <w:pStyle w:val="FootnoteText"/>
      </w:pPr>
      <w:r>
        <w:rPr>
          <w:rStyle w:val="FootnoteReference"/>
        </w:rPr>
        <w:footnoteRef/>
      </w:r>
      <w:r>
        <w:t>See page 20, FPSC Document No. 07154-2018, filed on November 16, 2018, in Docket No. 20180001-EI.</w:t>
      </w:r>
    </w:p>
  </w:footnote>
  <w:footnote w:id="11">
    <w:p w:rsidR="00A73D10" w:rsidRPr="00CC0982" w:rsidRDefault="00A73D10" w:rsidP="00A81C23">
      <w:pPr>
        <w:pStyle w:val="FootnoteText"/>
        <w:rPr>
          <w:i/>
        </w:rPr>
      </w:pPr>
      <w:r>
        <w:rPr>
          <w:rStyle w:val="FootnoteReference"/>
        </w:rPr>
        <w:footnoteRef/>
      </w:r>
      <w:r>
        <w:t>Order No. PSC-16-0560-AS-EI, issued December 15, 2016, in Docket No. 20160021-EI,</w:t>
      </w:r>
      <w:r w:rsidRPr="00CC0982">
        <w:rPr>
          <w:i/>
        </w:rPr>
        <w:t xml:space="preserve"> </w:t>
      </w:r>
      <w:r w:rsidRPr="00B85ACE">
        <w:rPr>
          <w:i/>
        </w:rPr>
        <w:t>In re: Petition for rate increase by Florida Power &amp; Light Company.</w:t>
      </w:r>
    </w:p>
  </w:footnote>
  <w:footnote w:id="12">
    <w:p w:rsidR="00A73D10" w:rsidRDefault="00A73D10" w:rsidP="00A81C23">
      <w:pPr>
        <w:pStyle w:val="FootnoteText"/>
      </w:pPr>
      <w:r>
        <w:rPr>
          <w:rStyle w:val="FootnoteReference"/>
        </w:rPr>
        <w:footnoteRef/>
      </w:r>
      <w:r>
        <w:t xml:space="preserve">2016 Agreement at </w:t>
      </w:r>
      <w:r>
        <w:rPr>
          <w:rFonts w:ascii="Lao UI" w:hAnsi="Lao UI" w:cs="Lao UI"/>
        </w:rPr>
        <w:t>¶</w:t>
      </w:r>
      <w:r>
        <w:t xml:space="preserve"> 10(a). </w:t>
      </w:r>
    </w:p>
  </w:footnote>
  <w:footnote w:id="13">
    <w:p w:rsidR="00A73D10" w:rsidRDefault="00A73D10" w:rsidP="00A81C23">
      <w:pPr>
        <w:pStyle w:val="FootnoteText"/>
      </w:pPr>
      <w:r>
        <w:rPr>
          <w:rStyle w:val="FootnoteReference"/>
        </w:rPr>
        <w:footnoteRef/>
      </w:r>
      <w:r>
        <w:t xml:space="preserve">2016 Agreement at </w:t>
      </w:r>
      <w:r>
        <w:rPr>
          <w:rFonts w:ascii="Lao UI" w:hAnsi="Lao UI" w:cs="Lao UI"/>
        </w:rPr>
        <w:t>¶</w:t>
      </w:r>
      <w:r>
        <w:t xml:space="preserve"> 10(c). </w:t>
      </w:r>
    </w:p>
  </w:footnote>
  <w:footnote w:id="14">
    <w:p w:rsidR="00A73D10" w:rsidRDefault="00A73D10" w:rsidP="007154B2">
      <w:pPr>
        <w:pStyle w:val="FootnoteText"/>
      </w:pPr>
      <w:r>
        <w:rPr>
          <w:rStyle w:val="FootnoteReference"/>
          <w:rFonts w:eastAsiaTheme="minorHAnsi"/>
        </w:rPr>
        <w:footnoteRef/>
      </w:r>
      <w:r>
        <w:t>DN 06651-2018.</w:t>
      </w:r>
    </w:p>
  </w:footnote>
  <w:footnote w:id="15">
    <w:p w:rsidR="00A73D10" w:rsidRPr="006B05E0" w:rsidRDefault="00A73D10" w:rsidP="007154B2">
      <w:pPr>
        <w:pStyle w:val="FootnoteText"/>
        <w:rPr>
          <w:i/>
        </w:rPr>
      </w:pPr>
      <w:r>
        <w:rPr>
          <w:rStyle w:val="FootnoteReference"/>
          <w:rFonts w:eastAsiaTheme="minorHAnsi"/>
        </w:rPr>
        <w:footnoteRef/>
      </w:r>
      <w:r>
        <w:t xml:space="preserve">Order No. PSC-2018-0520-PHO-EI, issued November 1, 2018, in Docket No. 20180001-EI, </w:t>
      </w:r>
      <w:r w:rsidRPr="006B05E0">
        <w:rPr>
          <w:i/>
        </w:rPr>
        <w:t xml:space="preserve">In re: Fuel and purchased power cost recovery clause with generating performance incentive factor. </w:t>
      </w:r>
    </w:p>
  </w:footnote>
  <w:footnote w:id="16">
    <w:p w:rsidR="00A73D10" w:rsidRDefault="00A73D10" w:rsidP="00321FAC">
      <w:pPr>
        <w:pStyle w:val="FootnoteText"/>
      </w:pPr>
      <w:r>
        <w:rPr>
          <w:rStyle w:val="FootnoteReference"/>
        </w:rPr>
        <w:footnoteRef/>
      </w:r>
      <w:r>
        <w:t xml:space="preserve">Order No. PSC-2016-0560-AS-EI, issued on December 15, 2016, in Docket No. 20160021-EI, </w:t>
      </w:r>
      <w:r w:rsidRPr="00CC0982">
        <w:rPr>
          <w:i/>
        </w:rPr>
        <w:t xml:space="preserve"> </w:t>
      </w:r>
      <w:r w:rsidRPr="00B85ACE">
        <w:rPr>
          <w:i/>
        </w:rPr>
        <w:t>In re: Petition for rate increase by Florida Power &amp; Light Company.</w:t>
      </w:r>
    </w:p>
  </w:footnote>
  <w:footnote w:id="17">
    <w:p w:rsidR="00A73D10" w:rsidRPr="00DE4130" w:rsidRDefault="00A73D10" w:rsidP="00321FAC">
      <w:pPr>
        <w:pStyle w:val="FootnoteText"/>
        <w:rPr>
          <w:highlight w:val="yellow"/>
        </w:rPr>
      </w:pPr>
      <w:r w:rsidRPr="00DE4130">
        <w:rPr>
          <w:rStyle w:val="FootnoteReference"/>
        </w:rPr>
        <w:footnoteRef/>
      </w:r>
      <w:r w:rsidRPr="00DE4130">
        <w:t>Order No. PSC-</w:t>
      </w:r>
      <w:r>
        <w:t>20</w:t>
      </w:r>
      <w:r w:rsidRPr="00DE4130">
        <w:t xml:space="preserve">05-0902-S-EI,  issued September 14, 2005, in Docket No. 20050045-EI, </w:t>
      </w:r>
      <w:r w:rsidRPr="00DE4130">
        <w:rPr>
          <w:i/>
        </w:rPr>
        <w:t>In re: Petition for rate increase by Florida Power &amp; Light Company</w:t>
      </w:r>
      <w:r w:rsidRPr="00DE4130">
        <w:t xml:space="preserve">, and in Docket No. 20050188-EI, </w:t>
      </w:r>
      <w:r w:rsidRPr="00DE4130">
        <w:rPr>
          <w:i/>
        </w:rPr>
        <w:t>In re: 2005 comprehensive depreciation study by Florida Power &amp; Light Company</w:t>
      </w:r>
      <w:r w:rsidRPr="00DE4130">
        <w:t>.</w:t>
      </w:r>
    </w:p>
  </w:footnote>
  <w:footnote w:id="18">
    <w:p w:rsidR="00A73D10" w:rsidRPr="00DE4130" w:rsidRDefault="00A73D10" w:rsidP="00321FAC">
      <w:pPr>
        <w:pStyle w:val="FootnoteText"/>
        <w:rPr>
          <w:highlight w:val="yellow"/>
        </w:rPr>
      </w:pPr>
      <w:r w:rsidRPr="00DE4130">
        <w:rPr>
          <w:rStyle w:val="FootnoteReference"/>
        </w:rPr>
        <w:footnoteRef/>
      </w:r>
      <w:r w:rsidRPr="00DE4130">
        <w:t>Order No. PSC-</w:t>
      </w:r>
      <w:r>
        <w:t>20</w:t>
      </w:r>
      <w:r w:rsidRPr="00DE4130">
        <w:t xml:space="preserve">11-0089-S-EI, issued </w:t>
      </w:r>
      <w:r w:rsidRPr="00DE4130">
        <w:rPr>
          <w:color w:val="000000"/>
        </w:rPr>
        <w:t>February 1,</w:t>
      </w:r>
      <w:r w:rsidRPr="00DE4130">
        <w:t xml:space="preserve"> 2011, in Docket No. 20</w:t>
      </w:r>
      <w:r w:rsidRPr="00DE4130">
        <w:rPr>
          <w:color w:val="000000"/>
        </w:rPr>
        <w:t>080677-EI</w:t>
      </w:r>
      <w:r w:rsidRPr="00DE4130">
        <w:t xml:space="preserve">, </w:t>
      </w:r>
      <w:r w:rsidRPr="00DE4130">
        <w:rPr>
          <w:i/>
          <w:color w:val="000000"/>
        </w:rPr>
        <w:t xml:space="preserve">In re: Petition for increase in rates by Florida Power &amp; </w:t>
      </w:r>
      <w:r w:rsidRPr="00DE4130">
        <w:rPr>
          <w:i/>
        </w:rPr>
        <w:t>Light Company</w:t>
      </w:r>
      <w:r w:rsidRPr="00DE4130">
        <w:t>, and in Docket No. 20</w:t>
      </w:r>
      <w:r w:rsidRPr="00DE4130">
        <w:rPr>
          <w:color w:val="000000"/>
        </w:rPr>
        <w:t>090130-EI</w:t>
      </w:r>
      <w:r w:rsidRPr="00DE4130">
        <w:t xml:space="preserve">, </w:t>
      </w:r>
      <w:r w:rsidRPr="00DE4130">
        <w:rPr>
          <w:i/>
          <w:color w:val="000000"/>
        </w:rPr>
        <w:t>In re: 2009 depreciation and dismantlement study by Florida Power &amp; Light Company</w:t>
      </w:r>
      <w:r w:rsidRPr="00DE4130">
        <w:t>.</w:t>
      </w:r>
    </w:p>
  </w:footnote>
  <w:footnote w:id="19">
    <w:p w:rsidR="00A73D10" w:rsidRPr="00DE4130" w:rsidRDefault="00A73D10" w:rsidP="00321FAC">
      <w:pPr>
        <w:pStyle w:val="FootnoteText"/>
      </w:pPr>
      <w:r w:rsidRPr="00DE4130">
        <w:rPr>
          <w:rStyle w:val="FootnoteReference"/>
        </w:rPr>
        <w:footnoteRef/>
      </w:r>
      <w:r w:rsidRPr="00DE4130">
        <w:t>Order No. PSC-</w:t>
      </w:r>
      <w:r>
        <w:t>20</w:t>
      </w:r>
      <w:r w:rsidRPr="00DE4130">
        <w:t>13-0023-S-EI, issued January 14, 2013, in Docket No. 20120015-EI,</w:t>
      </w:r>
      <w:r>
        <w:t xml:space="preserve"> </w:t>
      </w:r>
      <w:r w:rsidRPr="00DE4130">
        <w:rPr>
          <w:i/>
        </w:rPr>
        <w:t>In re: Petition for increase in rates by Florida Power &amp; Light Company</w:t>
      </w:r>
      <w:r w:rsidRPr="00DE4130">
        <w:t>.</w:t>
      </w:r>
    </w:p>
  </w:footnote>
  <w:footnote w:id="20">
    <w:p w:rsidR="00A73D10" w:rsidRDefault="00A73D10">
      <w:pPr>
        <w:pStyle w:val="FootnoteText"/>
      </w:pPr>
      <w:r>
        <w:rPr>
          <w:rStyle w:val="FootnoteReference"/>
        </w:rPr>
        <w:footnoteRef/>
      </w:r>
      <w:r>
        <w:rPr>
          <w:bCs/>
        </w:rPr>
        <w:t>Paragraph 9 of the 2016 Agreement describes the Okeechobee Unit and the Limited Scope Adjustment for FPL’s generating station now known as the Okeechobee Clean Energy Center.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D10" w:rsidRDefault="00A73D10" w:rsidP="00220732">
    <w:pPr>
      <w:pStyle w:val="Header"/>
      <w:tabs>
        <w:tab w:val="clear" w:pos="4320"/>
        <w:tab w:val="clear" w:pos="8640"/>
        <w:tab w:val="right" w:pos="9360"/>
      </w:tabs>
    </w:pPr>
    <w:r>
      <w:t>Docket No. 20180001-EI</w:t>
    </w:r>
    <w:r>
      <w:tab/>
    </w:r>
  </w:p>
  <w:p w:rsidR="00A73D10" w:rsidRDefault="00A73D10">
    <w:pPr>
      <w:pStyle w:val="Header"/>
    </w:pPr>
    <w:r>
      <w:t xml:space="preserve">Date: </w:t>
    </w:r>
    <w:r w:rsidR="005479FC">
      <w:fldChar w:fldCharType="begin"/>
    </w:r>
    <w:r w:rsidR="005479FC">
      <w:instrText xml:space="preserve"> REF FilingDate </w:instrText>
    </w:r>
    <w:r w:rsidR="005479FC">
      <w:fldChar w:fldCharType="separate"/>
    </w:r>
    <w:r w:rsidR="006F23BB">
      <w:t>November 29, 2018</w:t>
    </w:r>
    <w:r w:rsidR="005479FC">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D10" w:rsidRDefault="00A73D10" w:rsidP="00220732">
    <w:pPr>
      <w:pStyle w:val="Header"/>
      <w:tabs>
        <w:tab w:val="clear" w:pos="4320"/>
        <w:tab w:val="clear" w:pos="8640"/>
        <w:tab w:val="right" w:pos="9360"/>
      </w:tabs>
    </w:pPr>
    <w:r>
      <w:t>Docket No. 20180001-EI</w:t>
    </w:r>
    <w:r>
      <w:tab/>
      <w:t>Issue 2M</w:t>
    </w:r>
  </w:p>
  <w:p w:rsidR="00A73D10" w:rsidRDefault="00A73D10">
    <w:pPr>
      <w:pStyle w:val="Header"/>
    </w:pPr>
    <w:r>
      <w:t xml:space="preserve">Date: </w:t>
    </w:r>
    <w:r w:rsidR="005479FC">
      <w:fldChar w:fldCharType="begin"/>
    </w:r>
    <w:r w:rsidR="005479FC">
      <w:instrText xml:space="preserve"> REF FilingDate </w:instrText>
    </w:r>
    <w:r w:rsidR="005479FC">
      <w:fldChar w:fldCharType="separate"/>
    </w:r>
    <w:r w:rsidR="006F23BB">
      <w:t>November 29, 2018</w:t>
    </w:r>
    <w:r w:rsidR="005479FC">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D10" w:rsidRDefault="00A73D10" w:rsidP="00220732">
    <w:pPr>
      <w:pStyle w:val="Header"/>
      <w:tabs>
        <w:tab w:val="clear" w:pos="4320"/>
        <w:tab w:val="clear" w:pos="8640"/>
        <w:tab w:val="right" w:pos="9360"/>
      </w:tabs>
    </w:pPr>
    <w:r>
      <w:t>Docket No. 20180001-EI</w:t>
    </w:r>
    <w:r>
      <w:tab/>
      <w:t>Issue 2N</w:t>
    </w:r>
  </w:p>
  <w:p w:rsidR="00A73D10" w:rsidRDefault="00A73D10">
    <w:pPr>
      <w:pStyle w:val="Header"/>
    </w:pPr>
    <w:r>
      <w:t xml:space="preserve">Date: </w:t>
    </w:r>
    <w:r w:rsidR="005479FC">
      <w:fldChar w:fldCharType="begin"/>
    </w:r>
    <w:r w:rsidR="005479FC">
      <w:instrText xml:space="preserve"> REF FilingDate </w:instrText>
    </w:r>
    <w:r w:rsidR="005479FC">
      <w:fldChar w:fldCharType="separate"/>
    </w:r>
    <w:r w:rsidR="006F23BB">
      <w:t>November 29, 2018</w:t>
    </w:r>
    <w:r w:rsidR="005479FC">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D10" w:rsidRDefault="00A73D10" w:rsidP="00220732">
    <w:pPr>
      <w:pStyle w:val="Header"/>
      <w:tabs>
        <w:tab w:val="clear" w:pos="4320"/>
        <w:tab w:val="clear" w:pos="8640"/>
        <w:tab w:val="right" w:pos="9360"/>
      </w:tabs>
    </w:pPr>
    <w:r>
      <w:t>Docket No. 20180001-EI</w:t>
    </w:r>
    <w:r>
      <w:tab/>
      <w:t>Issue 2P</w:t>
    </w:r>
  </w:p>
  <w:p w:rsidR="00A73D10" w:rsidRDefault="00A73D10">
    <w:pPr>
      <w:pStyle w:val="Header"/>
    </w:pPr>
    <w:r>
      <w:t xml:space="preserve">Date: </w:t>
    </w:r>
    <w:r w:rsidR="005479FC">
      <w:fldChar w:fldCharType="begin"/>
    </w:r>
    <w:r w:rsidR="005479FC">
      <w:instrText xml:space="preserve"> REF FilingDate </w:instrText>
    </w:r>
    <w:r w:rsidR="005479FC">
      <w:fldChar w:fldCharType="separate"/>
    </w:r>
    <w:r w:rsidR="006F23BB">
      <w:t>November 29, 2018</w:t>
    </w:r>
    <w:r w:rsidR="005479FC">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D10" w:rsidRDefault="00A73D10" w:rsidP="00220732">
    <w:pPr>
      <w:pStyle w:val="Header"/>
      <w:tabs>
        <w:tab w:val="clear" w:pos="4320"/>
        <w:tab w:val="clear" w:pos="8640"/>
        <w:tab w:val="right" w:pos="9360"/>
      </w:tabs>
    </w:pPr>
    <w:r>
      <w:t>Docket No. 20180001-EI</w:t>
    </w:r>
    <w:r>
      <w:tab/>
      <w:t>Issue 2Q</w:t>
    </w:r>
  </w:p>
  <w:p w:rsidR="00A73D10" w:rsidRDefault="00A73D10">
    <w:pPr>
      <w:pStyle w:val="Header"/>
    </w:pPr>
    <w:r>
      <w:t xml:space="preserve">Date: </w:t>
    </w:r>
    <w:r w:rsidR="005479FC">
      <w:fldChar w:fldCharType="begin"/>
    </w:r>
    <w:r w:rsidR="005479FC">
      <w:instrText xml:space="preserve"> REF FilingDate </w:instrText>
    </w:r>
    <w:r w:rsidR="005479FC">
      <w:fldChar w:fldCharType="separate"/>
    </w:r>
    <w:r w:rsidR="006F23BB">
      <w:t>November 29, 2018</w:t>
    </w:r>
    <w:r w:rsidR="005479FC">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D10" w:rsidRDefault="00A73D10" w:rsidP="00220732">
    <w:pPr>
      <w:pStyle w:val="Header"/>
      <w:tabs>
        <w:tab w:val="clear" w:pos="4320"/>
        <w:tab w:val="clear" w:pos="8640"/>
        <w:tab w:val="right" w:pos="9360"/>
      </w:tabs>
    </w:pPr>
    <w:r>
      <w:t>Docket No. 20180001-EI</w:t>
    </w:r>
    <w:r>
      <w:tab/>
      <w:t>Issue 2R</w:t>
    </w:r>
  </w:p>
  <w:p w:rsidR="00A73D10" w:rsidRDefault="00A73D10">
    <w:pPr>
      <w:pStyle w:val="Header"/>
    </w:pPr>
    <w:r>
      <w:t xml:space="preserve">Date: </w:t>
    </w:r>
    <w:r w:rsidR="005479FC">
      <w:fldChar w:fldCharType="begin"/>
    </w:r>
    <w:r w:rsidR="005479FC">
      <w:instrText xml:space="preserve"> REF FilingDate </w:instrText>
    </w:r>
    <w:r w:rsidR="005479FC">
      <w:fldChar w:fldCharType="separate"/>
    </w:r>
    <w:r w:rsidR="006F23BB">
      <w:t>November 29, 2018</w:t>
    </w:r>
    <w:r w:rsidR="005479FC">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D10" w:rsidRDefault="00A73D10" w:rsidP="00220732">
    <w:pPr>
      <w:pStyle w:val="Header"/>
      <w:tabs>
        <w:tab w:val="clear" w:pos="4320"/>
        <w:tab w:val="clear" w:pos="8640"/>
        <w:tab w:val="right" w:pos="9360"/>
      </w:tabs>
    </w:pPr>
    <w:r>
      <w:t>Docket No. 20180001-EI</w:t>
    </w:r>
    <w:r>
      <w:tab/>
      <w:t>Issue 2S</w:t>
    </w:r>
  </w:p>
  <w:p w:rsidR="00A73D10" w:rsidRDefault="00A73D10">
    <w:pPr>
      <w:pStyle w:val="Header"/>
    </w:pPr>
    <w:r>
      <w:t xml:space="preserve">Date: </w:t>
    </w:r>
    <w:r w:rsidR="005479FC">
      <w:fldChar w:fldCharType="begin"/>
    </w:r>
    <w:r w:rsidR="005479FC">
      <w:instrText xml:space="preserve"> REF FilingDate </w:instrText>
    </w:r>
    <w:r w:rsidR="005479FC">
      <w:fldChar w:fldCharType="separate"/>
    </w:r>
    <w:r w:rsidR="006F23BB">
      <w:t>November 29, 2018</w:t>
    </w:r>
    <w:r w:rsidR="005479FC">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3D10" w:rsidRDefault="00A73D10" w:rsidP="00220732">
    <w:pPr>
      <w:pStyle w:val="Header"/>
      <w:tabs>
        <w:tab w:val="clear" w:pos="4320"/>
        <w:tab w:val="clear" w:pos="8640"/>
        <w:tab w:val="right" w:pos="9360"/>
      </w:tabs>
    </w:pPr>
    <w:r>
      <w:t>Docket No. 20180001-EI</w:t>
    </w:r>
    <w:r>
      <w:tab/>
      <w:t>Issue 36</w:t>
    </w:r>
  </w:p>
  <w:p w:rsidR="00A73D10" w:rsidRDefault="00A73D10">
    <w:pPr>
      <w:pStyle w:val="Header"/>
    </w:pPr>
    <w:r>
      <w:t xml:space="preserve">Date: </w:t>
    </w:r>
    <w:r w:rsidR="005479FC">
      <w:fldChar w:fldCharType="begin"/>
    </w:r>
    <w:r w:rsidR="005479FC">
      <w:instrText xml:space="preserve"> REF FilingDate </w:instrText>
    </w:r>
    <w:r w:rsidR="005479FC">
      <w:fldChar w:fldCharType="separate"/>
    </w:r>
    <w:r w:rsidR="006F23BB">
      <w:t>November 29, 2018</w:t>
    </w:r>
    <w:r w:rsidR="005479FC">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25607BED"/>
    <w:multiLevelType w:val="hybridMultilevel"/>
    <w:tmpl w:val="3D44E0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A822FC"/>
    <w:multiLevelType w:val="hybridMultilevel"/>
    <w:tmpl w:val="25440324"/>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C06F14"/>
    <w:multiLevelType w:val="hybridMultilevel"/>
    <w:tmpl w:val="25440324"/>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273486"/>
    <w:multiLevelType w:val="hybridMultilevel"/>
    <w:tmpl w:val="67A25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573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663B11"/>
    <w:rsid w:val="000043D5"/>
    <w:rsid w:val="00006170"/>
    <w:rsid w:val="00010E37"/>
    <w:rsid w:val="00014BF3"/>
    <w:rsid w:val="000172DA"/>
    <w:rsid w:val="00022B6F"/>
    <w:rsid w:val="00023FFE"/>
    <w:rsid w:val="000247C5"/>
    <w:rsid w:val="000277C2"/>
    <w:rsid w:val="000333CD"/>
    <w:rsid w:val="00035B48"/>
    <w:rsid w:val="00036CE2"/>
    <w:rsid w:val="000437FE"/>
    <w:rsid w:val="000513BE"/>
    <w:rsid w:val="00065A06"/>
    <w:rsid w:val="000666F3"/>
    <w:rsid w:val="00067288"/>
    <w:rsid w:val="00070DCB"/>
    <w:rsid w:val="00073120"/>
    <w:rsid w:val="000764D0"/>
    <w:rsid w:val="000828D3"/>
    <w:rsid w:val="000A2B57"/>
    <w:rsid w:val="000A2EDF"/>
    <w:rsid w:val="000A418B"/>
    <w:rsid w:val="000C3A67"/>
    <w:rsid w:val="000C4431"/>
    <w:rsid w:val="000D0C09"/>
    <w:rsid w:val="000D1C06"/>
    <w:rsid w:val="000D1FC7"/>
    <w:rsid w:val="000D4319"/>
    <w:rsid w:val="000D6954"/>
    <w:rsid w:val="000F374A"/>
    <w:rsid w:val="001076AF"/>
    <w:rsid w:val="0011141D"/>
    <w:rsid w:val="00117C8C"/>
    <w:rsid w:val="00124933"/>
    <w:rsid w:val="00124E2E"/>
    <w:rsid w:val="00125ED4"/>
    <w:rsid w:val="001305E9"/>
    <w:rsid w:val="001307AF"/>
    <w:rsid w:val="0013546E"/>
    <w:rsid w:val="00135687"/>
    <w:rsid w:val="00136A86"/>
    <w:rsid w:val="00136F85"/>
    <w:rsid w:val="001429A9"/>
    <w:rsid w:val="00152061"/>
    <w:rsid w:val="0015506E"/>
    <w:rsid w:val="001628F0"/>
    <w:rsid w:val="00163031"/>
    <w:rsid w:val="00171A90"/>
    <w:rsid w:val="0017523A"/>
    <w:rsid w:val="00180254"/>
    <w:rsid w:val="00191E1F"/>
    <w:rsid w:val="00192943"/>
    <w:rsid w:val="0019419E"/>
    <w:rsid w:val="001A7406"/>
    <w:rsid w:val="001B4FEE"/>
    <w:rsid w:val="001B51C5"/>
    <w:rsid w:val="001B561E"/>
    <w:rsid w:val="001B6F3F"/>
    <w:rsid w:val="001C52B5"/>
    <w:rsid w:val="001C7A8C"/>
    <w:rsid w:val="001D0D3E"/>
    <w:rsid w:val="001E4A95"/>
    <w:rsid w:val="001F2245"/>
    <w:rsid w:val="001F2B76"/>
    <w:rsid w:val="001F2C63"/>
    <w:rsid w:val="001F48C7"/>
    <w:rsid w:val="001F6DA1"/>
    <w:rsid w:val="002044E6"/>
    <w:rsid w:val="00205C82"/>
    <w:rsid w:val="00205DC2"/>
    <w:rsid w:val="00212B17"/>
    <w:rsid w:val="00213A3C"/>
    <w:rsid w:val="002163B6"/>
    <w:rsid w:val="0021748B"/>
    <w:rsid w:val="00220732"/>
    <w:rsid w:val="00221D32"/>
    <w:rsid w:val="00225C3F"/>
    <w:rsid w:val="002341E9"/>
    <w:rsid w:val="00261914"/>
    <w:rsid w:val="00263D44"/>
    <w:rsid w:val="002702AD"/>
    <w:rsid w:val="0028076A"/>
    <w:rsid w:val="0028120C"/>
    <w:rsid w:val="00292D82"/>
    <w:rsid w:val="00293F63"/>
    <w:rsid w:val="002963CB"/>
    <w:rsid w:val="002B28C3"/>
    <w:rsid w:val="002C3299"/>
    <w:rsid w:val="002D226D"/>
    <w:rsid w:val="002E4C6E"/>
    <w:rsid w:val="002F6030"/>
    <w:rsid w:val="002F630D"/>
    <w:rsid w:val="003020AD"/>
    <w:rsid w:val="003037E1"/>
    <w:rsid w:val="00304D65"/>
    <w:rsid w:val="00307E51"/>
    <w:rsid w:val="003103EC"/>
    <w:rsid w:val="00313EE6"/>
    <w:rsid w:val="003144EF"/>
    <w:rsid w:val="00321FAC"/>
    <w:rsid w:val="00322F74"/>
    <w:rsid w:val="003378CE"/>
    <w:rsid w:val="00340073"/>
    <w:rsid w:val="0034595C"/>
    <w:rsid w:val="00352561"/>
    <w:rsid w:val="00356932"/>
    <w:rsid w:val="00357361"/>
    <w:rsid w:val="003632FD"/>
    <w:rsid w:val="003676B5"/>
    <w:rsid w:val="00372805"/>
    <w:rsid w:val="00373180"/>
    <w:rsid w:val="00375AB9"/>
    <w:rsid w:val="003821A0"/>
    <w:rsid w:val="00385B04"/>
    <w:rsid w:val="003864CF"/>
    <w:rsid w:val="00390FB3"/>
    <w:rsid w:val="0039294F"/>
    <w:rsid w:val="003A22A6"/>
    <w:rsid w:val="003A5494"/>
    <w:rsid w:val="003B0FE1"/>
    <w:rsid w:val="003B2510"/>
    <w:rsid w:val="003B2951"/>
    <w:rsid w:val="003C246E"/>
    <w:rsid w:val="003C2CC4"/>
    <w:rsid w:val="003C3710"/>
    <w:rsid w:val="003E0675"/>
    <w:rsid w:val="003E0EFC"/>
    <w:rsid w:val="003E4A2B"/>
    <w:rsid w:val="003E76C2"/>
    <w:rsid w:val="003F1679"/>
    <w:rsid w:val="003F21EB"/>
    <w:rsid w:val="003F4A35"/>
    <w:rsid w:val="003F7FDD"/>
    <w:rsid w:val="00402481"/>
    <w:rsid w:val="004042B4"/>
    <w:rsid w:val="00410DC4"/>
    <w:rsid w:val="00412DAE"/>
    <w:rsid w:val="00417558"/>
    <w:rsid w:val="004242E6"/>
    <w:rsid w:val="00431598"/>
    <w:rsid w:val="004319AD"/>
    <w:rsid w:val="004426B8"/>
    <w:rsid w:val="00444432"/>
    <w:rsid w:val="0045157E"/>
    <w:rsid w:val="0046237A"/>
    <w:rsid w:val="00462BFA"/>
    <w:rsid w:val="00471860"/>
    <w:rsid w:val="00484C9B"/>
    <w:rsid w:val="004A1C9F"/>
    <w:rsid w:val="004A744D"/>
    <w:rsid w:val="004B60BD"/>
    <w:rsid w:val="004B79DD"/>
    <w:rsid w:val="004C3150"/>
    <w:rsid w:val="004C3641"/>
    <w:rsid w:val="004C4390"/>
    <w:rsid w:val="004C4AF7"/>
    <w:rsid w:val="004D2881"/>
    <w:rsid w:val="004D385F"/>
    <w:rsid w:val="004D520E"/>
    <w:rsid w:val="004D5B39"/>
    <w:rsid w:val="004E330D"/>
    <w:rsid w:val="004E5147"/>
    <w:rsid w:val="004E78DC"/>
    <w:rsid w:val="004F1CC7"/>
    <w:rsid w:val="004F5C43"/>
    <w:rsid w:val="005042BB"/>
    <w:rsid w:val="0050652D"/>
    <w:rsid w:val="00506C03"/>
    <w:rsid w:val="00511A11"/>
    <w:rsid w:val="005123EE"/>
    <w:rsid w:val="00516496"/>
    <w:rsid w:val="00523B11"/>
    <w:rsid w:val="0052405B"/>
    <w:rsid w:val="0052572A"/>
    <w:rsid w:val="00542FA5"/>
    <w:rsid w:val="00543CB3"/>
    <w:rsid w:val="005442E4"/>
    <w:rsid w:val="005470E3"/>
    <w:rsid w:val="00560FF0"/>
    <w:rsid w:val="005614BD"/>
    <w:rsid w:val="0056268D"/>
    <w:rsid w:val="00566E80"/>
    <w:rsid w:val="0057154F"/>
    <w:rsid w:val="00580F69"/>
    <w:rsid w:val="00581CA3"/>
    <w:rsid w:val="00587A44"/>
    <w:rsid w:val="005938D1"/>
    <w:rsid w:val="00597730"/>
    <w:rsid w:val="005977EC"/>
    <w:rsid w:val="00597DE7"/>
    <w:rsid w:val="005A4AA2"/>
    <w:rsid w:val="005B12E7"/>
    <w:rsid w:val="005B34B6"/>
    <w:rsid w:val="005B6C8F"/>
    <w:rsid w:val="005B6EC3"/>
    <w:rsid w:val="005B7A61"/>
    <w:rsid w:val="005B7B6F"/>
    <w:rsid w:val="005D0F74"/>
    <w:rsid w:val="005D2E7D"/>
    <w:rsid w:val="005D377D"/>
    <w:rsid w:val="005D4A8F"/>
    <w:rsid w:val="005D561B"/>
    <w:rsid w:val="005D5ECF"/>
    <w:rsid w:val="005E2F62"/>
    <w:rsid w:val="005E3BB3"/>
    <w:rsid w:val="005F468D"/>
    <w:rsid w:val="005F69A3"/>
    <w:rsid w:val="00604CC7"/>
    <w:rsid w:val="00615423"/>
    <w:rsid w:val="006165B2"/>
    <w:rsid w:val="00617276"/>
    <w:rsid w:val="0062527B"/>
    <w:rsid w:val="00625D97"/>
    <w:rsid w:val="00625F1C"/>
    <w:rsid w:val="006279E1"/>
    <w:rsid w:val="00630CEB"/>
    <w:rsid w:val="00632264"/>
    <w:rsid w:val="0063629F"/>
    <w:rsid w:val="006452BB"/>
    <w:rsid w:val="006470BC"/>
    <w:rsid w:val="006554D3"/>
    <w:rsid w:val="00655AF7"/>
    <w:rsid w:val="00663B11"/>
    <w:rsid w:val="00667036"/>
    <w:rsid w:val="00673BDB"/>
    <w:rsid w:val="00674341"/>
    <w:rsid w:val="006771B8"/>
    <w:rsid w:val="006843B6"/>
    <w:rsid w:val="0068481F"/>
    <w:rsid w:val="006928FF"/>
    <w:rsid w:val="00696F5D"/>
    <w:rsid w:val="00697249"/>
    <w:rsid w:val="006A2BEF"/>
    <w:rsid w:val="006B05E0"/>
    <w:rsid w:val="006B3947"/>
    <w:rsid w:val="006B4293"/>
    <w:rsid w:val="006B624F"/>
    <w:rsid w:val="006C0C95"/>
    <w:rsid w:val="006C31E3"/>
    <w:rsid w:val="006C737D"/>
    <w:rsid w:val="006D18D3"/>
    <w:rsid w:val="006E08CB"/>
    <w:rsid w:val="006E598D"/>
    <w:rsid w:val="006F23BB"/>
    <w:rsid w:val="00701F9A"/>
    <w:rsid w:val="0070437D"/>
    <w:rsid w:val="00704CF1"/>
    <w:rsid w:val="00705B04"/>
    <w:rsid w:val="007154B2"/>
    <w:rsid w:val="0071623B"/>
    <w:rsid w:val="00724992"/>
    <w:rsid w:val="00734820"/>
    <w:rsid w:val="007349DC"/>
    <w:rsid w:val="00735D8C"/>
    <w:rsid w:val="00741BAA"/>
    <w:rsid w:val="0074365E"/>
    <w:rsid w:val="00744B55"/>
    <w:rsid w:val="0075075D"/>
    <w:rsid w:val="007515FD"/>
    <w:rsid w:val="007578E9"/>
    <w:rsid w:val="00760D80"/>
    <w:rsid w:val="007620EE"/>
    <w:rsid w:val="00780C09"/>
    <w:rsid w:val="00780DDF"/>
    <w:rsid w:val="007834E9"/>
    <w:rsid w:val="00787DBC"/>
    <w:rsid w:val="0079019A"/>
    <w:rsid w:val="007911DA"/>
    <w:rsid w:val="00792935"/>
    <w:rsid w:val="007A04A1"/>
    <w:rsid w:val="007A1840"/>
    <w:rsid w:val="007B21A6"/>
    <w:rsid w:val="007C0528"/>
    <w:rsid w:val="007C26EA"/>
    <w:rsid w:val="007C3D38"/>
    <w:rsid w:val="007D0F35"/>
    <w:rsid w:val="007D2BBF"/>
    <w:rsid w:val="007D4FEB"/>
    <w:rsid w:val="007D6146"/>
    <w:rsid w:val="007E0CE7"/>
    <w:rsid w:val="007F1193"/>
    <w:rsid w:val="007F417F"/>
    <w:rsid w:val="007F7644"/>
    <w:rsid w:val="008042BD"/>
    <w:rsid w:val="008055E3"/>
    <w:rsid w:val="008073AE"/>
    <w:rsid w:val="00816624"/>
    <w:rsid w:val="00817795"/>
    <w:rsid w:val="00822427"/>
    <w:rsid w:val="00822562"/>
    <w:rsid w:val="00823663"/>
    <w:rsid w:val="00831C5D"/>
    <w:rsid w:val="00832DDC"/>
    <w:rsid w:val="00850BAC"/>
    <w:rsid w:val="00853546"/>
    <w:rsid w:val="00854A3E"/>
    <w:rsid w:val="00855D08"/>
    <w:rsid w:val="00874344"/>
    <w:rsid w:val="00882155"/>
    <w:rsid w:val="0088233B"/>
    <w:rsid w:val="0088372D"/>
    <w:rsid w:val="0088599E"/>
    <w:rsid w:val="00886C37"/>
    <w:rsid w:val="00892D99"/>
    <w:rsid w:val="00893315"/>
    <w:rsid w:val="008B62AE"/>
    <w:rsid w:val="008C04B5"/>
    <w:rsid w:val="008C14FA"/>
    <w:rsid w:val="008C7B0B"/>
    <w:rsid w:val="008D4057"/>
    <w:rsid w:val="008E1199"/>
    <w:rsid w:val="008E1F19"/>
    <w:rsid w:val="008E5D29"/>
    <w:rsid w:val="008F2262"/>
    <w:rsid w:val="008F4D2B"/>
    <w:rsid w:val="008F6205"/>
    <w:rsid w:val="008F7452"/>
    <w:rsid w:val="008F7736"/>
    <w:rsid w:val="0090019E"/>
    <w:rsid w:val="00901086"/>
    <w:rsid w:val="00901C8A"/>
    <w:rsid w:val="00905886"/>
    <w:rsid w:val="009070D6"/>
    <w:rsid w:val="009076C6"/>
    <w:rsid w:val="0091019E"/>
    <w:rsid w:val="009106F1"/>
    <w:rsid w:val="00911B15"/>
    <w:rsid w:val="00912404"/>
    <w:rsid w:val="009145D6"/>
    <w:rsid w:val="0091580B"/>
    <w:rsid w:val="00920E64"/>
    <w:rsid w:val="00921984"/>
    <w:rsid w:val="00922002"/>
    <w:rsid w:val="00924020"/>
    <w:rsid w:val="009271A7"/>
    <w:rsid w:val="0093658B"/>
    <w:rsid w:val="00937DF3"/>
    <w:rsid w:val="009419C3"/>
    <w:rsid w:val="009429FF"/>
    <w:rsid w:val="00945BD6"/>
    <w:rsid w:val="009479FB"/>
    <w:rsid w:val="00951C45"/>
    <w:rsid w:val="00952CFD"/>
    <w:rsid w:val="009537EF"/>
    <w:rsid w:val="009656F2"/>
    <w:rsid w:val="00966A08"/>
    <w:rsid w:val="00971207"/>
    <w:rsid w:val="00975CB4"/>
    <w:rsid w:val="00980CC8"/>
    <w:rsid w:val="009863B0"/>
    <w:rsid w:val="00987DE1"/>
    <w:rsid w:val="00990571"/>
    <w:rsid w:val="0099673A"/>
    <w:rsid w:val="009A3330"/>
    <w:rsid w:val="009A4C9B"/>
    <w:rsid w:val="009A5540"/>
    <w:rsid w:val="009A7C96"/>
    <w:rsid w:val="009B005F"/>
    <w:rsid w:val="009C3DB9"/>
    <w:rsid w:val="009C4FA8"/>
    <w:rsid w:val="009C5E43"/>
    <w:rsid w:val="009D067F"/>
    <w:rsid w:val="009D1013"/>
    <w:rsid w:val="009D46E5"/>
    <w:rsid w:val="009D568A"/>
    <w:rsid w:val="009E2FDC"/>
    <w:rsid w:val="009F04EC"/>
    <w:rsid w:val="009F2A7C"/>
    <w:rsid w:val="009F3B36"/>
    <w:rsid w:val="00A019B9"/>
    <w:rsid w:val="00A04651"/>
    <w:rsid w:val="00A12508"/>
    <w:rsid w:val="00A1282B"/>
    <w:rsid w:val="00A13A27"/>
    <w:rsid w:val="00A175B6"/>
    <w:rsid w:val="00A21835"/>
    <w:rsid w:val="00A2374B"/>
    <w:rsid w:val="00A27D6E"/>
    <w:rsid w:val="00A328EC"/>
    <w:rsid w:val="00A33A51"/>
    <w:rsid w:val="00A41CA6"/>
    <w:rsid w:val="00A45FAD"/>
    <w:rsid w:val="00A46885"/>
    <w:rsid w:val="00A47927"/>
    <w:rsid w:val="00A47AF5"/>
    <w:rsid w:val="00A47FFC"/>
    <w:rsid w:val="00A53710"/>
    <w:rsid w:val="00A5442F"/>
    <w:rsid w:val="00A54FF9"/>
    <w:rsid w:val="00A56765"/>
    <w:rsid w:val="00A62316"/>
    <w:rsid w:val="00A62EB6"/>
    <w:rsid w:val="00A675AC"/>
    <w:rsid w:val="00A7169F"/>
    <w:rsid w:val="00A733FC"/>
    <w:rsid w:val="00A73D10"/>
    <w:rsid w:val="00A746C9"/>
    <w:rsid w:val="00A7581F"/>
    <w:rsid w:val="00A81C23"/>
    <w:rsid w:val="00A8267F"/>
    <w:rsid w:val="00A847D5"/>
    <w:rsid w:val="00A92FB1"/>
    <w:rsid w:val="00A95A0C"/>
    <w:rsid w:val="00A96B0A"/>
    <w:rsid w:val="00A97E20"/>
    <w:rsid w:val="00AA1081"/>
    <w:rsid w:val="00AA2765"/>
    <w:rsid w:val="00AA77B5"/>
    <w:rsid w:val="00AB6C5D"/>
    <w:rsid w:val="00AC3401"/>
    <w:rsid w:val="00AC3F1E"/>
    <w:rsid w:val="00AC51A7"/>
    <w:rsid w:val="00AD444B"/>
    <w:rsid w:val="00AD4A9E"/>
    <w:rsid w:val="00AD6C78"/>
    <w:rsid w:val="00AE2EAB"/>
    <w:rsid w:val="00AF5F89"/>
    <w:rsid w:val="00AF679B"/>
    <w:rsid w:val="00AF73CB"/>
    <w:rsid w:val="00B002D6"/>
    <w:rsid w:val="00B03379"/>
    <w:rsid w:val="00B05B51"/>
    <w:rsid w:val="00B14E5A"/>
    <w:rsid w:val="00B15370"/>
    <w:rsid w:val="00B16DA4"/>
    <w:rsid w:val="00B17BEB"/>
    <w:rsid w:val="00B17F39"/>
    <w:rsid w:val="00B21A3C"/>
    <w:rsid w:val="00B223C0"/>
    <w:rsid w:val="00B234ED"/>
    <w:rsid w:val="00B249B2"/>
    <w:rsid w:val="00B25CA3"/>
    <w:rsid w:val="00B2765A"/>
    <w:rsid w:val="00B3109A"/>
    <w:rsid w:val="00B33504"/>
    <w:rsid w:val="00B403E9"/>
    <w:rsid w:val="00B42D6C"/>
    <w:rsid w:val="00B516ED"/>
    <w:rsid w:val="00B57A6A"/>
    <w:rsid w:val="00B760F1"/>
    <w:rsid w:val="00B7669E"/>
    <w:rsid w:val="00B77DA1"/>
    <w:rsid w:val="00B80532"/>
    <w:rsid w:val="00B822A0"/>
    <w:rsid w:val="00B82426"/>
    <w:rsid w:val="00B8476D"/>
    <w:rsid w:val="00B858AE"/>
    <w:rsid w:val="00B85964"/>
    <w:rsid w:val="00B864B9"/>
    <w:rsid w:val="00B93607"/>
    <w:rsid w:val="00B96250"/>
    <w:rsid w:val="00BA0D55"/>
    <w:rsid w:val="00BA37B3"/>
    <w:rsid w:val="00BA4CC6"/>
    <w:rsid w:val="00BA6250"/>
    <w:rsid w:val="00BB1038"/>
    <w:rsid w:val="00BB3493"/>
    <w:rsid w:val="00BB7468"/>
    <w:rsid w:val="00BC188A"/>
    <w:rsid w:val="00BC1A58"/>
    <w:rsid w:val="00BC2419"/>
    <w:rsid w:val="00BC402E"/>
    <w:rsid w:val="00BD0F48"/>
    <w:rsid w:val="00BD3423"/>
    <w:rsid w:val="00BD77FA"/>
    <w:rsid w:val="00BE688F"/>
    <w:rsid w:val="00BF04E3"/>
    <w:rsid w:val="00BF5010"/>
    <w:rsid w:val="00BF5801"/>
    <w:rsid w:val="00BF6048"/>
    <w:rsid w:val="00C03D5F"/>
    <w:rsid w:val="00C13791"/>
    <w:rsid w:val="00C157FC"/>
    <w:rsid w:val="00C21C8F"/>
    <w:rsid w:val="00C255ED"/>
    <w:rsid w:val="00C31BB3"/>
    <w:rsid w:val="00C36977"/>
    <w:rsid w:val="00C467DA"/>
    <w:rsid w:val="00C477D9"/>
    <w:rsid w:val="00C60BA3"/>
    <w:rsid w:val="00C623F7"/>
    <w:rsid w:val="00C717E6"/>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A6166"/>
    <w:rsid w:val="00CB0E11"/>
    <w:rsid w:val="00CB1777"/>
    <w:rsid w:val="00CB2DAE"/>
    <w:rsid w:val="00CB33E9"/>
    <w:rsid w:val="00CB7B0C"/>
    <w:rsid w:val="00CC10A9"/>
    <w:rsid w:val="00CC6EFC"/>
    <w:rsid w:val="00CD13EB"/>
    <w:rsid w:val="00CD7395"/>
    <w:rsid w:val="00CE2BF8"/>
    <w:rsid w:val="00CE484E"/>
    <w:rsid w:val="00CE656F"/>
    <w:rsid w:val="00CF0DA8"/>
    <w:rsid w:val="00CF2E25"/>
    <w:rsid w:val="00CF4453"/>
    <w:rsid w:val="00CF5D94"/>
    <w:rsid w:val="00CF7DB5"/>
    <w:rsid w:val="00CF7E0F"/>
    <w:rsid w:val="00D034D7"/>
    <w:rsid w:val="00D041F3"/>
    <w:rsid w:val="00D04BE4"/>
    <w:rsid w:val="00D06FC7"/>
    <w:rsid w:val="00D12565"/>
    <w:rsid w:val="00D14127"/>
    <w:rsid w:val="00D15EEF"/>
    <w:rsid w:val="00D2253A"/>
    <w:rsid w:val="00D60B16"/>
    <w:rsid w:val="00D60F02"/>
    <w:rsid w:val="00D66E49"/>
    <w:rsid w:val="00D70D71"/>
    <w:rsid w:val="00D72F74"/>
    <w:rsid w:val="00D81563"/>
    <w:rsid w:val="00D85907"/>
    <w:rsid w:val="00D9073E"/>
    <w:rsid w:val="00D9221D"/>
    <w:rsid w:val="00D958DF"/>
    <w:rsid w:val="00D96DA1"/>
    <w:rsid w:val="00DA2B77"/>
    <w:rsid w:val="00DA51E7"/>
    <w:rsid w:val="00DB0260"/>
    <w:rsid w:val="00DB1C78"/>
    <w:rsid w:val="00DB7D96"/>
    <w:rsid w:val="00DC23FE"/>
    <w:rsid w:val="00DC55A1"/>
    <w:rsid w:val="00DC59E6"/>
    <w:rsid w:val="00DD150B"/>
    <w:rsid w:val="00DD5025"/>
    <w:rsid w:val="00DF1510"/>
    <w:rsid w:val="00DF1FD0"/>
    <w:rsid w:val="00E02F1F"/>
    <w:rsid w:val="00E06484"/>
    <w:rsid w:val="00E107C8"/>
    <w:rsid w:val="00E20A7D"/>
    <w:rsid w:val="00E275D8"/>
    <w:rsid w:val="00E30F6A"/>
    <w:rsid w:val="00E3117C"/>
    <w:rsid w:val="00E375CA"/>
    <w:rsid w:val="00E567E8"/>
    <w:rsid w:val="00E56B4E"/>
    <w:rsid w:val="00E62523"/>
    <w:rsid w:val="00E64679"/>
    <w:rsid w:val="00E65EBC"/>
    <w:rsid w:val="00E6683B"/>
    <w:rsid w:val="00E677FE"/>
    <w:rsid w:val="00E73432"/>
    <w:rsid w:val="00E77B0C"/>
    <w:rsid w:val="00E77FB8"/>
    <w:rsid w:val="00E838B0"/>
    <w:rsid w:val="00E86A7C"/>
    <w:rsid w:val="00E878E1"/>
    <w:rsid w:val="00E87F2C"/>
    <w:rsid w:val="00E95278"/>
    <w:rsid w:val="00EA2273"/>
    <w:rsid w:val="00EA30B2"/>
    <w:rsid w:val="00EA7C3C"/>
    <w:rsid w:val="00EB2DB3"/>
    <w:rsid w:val="00EC3FBB"/>
    <w:rsid w:val="00EC6B7A"/>
    <w:rsid w:val="00ED3A87"/>
    <w:rsid w:val="00ED5B67"/>
    <w:rsid w:val="00EE4287"/>
    <w:rsid w:val="00EF264C"/>
    <w:rsid w:val="00EF3168"/>
    <w:rsid w:val="00EF3FEE"/>
    <w:rsid w:val="00F0327D"/>
    <w:rsid w:val="00F04B59"/>
    <w:rsid w:val="00F11741"/>
    <w:rsid w:val="00F12740"/>
    <w:rsid w:val="00F12B1C"/>
    <w:rsid w:val="00F13CF8"/>
    <w:rsid w:val="00F15855"/>
    <w:rsid w:val="00F21B29"/>
    <w:rsid w:val="00F22507"/>
    <w:rsid w:val="00F22F0A"/>
    <w:rsid w:val="00F32978"/>
    <w:rsid w:val="00F45CB2"/>
    <w:rsid w:val="00F544C0"/>
    <w:rsid w:val="00F55332"/>
    <w:rsid w:val="00F60019"/>
    <w:rsid w:val="00F61C2C"/>
    <w:rsid w:val="00F6504A"/>
    <w:rsid w:val="00F65519"/>
    <w:rsid w:val="00F65869"/>
    <w:rsid w:val="00F65B19"/>
    <w:rsid w:val="00F713C0"/>
    <w:rsid w:val="00F75DDC"/>
    <w:rsid w:val="00F7792F"/>
    <w:rsid w:val="00F804F6"/>
    <w:rsid w:val="00F83364"/>
    <w:rsid w:val="00F842AA"/>
    <w:rsid w:val="00F8476F"/>
    <w:rsid w:val="00F853E1"/>
    <w:rsid w:val="00F85604"/>
    <w:rsid w:val="00F94B7A"/>
    <w:rsid w:val="00FA17AC"/>
    <w:rsid w:val="00FA2C15"/>
    <w:rsid w:val="00FA32DE"/>
    <w:rsid w:val="00FA3382"/>
    <w:rsid w:val="00FA569F"/>
    <w:rsid w:val="00FA59CD"/>
    <w:rsid w:val="00FB1740"/>
    <w:rsid w:val="00FB7061"/>
    <w:rsid w:val="00FC5469"/>
    <w:rsid w:val="00FC6D7D"/>
    <w:rsid w:val="00FC78B5"/>
    <w:rsid w:val="00FC7B98"/>
    <w:rsid w:val="00FD16B0"/>
    <w:rsid w:val="00FD4CC6"/>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Strong">
    <w:name w:val="Strong"/>
    <w:basedOn w:val="DefaultParagraphFont"/>
    <w:uiPriority w:val="22"/>
    <w:qFormat/>
    <w:rsid w:val="00B93607"/>
    <w:rPr>
      <w:b/>
      <w:bCs/>
    </w:rPr>
  </w:style>
  <w:style w:type="character" w:customStyle="1" w:styleId="FootnoteTextChar">
    <w:name w:val="Footnote Text Char"/>
    <w:basedOn w:val="DefaultParagraphFont"/>
    <w:link w:val="FootnoteText"/>
    <w:uiPriority w:val="99"/>
    <w:rsid w:val="000D0C09"/>
  </w:style>
  <w:style w:type="character" w:styleId="FootnoteReference">
    <w:name w:val="footnote reference"/>
    <w:basedOn w:val="DefaultParagraphFont"/>
    <w:uiPriority w:val="99"/>
    <w:unhideWhenUsed/>
    <w:rsid w:val="000D0C09"/>
    <w:rPr>
      <w:vertAlign w:val="superscript"/>
    </w:rPr>
  </w:style>
  <w:style w:type="paragraph" w:styleId="ListParagraph">
    <w:name w:val="List Paragraph"/>
    <w:basedOn w:val="Normal"/>
    <w:uiPriority w:val="34"/>
    <w:qFormat/>
    <w:rsid w:val="00321FAC"/>
    <w:pPr>
      <w:ind w:left="720"/>
      <w:contextualSpacing/>
    </w:pPr>
  </w:style>
  <w:style w:type="paragraph" w:customStyle="1" w:styleId="BodyText2S">
    <w:name w:val="Body Text 2S"/>
    <w:basedOn w:val="Normal"/>
    <w:link w:val="BodyText2SChar"/>
    <w:qFormat/>
    <w:rsid w:val="00DA2B77"/>
    <w:pPr>
      <w:spacing w:line="480" w:lineRule="auto"/>
      <w:ind w:firstLine="720"/>
      <w:jc w:val="both"/>
    </w:pPr>
    <w:rPr>
      <w:rFonts w:eastAsiaTheme="minorHAnsi"/>
      <w:szCs w:val="20"/>
    </w:rPr>
  </w:style>
  <w:style w:type="character" w:customStyle="1" w:styleId="BodyText2SChar">
    <w:name w:val="Body Text 2S Char"/>
    <w:basedOn w:val="DefaultParagraphFont"/>
    <w:link w:val="BodyText2S"/>
    <w:rsid w:val="00DA2B77"/>
    <w:rPr>
      <w:rFonts w:eastAsiaTheme="minorHAnsi"/>
      <w:sz w:val="24"/>
    </w:rPr>
  </w:style>
  <w:style w:type="character" w:customStyle="1" w:styleId="FooterChar">
    <w:name w:val="Footer Char"/>
    <w:basedOn w:val="DefaultParagraphFont"/>
    <w:link w:val="Footer"/>
    <w:uiPriority w:val="99"/>
    <w:rsid w:val="00C21C8F"/>
    <w:rPr>
      <w:sz w:val="24"/>
      <w:szCs w:val="24"/>
    </w:rPr>
  </w:style>
  <w:style w:type="character" w:styleId="LineNumber">
    <w:name w:val="line number"/>
    <w:basedOn w:val="DefaultParagraphFont"/>
    <w:rsid w:val="001B561E"/>
  </w:style>
  <w:style w:type="paragraph" w:customStyle="1" w:styleId="Default">
    <w:name w:val="Default"/>
    <w:rsid w:val="005470E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note text" w:uiPriority="99"/>
    <w:lsdException w:name="footer" w:uiPriority="99"/>
    <w:lsdException w:name="caption"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link w:val="FooterChar"/>
    <w:uiPriority w:val="99"/>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Strong">
    <w:name w:val="Strong"/>
    <w:basedOn w:val="DefaultParagraphFont"/>
    <w:uiPriority w:val="22"/>
    <w:qFormat/>
    <w:rsid w:val="00B93607"/>
    <w:rPr>
      <w:b/>
      <w:bCs/>
    </w:rPr>
  </w:style>
  <w:style w:type="character" w:customStyle="1" w:styleId="FootnoteTextChar">
    <w:name w:val="Footnote Text Char"/>
    <w:basedOn w:val="DefaultParagraphFont"/>
    <w:link w:val="FootnoteText"/>
    <w:uiPriority w:val="99"/>
    <w:rsid w:val="000D0C09"/>
  </w:style>
  <w:style w:type="character" w:styleId="FootnoteReference">
    <w:name w:val="footnote reference"/>
    <w:basedOn w:val="DefaultParagraphFont"/>
    <w:uiPriority w:val="99"/>
    <w:unhideWhenUsed/>
    <w:rsid w:val="000D0C09"/>
    <w:rPr>
      <w:vertAlign w:val="superscript"/>
    </w:rPr>
  </w:style>
  <w:style w:type="paragraph" w:styleId="ListParagraph">
    <w:name w:val="List Paragraph"/>
    <w:basedOn w:val="Normal"/>
    <w:uiPriority w:val="34"/>
    <w:qFormat/>
    <w:rsid w:val="00321FAC"/>
    <w:pPr>
      <w:ind w:left="720"/>
      <w:contextualSpacing/>
    </w:pPr>
  </w:style>
  <w:style w:type="paragraph" w:customStyle="1" w:styleId="BodyText2S">
    <w:name w:val="Body Text 2S"/>
    <w:basedOn w:val="Normal"/>
    <w:link w:val="BodyText2SChar"/>
    <w:qFormat/>
    <w:rsid w:val="00DA2B77"/>
    <w:pPr>
      <w:spacing w:line="480" w:lineRule="auto"/>
      <w:ind w:firstLine="720"/>
      <w:jc w:val="both"/>
    </w:pPr>
    <w:rPr>
      <w:rFonts w:eastAsiaTheme="minorHAnsi"/>
      <w:szCs w:val="20"/>
    </w:rPr>
  </w:style>
  <w:style w:type="character" w:customStyle="1" w:styleId="BodyText2SChar">
    <w:name w:val="Body Text 2S Char"/>
    <w:basedOn w:val="DefaultParagraphFont"/>
    <w:link w:val="BodyText2S"/>
    <w:rsid w:val="00DA2B77"/>
    <w:rPr>
      <w:rFonts w:eastAsiaTheme="minorHAnsi"/>
      <w:sz w:val="24"/>
    </w:rPr>
  </w:style>
  <w:style w:type="character" w:customStyle="1" w:styleId="FooterChar">
    <w:name w:val="Footer Char"/>
    <w:basedOn w:val="DefaultParagraphFont"/>
    <w:link w:val="Footer"/>
    <w:uiPriority w:val="99"/>
    <w:rsid w:val="00C21C8F"/>
    <w:rPr>
      <w:sz w:val="24"/>
      <w:szCs w:val="24"/>
    </w:rPr>
  </w:style>
  <w:style w:type="character" w:styleId="LineNumber">
    <w:name w:val="line number"/>
    <w:basedOn w:val="DefaultParagraphFont"/>
    <w:rsid w:val="001B561E"/>
  </w:style>
  <w:style w:type="paragraph" w:customStyle="1" w:styleId="Default">
    <w:name w:val="Default"/>
    <w:rsid w:val="005470E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170052">
      <w:bodyDiv w:val="1"/>
      <w:marLeft w:val="0"/>
      <w:marRight w:val="0"/>
      <w:marTop w:val="0"/>
      <w:marBottom w:val="0"/>
      <w:divBdr>
        <w:top w:val="none" w:sz="0" w:space="0" w:color="auto"/>
        <w:left w:val="none" w:sz="0" w:space="0" w:color="auto"/>
        <w:bottom w:val="none" w:sz="0" w:space="0" w:color="auto"/>
        <w:right w:val="none" w:sz="0" w:space="0" w:color="auto"/>
      </w:divBdr>
    </w:div>
    <w:div w:id="1286159959">
      <w:bodyDiv w:val="1"/>
      <w:marLeft w:val="0"/>
      <w:marRight w:val="0"/>
      <w:marTop w:val="0"/>
      <w:marBottom w:val="0"/>
      <w:divBdr>
        <w:top w:val="none" w:sz="0" w:space="0" w:color="auto"/>
        <w:left w:val="none" w:sz="0" w:space="0" w:color="auto"/>
        <w:bottom w:val="none" w:sz="0" w:space="0" w:color="auto"/>
        <w:right w:val="none" w:sz="0" w:space="0" w:color="auto"/>
      </w:divBdr>
    </w:div>
    <w:div w:id="12945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20A3E-67EC-4E26-8208-B53730AA3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20</Pages>
  <Words>5960</Words>
  <Characters>32905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38788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Kim Starling</dc:creator>
  <cp:lastModifiedBy>Kim Starling</cp:lastModifiedBy>
  <cp:revision>2</cp:revision>
  <cp:lastPrinted>2018-11-28T19:56:00Z</cp:lastPrinted>
  <dcterms:created xsi:type="dcterms:W3CDTF">2018-11-29T15:16:00Z</dcterms:created>
  <dcterms:modified xsi:type="dcterms:W3CDTF">2018-11-29T15:16:00Z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20180001-EI</vt:lpwstr>
  </property>
  <property fmtid="{D5CDD505-2E9C-101B-9397-08002B2CF9AE}" pid="3" name="MasterDocument">
    <vt:bool>false</vt:bool>
  </property>
</Properties>
</file>