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DE2FA9" w:rsidRDefault="00A22649" w:rsidP="00A22649">
      <w:pPr>
        <w:pStyle w:val="OrderHeading"/>
      </w:pPr>
      <w:r w:rsidRPr="00DE2FA9">
        <w:t>BEFORE THE FLORIDA PUBLIC SERVICE COMMISSION</w:t>
      </w:r>
    </w:p>
    <w:p w:rsidR="00A22649" w:rsidRPr="00DE2FA9" w:rsidRDefault="00A22649" w:rsidP="00A22649">
      <w:pPr>
        <w:pStyle w:val="OrderBody"/>
      </w:pPr>
    </w:p>
    <w:p w:rsidR="00A22649" w:rsidRPr="00DE2FA9" w:rsidRDefault="00A22649" w:rsidP="00A226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2649" w:rsidRPr="00DE2FA9" w:rsidTr="00D3612F">
        <w:trPr>
          <w:trHeight w:val="828"/>
        </w:trPr>
        <w:tc>
          <w:tcPr>
            <w:tcW w:w="4788" w:type="dxa"/>
            <w:tcBorders>
              <w:bottom w:val="single" w:sz="8" w:space="0" w:color="auto"/>
              <w:right w:val="double" w:sz="6" w:space="0" w:color="auto"/>
            </w:tcBorders>
            <w:shd w:val="clear" w:color="auto" w:fill="auto"/>
          </w:tcPr>
          <w:p w:rsidR="00A22649" w:rsidRPr="00DE2FA9" w:rsidRDefault="00A22649" w:rsidP="00D3612F">
            <w:pPr>
              <w:pStyle w:val="OrderBody"/>
              <w:tabs>
                <w:tab w:val="center" w:pos="4320"/>
                <w:tab w:val="right" w:pos="8640"/>
              </w:tabs>
              <w:jc w:val="left"/>
            </w:pPr>
            <w:r w:rsidRPr="00DE2FA9">
              <w:t xml:space="preserve">In re: </w:t>
            </w:r>
            <w:bookmarkStart w:id="0" w:name="SSInRe"/>
            <w:bookmarkEnd w:id="0"/>
            <w:r w:rsidRPr="00DE2FA9">
              <w:t>Environmental cost recovery clause.</w:t>
            </w:r>
          </w:p>
        </w:tc>
        <w:tc>
          <w:tcPr>
            <w:tcW w:w="4788" w:type="dxa"/>
            <w:tcBorders>
              <w:left w:val="double" w:sz="6" w:space="0" w:color="auto"/>
            </w:tcBorders>
            <w:shd w:val="clear" w:color="auto" w:fill="auto"/>
          </w:tcPr>
          <w:p w:rsidR="00A22649" w:rsidRPr="00DE2FA9" w:rsidRDefault="00A22649" w:rsidP="00A22649">
            <w:pPr>
              <w:pStyle w:val="OrderBody"/>
            </w:pPr>
            <w:r w:rsidRPr="00DE2FA9">
              <w:t xml:space="preserve">DOCKET NO. </w:t>
            </w:r>
            <w:bookmarkStart w:id="1" w:name="SSDocketNo"/>
            <w:bookmarkEnd w:id="1"/>
            <w:r w:rsidRPr="00DE2FA9">
              <w:t>20180007-EI</w:t>
            </w:r>
          </w:p>
          <w:p w:rsidR="00A22649" w:rsidRPr="00DE2FA9" w:rsidRDefault="00A22649" w:rsidP="00D3612F">
            <w:pPr>
              <w:pStyle w:val="OrderBody"/>
              <w:tabs>
                <w:tab w:val="center" w:pos="4320"/>
                <w:tab w:val="right" w:pos="8640"/>
              </w:tabs>
              <w:jc w:val="left"/>
            </w:pPr>
            <w:r w:rsidRPr="00DE2FA9">
              <w:t xml:space="preserve">ORDER NO. </w:t>
            </w:r>
            <w:bookmarkStart w:id="2" w:name="OrderNo0594"/>
            <w:r w:rsidR="00362854">
              <w:t>PSC-2018-0594-FOF-EI</w:t>
            </w:r>
            <w:bookmarkEnd w:id="2"/>
          </w:p>
          <w:p w:rsidR="00A22649" w:rsidRPr="00DE2FA9" w:rsidRDefault="00A22649" w:rsidP="00D3612F">
            <w:pPr>
              <w:pStyle w:val="OrderBody"/>
              <w:tabs>
                <w:tab w:val="center" w:pos="4320"/>
                <w:tab w:val="right" w:pos="8640"/>
              </w:tabs>
              <w:jc w:val="left"/>
            </w:pPr>
            <w:r w:rsidRPr="00DE2FA9">
              <w:t xml:space="preserve">ISSUED: </w:t>
            </w:r>
            <w:r w:rsidR="00362854">
              <w:t>December 20, 2018</w:t>
            </w:r>
          </w:p>
        </w:tc>
      </w:tr>
    </w:tbl>
    <w:p w:rsidR="00A22649" w:rsidRPr="00DE2FA9" w:rsidRDefault="00A22649" w:rsidP="00A22649"/>
    <w:p w:rsidR="00A22649" w:rsidRPr="00DE2FA9" w:rsidRDefault="00A22649" w:rsidP="00A22649"/>
    <w:p w:rsidR="00A22649" w:rsidRPr="00DE2FA9" w:rsidRDefault="00A22649">
      <w:pPr>
        <w:ind w:firstLine="720"/>
        <w:jc w:val="both"/>
      </w:pPr>
      <w:bookmarkStart w:id="3" w:name="Commissioners"/>
      <w:bookmarkEnd w:id="3"/>
      <w:r w:rsidRPr="00DE2FA9">
        <w:t>The following Commissioners participated in the disposition of this matter:</w:t>
      </w:r>
    </w:p>
    <w:p w:rsidR="00A22649" w:rsidRPr="00DE2FA9" w:rsidRDefault="00A22649"/>
    <w:p w:rsidR="00A22649" w:rsidRPr="00DE2FA9" w:rsidRDefault="00A22649">
      <w:pPr>
        <w:jc w:val="center"/>
      </w:pPr>
      <w:r w:rsidRPr="00DE2FA9">
        <w:t>ART GRAHAM, Chairman</w:t>
      </w:r>
    </w:p>
    <w:p w:rsidR="00A22649" w:rsidRPr="00DE2FA9" w:rsidRDefault="00A22649">
      <w:pPr>
        <w:jc w:val="center"/>
      </w:pPr>
      <w:r w:rsidRPr="00DE2FA9">
        <w:t xml:space="preserve">JULIE I. BROWN </w:t>
      </w:r>
    </w:p>
    <w:p w:rsidR="00A22649" w:rsidRPr="00DE2FA9" w:rsidRDefault="00A22649">
      <w:pPr>
        <w:jc w:val="center"/>
      </w:pPr>
      <w:r w:rsidRPr="00DE2FA9">
        <w:t>DONALD J. POLMANN</w:t>
      </w:r>
    </w:p>
    <w:p w:rsidR="00A22649" w:rsidRPr="00DE2FA9" w:rsidRDefault="00A22649">
      <w:pPr>
        <w:jc w:val="center"/>
      </w:pPr>
      <w:r w:rsidRPr="00DE2FA9">
        <w:t>GARY F. CLARK</w:t>
      </w:r>
    </w:p>
    <w:p w:rsidR="00A22649" w:rsidRPr="00DE2FA9" w:rsidRDefault="00A22649">
      <w:pPr>
        <w:jc w:val="center"/>
      </w:pPr>
      <w:r w:rsidRPr="00DE2FA9">
        <w:t>ANDREW GILES FAY</w:t>
      </w:r>
    </w:p>
    <w:p w:rsidR="00D3612F" w:rsidRPr="00DE2FA9" w:rsidRDefault="00D3612F" w:rsidP="00A22649">
      <w:pPr>
        <w:pStyle w:val="CenterUnderline"/>
      </w:pPr>
    </w:p>
    <w:p w:rsidR="00D3612F" w:rsidRPr="00DE2FA9" w:rsidRDefault="00D3612F" w:rsidP="00A22649">
      <w:pPr>
        <w:pStyle w:val="CenterUnderline"/>
      </w:pPr>
    </w:p>
    <w:p w:rsidR="00D3612F" w:rsidRPr="00DE2FA9" w:rsidRDefault="00D3612F" w:rsidP="00D3612F">
      <w:pPr>
        <w:jc w:val="both"/>
      </w:pPr>
      <w:r w:rsidRPr="00DE2FA9">
        <w:t>APPEARANCES:</w:t>
      </w:r>
    </w:p>
    <w:p w:rsidR="00D3612F" w:rsidRPr="00DE2FA9" w:rsidRDefault="00D3612F" w:rsidP="00D3612F">
      <w:pPr>
        <w:jc w:val="both"/>
      </w:pPr>
    </w:p>
    <w:p w:rsidR="00D3612F" w:rsidRPr="00557BB6" w:rsidRDefault="00D3612F" w:rsidP="00D3612F">
      <w:pPr>
        <w:ind w:left="1440"/>
        <w:jc w:val="both"/>
      </w:pPr>
      <w:r w:rsidRPr="00557BB6">
        <w:t>MARIA J. MONCADA, and JOEL BAKER, ESQUIRES, 700 Universe Boulevard, Juno Beach, Florida 33408</w:t>
      </w:r>
    </w:p>
    <w:p w:rsidR="00D3612F" w:rsidRPr="00557BB6" w:rsidRDefault="00D3612F" w:rsidP="00D3612F">
      <w:pPr>
        <w:ind w:left="1440"/>
        <w:jc w:val="both"/>
      </w:pPr>
      <w:r w:rsidRPr="00557BB6">
        <w:rPr>
          <w:u w:val="single"/>
        </w:rPr>
        <w:t>On behalf of Florida Power &amp; Light Company (FPL</w:t>
      </w:r>
      <w:r w:rsidR="00DE2FA9" w:rsidRPr="00557BB6">
        <w:rPr>
          <w:u w:val="single"/>
        </w:rPr>
        <w:t xml:space="preserve"> or Company</w:t>
      </w:r>
      <w:r w:rsidRPr="00557BB6">
        <w:rPr>
          <w:u w:val="single"/>
        </w:rPr>
        <w:t>)</w:t>
      </w:r>
    </w:p>
    <w:p w:rsidR="00D3612F" w:rsidRPr="00557BB6" w:rsidRDefault="00D3612F" w:rsidP="00D3612F">
      <w:pPr>
        <w:jc w:val="both"/>
      </w:pPr>
    </w:p>
    <w:p w:rsidR="00D3612F" w:rsidRPr="00557BB6" w:rsidRDefault="00D3612F" w:rsidP="00D3612F">
      <w:pPr>
        <w:ind w:left="1440"/>
        <w:jc w:val="both"/>
      </w:pPr>
      <w:r w:rsidRPr="00557BB6">
        <w:t>DIANNE M. TRIPLETT,  ESQUIRE, Deputy General Counsel, 299 First Avenue North, St. Petersburg, Florida 33701, and MATTHEW R. BERNIER, ESQUIRE, Associate General Counsel, 106 East College Avenue, Suite 800, Tallahassee, Florida 32301</w:t>
      </w:r>
    </w:p>
    <w:p w:rsidR="00D3612F" w:rsidRPr="00557BB6" w:rsidRDefault="00D3612F" w:rsidP="00D3612F">
      <w:pPr>
        <w:ind w:left="1440"/>
        <w:jc w:val="both"/>
        <w:rPr>
          <w:u w:val="single"/>
        </w:rPr>
      </w:pPr>
      <w:r w:rsidRPr="00557BB6">
        <w:rPr>
          <w:u w:val="single"/>
        </w:rPr>
        <w:t>On behalf of Duke Energy Florida, LLC. (DEF)</w:t>
      </w:r>
    </w:p>
    <w:p w:rsidR="00D3612F" w:rsidRPr="00557BB6" w:rsidRDefault="00D3612F" w:rsidP="00D3612F">
      <w:pPr>
        <w:ind w:left="1440"/>
        <w:jc w:val="both"/>
        <w:rPr>
          <w:u w:val="single"/>
        </w:rPr>
      </w:pPr>
    </w:p>
    <w:p w:rsidR="00D3612F" w:rsidRPr="00557BB6" w:rsidRDefault="00D3612F" w:rsidP="00D3612F">
      <w:pPr>
        <w:ind w:left="1440"/>
        <w:jc w:val="both"/>
      </w:pPr>
      <w:r w:rsidRPr="00557BB6">
        <w:t>JAMES D. BEASLEY and  J. JEFFRY WAHLEN, ESQUIRES, Ausley and McMullen, Post Office Box 391, Tallahassee, Florida 32302</w:t>
      </w:r>
    </w:p>
    <w:p w:rsidR="00D3612F" w:rsidRPr="00557BB6" w:rsidRDefault="00D3612F" w:rsidP="00D3612F">
      <w:pPr>
        <w:tabs>
          <w:tab w:val="left" w:pos="-720"/>
          <w:tab w:val="left" w:pos="0"/>
        </w:tabs>
        <w:suppressAutoHyphens/>
        <w:ind w:left="720" w:right="-360" w:hanging="720"/>
        <w:rPr>
          <w:u w:val="single"/>
        </w:rPr>
      </w:pPr>
      <w:r w:rsidRPr="00557BB6">
        <w:tab/>
      </w:r>
      <w:r w:rsidRPr="00557BB6">
        <w:tab/>
      </w:r>
      <w:r w:rsidRPr="00557BB6">
        <w:rPr>
          <w:u w:val="single"/>
        </w:rPr>
        <w:t>On behalf of Tampa Electric Company (TECO)</w:t>
      </w:r>
    </w:p>
    <w:p w:rsidR="00D3612F" w:rsidRPr="00557BB6" w:rsidRDefault="00D3612F" w:rsidP="00D3612F">
      <w:pPr>
        <w:jc w:val="both"/>
      </w:pPr>
    </w:p>
    <w:p w:rsidR="00D3612F" w:rsidRPr="00557BB6" w:rsidRDefault="00D3612F" w:rsidP="00D3612F">
      <w:pPr>
        <w:ind w:left="1440"/>
        <w:jc w:val="both"/>
      </w:pPr>
      <w:r w:rsidRPr="00557BB6">
        <w:t xml:space="preserve">JEFFREY A. STONE, ESQUIRE of Gulf Power Company, One Energy Place, Pensacola, FL 32520-0100 </w:t>
      </w:r>
    </w:p>
    <w:p w:rsidR="00D3612F" w:rsidRPr="00557BB6" w:rsidRDefault="00D3612F" w:rsidP="00D3612F">
      <w:pPr>
        <w:ind w:left="1440"/>
        <w:jc w:val="both"/>
      </w:pPr>
      <w:r w:rsidRPr="00557BB6">
        <w:t>RUSSELL A. BADDERS, ESQUIRE and STEVEN R. GRIFFIN, ESQUIRE, of Beggs &amp; Lane, P.O. Box 12950, Pensacola, FL 32591</w:t>
      </w:r>
      <w:r w:rsidRPr="00557BB6">
        <w:noBreakHyphen/>
        <w:t>2950</w:t>
      </w:r>
    </w:p>
    <w:p w:rsidR="00D3612F" w:rsidRPr="00557BB6" w:rsidRDefault="00D3612F" w:rsidP="00D3612F">
      <w:pPr>
        <w:spacing w:line="480" w:lineRule="auto"/>
        <w:ind w:firstLine="1440"/>
      </w:pPr>
      <w:r w:rsidRPr="00557BB6">
        <w:rPr>
          <w:u w:val="single"/>
        </w:rPr>
        <w:t>On behalf of Gulf Power Company (GULF)</w:t>
      </w:r>
    </w:p>
    <w:p w:rsidR="00D3612F" w:rsidRPr="00557BB6" w:rsidRDefault="005217B2" w:rsidP="00D3612F">
      <w:pPr>
        <w:ind w:left="1440"/>
        <w:jc w:val="both"/>
      </w:pPr>
      <w:r w:rsidRPr="00557BB6">
        <w:t>J.R. KELLY, ESQUIRE, Public Counsel</w:t>
      </w:r>
      <w:r w:rsidR="00D3612F" w:rsidRPr="00557BB6">
        <w:t>, PATRICIA A. CHRISTENSEN, ESQUIRE, Associate Public Counsel, CHARLES</w:t>
      </w:r>
      <w:r w:rsidRPr="00557BB6">
        <w:t xml:space="preserve"> </w:t>
      </w:r>
      <w:r w:rsidR="00D3612F" w:rsidRPr="00557BB6">
        <w:t>REHWINKEL, ESQUIRE, Deputy Public Counsel, Office of Public Counsel, c/o The Florida Legislature, 111 West Madison Street, Room 812, Tallahassee, Florida 32399-1400</w:t>
      </w:r>
    </w:p>
    <w:p w:rsidR="00D3612F" w:rsidRPr="00557BB6" w:rsidRDefault="00D3612F" w:rsidP="00D3612F">
      <w:pPr>
        <w:ind w:left="1440"/>
        <w:jc w:val="both"/>
      </w:pPr>
      <w:r w:rsidRPr="00557BB6">
        <w:rPr>
          <w:u w:val="single"/>
        </w:rPr>
        <w:t>On behalf of the Citizens of the State of Florida (OPC)</w:t>
      </w:r>
    </w:p>
    <w:p w:rsidR="00D3612F" w:rsidRPr="00557BB6" w:rsidRDefault="00D3612F" w:rsidP="00D3612F"/>
    <w:p w:rsidR="00D3612F" w:rsidRPr="00557BB6" w:rsidRDefault="00D3612F" w:rsidP="00D3612F">
      <w:pPr>
        <w:ind w:left="1440"/>
        <w:jc w:val="both"/>
      </w:pPr>
      <w:r w:rsidRPr="00557BB6">
        <w:lastRenderedPageBreak/>
        <w:t>JON C. MOYLE, JR. and  KAREN PUTNAL, ESQUIRES, Moyle Law Firm, P.A., 118 North Gadsden Street, Tallahassee, Florida 32312</w:t>
      </w:r>
    </w:p>
    <w:p w:rsidR="00D3612F" w:rsidRPr="00557BB6" w:rsidRDefault="00D3612F" w:rsidP="00D3612F">
      <w:pPr>
        <w:ind w:left="1440"/>
        <w:jc w:val="both"/>
        <w:rPr>
          <w:u w:val="single"/>
        </w:rPr>
      </w:pPr>
      <w:r w:rsidRPr="00557BB6">
        <w:rPr>
          <w:u w:val="single"/>
        </w:rPr>
        <w:t>On behalf of Florida Industrial Power Users Group (FIPUG)</w:t>
      </w:r>
    </w:p>
    <w:p w:rsidR="00D3612F" w:rsidRPr="00557BB6" w:rsidRDefault="00D3612F" w:rsidP="00D3612F">
      <w:pPr>
        <w:ind w:left="1440"/>
        <w:jc w:val="both"/>
        <w:rPr>
          <w:u w:val="single"/>
        </w:rPr>
      </w:pPr>
    </w:p>
    <w:p w:rsidR="00D3612F" w:rsidRPr="00557BB6" w:rsidRDefault="00D3612F" w:rsidP="00D3612F">
      <w:pPr>
        <w:ind w:left="1440"/>
        <w:jc w:val="both"/>
      </w:pPr>
      <w:r w:rsidRPr="00557BB6">
        <w:t>JAMES W. BREW</w:t>
      </w:r>
      <w:r w:rsidR="005217B2" w:rsidRPr="00557BB6">
        <w:t>,</w:t>
      </w:r>
      <w:r w:rsidRPr="00557BB6">
        <w:t xml:space="preserve"> </w:t>
      </w:r>
      <w:r w:rsidR="005217B2" w:rsidRPr="00557BB6">
        <w:t>OWEN J.</w:t>
      </w:r>
      <w:r w:rsidR="000D2347">
        <w:t xml:space="preserve"> </w:t>
      </w:r>
      <w:r w:rsidR="005217B2" w:rsidRPr="00557BB6">
        <w:t xml:space="preserve">KOPON, </w:t>
      </w:r>
      <w:r w:rsidRPr="00557BB6">
        <w:t>and  LAURA A. WYNN, ESQUIRES, 1025 Thomas Jefferson Street, NW., Eighth Floor, West Tower, Washington, D.C.  20007</w:t>
      </w:r>
    </w:p>
    <w:p w:rsidR="00D3612F" w:rsidRPr="00557BB6" w:rsidRDefault="00D3612F" w:rsidP="00D3612F">
      <w:pPr>
        <w:ind w:left="720" w:firstLine="720"/>
        <w:jc w:val="both"/>
      </w:pPr>
      <w:r w:rsidRPr="00557BB6">
        <w:rPr>
          <w:u w:val="single"/>
        </w:rPr>
        <w:t xml:space="preserve">On behalf of White Springs Agricultural Chemicals, Inc. d/b/a PCS Phosphate – </w:t>
      </w:r>
      <w:r w:rsidRPr="00557BB6">
        <w:tab/>
      </w:r>
      <w:r w:rsidRPr="00557BB6">
        <w:rPr>
          <w:u w:val="single"/>
        </w:rPr>
        <w:t>White Springs (PCS)</w:t>
      </w:r>
      <w:r w:rsidRPr="00557BB6">
        <w:t xml:space="preserve"> </w:t>
      </w:r>
    </w:p>
    <w:p w:rsidR="00D3612F" w:rsidRPr="00557BB6" w:rsidRDefault="00D3612F" w:rsidP="00D3612F">
      <w:pPr>
        <w:jc w:val="both"/>
      </w:pPr>
    </w:p>
    <w:p w:rsidR="00D3612F" w:rsidRPr="00557BB6" w:rsidRDefault="00D3612F" w:rsidP="00D3612F">
      <w:pPr>
        <w:jc w:val="both"/>
      </w:pPr>
      <w:r w:rsidRPr="00557BB6">
        <w:tab/>
      </w:r>
      <w:r w:rsidRPr="00557BB6">
        <w:tab/>
        <w:t>GEORGE S. CAVROS, ESQUIRE, 120 E. Oakland Park Boulevard, Suite 105,</w:t>
      </w:r>
    </w:p>
    <w:p w:rsidR="00D3612F" w:rsidRPr="00557BB6" w:rsidRDefault="00D3612F" w:rsidP="00D3612F">
      <w:pPr>
        <w:ind w:left="720" w:firstLine="720"/>
        <w:jc w:val="both"/>
      </w:pPr>
      <w:r w:rsidRPr="00557BB6">
        <w:t>Fort Lauderdale, Florida 33334</w:t>
      </w:r>
    </w:p>
    <w:p w:rsidR="00D3612F" w:rsidRPr="00557BB6" w:rsidRDefault="00D3612F" w:rsidP="00D3612F">
      <w:pPr>
        <w:jc w:val="both"/>
        <w:rPr>
          <w:u w:val="single"/>
        </w:rPr>
      </w:pPr>
      <w:r w:rsidRPr="00557BB6">
        <w:tab/>
      </w:r>
      <w:r w:rsidRPr="00557BB6">
        <w:tab/>
      </w:r>
      <w:r w:rsidRPr="00557BB6">
        <w:rPr>
          <w:u w:val="single"/>
        </w:rPr>
        <w:t>On behalf of Southern Alliance for Clean Energy (SACE)</w:t>
      </w:r>
    </w:p>
    <w:p w:rsidR="00D3612F" w:rsidRPr="00557BB6" w:rsidRDefault="00D3612F" w:rsidP="00D3612F">
      <w:pPr>
        <w:jc w:val="both"/>
        <w:rPr>
          <w:u w:val="single"/>
        </w:rPr>
      </w:pPr>
    </w:p>
    <w:p w:rsidR="00D3612F" w:rsidRPr="00557BB6" w:rsidRDefault="00D3612F" w:rsidP="00D3612F">
      <w:pPr>
        <w:ind w:left="1440"/>
        <w:jc w:val="both"/>
      </w:pPr>
      <w:r w:rsidRPr="00557BB6">
        <w:t>CHARLES W. MURPHY and ASHLEY WEISENFELD, ESQUIRES, Florida Public Service Commission, 2540 Shumard Oak Boulevard, Tallahassee, Florida 32399-0850</w:t>
      </w:r>
    </w:p>
    <w:p w:rsidR="00D3612F" w:rsidRPr="00557BB6" w:rsidRDefault="00D3612F" w:rsidP="00D3612F">
      <w:pPr>
        <w:ind w:left="720" w:firstLine="720"/>
        <w:jc w:val="both"/>
      </w:pPr>
      <w:r w:rsidRPr="00557BB6">
        <w:rPr>
          <w:u w:val="single"/>
        </w:rPr>
        <w:t>On behalf of the Florida Public Service Commission (Staff)</w:t>
      </w:r>
    </w:p>
    <w:p w:rsidR="00D3612F" w:rsidRPr="00557BB6" w:rsidRDefault="00D3612F" w:rsidP="00D3612F">
      <w:pPr>
        <w:jc w:val="both"/>
      </w:pPr>
    </w:p>
    <w:p w:rsidR="00D3612F" w:rsidRPr="00557BB6" w:rsidRDefault="00D3612F" w:rsidP="00D3612F">
      <w:pPr>
        <w:ind w:left="1440"/>
        <w:jc w:val="both"/>
      </w:pPr>
      <w:r w:rsidRPr="00557BB6">
        <w:t>MARY ANNE HELTON, ESQUIRE, Deputy General Counsel, Florida Public Service Commission, 2540 Shumard Oak Boulevard, Tallahassee, Florida 32399-0850</w:t>
      </w:r>
    </w:p>
    <w:p w:rsidR="00D3612F" w:rsidRPr="00557BB6" w:rsidRDefault="00D3612F" w:rsidP="00D3612F">
      <w:pPr>
        <w:ind w:left="720" w:firstLine="720"/>
        <w:jc w:val="both"/>
      </w:pPr>
      <w:r w:rsidRPr="00557BB6">
        <w:rPr>
          <w:u w:val="single"/>
        </w:rPr>
        <w:t>Advisor to the Florida Public Service Commission</w:t>
      </w:r>
    </w:p>
    <w:p w:rsidR="00D3612F" w:rsidRPr="00557BB6" w:rsidRDefault="00D3612F" w:rsidP="00D3612F">
      <w:pPr>
        <w:jc w:val="both"/>
        <w:rPr>
          <w:b/>
          <w:bCs/>
          <w:u w:val="single"/>
        </w:rPr>
      </w:pPr>
    </w:p>
    <w:p w:rsidR="00D3612F" w:rsidRPr="00557BB6" w:rsidRDefault="00D3612F" w:rsidP="00D3612F">
      <w:pPr>
        <w:ind w:left="1440"/>
        <w:jc w:val="both"/>
      </w:pPr>
      <w:r w:rsidRPr="00557BB6">
        <w:t>KEITH C. HETRICK, ESQUIRE, General Counsel, Florida Public Service Commission, 2540 Shumard Oak Boulevard, Tallahassee, Florida 32399-0850</w:t>
      </w:r>
    </w:p>
    <w:p w:rsidR="00D3612F" w:rsidRPr="00DE2FA9" w:rsidRDefault="00D3612F" w:rsidP="00D3612F">
      <w:pPr>
        <w:ind w:left="720" w:firstLine="720"/>
        <w:jc w:val="both"/>
      </w:pPr>
      <w:r w:rsidRPr="00557BB6">
        <w:rPr>
          <w:u w:val="single"/>
        </w:rPr>
        <w:t>Florida Public Service Commission General Counsel</w:t>
      </w:r>
    </w:p>
    <w:p w:rsidR="00D3612F" w:rsidRPr="00DE2FA9" w:rsidRDefault="00D3612F" w:rsidP="00D3612F">
      <w:pPr>
        <w:ind w:left="720" w:firstLine="720"/>
        <w:jc w:val="both"/>
      </w:pPr>
    </w:p>
    <w:p w:rsidR="00D3612F" w:rsidRPr="00DE2FA9" w:rsidRDefault="00D3612F" w:rsidP="00D3612F">
      <w:pPr>
        <w:pStyle w:val="OrderBody"/>
      </w:pPr>
    </w:p>
    <w:p w:rsidR="00CC09E5" w:rsidRPr="00DE2FA9" w:rsidRDefault="00D3612F" w:rsidP="00D3612F">
      <w:pPr>
        <w:pStyle w:val="CenterUnderline"/>
      </w:pPr>
      <w:r w:rsidRPr="00DE2FA9">
        <w:t>FINAL ORDER</w:t>
      </w:r>
      <w:bookmarkStart w:id="4" w:name="OrderTitle"/>
      <w:r w:rsidR="00CC09E5" w:rsidRPr="00DE2FA9">
        <w:t xml:space="preserve"> </w:t>
      </w:r>
    </w:p>
    <w:p w:rsidR="00CC09E5" w:rsidRPr="00DE2FA9" w:rsidRDefault="00CC09E5" w:rsidP="00D3612F">
      <w:pPr>
        <w:pStyle w:val="CenterUnderline"/>
      </w:pPr>
      <w:r w:rsidRPr="00DE2FA9">
        <w:t xml:space="preserve">APPROVING PROJECTED EXPENDITURES AND TRUE-UP </w:t>
      </w:r>
    </w:p>
    <w:p w:rsidR="00D3612F" w:rsidRPr="00DE2FA9" w:rsidRDefault="00CC09E5" w:rsidP="00D3612F">
      <w:pPr>
        <w:pStyle w:val="CenterUnderline"/>
        <w:rPr>
          <w:u w:val="none"/>
        </w:rPr>
      </w:pPr>
      <w:r w:rsidRPr="00DE2FA9">
        <w:t>AMOUNTS FOR ENVIRONMENTAL COST RECOVERY</w:t>
      </w:r>
      <w:bookmarkEnd w:id="4"/>
    </w:p>
    <w:p w:rsidR="00D3612F" w:rsidRPr="00DE2FA9" w:rsidRDefault="00D3612F" w:rsidP="00D3612F">
      <w:pPr>
        <w:pStyle w:val="CenterUnderline"/>
        <w:jc w:val="both"/>
        <w:rPr>
          <w:u w:val="none"/>
        </w:rPr>
      </w:pPr>
    </w:p>
    <w:p w:rsidR="00D3612F" w:rsidRPr="00DE2FA9" w:rsidRDefault="00D3612F" w:rsidP="00A22649">
      <w:pPr>
        <w:pStyle w:val="CenterUnderline"/>
      </w:pPr>
    </w:p>
    <w:p w:rsidR="00A22649" w:rsidRPr="00DE2FA9" w:rsidRDefault="00A22649" w:rsidP="00A22649">
      <w:pPr>
        <w:pStyle w:val="OrderBody"/>
      </w:pPr>
      <w:r w:rsidRPr="00DE2FA9">
        <w:t>BY THE COMMISSION:</w:t>
      </w:r>
    </w:p>
    <w:p w:rsidR="00A22649" w:rsidRPr="00DE2FA9" w:rsidRDefault="00A22649" w:rsidP="00A22649">
      <w:pPr>
        <w:pStyle w:val="OrderBody"/>
      </w:pPr>
    </w:p>
    <w:p w:rsidR="00A22649" w:rsidRPr="00DE2FA9" w:rsidRDefault="00DE2FA9" w:rsidP="00A22649">
      <w:pPr>
        <w:keepNext/>
        <w:jc w:val="center"/>
        <w:outlineLvl w:val="0"/>
        <w:rPr>
          <w:bCs/>
          <w:kern w:val="32"/>
          <w:u w:val="single"/>
        </w:rPr>
      </w:pPr>
      <w:bookmarkStart w:id="5" w:name="OrderText"/>
      <w:bookmarkEnd w:id="5"/>
      <w:r w:rsidRPr="00DE2FA9">
        <w:rPr>
          <w:bCs/>
          <w:kern w:val="32"/>
          <w:u w:val="single"/>
        </w:rPr>
        <w:t>BACKGROUND</w:t>
      </w:r>
    </w:p>
    <w:p w:rsidR="00A22649" w:rsidRPr="00DE2FA9" w:rsidRDefault="00A22649" w:rsidP="00A22649">
      <w:pPr>
        <w:jc w:val="both"/>
      </w:pPr>
    </w:p>
    <w:p w:rsidR="00CB5276" w:rsidRPr="00DE2FA9" w:rsidRDefault="00A22649" w:rsidP="00794E22">
      <w:pPr>
        <w:jc w:val="both"/>
      </w:pPr>
      <w:r w:rsidRPr="00DE2FA9">
        <w:tab/>
        <w:t xml:space="preserve">As part of the Florida Public Service Commission’s (Commission) continuing environmental cost recovery clause (ECRC) proceedings, </w:t>
      </w:r>
      <w:r w:rsidR="009F5675">
        <w:t>we</w:t>
      </w:r>
      <w:r w:rsidRPr="00DE2FA9">
        <w:t xml:space="preserve"> conducted a hearing in this docket on November 5, 2018. The parties resolved all issues by </w:t>
      </w:r>
      <w:r w:rsidR="005E7D5E">
        <w:t>Type 2 stipulation</w:t>
      </w:r>
      <w:r w:rsidRPr="00DE2FA9">
        <w:t xml:space="preserve">, except </w:t>
      </w:r>
      <w:r w:rsidR="009F5675">
        <w:t xml:space="preserve">those related to our review of </w:t>
      </w:r>
      <w:r w:rsidR="00CA0188">
        <w:t xml:space="preserve">Florida Power &amp; Light Company’s (FPL or Company) </w:t>
      </w:r>
      <w:r w:rsidR="00794E22">
        <w:t xml:space="preserve">(1) </w:t>
      </w:r>
      <w:r w:rsidR="009F5675">
        <w:t xml:space="preserve">the </w:t>
      </w:r>
      <w:r w:rsidR="009F5675" w:rsidRPr="00DE2FA9">
        <w:t>Turkey Point Cooling Canal Monitoring Plan project (TPCCMP Project)</w:t>
      </w:r>
      <w:r w:rsidR="009F5675">
        <w:t xml:space="preserve"> and</w:t>
      </w:r>
      <w:r w:rsidR="00794E22">
        <w:t xml:space="preserve"> “fall out” </w:t>
      </w:r>
      <w:r w:rsidR="00845152">
        <w:t>dollar amounts in other issues related thereto</w:t>
      </w:r>
      <w:r w:rsidR="00794E22">
        <w:t xml:space="preserve">, (2) </w:t>
      </w:r>
      <w:r w:rsidR="00794E22" w:rsidRPr="00DE2FA9">
        <w:t>proposed modifications to the Manatee Temporary Heating System project (MTHS Project)</w:t>
      </w:r>
      <w:r w:rsidR="00794E22">
        <w:t xml:space="preserve">, and (3) </w:t>
      </w:r>
      <w:r w:rsidR="00794E22" w:rsidRPr="00DE2FA9">
        <w:t xml:space="preserve">proposed modifications to the National Pollutant Discharge </w:t>
      </w:r>
      <w:r w:rsidR="00794E22" w:rsidRPr="00DE2FA9">
        <w:lastRenderedPageBreak/>
        <w:t>Elimination System Permit Renewal Requirements project (NPDES Project).</w:t>
      </w:r>
      <w:r w:rsidR="00794E22">
        <w:t xml:space="preserve"> </w:t>
      </w:r>
      <w:r w:rsidRPr="00DE2FA9">
        <w:t>Testimony on these issues was</w:t>
      </w:r>
      <w:r w:rsidR="00845152">
        <w:t xml:space="preserve"> presented a</w:t>
      </w:r>
      <w:r w:rsidRPr="00DE2FA9">
        <w:t>t the hearing. On November 16, 2018, FPL, the Office of Public Counsel (OPC), and Southern Alliance for Clean Energy (SACE) filed post-hearing briefs.</w:t>
      </w:r>
      <w:r w:rsidR="00794E22">
        <w:t xml:space="preserve"> </w:t>
      </w:r>
      <w:r w:rsidR="00CC09E5" w:rsidRPr="00DE2FA9">
        <w:t xml:space="preserve">We have </w:t>
      </w:r>
      <w:r w:rsidRPr="00DE2FA9">
        <w:t>jurisdiction in this matter pursuant to Section 366.8255, Florida Statutes (F.S.).</w:t>
      </w:r>
    </w:p>
    <w:p w:rsidR="00A22649" w:rsidRDefault="00A22649" w:rsidP="00A22649">
      <w:pPr>
        <w:pStyle w:val="OrderBody"/>
      </w:pPr>
    </w:p>
    <w:p w:rsidR="00794E22" w:rsidRPr="00DE2FA9" w:rsidRDefault="00794E22" w:rsidP="00A22649">
      <w:pPr>
        <w:pStyle w:val="OrderBody"/>
      </w:pPr>
    </w:p>
    <w:p w:rsidR="00A22649" w:rsidRPr="00DE2FA9" w:rsidRDefault="00DE2FA9" w:rsidP="00A22649">
      <w:pPr>
        <w:keepNext/>
        <w:jc w:val="center"/>
        <w:outlineLvl w:val="0"/>
        <w:rPr>
          <w:bCs/>
          <w:kern w:val="32"/>
          <w:u w:val="single"/>
        </w:rPr>
      </w:pPr>
      <w:bookmarkStart w:id="6" w:name="DiscussionOfIssues"/>
      <w:r w:rsidRPr="00DE2FA9">
        <w:rPr>
          <w:bCs/>
          <w:kern w:val="32"/>
          <w:u w:val="single"/>
        </w:rPr>
        <w:t>REVIEW AND DECISION</w:t>
      </w:r>
    </w:p>
    <w:p w:rsidR="00A22649" w:rsidRPr="00DE2FA9" w:rsidRDefault="00A22649" w:rsidP="00A22649">
      <w:pPr>
        <w:jc w:val="both"/>
      </w:pPr>
    </w:p>
    <w:p w:rsidR="00CC09E5" w:rsidRPr="00DE2FA9" w:rsidRDefault="00CC09E5" w:rsidP="00A22649">
      <w:pPr>
        <w:jc w:val="both"/>
      </w:pPr>
    </w:p>
    <w:bookmarkEnd w:id="6"/>
    <w:p w:rsidR="00A22649" w:rsidRPr="00DE2FA9" w:rsidRDefault="00F354D1" w:rsidP="00F354D1">
      <w:pPr>
        <w:jc w:val="both"/>
        <w:rPr>
          <w:b/>
        </w:rPr>
      </w:pPr>
      <w:r>
        <w:rPr>
          <w:b/>
          <w:bCs/>
          <w:kern w:val="32"/>
        </w:rPr>
        <w:t xml:space="preserve">I. </w:t>
      </w:r>
      <w:r>
        <w:rPr>
          <w:b/>
          <w:bCs/>
          <w:kern w:val="32"/>
        </w:rPr>
        <w:tab/>
      </w:r>
      <w:r w:rsidR="00845152">
        <w:rPr>
          <w:b/>
          <w:bCs/>
          <w:kern w:val="32"/>
        </w:rPr>
        <w:t>FPL’s f</w:t>
      </w:r>
      <w:r w:rsidR="00A91678">
        <w:rPr>
          <w:b/>
          <w:bCs/>
          <w:kern w:val="32"/>
        </w:rPr>
        <w:t>i</w:t>
      </w:r>
      <w:r w:rsidR="00A22649" w:rsidRPr="00DE2FA9">
        <w:rPr>
          <w:b/>
        </w:rPr>
        <w:t xml:space="preserve">nal environmental cost recovery true-up amounts for the period January </w:t>
      </w:r>
      <w:r w:rsidR="00C75362">
        <w:rPr>
          <w:b/>
        </w:rPr>
        <w:tab/>
      </w:r>
      <w:r w:rsidR="00A22649" w:rsidRPr="00DE2FA9">
        <w:rPr>
          <w:b/>
        </w:rPr>
        <w:t>2017 through December 2017</w:t>
      </w:r>
      <w:r w:rsidR="00DE2FA9" w:rsidRPr="00DE2FA9">
        <w:rPr>
          <w:b/>
        </w:rPr>
        <w:t xml:space="preserve"> </w:t>
      </w:r>
    </w:p>
    <w:p w:rsidR="00A22649" w:rsidRPr="00DE2FA9" w:rsidRDefault="00A22649" w:rsidP="00A22649">
      <w:pPr>
        <w:jc w:val="both"/>
      </w:pPr>
    </w:p>
    <w:p w:rsidR="00A22649" w:rsidRPr="00DE2FA9" w:rsidRDefault="00DE2FA9" w:rsidP="00A22649">
      <w:pPr>
        <w:jc w:val="center"/>
        <w:rPr>
          <w:b/>
          <w:u w:val="single"/>
        </w:rPr>
      </w:pPr>
      <w:r w:rsidRPr="00DE2FA9">
        <w:rPr>
          <w:b/>
          <w:u w:val="single"/>
        </w:rPr>
        <w:t xml:space="preserve">A. </w:t>
      </w:r>
      <w:r w:rsidR="00A22649" w:rsidRPr="00DE2FA9">
        <w:rPr>
          <w:b/>
          <w:u w:val="single"/>
        </w:rPr>
        <w:t>Parties’ Arguments</w:t>
      </w:r>
    </w:p>
    <w:p w:rsidR="00A22649" w:rsidRDefault="00A22649" w:rsidP="00A22649">
      <w:pPr>
        <w:jc w:val="both"/>
        <w:rPr>
          <w:b/>
        </w:rPr>
      </w:pPr>
    </w:p>
    <w:p w:rsidR="00A22649" w:rsidRPr="00DE2FA9" w:rsidRDefault="00DE2FA9" w:rsidP="00A22649">
      <w:pPr>
        <w:ind w:left="720"/>
        <w:jc w:val="both"/>
        <w:outlineLvl w:val="3"/>
        <w:rPr>
          <w:bCs/>
          <w:i/>
          <w:iCs/>
        </w:rPr>
      </w:pPr>
      <w:r w:rsidRPr="00DE2FA9">
        <w:rPr>
          <w:bCs/>
          <w:i/>
          <w:iCs/>
        </w:rPr>
        <w:t xml:space="preserve">1. </w:t>
      </w:r>
      <w:r w:rsidR="00A22649" w:rsidRPr="00DE2FA9">
        <w:rPr>
          <w:bCs/>
          <w:i/>
          <w:iCs/>
        </w:rPr>
        <w:t>FPL</w:t>
      </w:r>
    </w:p>
    <w:p w:rsidR="00DE2FA9" w:rsidRDefault="00C733AA" w:rsidP="00A22649">
      <w:pPr>
        <w:jc w:val="both"/>
      </w:pPr>
      <w:r w:rsidRPr="00DE2FA9">
        <w:tab/>
      </w:r>
    </w:p>
    <w:p w:rsidR="00A22649" w:rsidRPr="00DE2FA9" w:rsidRDefault="00DE2FA9" w:rsidP="00A22649">
      <w:pPr>
        <w:jc w:val="both"/>
      </w:pPr>
      <w:r>
        <w:tab/>
      </w:r>
      <w:r w:rsidR="00A22649" w:rsidRPr="00DE2FA9">
        <w:t xml:space="preserve">FPL </w:t>
      </w:r>
      <w:r w:rsidR="002328B6">
        <w:t>asserts that there is an over recovery of $31,560</w:t>
      </w:r>
      <w:r w:rsidR="00A429ED">
        <w:t>,</w:t>
      </w:r>
      <w:r w:rsidR="002328B6">
        <w:t>081</w:t>
      </w:r>
      <w:r w:rsidR="00583725">
        <w:t xml:space="preserve"> for the </w:t>
      </w:r>
      <w:r w:rsidR="00557BB6">
        <w:t>period</w:t>
      </w:r>
      <w:r w:rsidR="00583725">
        <w:t xml:space="preserve"> January 2017 through December 2017</w:t>
      </w:r>
      <w:r w:rsidR="002328B6">
        <w:t xml:space="preserve">. FPL </w:t>
      </w:r>
      <w:r w:rsidR="00A22649" w:rsidRPr="00DE2FA9">
        <w:t xml:space="preserve">contends that the Company is eligible for cost recovery for the TPCCMP Project expenditures associated </w:t>
      </w:r>
      <w:r w:rsidR="00F814DB">
        <w:t>with</w:t>
      </w:r>
      <w:r w:rsidR="00040B0C">
        <w:t xml:space="preserve"> </w:t>
      </w:r>
      <w:r w:rsidR="00A22649" w:rsidRPr="00DE2FA9">
        <w:t xml:space="preserve">compliance activities for the 2015 Consent Agreement (CA) and 2016 Consent Agreement Addendum (CAA) with the Miami-Dade Department of Environmental Resource Management (DERM) and for the 2016 Consent Order (CO) with the Florida Department of Environmental Protection (FDEP), </w:t>
      </w:r>
      <w:r w:rsidR="002328B6">
        <w:t xml:space="preserve">approved by this Commission in the </w:t>
      </w:r>
      <w:r w:rsidR="00A22649" w:rsidRPr="00DE2FA9">
        <w:t>2017 E</w:t>
      </w:r>
      <w:r w:rsidR="002328B6">
        <w:t xml:space="preserve">nvironmental </w:t>
      </w:r>
      <w:r w:rsidR="00A22649" w:rsidRPr="00DE2FA9">
        <w:t>C</w:t>
      </w:r>
      <w:r w:rsidR="002328B6">
        <w:t>ost Recovery Clause (EC</w:t>
      </w:r>
      <w:r w:rsidR="00A22649" w:rsidRPr="00DE2FA9">
        <w:t>RC</w:t>
      </w:r>
      <w:r w:rsidR="002328B6">
        <w:t>)</w:t>
      </w:r>
      <w:r w:rsidR="00A22649" w:rsidRPr="00DE2FA9">
        <w:t xml:space="preserve"> proceeding.</w:t>
      </w:r>
      <w:r w:rsidR="00A22649" w:rsidRPr="00DE2FA9">
        <w:rPr>
          <w:vertAlign w:val="superscript"/>
        </w:rPr>
        <w:footnoteReference w:id="1"/>
      </w:r>
      <w:r w:rsidR="00A22649" w:rsidRPr="00DE2FA9">
        <w:t xml:space="preserve"> FPL argues that th</w:t>
      </w:r>
      <w:r w:rsidR="002328B6">
        <w:t xml:space="preserve">is </w:t>
      </w:r>
      <w:r w:rsidR="00A22649" w:rsidRPr="00DE2FA9">
        <w:t xml:space="preserve">Commission is not the appropriate regulator to determine if remediation objectives are being met in a timely manner, but rather FDEP and DERM are. FPL asserts that the activities for which it seeks </w:t>
      </w:r>
      <w:r w:rsidR="00845152">
        <w:t xml:space="preserve">cost </w:t>
      </w:r>
      <w:r w:rsidR="00A22649" w:rsidRPr="00DE2FA9">
        <w:t xml:space="preserve">recovery are </w:t>
      </w:r>
      <w:r w:rsidR="00845152">
        <w:t xml:space="preserve">undertaken </w:t>
      </w:r>
      <w:r w:rsidR="00A22649" w:rsidRPr="00DE2FA9">
        <w:t xml:space="preserve">pursuant to the requirements of the CA, CAA, and/or CO and are prudent and reasonable. FPL </w:t>
      </w:r>
      <w:r w:rsidR="009E01D8">
        <w:t xml:space="preserve">argues that </w:t>
      </w:r>
      <w:r w:rsidR="00A22649" w:rsidRPr="00DE2FA9">
        <w:t xml:space="preserve">it is in compliance with the DERM CAA. </w:t>
      </w:r>
    </w:p>
    <w:p w:rsidR="00A22649" w:rsidRPr="00DE2FA9" w:rsidRDefault="00A22649" w:rsidP="00A22649">
      <w:pPr>
        <w:jc w:val="both"/>
      </w:pPr>
    </w:p>
    <w:p w:rsidR="00A22649" w:rsidRDefault="00DE2FA9" w:rsidP="00A22649">
      <w:pPr>
        <w:ind w:left="720"/>
        <w:jc w:val="both"/>
        <w:outlineLvl w:val="3"/>
        <w:rPr>
          <w:bCs/>
          <w:i/>
          <w:iCs/>
        </w:rPr>
      </w:pPr>
      <w:r w:rsidRPr="00417591">
        <w:rPr>
          <w:bCs/>
          <w:i/>
          <w:iCs/>
        </w:rPr>
        <w:t xml:space="preserve">2. </w:t>
      </w:r>
      <w:r w:rsidR="00A22649" w:rsidRPr="00417591">
        <w:rPr>
          <w:bCs/>
          <w:i/>
          <w:iCs/>
        </w:rPr>
        <w:t>SACE</w:t>
      </w:r>
    </w:p>
    <w:p w:rsidR="00417591" w:rsidRPr="00417591" w:rsidRDefault="00417591" w:rsidP="00A22649">
      <w:pPr>
        <w:ind w:left="720"/>
        <w:jc w:val="both"/>
        <w:outlineLvl w:val="3"/>
        <w:rPr>
          <w:bCs/>
          <w:i/>
          <w:iCs/>
        </w:rPr>
      </w:pPr>
    </w:p>
    <w:p w:rsidR="00A22649" w:rsidRPr="00DE2FA9" w:rsidRDefault="00C733AA" w:rsidP="00A22649">
      <w:pPr>
        <w:jc w:val="both"/>
      </w:pPr>
      <w:r w:rsidRPr="00DE2FA9">
        <w:tab/>
      </w:r>
      <w:r w:rsidR="00A22649" w:rsidRPr="00DE2FA9">
        <w:t xml:space="preserve">SACE contests FPL’s recovery of TPCCMP Project expenditures </w:t>
      </w:r>
      <w:r w:rsidR="009E01D8">
        <w:t xml:space="preserve">and argues that </w:t>
      </w:r>
      <w:r w:rsidR="00A22649" w:rsidRPr="00DE2FA9">
        <w:t>the Company knew or should have known prior to 1993 that its Turkey Point Plant was causing an underground hypersaline plume. SACE a</w:t>
      </w:r>
      <w:r w:rsidR="009E01D8">
        <w:t>sserts</w:t>
      </w:r>
      <w:r w:rsidR="00A22649" w:rsidRPr="00DE2FA9">
        <w:t xml:space="preserve"> that FPL ratepayers should not be responsible for FPL’s remediation costs due to the Company’s imprudent operation of the Turkey Point Plant.  SACE contends that FPL has not met its burden of proof to demonstrate projected costs are reasonable. Specifically, SACE argues that FPL is not timely complying with its requirements under the CAA and</w:t>
      </w:r>
      <w:r w:rsidR="00CA0188">
        <w:t>,</w:t>
      </w:r>
      <w:r w:rsidR="00A22649" w:rsidRPr="00DE2FA9">
        <w:t xml:space="preserve"> therefore</w:t>
      </w:r>
      <w:r w:rsidR="00845152">
        <w:t>,</w:t>
      </w:r>
      <w:r w:rsidR="00A22649" w:rsidRPr="00DE2FA9">
        <w:t xml:space="preserve"> these costs are not reasonable. </w:t>
      </w:r>
    </w:p>
    <w:p w:rsidR="009E01D8" w:rsidRDefault="009E01D8" w:rsidP="00A22649">
      <w:pPr>
        <w:jc w:val="both"/>
      </w:pPr>
    </w:p>
    <w:p w:rsidR="001A1CD5" w:rsidRDefault="001A1CD5">
      <w:r>
        <w:br w:type="page"/>
      </w:r>
    </w:p>
    <w:p w:rsidR="00A22649" w:rsidRPr="00417591" w:rsidRDefault="00417591" w:rsidP="00A22649">
      <w:pPr>
        <w:jc w:val="center"/>
        <w:rPr>
          <w:b/>
          <w:u w:val="single"/>
        </w:rPr>
      </w:pPr>
      <w:r w:rsidRPr="00417591">
        <w:rPr>
          <w:b/>
          <w:u w:val="single"/>
        </w:rPr>
        <w:lastRenderedPageBreak/>
        <w:t xml:space="preserve">B. </w:t>
      </w:r>
      <w:r w:rsidR="00A22649" w:rsidRPr="00417591">
        <w:rPr>
          <w:b/>
          <w:u w:val="single"/>
        </w:rPr>
        <w:t>Analysis</w:t>
      </w:r>
    </w:p>
    <w:p w:rsidR="00A22649" w:rsidRPr="00DE2FA9" w:rsidRDefault="00A22649" w:rsidP="00A22649">
      <w:pPr>
        <w:jc w:val="both"/>
        <w:rPr>
          <w:b/>
        </w:rPr>
      </w:pPr>
    </w:p>
    <w:p w:rsidR="00A22649" w:rsidRDefault="00417591" w:rsidP="00A22649">
      <w:pPr>
        <w:ind w:firstLine="720"/>
        <w:jc w:val="both"/>
        <w:outlineLvl w:val="2"/>
        <w:rPr>
          <w:bCs/>
          <w:i/>
          <w:iCs/>
        </w:rPr>
      </w:pPr>
      <w:r w:rsidRPr="00417591">
        <w:rPr>
          <w:bCs/>
          <w:i/>
          <w:iCs/>
        </w:rPr>
        <w:t xml:space="preserve">1. </w:t>
      </w:r>
      <w:r w:rsidR="00A22649" w:rsidRPr="00417591">
        <w:rPr>
          <w:bCs/>
          <w:i/>
          <w:iCs/>
        </w:rPr>
        <w:t>Final ECRC True-Up Amount</w:t>
      </w:r>
    </w:p>
    <w:p w:rsidR="00E026B7" w:rsidRDefault="00E026B7" w:rsidP="00A22649">
      <w:pPr>
        <w:ind w:firstLine="720"/>
        <w:jc w:val="both"/>
        <w:outlineLvl w:val="2"/>
        <w:rPr>
          <w:bCs/>
          <w:i/>
          <w:iCs/>
        </w:rPr>
      </w:pPr>
    </w:p>
    <w:p w:rsidR="00A22649" w:rsidRPr="00DE2FA9" w:rsidRDefault="00C733AA" w:rsidP="00A22649">
      <w:pPr>
        <w:jc w:val="both"/>
      </w:pPr>
      <w:r w:rsidRPr="00DE2FA9">
        <w:tab/>
      </w:r>
      <w:r w:rsidR="00A22649" w:rsidRPr="00DE2FA9">
        <w:t xml:space="preserve">Based on the testimony and exhibits </w:t>
      </w:r>
      <w:r w:rsidR="00F354D1">
        <w:t>in the record,</w:t>
      </w:r>
      <w:r w:rsidR="00A22649" w:rsidRPr="00DE2FA9">
        <w:t xml:space="preserve"> FPL’s environmental cost recovery true-up amount for 2017 for all programs is $31,560,081. FPL’s final total for 2017 expenditures for the TPCCMP Project is approximately $14.2 million.</w:t>
      </w:r>
      <w:r w:rsidR="00A22649" w:rsidRPr="00DE2FA9">
        <w:rPr>
          <w:vertAlign w:val="superscript"/>
        </w:rPr>
        <w:footnoteReference w:id="2"/>
      </w:r>
      <w:r w:rsidR="00A22649" w:rsidRPr="00DE2FA9">
        <w:t xml:space="preserve"> </w:t>
      </w:r>
    </w:p>
    <w:p w:rsidR="00A22649" w:rsidRPr="00417591" w:rsidRDefault="00A22649" w:rsidP="00A22649">
      <w:pPr>
        <w:jc w:val="both"/>
      </w:pPr>
    </w:p>
    <w:p w:rsidR="00A22649" w:rsidRDefault="00417591" w:rsidP="00A22649">
      <w:pPr>
        <w:ind w:left="720"/>
        <w:jc w:val="both"/>
        <w:outlineLvl w:val="3"/>
        <w:rPr>
          <w:bCs/>
          <w:i/>
          <w:iCs/>
        </w:rPr>
      </w:pPr>
      <w:r w:rsidRPr="00417591">
        <w:rPr>
          <w:bCs/>
          <w:i/>
          <w:iCs/>
        </w:rPr>
        <w:t xml:space="preserve">2. </w:t>
      </w:r>
      <w:r w:rsidR="00A22649" w:rsidRPr="00417591">
        <w:rPr>
          <w:bCs/>
          <w:i/>
          <w:iCs/>
        </w:rPr>
        <w:t>TPCCMP Project Eligibility</w:t>
      </w:r>
    </w:p>
    <w:p w:rsidR="00417591" w:rsidRPr="00417591" w:rsidRDefault="00417591" w:rsidP="00A22649">
      <w:pPr>
        <w:ind w:left="720"/>
        <w:jc w:val="both"/>
        <w:outlineLvl w:val="3"/>
        <w:rPr>
          <w:bCs/>
          <w:i/>
          <w:iCs/>
        </w:rPr>
      </w:pPr>
    </w:p>
    <w:p w:rsidR="00A22649" w:rsidRPr="00DE2FA9" w:rsidRDefault="00C733AA" w:rsidP="00A22649">
      <w:pPr>
        <w:jc w:val="both"/>
      </w:pPr>
      <w:r w:rsidRPr="00DE2FA9">
        <w:tab/>
      </w:r>
      <w:r w:rsidR="009E01D8">
        <w:t>We</w:t>
      </w:r>
      <w:r w:rsidR="00A22649" w:rsidRPr="00DE2FA9">
        <w:t xml:space="preserve"> initially approved recovery through the ECRC of FPL’s TPCCMP Project in the 2009 ECRC Proceeding.</w:t>
      </w:r>
      <w:r w:rsidR="00A22649" w:rsidRPr="00DE2FA9">
        <w:rPr>
          <w:vertAlign w:val="superscript"/>
        </w:rPr>
        <w:footnoteReference w:id="3"/>
      </w:r>
      <w:r w:rsidR="00A22649" w:rsidRPr="00DE2FA9">
        <w:t xml:space="preserve"> Subsequently, </w:t>
      </w:r>
      <w:r w:rsidR="009E01D8">
        <w:t>we</w:t>
      </w:r>
      <w:r w:rsidR="00A22649" w:rsidRPr="00DE2FA9">
        <w:t xml:space="preserve"> approved recovery of additional costs associated with remediation and mitigation activities as required by various environmental regulators.</w:t>
      </w:r>
      <w:r w:rsidR="00A22649" w:rsidRPr="00DE2FA9">
        <w:rPr>
          <w:vertAlign w:val="superscript"/>
        </w:rPr>
        <w:footnoteReference w:id="4"/>
      </w:r>
      <w:r w:rsidR="00A22649" w:rsidRPr="00DE2FA9">
        <w:t xml:space="preserve"> As a result, SACE’s argument that FPL’s ratepayers should not be responsible for any past or projected expenses associated with these activities ignores </w:t>
      </w:r>
      <w:r w:rsidR="009E01D8">
        <w:t>our</w:t>
      </w:r>
      <w:r w:rsidR="00A22649" w:rsidRPr="00DE2FA9">
        <w:t xml:space="preserve"> prior decision allowing recovery of reasonable costs for the TPCCMP Project. FPL’s actual, estimated, and projected expenditures for the TPCCMP project are tied to remediation and mitigation activities required by its environmental regulators. While SACE also argues that TPCCMP Project costs are unreasonable based upon the allegation that FPL is not timely complying with its environmental requirements, it is not within </w:t>
      </w:r>
      <w:r w:rsidR="009E01D8">
        <w:t>our</w:t>
      </w:r>
      <w:r w:rsidR="00A22649" w:rsidRPr="00DE2FA9">
        <w:t xml:space="preserve"> jurisdiction to determine whether or not FPL is in compliance </w:t>
      </w:r>
      <w:r w:rsidR="00A429ED">
        <w:t xml:space="preserve">with </w:t>
      </w:r>
      <w:r w:rsidR="009E01D8">
        <w:t xml:space="preserve">and </w:t>
      </w:r>
      <w:r w:rsidR="00A22649" w:rsidRPr="00DE2FA9">
        <w:t>meeting environmental requirements</w:t>
      </w:r>
      <w:r w:rsidR="009E01D8">
        <w:t xml:space="preserve">; </w:t>
      </w:r>
      <w:r w:rsidR="00A22649" w:rsidRPr="00DE2FA9">
        <w:t xml:space="preserve">that is the role of the environmental regulators. Moreover, </w:t>
      </w:r>
      <w:r w:rsidR="009E01D8">
        <w:t xml:space="preserve">the record indicates that </w:t>
      </w:r>
      <w:r w:rsidR="00A22649" w:rsidRPr="00DE2FA9">
        <w:t xml:space="preserve">FPL is currently in compliance with the CA, CAA, and CO. </w:t>
      </w:r>
      <w:r w:rsidR="00F354D1">
        <w:t>Upon review, w</w:t>
      </w:r>
      <w:r w:rsidR="009E01D8">
        <w:t xml:space="preserve">e find that </w:t>
      </w:r>
      <w:r w:rsidR="00A22649" w:rsidRPr="00DE2FA9">
        <w:t xml:space="preserve">FPL has demonstrated its actual, estimated, and projected costs, including TPCCMP Project costs, are reasonable and </w:t>
      </w:r>
      <w:r w:rsidR="008E306D">
        <w:t xml:space="preserve">that </w:t>
      </w:r>
      <w:r w:rsidR="009E01D8">
        <w:t xml:space="preserve">such costs </w:t>
      </w:r>
      <w:r w:rsidR="00A22649" w:rsidRPr="00DE2FA9">
        <w:t>sh</w:t>
      </w:r>
      <w:r w:rsidR="009E01D8">
        <w:t xml:space="preserve">all </w:t>
      </w:r>
      <w:r w:rsidR="00A22649" w:rsidRPr="00DE2FA9">
        <w:t>be allowed for cost recovery.</w:t>
      </w:r>
    </w:p>
    <w:p w:rsidR="00A22649" w:rsidRPr="00DE2FA9" w:rsidRDefault="00A22649" w:rsidP="00A22649">
      <w:pPr>
        <w:jc w:val="both"/>
      </w:pPr>
    </w:p>
    <w:p w:rsidR="00A22649" w:rsidRPr="00417591" w:rsidRDefault="00417591" w:rsidP="00417591">
      <w:pPr>
        <w:jc w:val="center"/>
        <w:outlineLvl w:val="2"/>
        <w:rPr>
          <w:b/>
          <w:bCs/>
          <w:iCs/>
          <w:u w:val="single"/>
        </w:rPr>
      </w:pPr>
      <w:r w:rsidRPr="00417591">
        <w:rPr>
          <w:b/>
          <w:bCs/>
          <w:iCs/>
          <w:u w:val="single"/>
        </w:rPr>
        <w:t>C. Decision</w:t>
      </w:r>
    </w:p>
    <w:p w:rsidR="00417591" w:rsidRPr="00DE2FA9" w:rsidRDefault="00417591" w:rsidP="00A22649">
      <w:pPr>
        <w:jc w:val="both"/>
        <w:outlineLvl w:val="2"/>
        <w:rPr>
          <w:b/>
          <w:bCs/>
          <w:iCs/>
        </w:rPr>
      </w:pPr>
    </w:p>
    <w:p w:rsidR="00A22649" w:rsidRPr="00DE2FA9" w:rsidRDefault="00C733AA" w:rsidP="00A22649">
      <w:pPr>
        <w:pStyle w:val="OrderBody"/>
      </w:pPr>
      <w:r w:rsidRPr="00DE2FA9">
        <w:tab/>
      </w:r>
      <w:r w:rsidR="00A22649" w:rsidRPr="00DE2FA9">
        <w:t>The final true-up amount for the period January 2017 through December 2017</w:t>
      </w:r>
      <w:r w:rsidR="00845152">
        <w:t>,</w:t>
      </w:r>
      <w:r w:rsidR="00A22649" w:rsidRPr="00DE2FA9">
        <w:t xml:space="preserve"> for FPL is an over-recovery of $31,560,081. There sh</w:t>
      </w:r>
      <w:r w:rsidR="009E01D8">
        <w:t>all</w:t>
      </w:r>
      <w:r w:rsidR="00A22649" w:rsidRPr="00DE2FA9">
        <w:t xml:space="preserve"> be no adjustment to this amount associated with the TPCCMP Project.</w:t>
      </w:r>
    </w:p>
    <w:p w:rsidR="00D57E57" w:rsidRPr="00DE2FA9" w:rsidRDefault="00D57E57" w:rsidP="00D57E57"/>
    <w:p w:rsidR="00A22649" w:rsidRPr="00DE2FA9" w:rsidRDefault="00A22649" w:rsidP="00D57E57"/>
    <w:p w:rsidR="00A22649" w:rsidRDefault="00F354D1" w:rsidP="00F354D1">
      <w:pPr>
        <w:jc w:val="both"/>
        <w:rPr>
          <w:b/>
        </w:rPr>
      </w:pPr>
      <w:r>
        <w:rPr>
          <w:b/>
        </w:rPr>
        <w:t xml:space="preserve">II. </w:t>
      </w:r>
      <w:r w:rsidR="00073D06">
        <w:rPr>
          <w:b/>
        </w:rPr>
        <w:tab/>
      </w:r>
      <w:r w:rsidR="00845152">
        <w:rPr>
          <w:b/>
        </w:rPr>
        <w:t>FPL’s e</w:t>
      </w:r>
      <w:r w:rsidR="00A22649" w:rsidRPr="00631F38">
        <w:rPr>
          <w:b/>
        </w:rPr>
        <w:t>stimated/actual environmental cost recovery true-up amounts</w:t>
      </w:r>
      <w:r>
        <w:rPr>
          <w:b/>
        </w:rPr>
        <w:t xml:space="preserve"> </w:t>
      </w:r>
      <w:r w:rsidR="00A22649" w:rsidRPr="00631F38">
        <w:rPr>
          <w:b/>
        </w:rPr>
        <w:t xml:space="preserve">for the period </w:t>
      </w:r>
      <w:r w:rsidR="00073D06">
        <w:rPr>
          <w:b/>
        </w:rPr>
        <w:tab/>
      </w:r>
      <w:r w:rsidR="00A22649" w:rsidRPr="00631F38">
        <w:rPr>
          <w:b/>
        </w:rPr>
        <w:t>January 2018 through December 2018</w:t>
      </w:r>
      <w:r w:rsidR="00631F38" w:rsidRPr="00631F38">
        <w:rPr>
          <w:b/>
        </w:rPr>
        <w:t xml:space="preserve"> </w:t>
      </w:r>
    </w:p>
    <w:p w:rsidR="00C75362" w:rsidRDefault="00C75362" w:rsidP="00F354D1">
      <w:pPr>
        <w:jc w:val="both"/>
        <w:rPr>
          <w:b/>
        </w:rPr>
      </w:pPr>
    </w:p>
    <w:p w:rsidR="000A03B5" w:rsidRDefault="000A03B5">
      <w:pPr>
        <w:rPr>
          <w:b/>
          <w:u w:val="single"/>
        </w:rPr>
      </w:pPr>
      <w:r>
        <w:rPr>
          <w:b/>
          <w:u w:val="single"/>
        </w:rPr>
        <w:br w:type="page"/>
      </w:r>
    </w:p>
    <w:p w:rsidR="00A22649" w:rsidRPr="00B75982" w:rsidRDefault="00B75982" w:rsidP="00A22649">
      <w:pPr>
        <w:jc w:val="center"/>
        <w:rPr>
          <w:b/>
          <w:u w:val="single"/>
        </w:rPr>
      </w:pPr>
      <w:r w:rsidRPr="00B75982">
        <w:rPr>
          <w:b/>
          <w:u w:val="single"/>
        </w:rPr>
        <w:lastRenderedPageBreak/>
        <w:t xml:space="preserve">A. </w:t>
      </w:r>
      <w:r w:rsidR="00A22649" w:rsidRPr="00B75982">
        <w:rPr>
          <w:b/>
          <w:u w:val="single"/>
        </w:rPr>
        <w:t>Parties’ Arguments</w:t>
      </w:r>
    </w:p>
    <w:p w:rsidR="00A22649" w:rsidRPr="00DE2FA9" w:rsidRDefault="00A22649" w:rsidP="00A22649">
      <w:pPr>
        <w:jc w:val="both"/>
        <w:rPr>
          <w:b/>
        </w:rPr>
      </w:pPr>
    </w:p>
    <w:p w:rsidR="00A22649" w:rsidRDefault="00B75982" w:rsidP="00A22649">
      <w:pPr>
        <w:ind w:left="720"/>
        <w:jc w:val="both"/>
        <w:outlineLvl w:val="3"/>
        <w:rPr>
          <w:bCs/>
          <w:i/>
          <w:iCs/>
        </w:rPr>
      </w:pPr>
      <w:r w:rsidRPr="00B75982">
        <w:rPr>
          <w:bCs/>
          <w:i/>
          <w:iCs/>
        </w:rPr>
        <w:t xml:space="preserve">1. </w:t>
      </w:r>
      <w:r w:rsidR="00A22649" w:rsidRPr="00B75982">
        <w:rPr>
          <w:bCs/>
          <w:i/>
          <w:iCs/>
        </w:rPr>
        <w:t>FPL</w:t>
      </w:r>
    </w:p>
    <w:p w:rsidR="00F354D1" w:rsidRPr="00B75982" w:rsidRDefault="00F354D1" w:rsidP="00A22649">
      <w:pPr>
        <w:ind w:left="720"/>
        <w:jc w:val="both"/>
        <w:outlineLvl w:val="3"/>
        <w:rPr>
          <w:bCs/>
          <w:i/>
          <w:iCs/>
        </w:rPr>
      </w:pPr>
    </w:p>
    <w:p w:rsidR="00A22649" w:rsidRPr="00DE2FA9" w:rsidRDefault="00583725" w:rsidP="00583725">
      <w:pPr>
        <w:ind w:left="90"/>
        <w:jc w:val="both"/>
      </w:pPr>
      <w:r>
        <w:tab/>
      </w:r>
      <w:r w:rsidR="00F354D1">
        <w:t xml:space="preserve">FPL asserts that it has a </w:t>
      </w:r>
      <w:r w:rsidR="00F354D1" w:rsidRPr="00F354D1">
        <w:t>$5,614,42</w:t>
      </w:r>
      <w:r w:rsidR="00F354D1" w:rsidRPr="00DE2FA9">
        <w:t>0 under-recovery</w:t>
      </w:r>
      <w:r w:rsidR="00F354D1">
        <w:t xml:space="preserve"> </w:t>
      </w:r>
      <w:r>
        <w:t xml:space="preserve">for the period January 2018 through December 2018, </w:t>
      </w:r>
      <w:r w:rsidR="00F354D1">
        <w:t xml:space="preserve">and that it is </w:t>
      </w:r>
      <w:r w:rsidR="00A22649" w:rsidRPr="00DE2FA9">
        <w:t xml:space="preserve">eligible for </w:t>
      </w:r>
      <w:r>
        <w:t xml:space="preserve">recovery of </w:t>
      </w:r>
      <w:r w:rsidR="00A22649" w:rsidRPr="00DE2FA9">
        <w:t>cost</w:t>
      </w:r>
      <w:r>
        <w:t>s</w:t>
      </w:r>
      <w:r w:rsidR="00A22649" w:rsidRPr="00DE2FA9">
        <w:t xml:space="preserve"> associated with the TPCCMP Project.</w:t>
      </w:r>
      <w:r>
        <w:t xml:space="preserve"> </w:t>
      </w:r>
    </w:p>
    <w:p w:rsidR="00F354D1" w:rsidRDefault="00F354D1" w:rsidP="00A22649">
      <w:pPr>
        <w:ind w:left="720"/>
        <w:jc w:val="both"/>
        <w:outlineLvl w:val="3"/>
        <w:rPr>
          <w:bCs/>
          <w:i/>
          <w:iCs/>
        </w:rPr>
      </w:pPr>
    </w:p>
    <w:p w:rsidR="00A22649" w:rsidRDefault="00B75982" w:rsidP="00A22649">
      <w:pPr>
        <w:ind w:left="720"/>
        <w:jc w:val="both"/>
        <w:outlineLvl w:val="3"/>
        <w:rPr>
          <w:bCs/>
          <w:i/>
          <w:iCs/>
        </w:rPr>
      </w:pPr>
      <w:r w:rsidRPr="00B75982">
        <w:rPr>
          <w:bCs/>
          <w:i/>
          <w:iCs/>
        </w:rPr>
        <w:t xml:space="preserve">2. </w:t>
      </w:r>
      <w:r w:rsidR="00A22649" w:rsidRPr="00B75982">
        <w:rPr>
          <w:bCs/>
          <w:i/>
          <w:iCs/>
        </w:rPr>
        <w:t>SACE</w:t>
      </w:r>
    </w:p>
    <w:p w:rsidR="00073D06" w:rsidRPr="00B75982" w:rsidRDefault="00073D06" w:rsidP="00A22649">
      <w:pPr>
        <w:ind w:left="720"/>
        <w:jc w:val="both"/>
        <w:outlineLvl w:val="3"/>
        <w:rPr>
          <w:bCs/>
          <w:i/>
          <w:iCs/>
        </w:rPr>
      </w:pPr>
    </w:p>
    <w:p w:rsidR="00A22649" w:rsidRPr="00DE2FA9" w:rsidRDefault="00C733AA" w:rsidP="00A22649">
      <w:pPr>
        <w:jc w:val="both"/>
      </w:pPr>
      <w:r w:rsidRPr="00DE2FA9">
        <w:tab/>
      </w:r>
      <w:r w:rsidR="00F354D1">
        <w:t xml:space="preserve">SACE argues that we should not </w:t>
      </w:r>
      <w:r w:rsidR="00F354D1" w:rsidRPr="00DE2FA9">
        <w:rPr>
          <w:bCs/>
        </w:rPr>
        <w:t>approve FPL’s request for cost recovery of TPCCMP remediation activities</w:t>
      </w:r>
      <w:r w:rsidR="00073D06">
        <w:rPr>
          <w:bCs/>
        </w:rPr>
        <w:t xml:space="preserve"> and that</w:t>
      </w:r>
      <w:r w:rsidR="00F354D1" w:rsidRPr="00DE2FA9">
        <w:rPr>
          <w:bCs/>
        </w:rPr>
        <w:t xml:space="preserve"> FPL’s negligence in the operation of the</w:t>
      </w:r>
      <w:r w:rsidR="0005503A">
        <w:rPr>
          <w:bCs/>
        </w:rPr>
        <w:t xml:space="preserve"> </w:t>
      </w:r>
      <w:r w:rsidR="0005503A" w:rsidRPr="00E20AC8">
        <w:rPr>
          <w:bCs/>
        </w:rPr>
        <w:t>Cooling Canal System (</w:t>
      </w:r>
      <w:r w:rsidR="00F354D1" w:rsidRPr="00E20AC8">
        <w:rPr>
          <w:bCs/>
        </w:rPr>
        <w:t>CCS</w:t>
      </w:r>
      <w:r w:rsidR="0005503A" w:rsidRPr="00E20AC8">
        <w:rPr>
          <w:bCs/>
        </w:rPr>
        <w:t>)</w:t>
      </w:r>
      <w:r w:rsidR="00F354D1" w:rsidRPr="00E20AC8">
        <w:rPr>
          <w:bCs/>
        </w:rPr>
        <w:t xml:space="preserve"> l</w:t>
      </w:r>
      <w:r w:rsidR="00F354D1" w:rsidRPr="00DE2FA9">
        <w:rPr>
          <w:bCs/>
        </w:rPr>
        <w:t xml:space="preserve">ed to violations of law and </w:t>
      </w:r>
      <w:r w:rsidR="00845152">
        <w:rPr>
          <w:bCs/>
        </w:rPr>
        <w:t xml:space="preserve">the </w:t>
      </w:r>
      <w:r w:rsidR="00F354D1" w:rsidRPr="00DE2FA9">
        <w:rPr>
          <w:bCs/>
        </w:rPr>
        <w:t xml:space="preserve">compliance requirements being placed on </w:t>
      </w:r>
      <w:r w:rsidR="00845152">
        <w:rPr>
          <w:bCs/>
        </w:rPr>
        <w:t>the Company.</w:t>
      </w:r>
      <w:r w:rsidR="00073D06">
        <w:rPr>
          <w:bCs/>
        </w:rPr>
        <w:t xml:space="preserve"> SACE contends that </w:t>
      </w:r>
      <w:r w:rsidR="00F354D1" w:rsidRPr="00DE2FA9">
        <w:rPr>
          <w:bCs/>
        </w:rPr>
        <w:t>FPL is not making timely progress in meeting its compliance requirements.</w:t>
      </w:r>
      <w:r w:rsidR="00073D06" w:rsidRPr="00073D06">
        <w:t xml:space="preserve"> </w:t>
      </w:r>
      <w:r w:rsidR="00073D06" w:rsidRPr="00DE2FA9">
        <w:t xml:space="preserve">SACE </w:t>
      </w:r>
      <w:r w:rsidR="00073D06">
        <w:t>asserts</w:t>
      </w:r>
      <w:r w:rsidR="00073D06" w:rsidRPr="00DE2FA9">
        <w:t xml:space="preserve"> that FPL should not be allowed to recover costs for the TPCCMP Project </w:t>
      </w:r>
      <w:r w:rsidR="00845152">
        <w:t>because the Company</w:t>
      </w:r>
      <w:r w:rsidR="00073D06" w:rsidRPr="00DE2FA9">
        <w:t xml:space="preserve"> engaged in imprudent activity and its projected costs are unreasonable due to the Company being out of compliance with the CAA.</w:t>
      </w:r>
      <w:r w:rsidR="00073D06">
        <w:t xml:space="preserve">  </w:t>
      </w:r>
    </w:p>
    <w:p w:rsidR="00A22649" w:rsidRPr="00DE2FA9" w:rsidRDefault="00A22649" w:rsidP="00A22649">
      <w:pPr>
        <w:jc w:val="both"/>
      </w:pPr>
    </w:p>
    <w:p w:rsidR="00A22649" w:rsidRPr="00B75982" w:rsidRDefault="00B75982" w:rsidP="00A22649">
      <w:pPr>
        <w:jc w:val="center"/>
        <w:rPr>
          <w:b/>
          <w:u w:val="single"/>
        </w:rPr>
      </w:pPr>
      <w:r w:rsidRPr="00B75982">
        <w:rPr>
          <w:b/>
          <w:u w:val="single"/>
        </w:rPr>
        <w:t xml:space="preserve">B. </w:t>
      </w:r>
      <w:r w:rsidR="00A22649" w:rsidRPr="00B75982">
        <w:rPr>
          <w:b/>
          <w:u w:val="single"/>
        </w:rPr>
        <w:t>Analysis</w:t>
      </w:r>
    </w:p>
    <w:p w:rsidR="00A22649" w:rsidRPr="00DE2FA9" w:rsidRDefault="00A22649" w:rsidP="00A22649">
      <w:pPr>
        <w:jc w:val="both"/>
        <w:rPr>
          <w:b/>
        </w:rPr>
      </w:pPr>
    </w:p>
    <w:p w:rsidR="00A22649" w:rsidRDefault="00B75982" w:rsidP="00A22649">
      <w:pPr>
        <w:autoSpaceDE w:val="0"/>
        <w:autoSpaceDN w:val="0"/>
        <w:adjustRightInd w:val="0"/>
        <w:ind w:firstLine="720"/>
        <w:rPr>
          <w:bCs/>
          <w:i/>
        </w:rPr>
      </w:pPr>
      <w:r>
        <w:rPr>
          <w:bCs/>
          <w:i/>
        </w:rPr>
        <w:t xml:space="preserve">1. </w:t>
      </w:r>
      <w:r w:rsidR="00A22649" w:rsidRPr="00B75982">
        <w:rPr>
          <w:bCs/>
          <w:i/>
        </w:rPr>
        <w:t>Estimated/Actual ECRC True-Up Amount</w:t>
      </w:r>
    </w:p>
    <w:p w:rsidR="00B75982" w:rsidRPr="00B75982" w:rsidRDefault="00B75982" w:rsidP="00A22649">
      <w:pPr>
        <w:autoSpaceDE w:val="0"/>
        <w:autoSpaceDN w:val="0"/>
        <w:adjustRightInd w:val="0"/>
        <w:ind w:firstLine="720"/>
        <w:rPr>
          <w:bCs/>
          <w:i/>
        </w:rPr>
      </w:pPr>
    </w:p>
    <w:p w:rsidR="00A22649" w:rsidRPr="00DE2FA9" w:rsidRDefault="00C733AA" w:rsidP="00A22649">
      <w:pPr>
        <w:jc w:val="both"/>
      </w:pPr>
      <w:r w:rsidRPr="00DE2FA9">
        <w:tab/>
      </w:r>
      <w:r w:rsidR="00A22649" w:rsidRPr="00DE2FA9">
        <w:t xml:space="preserve">Based on the testimony and exhibits </w:t>
      </w:r>
      <w:r w:rsidR="00073D06">
        <w:t>in the record,</w:t>
      </w:r>
      <w:r w:rsidR="00A22649" w:rsidRPr="00DE2FA9">
        <w:t xml:space="preserve"> FPL’s environmental cost recovery true-up amount for 2018</w:t>
      </w:r>
      <w:r w:rsidR="00845152">
        <w:t>,</w:t>
      </w:r>
      <w:r w:rsidR="00A22649" w:rsidRPr="00DE2FA9">
        <w:t xml:space="preserve"> for all programs</w:t>
      </w:r>
      <w:r w:rsidR="00845152">
        <w:t>,</w:t>
      </w:r>
      <w:r w:rsidR="00A22649" w:rsidRPr="00DE2FA9">
        <w:t xml:space="preserve"> is $5,614,420. FPL’s actual/estimated total for 2018 expenditures for the TPCCMP Project is approximately $32.8 million.</w:t>
      </w:r>
      <w:r w:rsidR="00A22649" w:rsidRPr="00DE2FA9">
        <w:rPr>
          <w:vertAlign w:val="superscript"/>
        </w:rPr>
        <w:footnoteReference w:id="5"/>
      </w:r>
      <w:r w:rsidR="00A22649" w:rsidRPr="00DE2FA9">
        <w:t xml:space="preserve"> </w:t>
      </w:r>
    </w:p>
    <w:p w:rsidR="00A22649" w:rsidRPr="00DE2FA9" w:rsidRDefault="00A22649" w:rsidP="00A22649">
      <w:pPr>
        <w:jc w:val="both"/>
      </w:pPr>
    </w:p>
    <w:p w:rsidR="00A22649" w:rsidRPr="00B75982" w:rsidRDefault="00B75982" w:rsidP="00A22649">
      <w:pPr>
        <w:keepNext/>
        <w:ind w:left="720"/>
        <w:jc w:val="both"/>
        <w:outlineLvl w:val="3"/>
        <w:rPr>
          <w:bCs/>
          <w:i/>
          <w:iCs/>
        </w:rPr>
      </w:pPr>
      <w:r w:rsidRPr="00B75982">
        <w:rPr>
          <w:bCs/>
          <w:i/>
          <w:iCs/>
        </w:rPr>
        <w:t xml:space="preserve">2. </w:t>
      </w:r>
      <w:r w:rsidR="00A22649" w:rsidRPr="00B75982">
        <w:rPr>
          <w:bCs/>
          <w:i/>
          <w:iCs/>
        </w:rPr>
        <w:t>TPCCMP Project Eligibility</w:t>
      </w:r>
    </w:p>
    <w:p w:rsidR="00B75982" w:rsidRPr="00DE2FA9" w:rsidRDefault="00B75982" w:rsidP="00A22649">
      <w:pPr>
        <w:keepNext/>
        <w:ind w:left="720"/>
        <w:jc w:val="both"/>
        <w:outlineLvl w:val="3"/>
        <w:rPr>
          <w:b/>
          <w:bCs/>
          <w:i/>
          <w:iCs/>
        </w:rPr>
      </w:pPr>
    </w:p>
    <w:p w:rsidR="00A22649" w:rsidRPr="00DE2FA9" w:rsidRDefault="00C733AA" w:rsidP="00A22649">
      <w:pPr>
        <w:jc w:val="both"/>
      </w:pPr>
      <w:r w:rsidRPr="00DE2FA9">
        <w:tab/>
      </w:r>
      <w:r w:rsidR="00A22649" w:rsidRPr="00DE2FA9">
        <w:t xml:space="preserve">As discussed </w:t>
      </w:r>
      <w:r w:rsidR="00073D06">
        <w:t xml:space="preserve">above at </w:t>
      </w:r>
      <w:r w:rsidR="00845152">
        <w:t>Section</w:t>
      </w:r>
      <w:r w:rsidR="00073D06">
        <w:t xml:space="preserve"> I</w:t>
      </w:r>
      <w:r w:rsidR="0005503A">
        <w:t>,</w:t>
      </w:r>
      <w:r w:rsidR="00073D06">
        <w:t xml:space="preserve"> we</w:t>
      </w:r>
      <w:r w:rsidR="00A22649" w:rsidRPr="00DE2FA9">
        <w:t xml:space="preserve"> ha</w:t>
      </w:r>
      <w:r w:rsidR="00073D06">
        <w:t>ve</w:t>
      </w:r>
      <w:r w:rsidR="00A22649" w:rsidRPr="00DE2FA9">
        <w:t xml:space="preserve"> previously approved the inclusion of costs for the TPCCMP Project. </w:t>
      </w:r>
      <w:r w:rsidR="00073D06">
        <w:t>Upon review</w:t>
      </w:r>
      <w:r w:rsidR="00583725">
        <w:t>,</w:t>
      </w:r>
      <w:r w:rsidR="00073D06">
        <w:t xml:space="preserve"> we find that </w:t>
      </w:r>
      <w:r w:rsidR="00A22649" w:rsidRPr="00DE2FA9">
        <w:t xml:space="preserve">FPL has demonstrated </w:t>
      </w:r>
      <w:r w:rsidR="00583725">
        <w:t xml:space="preserve">that </w:t>
      </w:r>
      <w:r w:rsidR="00A16B71">
        <w:t xml:space="preserve">costs for </w:t>
      </w:r>
      <w:r w:rsidR="00583725">
        <w:t xml:space="preserve">the activities contested by SACE </w:t>
      </w:r>
      <w:r w:rsidR="00A22649" w:rsidRPr="00DE2FA9">
        <w:t>are associated with the TPCCMP Project and sh</w:t>
      </w:r>
      <w:r w:rsidR="00073D06">
        <w:t>all</w:t>
      </w:r>
      <w:r w:rsidR="00A22649" w:rsidRPr="00DE2FA9">
        <w:t xml:space="preserve"> be allowed for cost recovery.</w:t>
      </w:r>
    </w:p>
    <w:p w:rsidR="00C733AA" w:rsidRPr="00DE2FA9" w:rsidRDefault="00C733AA" w:rsidP="00A22649">
      <w:pPr>
        <w:jc w:val="both"/>
      </w:pPr>
    </w:p>
    <w:p w:rsidR="00A22649" w:rsidRDefault="00B75982" w:rsidP="00B75982">
      <w:pPr>
        <w:keepNext/>
        <w:jc w:val="center"/>
        <w:outlineLvl w:val="2"/>
        <w:rPr>
          <w:b/>
          <w:bCs/>
          <w:iCs/>
          <w:u w:val="single"/>
        </w:rPr>
      </w:pPr>
      <w:r w:rsidRPr="00B75982">
        <w:rPr>
          <w:b/>
          <w:bCs/>
          <w:iCs/>
          <w:u w:val="single"/>
        </w:rPr>
        <w:t xml:space="preserve">C. </w:t>
      </w:r>
      <w:r>
        <w:rPr>
          <w:b/>
          <w:bCs/>
          <w:iCs/>
          <w:u w:val="single"/>
        </w:rPr>
        <w:t>Decision</w:t>
      </w:r>
    </w:p>
    <w:p w:rsidR="00B75982" w:rsidRPr="00B75982" w:rsidRDefault="00B75982" w:rsidP="00B75982">
      <w:pPr>
        <w:keepNext/>
        <w:jc w:val="center"/>
        <w:outlineLvl w:val="2"/>
        <w:rPr>
          <w:b/>
          <w:bCs/>
          <w:iCs/>
          <w:u w:val="single"/>
        </w:rPr>
      </w:pPr>
    </w:p>
    <w:p w:rsidR="00B41039" w:rsidRDefault="00C733AA" w:rsidP="00A16B71">
      <w:pPr>
        <w:jc w:val="both"/>
      </w:pPr>
      <w:r w:rsidRPr="00DE2FA9">
        <w:tab/>
      </w:r>
      <w:r w:rsidR="00A16B71">
        <w:t xml:space="preserve">FPL’s </w:t>
      </w:r>
      <w:r w:rsidR="00A22649" w:rsidRPr="00DE2FA9">
        <w:t>actual/estimated true-up amount for the period January 2018 through December 2018</w:t>
      </w:r>
      <w:r w:rsidR="00A16B71">
        <w:t>,</w:t>
      </w:r>
      <w:r w:rsidR="00A22649" w:rsidRPr="00DE2FA9">
        <w:t xml:space="preserve"> is an under-recovery of $5,614,420. There sh</w:t>
      </w:r>
      <w:r w:rsidR="00073D06">
        <w:t>all</w:t>
      </w:r>
      <w:r w:rsidR="00A22649" w:rsidRPr="00DE2FA9">
        <w:t xml:space="preserve"> be no </w:t>
      </w:r>
      <w:r w:rsidR="00A16B71">
        <w:t xml:space="preserve">change </w:t>
      </w:r>
      <w:r w:rsidR="00A22649" w:rsidRPr="00DE2FA9">
        <w:t>to this amount associated with the TPCCMP Project.</w:t>
      </w:r>
    </w:p>
    <w:p w:rsidR="00C75362" w:rsidRDefault="00C75362" w:rsidP="00A16B71">
      <w:pPr>
        <w:jc w:val="both"/>
      </w:pPr>
    </w:p>
    <w:p w:rsidR="00C75362" w:rsidRDefault="00C75362" w:rsidP="00A16B71">
      <w:pPr>
        <w:jc w:val="both"/>
      </w:pPr>
    </w:p>
    <w:p w:rsidR="000A03B5" w:rsidRPr="00DE2FA9" w:rsidRDefault="000A03B5" w:rsidP="00A16B71">
      <w:pPr>
        <w:jc w:val="both"/>
      </w:pPr>
    </w:p>
    <w:p w:rsidR="00A22649" w:rsidRPr="00DE2FA9" w:rsidRDefault="00A22649" w:rsidP="00A22649"/>
    <w:p w:rsidR="00A22649" w:rsidRPr="00DE2FA9" w:rsidRDefault="00B75982" w:rsidP="000A03B5">
      <w:pPr>
        <w:spacing w:after="240"/>
        <w:jc w:val="both"/>
        <w:outlineLvl w:val="0"/>
      </w:pPr>
      <w:r w:rsidRPr="00583725">
        <w:rPr>
          <w:b/>
          <w:bCs/>
          <w:kern w:val="32"/>
        </w:rPr>
        <w:lastRenderedPageBreak/>
        <w:t>III.</w:t>
      </w:r>
      <w:r w:rsidR="00A22649" w:rsidRPr="00583725">
        <w:rPr>
          <w:b/>
          <w:bCs/>
          <w:kern w:val="32"/>
        </w:rPr>
        <w:t> </w:t>
      </w:r>
      <w:r w:rsidR="00A22649" w:rsidRPr="00583725">
        <w:rPr>
          <w:b/>
        </w:rPr>
        <w:t> </w:t>
      </w:r>
      <w:r w:rsidR="00073D06" w:rsidRPr="00583725">
        <w:rPr>
          <w:b/>
        </w:rPr>
        <w:tab/>
      </w:r>
      <w:r w:rsidR="00A16B71">
        <w:rPr>
          <w:b/>
        </w:rPr>
        <w:t>FPL’s p</w:t>
      </w:r>
      <w:r w:rsidR="00A22649" w:rsidRPr="00583725">
        <w:rPr>
          <w:b/>
        </w:rPr>
        <w:t xml:space="preserve">rojected environmental cost recovery amounts for the period January 2019 </w:t>
      </w:r>
      <w:r w:rsidR="00073D06" w:rsidRPr="00583725">
        <w:rPr>
          <w:b/>
        </w:rPr>
        <w:tab/>
      </w:r>
      <w:r w:rsidR="00A22649" w:rsidRPr="00583725">
        <w:rPr>
          <w:b/>
        </w:rPr>
        <w:t>thr</w:t>
      </w:r>
      <w:r w:rsidR="00A22649" w:rsidRPr="00B75982">
        <w:rPr>
          <w:b/>
        </w:rPr>
        <w:t>ough</w:t>
      </w:r>
      <w:r w:rsidR="00A22649" w:rsidRPr="00631F38">
        <w:rPr>
          <w:b/>
        </w:rPr>
        <w:t xml:space="preserve"> December 2019</w:t>
      </w:r>
      <w:r w:rsidR="00631F38" w:rsidRPr="00631F38">
        <w:rPr>
          <w:b/>
        </w:rPr>
        <w:t xml:space="preserve"> </w:t>
      </w:r>
    </w:p>
    <w:p w:rsidR="00A22649" w:rsidRPr="00DE2FA9" w:rsidRDefault="00A22649" w:rsidP="00A22649">
      <w:pPr>
        <w:jc w:val="both"/>
      </w:pPr>
    </w:p>
    <w:p w:rsidR="00A22649" w:rsidRPr="00B75982" w:rsidRDefault="00B75982" w:rsidP="00A22649">
      <w:pPr>
        <w:jc w:val="center"/>
        <w:rPr>
          <w:b/>
          <w:u w:val="single"/>
        </w:rPr>
      </w:pPr>
      <w:r w:rsidRPr="00B75982">
        <w:rPr>
          <w:b/>
          <w:u w:val="single"/>
        </w:rPr>
        <w:t xml:space="preserve">A. </w:t>
      </w:r>
      <w:r w:rsidR="00A22649" w:rsidRPr="00B75982">
        <w:rPr>
          <w:b/>
          <w:u w:val="single"/>
        </w:rPr>
        <w:t>Parties’ Arguments</w:t>
      </w:r>
    </w:p>
    <w:p w:rsidR="00A22649" w:rsidRPr="00DE2FA9" w:rsidRDefault="00A22649" w:rsidP="00A22649">
      <w:pPr>
        <w:jc w:val="both"/>
        <w:rPr>
          <w:b/>
        </w:rPr>
      </w:pPr>
    </w:p>
    <w:p w:rsidR="00A22649" w:rsidRPr="00B75982" w:rsidRDefault="00B75982" w:rsidP="00A22649">
      <w:pPr>
        <w:ind w:left="720"/>
        <w:jc w:val="both"/>
        <w:outlineLvl w:val="3"/>
        <w:rPr>
          <w:bCs/>
          <w:i/>
          <w:iCs/>
        </w:rPr>
      </w:pPr>
      <w:r w:rsidRPr="00B75982">
        <w:rPr>
          <w:bCs/>
          <w:i/>
          <w:iCs/>
        </w:rPr>
        <w:t xml:space="preserve">1. </w:t>
      </w:r>
      <w:r w:rsidR="00A22649" w:rsidRPr="00B75982">
        <w:rPr>
          <w:bCs/>
          <w:i/>
          <w:iCs/>
        </w:rPr>
        <w:t>FPL</w:t>
      </w:r>
    </w:p>
    <w:p w:rsidR="00583725" w:rsidRDefault="00C733AA" w:rsidP="00583725">
      <w:pPr>
        <w:ind w:left="1080" w:hanging="1080"/>
        <w:jc w:val="both"/>
      </w:pPr>
      <w:r w:rsidRPr="00DE2FA9">
        <w:tab/>
      </w:r>
    </w:p>
    <w:p w:rsidR="00A22649" w:rsidRPr="00DE2FA9" w:rsidRDefault="00583725" w:rsidP="00583725">
      <w:pPr>
        <w:jc w:val="both"/>
      </w:pPr>
      <w:r>
        <w:tab/>
        <w:t xml:space="preserve">FPL projects environmental costs of </w:t>
      </w:r>
      <w:r w:rsidRPr="00DE2FA9">
        <w:t>$187,365,910</w:t>
      </w:r>
      <w:r>
        <w:t xml:space="preserve"> for January 2019 through December 2019. </w:t>
      </w:r>
      <w:r w:rsidR="00A22649" w:rsidRPr="00DE2FA9">
        <w:t xml:space="preserve">As discussed </w:t>
      </w:r>
      <w:r w:rsidR="00B71F29">
        <w:t xml:space="preserve">above under </w:t>
      </w:r>
      <w:r w:rsidR="00A22649" w:rsidRPr="00DE2FA9">
        <w:t xml:space="preserve">in </w:t>
      </w:r>
      <w:r w:rsidR="00845152">
        <w:t>Section</w:t>
      </w:r>
      <w:r w:rsidR="00A22649" w:rsidRPr="00DE2FA9">
        <w:t xml:space="preserve"> </w:t>
      </w:r>
      <w:r w:rsidR="00B71F29">
        <w:t>I</w:t>
      </w:r>
      <w:r w:rsidR="00A22649" w:rsidRPr="00DE2FA9">
        <w:t xml:space="preserve">, FPL argues </w:t>
      </w:r>
      <w:r w:rsidR="0005503A">
        <w:t xml:space="preserve">that </w:t>
      </w:r>
      <w:r w:rsidR="00A22649" w:rsidRPr="00DE2FA9">
        <w:t xml:space="preserve">it is eligible for recovery </w:t>
      </w:r>
      <w:r w:rsidR="008E306D">
        <w:t xml:space="preserve">of </w:t>
      </w:r>
      <w:r w:rsidR="00A22649" w:rsidRPr="00DE2FA9">
        <w:t xml:space="preserve">costs associated with the TPCCMP Project. </w:t>
      </w:r>
    </w:p>
    <w:p w:rsidR="00A22649" w:rsidRPr="00DE2FA9" w:rsidRDefault="00A22649" w:rsidP="00A22649">
      <w:pPr>
        <w:jc w:val="both"/>
        <w:outlineLvl w:val="3"/>
        <w:rPr>
          <w:b/>
          <w:bCs/>
          <w:i/>
          <w:iCs/>
        </w:rPr>
      </w:pPr>
    </w:p>
    <w:p w:rsidR="00A22649" w:rsidRDefault="00B75982" w:rsidP="00A22649">
      <w:pPr>
        <w:ind w:left="720"/>
        <w:jc w:val="both"/>
        <w:outlineLvl w:val="3"/>
        <w:rPr>
          <w:bCs/>
          <w:i/>
          <w:iCs/>
        </w:rPr>
      </w:pPr>
      <w:r w:rsidRPr="00B75982">
        <w:rPr>
          <w:bCs/>
          <w:i/>
          <w:iCs/>
        </w:rPr>
        <w:t xml:space="preserve">2. </w:t>
      </w:r>
      <w:r w:rsidR="00A22649" w:rsidRPr="00B75982">
        <w:rPr>
          <w:bCs/>
          <w:i/>
          <w:iCs/>
        </w:rPr>
        <w:t>SACE</w:t>
      </w:r>
    </w:p>
    <w:p w:rsidR="00583725" w:rsidRPr="00B75982" w:rsidRDefault="00583725" w:rsidP="00A22649">
      <w:pPr>
        <w:ind w:left="720"/>
        <w:jc w:val="both"/>
        <w:outlineLvl w:val="3"/>
        <w:rPr>
          <w:bCs/>
          <w:i/>
          <w:iCs/>
        </w:rPr>
      </w:pPr>
    </w:p>
    <w:p w:rsidR="00A22649" w:rsidRPr="00DE2FA9" w:rsidRDefault="00B71F29" w:rsidP="00B71F29">
      <w:pPr>
        <w:ind w:left="90"/>
        <w:jc w:val="both"/>
      </w:pPr>
      <w:r>
        <w:rPr>
          <w:bCs/>
          <w:color w:val="000000"/>
        </w:rPr>
        <w:tab/>
        <w:t xml:space="preserve">SACE asserts that we </w:t>
      </w:r>
      <w:r w:rsidR="00583725" w:rsidRPr="00DE2FA9">
        <w:rPr>
          <w:bCs/>
        </w:rPr>
        <w:t xml:space="preserve">should not approve FPL’s request for cost recovery of TPCCMP remediation activities. </w:t>
      </w:r>
      <w:r>
        <w:rPr>
          <w:bCs/>
        </w:rPr>
        <w:t xml:space="preserve">SACE avers that </w:t>
      </w:r>
      <w:r w:rsidR="00583725" w:rsidRPr="00DE2FA9">
        <w:rPr>
          <w:bCs/>
        </w:rPr>
        <w:t>FPL’s negligence in the operation of the CCS led to violations of law and compliance requirements being placed on it</w:t>
      </w:r>
      <w:r>
        <w:rPr>
          <w:bCs/>
        </w:rPr>
        <w:t xml:space="preserve"> and that </w:t>
      </w:r>
      <w:r w:rsidR="00583725" w:rsidRPr="00DE2FA9">
        <w:rPr>
          <w:bCs/>
        </w:rPr>
        <w:t>FPL is not making timely progress in meeting its compliance requirements.</w:t>
      </w:r>
      <w:r w:rsidR="00583725">
        <w:rPr>
          <w:bCs/>
        </w:rPr>
        <w:t xml:space="preserve"> </w:t>
      </w:r>
      <w:r w:rsidR="00A22649" w:rsidRPr="00DE2FA9">
        <w:t xml:space="preserve">SACE argues that FPL should not be allowed to recover costs for the TPCCMP Project </w:t>
      </w:r>
      <w:r>
        <w:t xml:space="preserve">because </w:t>
      </w:r>
      <w:r w:rsidR="00A22649" w:rsidRPr="00DE2FA9">
        <w:t xml:space="preserve">it engaged in imprudent activity and its projected costs are unreasonable </w:t>
      </w:r>
      <w:r>
        <w:t>because</w:t>
      </w:r>
      <w:r w:rsidR="00A22649" w:rsidRPr="00DE2FA9">
        <w:t xml:space="preserve"> the Company being out of compliance with the CAA.</w:t>
      </w:r>
    </w:p>
    <w:p w:rsidR="00A22649" w:rsidRPr="00DE2FA9" w:rsidRDefault="00A22649" w:rsidP="00A22649">
      <w:pPr>
        <w:jc w:val="both"/>
      </w:pPr>
    </w:p>
    <w:p w:rsidR="00A22649" w:rsidRPr="00B75982" w:rsidRDefault="00B75982" w:rsidP="00A22649">
      <w:pPr>
        <w:jc w:val="center"/>
        <w:rPr>
          <w:b/>
          <w:u w:val="single"/>
        </w:rPr>
      </w:pPr>
      <w:r w:rsidRPr="00B75982">
        <w:rPr>
          <w:b/>
          <w:u w:val="single"/>
        </w:rPr>
        <w:t xml:space="preserve">B. </w:t>
      </w:r>
      <w:r w:rsidR="00A22649" w:rsidRPr="00B75982">
        <w:rPr>
          <w:b/>
          <w:u w:val="single"/>
        </w:rPr>
        <w:t>Analysis</w:t>
      </w:r>
    </w:p>
    <w:p w:rsidR="00A22649" w:rsidRPr="00B75982" w:rsidRDefault="00A22649" w:rsidP="00A22649">
      <w:pPr>
        <w:jc w:val="both"/>
      </w:pPr>
    </w:p>
    <w:p w:rsidR="00A22649" w:rsidRDefault="00B75982" w:rsidP="00A22649">
      <w:pPr>
        <w:autoSpaceDE w:val="0"/>
        <w:autoSpaceDN w:val="0"/>
        <w:adjustRightInd w:val="0"/>
        <w:ind w:firstLine="720"/>
        <w:rPr>
          <w:bCs/>
          <w:i/>
        </w:rPr>
      </w:pPr>
      <w:r w:rsidRPr="00B75982">
        <w:rPr>
          <w:bCs/>
          <w:i/>
        </w:rPr>
        <w:t xml:space="preserve">1. </w:t>
      </w:r>
      <w:r w:rsidR="00A22649" w:rsidRPr="00B75982">
        <w:rPr>
          <w:bCs/>
          <w:i/>
        </w:rPr>
        <w:t>Projected ECRC Amount</w:t>
      </w:r>
    </w:p>
    <w:p w:rsidR="00A16B71" w:rsidRPr="00B75982" w:rsidRDefault="00A16B71" w:rsidP="00A22649">
      <w:pPr>
        <w:autoSpaceDE w:val="0"/>
        <w:autoSpaceDN w:val="0"/>
        <w:adjustRightInd w:val="0"/>
        <w:ind w:firstLine="720"/>
        <w:rPr>
          <w:bCs/>
          <w:i/>
        </w:rPr>
      </w:pPr>
    </w:p>
    <w:p w:rsidR="00A22649" w:rsidRDefault="00C733AA" w:rsidP="00A22649">
      <w:pPr>
        <w:jc w:val="both"/>
      </w:pPr>
      <w:r w:rsidRPr="00DE2FA9">
        <w:tab/>
      </w:r>
      <w:r w:rsidR="00A22649" w:rsidRPr="00DE2FA9">
        <w:t>Based on testimony and exhibits</w:t>
      </w:r>
      <w:r w:rsidR="00B71F29">
        <w:t xml:space="preserve"> in the record, </w:t>
      </w:r>
      <w:r w:rsidR="00A22649" w:rsidRPr="00DE2FA9">
        <w:t xml:space="preserve">FPL’s environmental cost recovery projected amount for 2019 for all programs is $187,365,910. FPL’s projected </w:t>
      </w:r>
      <w:r w:rsidR="00A16B71">
        <w:t xml:space="preserve">cost </w:t>
      </w:r>
      <w:r w:rsidR="00A22649" w:rsidRPr="00DE2FA9">
        <w:t>total includes expenditures for the TPCCMP Project of approximately $24.3 million.</w:t>
      </w:r>
      <w:r w:rsidR="00A22649" w:rsidRPr="00DE2FA9">
        <w:rPr>
          <w:vertAlign w:val="superscript"/>
        </w:rPr>
        <w:footnoteReference w:id="6"/>
      </w:r>
      <w:r w:rsidR="00A22649" w:rsidRPr="00DE2FA9">
        <w:t xml:space="preserve"> </w:t>
      </w:r>
    </w:p>
    <w:p w:rsidR="00B71F29" w:rsidRPr="00DE2FA9" w:rsidRDefault="00B71F29" w:rsidP="00A22649">
      <w:pPr>
        <w:jc w:val="both"/>
      </w:pPr>
    </w:p>
    <w:p w:rsidR="00A22649" w:rsidRDefault="00B75982" w:rsidP="00A22649">
      <w:pPr>
        <w:keepNext/>
        <w:ind w:left="720"/>
        <w:jc w:val="both"/>
        <w:outlineLvl w:val="3"/>
        <w:rPr>
          <w:bCs/>
          <w:i/>
          <w:iCs/>
        </w:rPr>
      </w:pPr>
      <w:r w:rsidRPr="00B75982">
        <w:rPr>
          <w:bCs/>
          <w:i/>
          <w:iCs/>
        </w:rPr>
        <w:t xml:space="preserve">2. </w:t>
      </w:r>
      <w:r w:rsidR="00A22649" w:rsidRPr="00B75982">
        <w:rPr>
          <w:bCs/>
          <w:i/>
          <w:iCs/>
        </w:rPr>
        <w:t>TPCCMP Project Eligibility</w:t>
      </w:r>
    </w:p>
    <w:p w:rsidR="00A16B71" w:rsidRPr="00B75982" w:rsidRDefault="00A16B71" w:rsidP="00A22649">
      <w:pPr>
        <w:keepNext/>
        <w:ind w:left="720"/>
        <w:jc w:val="both"/>
        <w:outlineLvl w:val="3"/>
        <w:rPr>
          <w:bCs/>
          <w:i/>
          <w:iCs/>
        </w:rPr>
      </w:pPr>
    </w:p>
    <w:p w:rsidR="00A22649" w:rsidRPr="00DE2FA9" w:rsidRDefault="00C733AA" w:rsidP="00A22649">
      <w:pPr>
        <w:jc w:val="both"/>
      </w:pPr>
      <w:r w:rsidRPr="00DE2FA9">
        <w:tab/>
      </w:r>
      <w:r w:rsidR="00A22649" w:rsidRPr="00DE2FA9">
        <w:t xml:space="preserve">As discussed </w:t>
      </w:r>
      <w:r w:rsidR="00B71F29">
        <w:t xml:space="preserve">above at </w:t>
      </w:r>
      <w:r w:rsidR="00845152">
        <w:t>Section</w:t>
      </w:r>
      <w:r w:rsidR="00A22649" w:rsidRPr="00DE2FA9">
        <w:t xml:space="preserve"> </w:t>
      </w:r>
      <w:r w:rsidR="00B71F29">
        <w:t>I</w:t>
      </w:r>
      <w:r w:rsidR="00A22649" w:rsidRPr="00DE2FA9">
        <w:t xml:space="preserve">, </w:t>
      </w:r>
      <w:r w:rsidR="00B71F29">
        <w:t>we</w:t>
      </w:r>
      <w:r w:rsidR="00A22649" w:rsidRPr="00DE2FA9">
        <w:t xml:space="preserve"> ha</w:t>
      </w:r>
      <w:r w:rsidR="00B71F29">
        <w:t>ve</w:t>
      </w:r>
      <w:r w:rsidR="00A22649" w:rsidRPr="00DE2FA9">
        <w:t xml:space="preserve"> previously approved the inclusion of costs for the TPCCMP Project. </w:t>
      </w:r>
      <w:r w:rsidR="00B71F29">
        <w:t xml:space="preserve">Upon review, we find that </w:t>
      </w:r>
      <w:r w:rsidR="00A22649" w:rsidRPr="00DE2FA9">
        <w:t xml:space="preserve">FPL has demonstrated </w:t>
      </w:r>
      <w:r w:rsidR="00B71F29">
        <w:t xml:space="preserve">that </w:t>
      </w:r>
      <w:r w:rsidR="00A16B71">
        <w:t xml:space="preserve">costs for the </w:t>
      </w:r>
      <w:r w:rsidR="00A22649" w:rsidRPr="00DE2FA9">
        <w:t xml:space="preserve">activities </w:t>
      </w:r>
      <w:r w:rsidR="00A16B71">
        <w:t xml:space="preserve">contested by SACE </w:t>
      </w:r>
      <w:r w:rsidR="00A22649" w:rsidRPr="00DE2FA9">
        <w:t>are associated with the TPCCMP Project and sh</w:t>
      </w:r>
      <w:r w:rsidR="00B71F29">
        <w:t>all</w:t>
      </w:r>
      <w:r w:rsidR="00A22649" w:rsidRPr="00DE2FA9">
        <w:t xml:space="preserve"> be allowed for cost recovery.</w:t>
      </w:r>
    </w:p>
    <w:p w:rsidR="00A22649" w:rsidRPr="00DE2FA9" w:rsidRDefault="00A22649" w:rsidP="00A22649">
      <w:pPr>
        <w:jc w:val="both"/>
        <w:outlineLvl w:val="2"/>
        <w:rPr>
          <w:b/>
          <w:bCs/>
          <w:iCs/>
        </w:rPr>
      </w:pPr>
    </w:p>
    <w:p w:rsidR="00A22649" w:rsidRDefault="00B75982" w:rsidP="00B75982">
      <w:pPr>
        <w:jc w:val="center"/>
        <w:outlineLvl w:val="2"/>
        <w:rPr>
          <w:b/>
          <w:bCs/>
          <w:iCs/>
          <w:u w:val="single"/>
        </w:rPr>
      </w:pPr>
      <w:r w:rsidRPr="00B75982">
        <w:rPr>
          <w:b/>
          <w:bCs/>
          <w:iCs/>
          <w:u w:val="single"/>
        </w:rPr>
        <w:t>C. Decision</w:t>
      </w:r>
    </w:p>
    <w:p w:rsidR="008B2C8A" w:rsidRPr="00B75982" w:rsidRDefault="008B2C8A" w:rsidP="00B75982">
      <w:pPr>
        <w:jc w:val="center"/>
        <w:outlineLvl w:val="2"/>
        <w:rPr>
          <w:b/>
          <w:bCs/>
          <w:iCs/>
          <w:u w:val="single"/>
        </w:rPr>
      </w:pPr>
    </w:p>
    <w:p w:rsidR="00A22649" w:rsidRPr="00DE2FA9" w:rsidRDefault="00C733AA" w:rsidP="008B2C8A">
      <w:pPr>
        <w:jc w:val="both"/>
      </w:pPr>
      <w:r w:rsidRPr="00DE2FA9">
        <w:tab/>
      </w:r>
      <w:r w:rsidR="00A16B71">
        <w:t>FPL’s p</w:t>
      </w:r>
      <w:r w:rsidR="00A22649" w:rsidRPr="00DE2FA9">
        <w:t xml:space="preserve">rojected </w:t>
      </w:r>
      <w:r w:rsidR="00A16B71">
        <w:t xml:space="preserve">costs </w:t>
      </w:r>
      <w:r w:rsidR="00A22649" w:rsidRPr="00DE2FA9">
        <w:t>for the period January 2019 through December 2019</w:t>
      </w:r>
      <w:r w:rsidR="00A16B71">
        <w:t xml:space="preserve">, </w:t>
      </w:r>
      <w:r w:rsidR="00A22649" w:rsidRPr="00DE2FA9">
        <w:t>total $187,365,910, which includes projected expenditures associated with the TPCCMP Project.</w:t>
      </w:r>
    </w:p>
    <w:p w:rsidR="00A22649" w:rsidRPr="00DE2FA9" w:rsidRDefault="00A22649" w:rsidP="00A22649"/>
    <w:p w:rsidR="00C75362" w:rsidRDefault="00C75362" w:rsidP="00A22649">
      <w:pPr>
        <w:jc w:val="both"/>
      </w:pPr>
    </w:p>
    <w:p w:rsidR="00A22649" w:rsidRPr="00631F38" w:rsidRDefault="008B2C8A" w:rsidP="00A22649">
      <w:pPr>
        <w:jc w:val="both"/>
        <w:rPr>
          <w:b/>
        </w:rPr>
      </w:pPr>
      <w:r w:rsidRPr="008B2C8A">
        <w:rPr>
          <w:b/>
        </w:rPr>
        <w:lastRenderedPageBreak/>
        <w:t xml:space="preserve">IV. </w:t>
      </w:r>
      <w:r w:rsidR="008E306D">
        <w:rPr>
          <w:b/>
        </w:rPr>
        <w:tab/>
      </w:r>
      <w:r w:rsidR="00A16B71">
        <w:rPr>
          <w:b/>
        </w:rPr>
        <w:t>FPL’s en</w:t>
      </w:r>
      <w:r w:rsidR="00A22649" w:rsidRPr="008B2C8A">
        <w:rPr>
          <w:b/>
        </w:rPr>
        <w:t xml:space="preserve">vironmental cost recovery amounts, including true-up amounts, for the </w:t>
      </w:r>
      <w:r w:rsidR="00A16B71">
        <w:rPr>
          <w:b/>
        </w:rPr>
        <w:tab/>
      </w:r>
      <w:r w:rsidR="00A22649" w:rsidRPr="008B2C8A">
        <w:rPr>
          <w:b/>
        </w:rPr>
        <w:t>period January</w:t>
      </w:r>
      <w:r w:rsidR="00A22649" w:rsidRPr="00631F38">
        <w:rPr>
          <w:b/>
        </w:rPr>
        <w:t xml:space="preserve"> 2019 through December 2019</w:t>
      </w:r>
      <w:r w:rsidR="00631F38" w:rsidRPr="00631F38">
        <w:rPr>
          <w:b/>
        </w:rPr>
        <w:t xml:space="preserve"> </w:t>
      </w:r>
    </w:p>
    <w:p w:rsidR="00A22649" w:rsidRPr="00DE2FA9" w:rsidRDefault="008E306D" w:rsidP="00A22649">
      <w:pPr>
        <w:jc w:val="both"/>
      </w:pPr>
      <w:r>
        <w:tab/>
      </w:r>
    </w:p>
    <w:p w:rsidR="00A22649" w:rsidRPr="00B75982" w:rsidRDefault="00B75982" w:rsidP="00A22649">
      <w:pPr>
        <w:jc w:val="center"/>
        <w:rPr>
          <w:b/>
          <w:u w:val="single"/>
        </w:rPr>
      </w:pPr>
      <w:r w:rsidRPr="00B75982">
        <w:rPr>
          <w:b/>
          <w:u w:val="single"/>
        </w:rPr>
        <w:t xml:space="preserve">A. </w:t>
      </w:r>
      <w:r w:rsidR="00A22649" w:rsidRPr="00B75982">
        <w:rPr>
          <w:b/>
          <w:u w:val="single"/>
        </w:rPr>
        <w:t>Parties’ Arguments</w:t>
      </w:r>
    </w:p>
    <w:p w:rsidR="00A22649" w:rsidRPr="00DE2FA9" w:rsidRDefault="00A22649" w:rsidP="00A22649">
      <w:pPr>
        <w:jc w:val="both"/>
        <w:rPr>
          <w:b/>
        </w:rPr>
      </w:pPr>
    </w:p>
    <w:p w:rsidR="00A22649" w:rsidRDefault="00B75982" w:rsidP="00A22649">
      <w:pPr>
        <w:ind w:left="720"/>
        <w:jc w:val="both"/>
        <w:outlineLvl w:val="3"/>
        <w:rPr>
          <w:bCs/>
          <w:i/>
          <w:iCs/>
        </w:rPr>
      </w:pPr>
      <w:r w:rsidRPr="00B75982">
        <w:rPr>
          <w:bCs/>
          <w:i/>
          <w:iCs/>
        </w:rPr>
        <w:t xml:space="preserve">1. </w:t>
      </w:r>
      <w:r w:rsidR="00A22649" w:rsidRPr="00B75982">
        <w:rPr>
          <w:bCs/>
          <w:i/>
          <w:iCs/>
        </w:rPr>
        <w:t>FPL</w:t>
      </w:r>
    </w:p>
    <w:p w:rsidR="008B2C8A" w:rsidRPr="00B75982" w:rsidRDefault="008B2C8A" w:rsidP="00A22649">
      <w:pPr>
        <w:ind w:left="720"/>
        <w:jc w:val="both"/>
        <w:outlineLvl w:val="3"/>
        <w:rPr>
          <w:bCs/>
          <w:i/>
          <w:iCs/>
        </w:rPr>
      </w:pPr>
    </w:p>
    <w:p w:rsidR="00A22649" w:rsidRPr="00DE2FA9" w:rsidRDefault="00C733AA" w:rsidP="008B2C8A">
      <w:pPr>
        <w:jc w:val="both"/>
      </w:pPr>
      <w:r w:rsidRPr="00DE2FA9">
        <w:tab/>
      </w:r>
      <w:r w:rsidR="008B2C8A">
        <w:t xml:space="preserve">FPL asserts that its </w:t>
      </w:r>
      <w:r w:rsidR="008B2C8A" w:rsidRPr="008E306D">
        <w:t>environmental cost recovery amount</w:t>
      </w:r>
      <w:r w:rsidR="008E306D" w:rsidRPr="008E306D">
        <w:t xml:space="preserve"> </w:t>
      </w:r>
      <w:r w:rsidR="008B2C8A" w:rsidRPr="008E306D">
        <w:t xml:space="preserve">for the period January 2019 through December 2019 </w:t>
      </w:r>
      <w:r w:rsidR="008E306D" w:rsidRPr="008E306D">
        <w:t>i</w:t>
      </w:r>
      <w:r w:rsidR="008E306D">
        <w:t>s</w:t>
      </w:r>
      <w:r w:rsidR="008B2C8A">
        <w:t xml:space="preserve"> </w:t>
      </w:r>
      <w:r w:rsidR="008B2C8A" w:rsidRPr="00DE2FA9">
        <w:t>$161,536,472, including prior period true-up amounts and revenue taxes.</w:t>
      </w:r>
      <w:r w:rsidR="008B2C8A">
        <w:t xml:space="preserve"> </w:t>
      </w:r>
      <w:r w:rsidR="00A16B71">
        <w:t xml:space="preserve">Consistent with its position discussed above at </w:t>
      </w:r>
      <w:r w:rsidR="00845152">
        <w:t>Section</w:t>
      </w:r>
      <w:r w:rsidR="008E306D">
        <w:t xml:space="preserve"> I</w:t>
      </w:r>
      <w:r w:rsidR="00A22649" w:rsidRPr="00DE2FA9">
        <w:t xml:space="preserve">, FPL argues </w:t>
      </w:r>
      <w:r w:rsidR="0005503A">
        <w:t xml:space="preserve">that </w:t>
      </w:r>
      <w:r w:rsidR="00A22649" w:rsidRPr="00DE2FA9">
        <w:t xml:space="preserve">it is eligible for recovery </w:t>
      </w:r>
      <w:r w:rsidR="008E306D">
        <w:t>of</w:t>
      </w:r>
      <w:r w:rsidR="00A22649" w:rsidRPr="00DE2FA9">
        <w:t xml:space="preserve"> costs associated with the TPCCMP Project. </w:t>
      </w:r>
    </w:p>
    <w:p w:rsidR="00A22649" w:rsidRPr="00B75982" w:rsidRDefault="00A22649" w:rsidP="00A22649">
      <w:pPr>
        <w:jc w:val="both"/>
      </w:pPr>
    </w:p>
    <w:p w:rsidR="00A22649" w:rsidRDefault="00B75982" w:rsidP="00A22649">
      <w:pPr>
        <w:ind w:left="720"/>
        <w:jc w:val="both"/>
        <w:outlineLvl w:val="3"/>
        <w:rPr>
          <w:bCs/>
          <w:i/>
          <w:iCs/>
        </w:rPr>
      </w:pPr>
      <w:r w:rsidRPr="00B75982">
        <w:rPr>
          <w:bCs/>
          <w:i/>
          <w:iCs/>
        </w:rPr>
        <w:t xml:space="preserve">2. </w:t>
      </w:r>
      <w:r w:rsidR="00A22649" w:rsidRPr="00B75982">
        <w:rPr>
          <w:bCs/>
          <w:i/>
          <w:iCs/>
        </w:rPr>
        <w:t>SACE</w:t>
      </w:r>
    </w:p>
    <w:p w:rsidR="008B2C8A" w:rsidRPr="00B75982" w:rsidRDefault="008B2C8A" w:rsidP="00A22649">
      <w:pPr>
        <w:ind w:left="720"/>
        <w:jc w:val="both"/>
        <w:outlineLvl w:val="3"/>
        <w:rPr>
          <w:bCs/>
          <w:i/>
          <w:iCs/>
        </w:rPr>
      </w:pPr>
    </w:p>
    <w:p w:rsidR="008E306D" w:rsidRPr="00DE2FA9" w:rsidRDefault="00C733AA" w:rsidP="008E306D">
      <w:pPr>
        <w:ind w:left="90"/>
        <w:jc w:val="both"/>
      </w:pPr>
      <w:r w:rsidRPr="00DE2FA9">
        <w:tab/>
      </w:r>
      <w:r w:rsidR="008E306D">
        <w:rPr>
          <w:bCs/>
          <w:color w:val="000000"/>
        </w:rPr>
        <w:t xml:space="preserve">SACE asserts that we </w:t>
      </w:r>
      <w:r w:rsidR="008E306D" w:rsidRPr="00DE2FA9">
        <w:rPr>
          <w:bCs/>
        </w:rPr>
        <w:t xml:space="preserve">should not approve FPL’s request for cost recovery of TPCCMP remediation activities. </w:t>
      </w:r>
      <w:r w:rsidR="008E306D">
        <w:rPr>
          <w:bCs/>
        </w:rPr>
        <w:t xml:space="preserve">SACE avers that </w:t>
      </w:r>
      <w:r w:rsidR="008E306D" w:rsidRPr="00DE2FA9">
        <w:rPr>
          <w:bCs/>
        </w:rPr>
        <w:t xml:space="preserve">FPL’s negligence in the operation of the CCS led to violations of law and compliance requirements being placed on </w:t>
      </w:r>
      <w:r w:rsidR="00A16B71">
        <w:rPr>
          <w:bCs/>
        </w:rPr>
        <w:t xml:space="preserve">the Company </w:t>
      </w:r>
      <w:r w:rsidR="008E306D">
        <w:rPr>
          <w:bCs/>
        </w:rPr>
        <w:t xml:space="preserve">and that </w:t>
      </w:r>
      <w:r w:rsidR="008E306D" w:rsidRPr="00DE2FA9">
        <w:rPr>
          <w:bCs/>
        </w:rPr>
        <w:t>FPL is not making timely progress in meeting its compliance requirements.</w:t>
      </w:r>
      <w:r w:rsidR="008E306D">
        <w:rPr>
          <w:bCs/>
        </w:rPr>
        <w:t xml:space="preserve"> </w:t>
      </w:r>
      <w:r w:rsidR="008E306D" w:rsidRPr="00DE2FA9">
        <w:t xml:space="preserve">SACE argues that FPL should not be allowed to recover costs for the TPCCMP Project </w:t>
      </w:r>
      <w:r w:rsidR="008E306D">
        <w:t xml:space="preserve">because </w:t>
      </w:r>
      <w:r w:rsidR="008E306D" w:rsidRPr="00DE2FA9">
        <w:t xml:space="preserve">it engaged in imprudent activity and its projected costs are unreasonable </w:t>
      </w:r>
      <w:r w:rsidR="008E306D">
        <w:t>because</w:t>
      </w:r>
      <w:r w:rsidR="008E306D" w:rsidRPr="00DE2FA9">
        <w:t xml:space="preserve"> the Company </w:t>
      </w:r>
      <w:r w:rsidR="00A16B71">
        <w:t>is</w:t>
      </w:r>
      <w:r w:rsidR="008E306D" w:rsidRPr="00DE2FA9">
        <w:t xml:space="preserve"> out of compliance with the CAA.</w:t>
      </w:r>
    </w:p>
    <w:p w:rsidR="00A22649" w:rsidRPr="00DE2FA9" w:rsidRDefault="00A22649" w:rsidP="00A22649">
      <w:pPr>
        <w:jc w:val="both"/>
      </w:pPr>
    </w:p>
    <w:p w:rsidR="00A22649" w:rsidRPr="00B75982" w:rsidRDefault="00B75982" w:rsidP="00A22649">
      <w:pPr>
        <w:jc w:val="center"/>
        <w:rPr>
          <w:b/>
          <w:u w:val="single"/>
        </w:rPr>
      </w:pPr>
      <w:r w:rsidRPr="00B75982">
        <w:rPr>
          <w:b/>
          <w:u w:val="single"/>
        </w:rPr>
        <w:t xml:space="preserve">B. </w:t>
      </w:r>
      <w:r w:rsidR="00A22649" w:rsidRPr="00B75982">
        <w:rPr>
          <w:b/>
          <w:u w:val="single"/>
        </w:rPr>
        <w:t>Analysis</w:t>
      </w:r>
    </w:p>
    <w:p w:rsidR="00C733AA" w:rsidRPr="00DE2FA9" w:rsidRDefault="00C733AA" w:rsidP="00A22649">
      <w:pPr>
        <w:jc w:val="both"/>
        <w:rPr>
          <w:b/>
        </w:rPr>
      </w:pPr>
    </w:p>
    <w:p w:rsidR="00992244" w:rsidRPr="00DE2FA9" w:rsidRDefault="00992244" w:rsidP="00A22649">
      <w:pPr>
        <w:jc w:val="both"/>
        <w:rPr>
          <w:b/>
        </w:rPr>
      </w:pPr>
    </w:p>
    <w:p w:rsidR="00A22649" w:rsidRDefault="00B75982" w:rsidP="00A22649">
      <w:pPr>
        <w:autoSpaceDE w:val="0"/>
        <w:autoSpaceDN w:val="0"/>
        <w:adjustRightInd w:val="0"/>
        <w:ind w:firstLine="720"/>
        <w:rPr>
          <w:bCs/>
          <w:i/>
        </w:rPr>
      </w:pPr>
      <w:r w:rsidRPr="00B75982">
        <w:rPr>
          <w:bCs/>
          <w:i/>
        </w:rPr>
        <w:t xml:space="preserve">1. </w:t>
      </w:r>
      <w:r w:rsidR="00A22649" w:rsidRPr="00B75982">
        <w:rPr>
          <w:bCs/>
          <w:i/>
        </w:rPr>
        <w:t>Projected ECRC Amount</w:t>
      </w:r>
    </w:p>
    <w:p w:rsidR="00BE0BEE" w:rsidRPr="00B75982" w:rsidRDefault="00BE0BEE" w:rsidP="00A22649">
      <w:pPr>
        <w:autoSpaceDE w:val="0"/>
        <w:autoSpaceDN w:val="0"/>
        <w:adjustRightInd w:val="0"/>
        <w:ind w:firstLine="720"/>
        <w:rPr>
          <w:bCs/>
          <w:i/>
        </w:rPr>
      </w:pPr>
    </w:p>
    <w:p w:rsidR="00A22649" w:rsidRPr="00DE2FA9" w:rsidRDefault="00C733AA" w:rsidP="00A22649">
      <w:pPr>
        <w:jc w:val="both"/>
      </w:pPr>
      <w:r w:rsidRPr="00DE2FA9">
        <w:tab/>
      </w:r>
      <w:r w:rsidR="00A22649" w:rsidRPr="00DE2FA9">
        <w:t xml:space="preserve">Based on the testimony and exhibits </w:t>
      </w:r>
      <w:r w:rsidR="00BE0BEE">
        <w:t xml:space="preserve">in the record, </w:t>
      </w:r>
      <w:r w:rsidR="00A22649" w:rsidRPr="00DE2FA9">
        <w:t xml:space="preserve">FPL’s environmental cost recovery amount, including true-up amounts, is $161,536,472. FPL’s expenditures for the </w:t>
      </w:r>
      <w:r w:rsidR="00A22649" w:rsidRPr="00F814DB">
        <w:t xml:space="preserve">period </w:t>
      </w:r>
      <w:r w:rsidR="00F814DB" w:rsidRPr="00F814DB">
        <w:t>2017</w:t>
      </w:r>
      <w:r w:rsidR="00A22649" w:rsidRPr="00F814DB">
        <w:t xml:space="preserve"> through 2019</w:t>
      </w:r>
      <w:r w:rsidR="00A16B71" w:rsidRPr="00F814DB">
        <w:t>,</w:t>
      </w:r>
      <w:r w:rsidR="00A22649" w:rsidRPr="00DE2FA9">
        <w:t xml:space="preserve"> for the TPCCMP Project are approximately $71.2 million.</w:t>
      </w:r>
      <w:r w:rsidR="00A22649" w:rsidRPr="00DE2FA9">
        <w:rPr>
          <w:vertAlign w:val="superscript"/>
        </w:rPr>
        <w:footnoteReference w:id="7"/>
      </w:r>
      <w:r w:rsidR="00A22649" w:rsidRPr="00DE2FA9">
        <w:t xml:space="preserve"> </w:t>
      </w:r>
    </w:p>
    <w:p w:rsidR="00A22649" w:rsidRPr="00B75982" w:rsidRDefault="00A22649" w:rsidP="00A22649">
      <w:pPr>
        <w:jc w:val="both"/>
      </w:pPr>
    </w:p>
    <w:p w:rsidR="00A22649" w:rsidRDefault="00B75982" w:rsidP="00A22649">
      <w:pPr>
        <w:keepNext/>
        <w:ind w:left="720"/>
        <w:jc w:val="both"/>
        <w:outlineLvl w:val="3"/>
        <w:rPr>
          <w:bCs/>
          <w:i/>
          <w:iCs/>
        </w:rPr>
      </w:pPr>
      <w:r w:rsidRPr="00B75982">
        <w:rPr>
          <w:bCs/>
          <w:i/>
          <w:iCs/>
        </w:rPr>
        <w:t xml:space="preserve">2. </w:t>
      </w:r>
      <w:r w:rsidR="00A22649" w:rsidRPr="00B75982">
        <w:rPr>
          <w:bCs/>
          <w:i/>
          <w:iCs/>
        </w:rPr>
        <w:t>TPCCMP Project Eligibility</w:t>
      </w:r>
    </w:p>
    <w:p w:rsidR="00BE0BEE" w:rsidRPr="00B75982" w:rsidRDefault="00BE0BEE" w:rsidP="00A22649">
      <w:pPr>
        <w:keepNext/>
        <w:ind w:left="720"/>
        <w:jc w:val="both"/>
        <w:outlineLvl w:val="3"/>
        <w:rPr>
          <w:bCs/>
          <w:i/>
          <w:iCs/>
        </w:rPr>
      </w:pPr>
    </w:p>
    <w:p w:rsidR="00A22649" w:rsidRPr="00DE2FA9" w:rsidRDefault="00C733AA" w:rsidP="00A22649">
      <w:pPr>
        <w:jc w:val="both"/>
      </w:pPr>
      <w:r w:rsidRPr="00DE2FA9">
        <w:tab/>
      </w:r>
      <w:r w:rsidR="00A22649" w:rsidRPr="00DE2FA9">
        <w:t xml:space="preserve">As discussed </w:t>
      </w:r>
      <w:r w:rsidR="00BE0BEE">
        <w:t xml:space="preserve">above at </w:t>
      </w:r>
      <w:r w:rsidR="00845152">
        <w:t>Section</w:t>
      </w:r>
      <w:r w:rsidR="00A22649" w:rsidRPr="00DE2FA9">
        <w:t xml:space="preserve"> </w:t>
      </w:r>
      <w:r w:rsidR="00BE0BEE">
        <w:t>I</w:t>
      </w:r>
      <w:r w:rsidR="00A22649" w:rsidRPr="00DE2FA9">
        <w:t xml:space="preserve">, </w:t>
      </w:r>
      <w:r w:rsidR="00BE0BEE">
        <w:t>we</w:t>
      </w:r>
      <w:r w:rsidR="00A22649" w:rsidRPr="00DE2FA9">
        <w:t xml:space="preserve"> </w:t>
      </w:r>
      <w:r w:rsidR="00BE0BEE">
        <w:t xml:space="preserve">have </w:t>
      </w:r>
      <w:r w:rsidR="00A22649" w:rsidRPr="00DE2FA9">
        <w:t xml:space="preserve">previously approved the inclusion of costs for the TPCCMP Project. </w:t>
      </w:r>
      <w:r w:rsidR="00BE0BEE">
        <w:t xml:space="preserve">Upon review, we find that </w:t>
      </w:r>
      <w:r w:rsidR="00A22649" w:rsidRPr="00DE2FA9">
        <w:t xml:space="preserve">FPL has demonstrated </w:t>
      </w:r>
      <w:r w:rsidR="00BE0BEE">
        <w:t xml:space="preserve">that </w:t>
      </w:r>
      <w:r w:rsidR="00A16B71">
        <w:t>costs for the activities contested by SACE</w:t>
      </w:r>
      <w:r w:rsidR="00A22649" w:rsidRPr="00DE2FA9">
        <w:t xml:space="preserve"> are associated with the TPCCMP Project and sh</w:t>
      </w:r>
      <w:r w:rsidR="00BE0BEE">
        <w:t>all</w:t>
      </w:r>
      <w:r w:rsidR="00A22649" w:rsidRPr="00DE2FA9">
        <w:t xml:space="preserve"> be allowed for cost recovery.</w:t>
      </w:r>
    </w:p>
    <w:p w:rsidR="00A22649" w:rsidRDefault="00A22649" w:rsidP="00A22649">
      <w:pPr>
        <w:jc w:val="both"/>
      </w:pPr>
    </w:p>
    <w:p w:rsidR="00C75362" w:rsidRDefault="00C75362" w:rsidP="00A22649">
      <w:pPr>
        <w:jc w:val="both"/>
      </w:pPr>
    </w:p>
    <w:p w:rsidR="00C75362" w:rsidRDefault="00C75362" w:rsidP="00A22649">
      <w:pPr>
        <w:jc w:val="both"/>
      </w:pPr>
    </w:p>
    <w:p w:rsidR="00C75362" w:rsidRDefault="00C75362" w:rsidP="00A22649">
      <w:pPr>
        <w:jc w:val="both"/>
      </w:pPr>
    </w:p>
    <w:p w:rsidR="00C75362" w:rsidRPr="00DE2FA9" w:rsidRDefault="00C75362" w:rsidP="00A22649">
      <w:pPr>
        <w:jc w:val="both"/>
      </w:pPr>
    </w:p>
    <w:p w:rsidR="00A22649" w:rsidRDefault="00A22649" w:rsidP="00B75982">
      <w:pPr>
        <w:jc w:val="center"/>
        <w:outlineLvl w:val="2"/>
        <w:rPr>
          <w:b/>
          <w:bCs/>
          <w:iCs/>
          <w:u w:val="single"/>
        </w:rPr>
      </w:pPr>
      <w:r w:rsidRPr="00B75982">
        <w:rPr>
          <w:b/>
          <w:bCs/>
          <w:iCs/>
          <w:u w:val="single"/>
        </w:rPr>
        <w:lastRenderedPageBreak/>
        <w:t>C</w:t>
      </w:r>
      <w:r w:rsidR="00B75982" w:rsidRPr="00B75982">
        <w:rPr>
          <w:b/>
          <w:bCs/>
          <w:iCs/>
          <w:u w:val="single"/>
        </w:rPr>
        <w:t>. Decision</w:t>
      </w:r>
    </w:p>
    <w:p w:rsidR="00BE0BEE" w:rsidRPr="00B75982" w:rsidRDefault="00BE0BEE" w:rsidP="00B75982">
      <w:pPr>
        <w:jc w:val="center"/>
        <w:outlineLvl w:val="2"/>
        <w:rPr>
          <w:b/>
          <w:bCs/>
          <w:iCs/>
          <w:u w:val="single"/>
        </w:rPr>
      </w:pPr>
    </w:p>
    <w:p w:rsidR="00A22649" w:rsidRPr="00DE2FA9" w:rsidRDefault="00C733AA" w:rsidP="00FA41CE">
      <w:pPr>
        <w:jc w:val="both"/>
      </w:pPr>
      <w:r w:rsidRPr="00DE2FA9">
        <w:tab/>
      </w:r>
      <w:r w:rsidR="00A16B71">
        <w:t xml:space="preserve">FPL’s </w:t>
      </w:r>
      <w:r w:rsidR="00A22649" w:rsidRPr="00DE2FA9">
        <w:t>projected amount, including true-ups, for the period January 2019 through December 2019</w:t>
      </w:r>
      <w:r w:rsidR="00C03F02">
        <w:t>,</w:t>
      </w:r>
      <w:r w:rsidR="00A22649" w:rsidRPr="00DE2FA9">
        <w:t xml:space="preserve"> is a total of $161,536,472, which includes projected expenditures associated with the TPCCMP Project.</w:t>
      </w:r>
    </w:p>
    <w:p w:rsidR="00A22649" w:rsidRPr="00DE2FA9" w:rsidRDefault="00A22649" w:rsidP="00A22649"/>
    <w:p w:rsidR="00C733AA" w:rsidRPr="00DE2FA9" w:rsidRDefault="00C733AA" w:rsidP="00A22649"/>
    <w:p w:rsidR="00A22649" w:rsidRPr="00631F38" w:rsidRDefault="00FA41CE" w:rsidP="00631F38">
      <w:pPr>
        <w:jc w:val="both"/>
        <w:outlineLvl w:val="0"/>
        <w:rPr>
          <w:b/>
        </w:rPr>
      </w:pPr>
      <w:r>
        <w:rPr>
          <w:b/>
        </w:rPr>
        <w:t>V.</w:t>
      </w:r>
      <w:r>
        <w:rPr>
          <w:b/>
        </w:rPr>
        <w:tab/>
      </w:r>
      <w:r w:rsidR="00C03F02">
        <w:rPr>
          <w:b/>
        </w:rPr>
        <w:t>FPL’s a</w:t>
      </w:r>
      <w:r w:rsidR="00A22649" w:rsidRPr="00631F38">
        <w:rPr>
          <w:b/>
        </w:rPr>
        <w:t xml:space="preserve">ppropriate environmental cost recovery factors for the period January 2019 </w:t>
      </w:r>
      <w:r>
        <w:rPr>
          <w:b/>
        </w:rPr>
        <w:tab/>
      </w:r>
      <w:r w:rsidR="00A22649" w:rsidRPr="00631F38">
        <w:rPr>
          <w:b/>
        </w:rPr>
        <w:t>through December 2019</w:t>
      </w:r>
      <w:r w:rsidR="00C03F02">
        <w:rPr>
          <w:b/>
        </w:rPr>
        <w:t>,</w:t>
      </w:r>
      <w:r w:rsidR="00A22649" w:rsidRPr="00631F38">
        <w:rPr>
          <w:b/>
        </w:rPr>
        <w:t xml:space="preserve"> for each rate group</w:t>
      </w:r>
    </w:p>
    <w:p w:rsidR="00A22649" w:rsidRPr="00DE2FA9" w:rsidRDefault="00A22649" w:rsidP="00A22649">
      <w:pPr>
        <w:jc w:val="both"/>
      </w:pPr>
    </w:p>
    <w:p w:rsidR="00A22649" w:rsidRPr="00B75982" w:rsidRDefault="00B75982" w:rsidP="00A22649">
      <w:pPr>
        <w:jc w:val="center"/>
        <w:rPr>
          <w:b/>
          <w:u w:val="single"/>
        </w:rPr>
      </w:pPr>
      <w:r w:rsidRPr="00B75982">
        <w:rPr>
          <w:b/>
          <w:u w:val="single"/>
        </w:rPr>
        <w:t xml:space="preserve">A. </w:t>
      </w:r>
      <w:r w:rsidR="00A22649" w:rsidRPr="00B75982">
        <w:rPr>
          <w:b/>
          <w:u w:val="single"/>
        </w:rPr>
        <w:t>Parties’ Arguments</w:t>
      </w:r>
    </w:p>
    <w:p w:rsidR="00A22649" w:rsidRPr="00B75982" w:rsidRDefault="00A22649" w:rsidP="00A22649">
      <w:pPr>
        <w:jc w:val="both"/>
      </w:pPr>
    </w:p>
    <w:p w:rsidR="00A22649" w:rsidRPr="00B75982" w:rsidRDefault="00B75982" w:rsidP="00A22649">
      <w:pPr>
        <w:ind w:left="720"/>
        <w:jc w:val="both"/>
        <w:outlineLvl w:val="3"/>
        <w:rPr>
          <w:bCs/>
          <w:i/>
          <w:iCs/>
        </w:rPr>
      </w:pPr>
      <w:r w:rsidRPr="00B75982">
        <w:rPr>
          <w:bCs/>
          <w:i/>
          <w:iCs/>
        </w:rPr>
        <w:t xml:space="preserve">1. </w:t>
      </w:r>
      <w:r w:rsidR="00A22649" w:rsidRPr="00B75982">
        <w:rPr>
          <w:bCs/>
          <w:i/>
          <w:iCs/>
        </w:rPr>
        <w:t>FPL</w:t>
      </w:r>
    </w:p>
    <w:p w:rsidR="00FA41CE" w:rsidRDefault="00C733AA" w:rsidP="00A22649">
      <w:pPr>
        <w:jc w:val="both"/>
      </w:pPr>
      <w:r w:rsidRPr="00DE2FA9">
        <w:tab/>
      </w:r>
    </w:p>
    <w:p w:rsidR="00C733AA" w:rsidRDefault="00FA41CE" w:rsidP="00A22649">
      <w:pPr>
        <w:jc w:val="both"/>
      </w:pPr>
      <w:r>
        <w:tab/>
      </w:r>
      <w:r w:rsidR="00A22649" w:rsidRPr="00DE2FA9">
        <w:t xml:space="preserve">FPL argues </w:t>
      </w:r>
      <w:r w:rsidR="00C03F02">
        <w:t xml:space="preserve">that </w:t>
      </w:r>
      <w:r w:rsidR="00A22649" w:rsidRPr="00DE2FA9">
        <w:t xml:space="preserve">it is eligible for recovery </w:t>
      </w:r>
      <w:r w:rsidR="00C03F02">
        <w:t xml:space="preserve">of </w:t>
      </w:r>
      <w:r w:rsidR="00A22649" w:rsidRPr="00DE2FA9">
        <w:t>costs associated with the TPCCMP Project</w:t>
      </w:r>
      <w:r>
        <w:t xml:space="preserve"> and that its </w:t>
      </w:r>
      <w:r w:rsidR="00557BB6">
        <w:t>factors</w:t>
      </w:r>
      <w:r>
        <w:t xml:space="preserve"> are as follows: </w:t>
      </w:r>
    </w:p>
    <w:p w:rsidR="00FA41CE" w:rsidRDefault="00FA41CE" w:rsidP="00A22649">
      <w:pPr>
        <w:jc w:val="both"/>
      </w:pPr>
    </w:p>
    <w:p w:rsidR="00FA41CE" w:rsidRPr="00DE2FA9" w:rsidRDefault="00FA41CE" w:rsidP="00FA41CE">
      <w:pPr>
        <w:ind w:left="1440" w:hanging="1440"/>
        <w:rPr>
          <w:b/>
          <w:u w:val="single"/>
        </w:rPr>
      </w:pPr>
    </w:p>
    <w:tbl>
      <w:tblPr>
        <w:tblW w:w="5310" w:type="dxa"/>
        <w:tblInd w:w="1638" w:type="dxa"/>
        <w:tblLook w:val="04A0" w:firstRow="1" w:lastRow="0" w:firstColumn="1" w:lastColumn="0" w:noHBand="0" w:noVBand="1"/>
      </w:tblPr>
      <w:tblGrid>
        <w:gridCol w:w="3817"/>
        <w:gridCol w:w="1926"/>
      </w:tblGrid>
      <w:tr w:rsidR="00FA41CE" w:rsidRPr="00DE2FA9" w:rsidTr="00E27EAF">
        <w:trPr>
          <w:trHeight w:val="915"/>
        </w:trPr>
        <w:tc>
          <w:tcPr>
            <w:tcW w:w="338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FA41CE" w:rsidRPr="00DE2FA9" w:rsidRDefault="00FA41CE" w:rsidP="00E27EAF">
            <w:pPr>
              <w:jc w:val="center"/>
            </w:pPr>
            <w:r w:rsidRPr="00DE2FA9">
              <w:t>RATE CLASS</w:t>
            </w:r>
          </w:p>
        </w:tc>
        <w:tc>
          <w:tcPr>
            <w:tcW w:w="192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FA41CE" w:rsidRPr="00DE2FA9" w:rsidRDefault="00FA41CE" w:rsidP="00E27EAF">
            <w:pPr>
              <w:jc w:val="center"/>
            </w:pPr>
            <w:r w:rsidRPr="00DE2FA9">
              <w:t>Environmental Cost Recovery Factor (cents/kWh)</w:t>
            </w:r>
            <w:r w:rsidRPr="00DE2FA9">
              <w:rPr>
                <w:vertAlign w:val="superscript"/>
              </w:rPr>
              <w:t xml:space="preserve"> </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RS1/RTR1</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0.159</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GS1/GST1</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0.157</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GSD1/GSDT1/HLFT1</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0.142</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OS2</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0.086</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GSLD1/GSLDT1/CS1/CST1/HLFT2</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0.139</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GSLD2/GSLDT2/CS2/CST2/HLFT3</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0.121</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GSLD3/GSLDT3/CS3/CST3</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0.121</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SST1T</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0.108</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SST1D1/SST1D2/SST1D3</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0.138</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CILC D/CILC G</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0.121</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CILC T</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0.112</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MET</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0.130</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OL1/SL1/SL1M/PL1</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0.035</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r w:rsidRPr="00DE2FA9">
              <w:t>SL2/SL2M/GSCU1</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0.113</w:t>
            </w:r>
          </w:p>
        </w:tc>
      </w:tr>
      <w:tr w:rsidR="00FA41CE" w:rsidRPr="00DE2FA9" w:rsidTr="00E27EAF">
        <w:trPr>
          <w:trHeight w:val="285"/>
        </w:trPr>
        <w:tc>
          <w:tcPr>
            <w:tcW w:w="3384" w:type="dxa"/>
            <w:tcBorders>
              <w:top w:val="nil"/>
              <w:left w:val="single" w:sz="8" w:space="0" w:color="auto"/>
              <w:bottom w:val="nil"/>
              <w:right w:val="nil"/>
            </w:tcBorders>
            <w:shd w:val="clear" w:color="auto" w:fill="auto"/>
            <w:noWrap/>
            <w:vAlign w:val="bottom"/>
            <w:hideMark/>
          </w:tcPr>
          <w:p w:rsidR="00FA41CE" w:rsidRPr="00DE2FA9" w:rsidRDefault="00FA41CE" w:rsidP="00E27EAF">
            <w:pPr>
              <w:rPr>
                <w:color w:val="000000"/>
              </w:rPr>
            </w:pPr>
            <w:r w:rsidRPr="00DE2FA9">
              <w:rPr>
                <w:color w:val="000000"/>
              </w:rPr>
              <w:t> </w:t>
            </w:r>
          </w:p>
        </w:tc>
        <w:tc>
          <w:tcPr>
            <w:tcW w:w="1926" w:type="dxa"/>
            <w:tcBorders>
              <w:top w:val="nil"/>
              <w:left w:val="single" w:sz="8" w:space="0" w:color="auto"/>
              <w:bottom w:val="nil"/>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 </w:t>
            </w:r>
          </w:p>
        </w:tc>
      </w:tr>
      <w:tr w:rsidR="00FA41CE" w:rsidRPr="00DE2FA9" w:rsidTr="00E27EAF">
        <w:trPr>
          <w:trHeight w:val="300"/>
        </w:trPr>
        <w:tc>
          <w:tcPr>
            <w:tcW w:w="3384" w:type="dxa"/>
            <w:tcBorders>
              <w:top w:val="nil"/>
              <w:left w:val="single" w:sz="8" w:space="0" w:color="auto"/>
              <w:bottom w:val="single" w:sz="8" w:space="0" w:color="auto"/>
              <w:right w:val="nil"/>
            </w:tcBorders>
            <w:shd w:val="clear" w:color="auto" w:fill="auto"/>
            <w:noWrap/>
            <w:vAlign w:val="bottom"/>
            <w:hideMark/>
          </w:tcPr>
          <w:p w:rsidR="00FA41CE" w:rsidRPr="00DE2FA9" w:rsidRDefault="00FA41CE" w:rsidP="00E27EAF">
            <w:r w:rsidRPr="00DE2FA9">
              <w:t>Total</w:t>
            </w:r>
          </w:p>
        </w:tc>
        <w:tc>
          <w:tcPr>
            <w:tcW w:w="1926" w:type="dxa"/>
            <w:tcBorders>
              <w:top w:val="nil"/>
              <w:left w:val="single" w:sz="8" w:space="0" w:color="auto"/>
              <w:bottom w:val="single" w:sz="8" w:space="0" w:color="auto"/>
              <w:right w:val="single" w:sz="8" w:space="0" w:color="auto"/>
            </w:tcBorders>
            <w:shd w:val="clear" w:color="auto" w:fill="auto"/>
            <w:noWrap/>
            <w:vAlign w:val="bottom"/>
            <w:hideMark/>
          </w:tcPr>
          <w:p w:rsidR="00FA41CE" w:rsidRPr="00DE2FA9" w:rsidRDefault="00FA41CE" w:rsidP="00E27EAF">
            <w:pPr>
              <w:jc w:val="center"/>
              <w:rPr>
                <w:color w:val="000000"/>
              </w:rPr>
            </w:pPr>
            <w:r w:rsidRPr="00DE2FA9">
              <w:rPr>
                <w:color w:val="000000"/>
              </w:rPr>
              <w:t>0.149</w:t>
            </w:r>
          </w:p>
        </w:tc>
      </w:tr>
    </w:tbl>
    <w:p w:rsidR="00FA41CE" w:rsidRPr="00DE2FA9" w:rsidRDefault="00FA41CE" w:rsidP="00FA41CE">
      <w:pPr>
        <w:spacing w:after="240"/>
        <w:jc w:val="both"/>
      </w:pPr>
    </w:p>
    <w:p w:rsidR="00A22649" w:rsidRPr="00B75982" w:rsidRDefault="00B75982" w:rsidP="00A22649">
      <w:pPr>
        <w:keepNext/>
        <w:ind w:left="720"/>
        <w:jc w:val="both"/>
        <w:outlineLvl w:val="3"/>
        <w:rPr>
          <w:bCs/>
          <w:i/>
          <w:iCs/>
        </w:rPr>
      </w:pPr>
      <w:r w:rsidRPr="00B75982">
        <w:rPr>
          <w:bCs/>
          <w:i/>
          <w:iCs/>
        </w:rPr>
        <w:t xml:space="preserve">2. </w:t>
      </w:r>
      <w:r w:rsidR="00A22649" w:rsidRPr="00B75982">
        <w:rPr>
          <w:bCs/>
          <w:i/>
          <w:iCs/>
        </w:rPr>
        <w:t>SACE</w:t>
      </w:r>
    </w:p>
    <w:p w:rsidR="00FA41CE" w:rsidRDefault="00C733AA" w:rsidP="00A22649">
      <w:pPr>
        <w:jc w:val="both"/>
      </w:pPr>
      <w:r w:rsidRPr="00DE2FA9">
        <w:tab/>
      </w:r>
    </w:p>
    <w:p w:rsidR="00A22649" w:rsidRPr="00DE2FA9" w:rsidRDefault="00FA41CE" w:rsidP="00C75362">
      <w:pPr>
        <w:spacing w:after="240"/>
        <w:ind w:left="90"/>
        <w:jc w:val="both"/>
      </w:pPr>
      <w:r>
        <w:rPr>
          <w:rFonts w:eastAsia="MS Mincho"/>
          <w:bCs/>
          <w:color w:val="000000"/>
        </w:rPr>
        <w:tab/>
        <w:t xml:space="preserve">SACE asserts that FPL’s </w:t>
      </w:r>
      <w:r w:rsidRPr="00DE2FA9">
        <w:rPr>
          <w:rFonts w:eastAsia="MS Mincho"/>
          <w:bCs/>
        </w:rPr>
        <w:t>factor amount should not include any cost recovery for remediation activities related to the TPCCMP</w:t>
      </w:r>
      <w:r w:rsidR="0014617C">
        <w:rPr>
          <w:rFonts w:eastAsia="MS Mincho"/>
          <w:bCs/>
        </w:rPr>
        <w:t xml:space="preserve"> because FPL </w:t>
      </w:r>
      <w:r w:rsidR="00A22649" w:rsidRPr="00DE2FA9">
        <w:t xml:space="preserve">engaged in imprudent activity and </w:t>
      </w:r>
      <w:r w:rsidR="00C03F02">
        <w:lastRenderedPageBreak/>
        <w:t xml:space="preserve">the Company’s </w:t>
      </w:r>
      <w:r w:rsidR="00A22649" w:rsidRPr="00DE2FA9">
        <w:t>projected costs are unreasonable due to the Company being out of compliance with the CAA.</w:t>
      </w:r>
    </w:p>
    <w:p w:rsidR="00A22649" w:rsidRPr="00B75982" w:rsidRDefault="00B75982" w:rsidP="00A22649">
      <w:pPr>
        <w:jc w:val="center"/>
        <w:rPr>
          <w:b/>
          <w:u w:val="single"/>
        </w:rPr>
      </w:pPr>
      <w:r w:rsidRPr="00B75982">
        <w:rPr>
          <w:b/>
          <w:u w:val="single"/>
        </w:rPr>
        <w:t xml:space="preserve">B. </w:t>
      </w:r>
      <w:r w:rsidR="00A22649" w:rsidRPr="00B75982">
        <w:rPr>
          <w:b/>
          <w:u w:val="single"/>
        </w:rPr>
        <w:t>Analysis</w:t>
      </w:r>
      <w:r w:rsidR="000C40ED">
        <w:rPr>
          <w:b/>
          <w:u w:val="single"/>
        </w:rPr>
        <w:t xml:space="preserve"> and Decision</w:t>
      </w:r>
    </w:p>
    <w:p w:rsidR="00A22649" w:rsidRPr="00DE2FA9" w:rsidRDefault="00A22649" w:rsidP="00A22649">
      <w:pPr>
        <w:jc w:val="both"/>
        <w:rPr>
          <w:b/>
        </w:rPr>
      </w:pPr>
    </w:p>
    <w:p w:rsidR="00B75982" w:rsidRPr="0014617C" w:rsidRDefault="00C733AA" w:rsidP="0014617C">
      <w:pPr>
        <w:jc w:val="both"/>
      </w:pPr>
      <w:r w:rsidRPr="00DE2FA9">
        <w:tab/>
      </w:r>
      <w:r w:rsidR="0014617C" w:rsidRPr="0014617C">
        <w:t>Having approved the Company’s environmental cost recovery amounts, including true-up amounts, for the period January 2019 through December 2019</w:t>
      </w:r>
      <w:r w:rsidR="00C03F02">
        <w:t>,</w:t>
      </w:r>
      <w:r w:rsidR="0014617C" w:rsidRPr="0014617C">
        <w:t xml:space="preserve"> above at </w:t>
      </w:r>
      <w:r w:rsidR="00845152">
        <w:t>Section</w:t>
      </w:r>
      <w:r w:rsidR="0014617C" w:rsidRPr="0014617C">
        <w:t xml:space="preserve"> IV, we hereby approve </w:t>
      </w:r>
      <w:r w:rsidR="00A22649" w:rsidRPr="0014617C">
        <w:t xml:space="preserve">FPL’s factors </w:t>
      </w:r>
      <w:r w:rsidR="0014617C" w:rsidRPr="0014617C">
        <w:t xml:space="preserve">which </w:t>
      </w:r>
      <w:r w:rsidR="00084FE6">
        <w:t xml:space="preserve">are </w:t>
      </w:r>
      <w:r w:rsidR="0014617C" w:rsidRPr="0014617C">
        <w:t xml:space="preserve">set forth in the Company’s argument above in this </w:t>
      </w:r>
      <w:r w:rsidR="00845152">
        <w:t xml:space="preserve">Section </w:t>
      </w:r>
      <w:r w:rsidR="0014617C" w:rsidRPr="0014617C">
        <w:t xml:space="preserve">V.  </w:t>
      </w:r>
    </w:p>
    <w:p w:rsidR="0014617C" w:rsidRDefault="0014617C" w:rsidP="0014617C">
      <w:pPr>
        <w:jc w:val="both"/>
      </w:pPr>
    </w:p>
    <w:p w:rsidR="00B75982" w:rsidRDefault="00B75982" w:rsidP="00A22649">
      <w:pPr>
        <w:jc w:val="both"/>
        <w:outlineLvl w:val="0"/>
        <w:rPr>
          <w:b/>
          <w:bCs/>
          <w:kern w:val="32"/>
        </w:rPr>
      </w:pPr>
    </w:p>
    <w:p w:rsidR="00A22649" w:rsidRPr="00DE2FA9" w:rsidRDefault="00B75982" w:rsidP="000C40ED">
      <w:pPr>
        <w:jc w:val="both"/>
        <w:outlineLvl w:val="0"/>
      </w:pPr>
      <w:r>
        <w:rPr>
          <w:b/>
          <w:bCs/>
          <w:kern w:val="32"/>
        </w:rPr>
        <w:t xml:space="preserve">VI. </w:t>
      </w:r>
      <w:r w:rsidR="000C40ED">
        <w:rPr>
          <w:b/>
          <w:bCs/>
          <w:kern w:val="32"/>
        </w:rPr>
        <w:tab/>
      </w:r>
      <w:r w:rsidR="00A22649" w:rsidRPr="00631F38">
        <w:rPr>
          <w:b/>
        </w:rPr>
        <w:t xml:space="preserve">FPL’s Petition for Approval of Modification to Manatee Temporary Heating </w:t>
      </w:r>
      <w:r w:rsidR="000C40ED">
        <w:rPr>
          <w:b/>
        </w:rPr>
        <w:tab/>
      </w:r>
      <w:r w:rsidR="00A22649" w:rsidRPr="00631F38">
        <w:rPr>
          <w:b/>
        </w:rPr>
        <w:t xml:space="preserve">System Project and the recovery of the associated costs through the ECRC </w:t>
      </w:r>
      <w:r w:rsidR="000C40ED">
        <w:rPr>
          <w:b/>
        </w:rPr>
        <w:tab/>
      </w:r>
    </w:p>
    <w:p w:rsidR="00A22649" w:rsidRPr="00DE2FA9" w:rsidRDefault="00A22649" w:rsidP="00A22649">
      <w:pPr>
        <w:jc w:val="both"/>
      </w:pPr>
    </w:p>
    <w:p w:rsidR="00A22649" w:rsidRPr="00B75982" w:rsidRDefault="00B75982" w:rsidP="00A22649">
      <w:pPr>
        <w:jc w:val="center"/>
        <w:rPr>
          <w:b/>
          <w:u w:val="single"/>
        </w:rPr>
      </w:pPr>
      <w:r w:rsidRPr="00B75982">
        <w:rPr>
          <w:b/>
          <w:u w:val="single"/>
        </w:rPr>
        <w:t xml:space="preserve">A. </w:t>
      </w:r>
      <w:r w:rsidR="00A22649" w:rsidRPr="00B75982">
        <w:rPr>
          <w:b/>
          <w:u w:val="single"/>
        </w:rPr>
        <w:t>Parties’ Arguments</w:t>
      </w:r>
    </w:p>
    <w:p w:rsidR="00A22649" w:rsidRPr="00DE2FA9" w:rsidRDefault="00A22649" w:rsidP="00A22649">
      <w:pPr>
        <w:jc w:val="both"/>
        <w:rPr>
          <w:b/>
        </w:rPr>
      </w:pPr>
    </w:p>
    <w:p w:rsidR="00A22649" w:rsidRDefault="00B75982" w:rsidP="00A22649">
      <w:pPr>
        <w:ind w:left="720"/>
        <w:jc w:val="both"/>
        <w:outlineLvl w:val="3"/>
        <w:rPr>
          <w:bCs/>
          <w:i/>
          <w:iCs/>
        </w:rPr>
      </w:pPr>
      <w:r w:rsidRPr="00B75982">
        <w:rPr>
          <w:bCs/>
          <w:i/>
          <w:iCs/>
        </w:rPr>
        <w:t xml:space="preserve">1. </w:t>
      </w:r>
      <w:r w:rsidR="00A22649" w:rsidRPr="00B75982">
        <w:rPr>
          <w:bCs/>
          <w:i/>
          <w:iCs/>
        </w:rPr>
        <w:t>FPL</w:t>
      </w:r>
    </w:p>
    <w:p w:rsidR="005E13E4" w:rsidRPr="00B75982" w:rsidRDefault="005E13E4" w:rsidP="00A22649">
      <w:pPr>
        <w:ind w:left="720"/>
        <w:jc w:val="both"/>
        <w:outlineLvl w:val="3"/>
        <w:rPr>
          <w:bCs/>
          <w:i/>
          <w:iCs/>
        </w:rPr>
      </w:pPr>
    </w:p>
    <w:p w:rsidR="00A22649" w:rsidRPr="00DE2FA9" w:rsidRDefault="00702B26" w:rsidP="00A22649">
      <w:pPr>
        <w:jc w:val="both"/>
      </w:pPr>
      <w:r>
        <w:tab/>
      </w:r>
      <w:r w:rsidR="00A22649" w:rsidRPr="00DE2FA9">
        <w:t xml:space="preserve">FPL proposed modifications to the MTHS Project to include an additional heating system at the Plant Fort Myers (Fort Myers). </w:t>
      </w:r>
      <w:r>
        <w:t xml:space="preserve">FPL </w:t>
      </w:r>
      <w:r w:rsidR="00A22649" w:rsidRPr="00DE2FA9">
        <w:t xml:space="preserve">asserts that it </w:t>
      </w:r>
      <w:r w:rsidR="00E43E15">
        <w:t xml:space="preserve">must </w:t>
      </w:r>
      <w:r w:rsidR="00A22649" w:rsidRPr="00DE2FA9">
        <w:t xml:space="preserve">install a new system </w:t>
      </w:r>
      <w:r w:rsidR="00E43E15">
        <w:t>because F</w:t>
      </w:r>
      <w:r w:rsidR="00A22649" w:rsidRPr="00DE2FA9">
        <w:t xml:space="preserve">ort Myers is no longer adequately dispatched during manatee season, </w:t>
      </w:r>
      <w:r w:rsidR="00E43E15">
        <w:t>and thus, the Company is at risk of being o</w:t>
      </w:r>
      <w:r w:rsidR="00A22649" w:rsidRPr="00DE2FA9">
        <w:t xml:space="preserve">ut of compliance </w:t>
      </w:r>
      <w:r w:rsidR="00E43E15">
        <w:t xml:space="preserve">with </w:t>
      </w:r>
      <w:r w:rsidR="00A22649" w:rsidRPr="00DE2FA9">
        <w:t xml:space="preserve">environmental requirements. FPL argues that the proposed Fort Myers system is eligible for recovery under the ECRC and represents the most cost-effective solution. </w:t>
      </w:r>
    </w:p>
    <w:p w:rsidR="00702B26" w:rsidRPr="00DE2FA9" w:rsidRDefault="00A22649" w:rsidP="00A22649">
      <w:pPr>
        <w:jc w:val="both"/>
      </w:pPr>
      <w:r w:rsidRPr="00DE2FA9">
        <w:t xml:space="preserve"> </w:t>
      </w:r>
    </w:p>
    <w:p w:rsidR="00A22649" w:rsidRPr="00B75982" w:rsidRDefault="00B75982" w:rsidP="00A22649">
      <w:pPr>
        <w:ind w:left="720"/>
        <w:jc w:val="both"/>
        <w:outlineLvl w:val="3"/>
        <w:rPr>
          <w:bCs/>
          <w:i/>
          <w:iCs/>
        </w:rPr>
      </w:pPr>
      <w:r w:rsidRPr="00B75982">
        <w:rPr>
          <w:bCs/>
          <w:i/>
          <w:iCs/>
        </w:rPr>
        <w:t xml:space="preserve">2. </w:t>
      </w:r>
      <w:r w:rsidR="00A22649" w:rsidRPr="00B75982">
        <w:rPr>
          <w:bCs/>
          <w:i/>
          <w:iCs/>
        </w:rPr>
        <w:t>OPC</w:t>
      </w:r>
    </w:p>
    <w:p w:rsidR="00702B26" w:rsidRDefault="00702B26" w:rsidP="00A22649">
      <w:pPr>
        <w:jc w:val="both"/>
      </w:pPr>
    </w:p>
    <w:p w:rsidR="00E43E15" w:rsidRPr="00DE2FA9" w:rsidRDefault="005E13E4" w:rsidP="00E43E15">
      <w:pPr>
        <w:jc w:val="both"/>
        <w:rPr>
          <w:kern w:val="32"/>
        </w:rPr>
      </w:pPr>
      <w:r>
        <w:tab/>
      </w:r>
      <w:r w:rsidR="00A22649" w:rsidRPr="00DE2FA9">
        <w:t xml:space="preserve">OPC agrees that FPL has submitted adequate evidence to meet all the criteria necessary to qualify for recovery through the ECRC on a stand-alone basis. </w:t>
      </w:r>
      <w:r>
        <w:t xml:space="preserve">However, </w:t>
      </w:r>
      <w:r w:rsidR="00A22649" w:rsidRPr="00DE2FA9">
        <w:t>OPC expresses concern that</w:t>
      </w:r>
      <w:r w:rsidR="00C03F02">
        <w:t xml:space="preserve"> in its filing </w:t>
      </w:r>
      <w:r w:rsidR="00A22649" w:rsidRPr="00DE2FA9">
        <w:t>the Company rel</w:t>
      </w:r>
      <w:r w:rsidR="00C03F02">
        <w:t>ies</w:t>
      </w:r>
      <w:r w:rsidR="00A22649" w:rsidRPr="00DE2FA9">
        <w:t xml:space="preserve"> upon </w:t>
      </w:r>
      <w:r w:rsidR="00E43E15">
        <w:t>our</w:t>
      </w:r>
      <w:r w:rsidR="00A22649" w:rsidRPr="00DE2FA9">
        <w:t xml:space="preserve"> prior approval of similar projects, instead of </w:t>
      </w:r>
      <w:r w:rsidR="00C03F02">
        <w:t xml:space="preserve">seeking </w:t>
      </w:r>
      <w:r w:rsidR="00A22649" w:rsidRPr="00DE2FA9">
        <w:t>independent approval</w:t>
      </w:r>
      <w:r w:rsidR="00C03F02">
        <w:t xml:space="preserve"> for the “modification.” </w:t>
      </w:r>
      <w:r w:rsidR="00E43E15">
        <w:t xml:space="preserve">OPC avers that we must </w:t>
      </w:r>
      <w:r w:rsidR="00E43E15" w:rsidRPr="00DE2FA9">
        <w:rPr>
          <w:kern w:val="32"/>
        </w:rPr>
        <w:t xml:space="preserve">independently determine that each cost submitted for recovery meets each element of the statutory requirements for recovery through this clause as set out in Section 366.8255, Florida Statutes. </w:t>
      </w:r>
      <w:r w:rsidR="00E43E15">
        <w:rPr>
          <w:kern w:val="32"/>
        </w:rPr>
        <w:t xml:space="preserve">OPC asserts that </w:t>
      </w:r>
      <w:r w:rsidR="00E43E15" w:rsidRPr="00DE2FA9">
        <w:rPr>
          <w:kern w:val="32"/>
        </w:rPr>
        <w:t xml:space="preserve">FPL has not proven that these costs fully meet the statutory test to the extent </w:t>
      </w:r>
      <w:r w:rsidR="00E43E15">
        <w:rPr>
          <w:kern w:val="32"/>
        </w:rPr>
        <w:t xml:space="preserve">that </w:t>
      </w:r>
      <w:r w:rsidR="00435E12">
        <w:rPr>
          <w:kern w:val="32"/>
        </w:rPr>
        <w:t>the Company</w:t>
      </w:r>
      <w:r w:rsidR="00E43E15">
        <w:rPr>
          <w:kern w:val="32"/>
        </w:rPr>
        <w:t xml:space="preserve"> r</w:t>
      </w:r>
      <w:r w:rsidR="00E43E15" w:rsidRPr="00DE2FA9">
        <w:rPr>
          <w:kern w:val="32"/>
        </w:rPr>
        <w:t xml:space="preserve">elies </w:t>
      </w:r>
      <w:r w:rsidR="00E43E15">
        <w:rPr>
          <w:kern w:val="32"/>
        </w:rPr>
        <w:t>up</w:t>
      </w:r>
      <w:r w:rsidR="00E43E15" w:rsidRPr="00DE2FA9">
        <w:rPr>
          <w:kern w:val="32"/>
        </w:rPr>
        <w:t>on prior approvals of similar types of projects for meeting the Company’s burden of proof.</w:t>
      </w:r>
    </w:p>
    <w:p w:rsidR="00E43E15" w:rsidRPr="00DE2FA9" w:rsidRDefault="00E43E15" w:rsidP="00A22649">
      <w:pPr>
        <w:jc w:val="both"/>
      </w:pPr>
    </w:p>
    <w:p w:rsidR="00A22649" w:rsidRPr="00B75982" w:rsidRDefault="00B75982" w:rsidP="00A22649">
      <w:pPr>
        <w:keepNext/>
        <w:jc w:val="center"/>
        <w:rPr>
          <w:b/>
          <w:u w:val="single"/>
        </w:rPr>
      </w:pPr>
      <w:r w:rsidRPr="00B75982">
        <w:rPr>
          <w:b/>
          <w:u w:val="single"/>
        </w:rPr>
        <w:t xml:space="preserve">B. </w:t>
      </w:r>
      <w:r w:rsidR="00A22649" w:rsidRPr="00B75982">
        <w:rPr>
          <w:b/>
          <w:u w:val="single"/>
        </w:rPr>
        <w:t>Analysis</w:t>
      </w:r>
    </w:p>
    <w:p w:rsidR="00A22649" w:rsidRPr="00DE2FA9" w:rsidRDefault="00A22649" w:rsidP="00A22649">
      <w:pPr>
        <w:keepNext/>
        <w:jc w:val="both"/>
        <w:rPr>
          <w:b/>
        </w:rPr>
      </w:pPr>
    </w:p>
    <w:p w:rsidR="00A22649" w:rsidRPr="00520584" w:rsidRDefault="00B75982" w:rsidP="00A22649">
      <w:pPr>
        <w:keepNext/>
        <w:autoSpaceDE w:val="0"/>
        <w:autoSpaceDN w:val="0"/>
        <w:adjustRightInd w:val="0"/>
        <w:ind w:firstLine="720"/>
        <w:rPr>
          <w:bCs/>
          <w:i/>
        </w:rPr>
      </w:pPr>
      <w:r w:rsidRPr="00520584">
        <w:rPr>
          <w:bCs/>
          <w:i/>
        </w:rPr>
        <w:t xml:space="preserve">1. </w:t>
      </w:r>
      <w:r w:rsidR="00A22649" w:rsidRPr="00520584">
        <w:rPr>
          <w:bCs/>
          <w:i/>
        </w:rPr>
        <w:t>MTHS Project and Proposed Modifications</w:t>
      </w:r>
    </w:p>
    <w:p w:rsidR="00B75982" w:rsidRPr="00DE2FA9" w:rsidRDefault="00B75982" w:rsidP="00A22649">
      <w:pPr>
        <w:keepNext/>
        <w:autoSpaceDE w:val="0"/>
        <w:autoSpaceDN w:val="0"/>
        <w:adjustRightInd w:val="0"/>
        <w:ind w:firstLine="720"/>
        <w:rPr>
          <w:b/>
          <w:bCs/>
          <w:i/>
        </w:rPr>
      </w:pPr>
    </w:p>
    <w:p w:rsidR="00A22649" w:rsidRPr="00DE2FA9" w:rsidRDefault="00C733AA" w:rsidP="00A22649">
      <w:pPr>
        <w:jc w:val="both"/>
      </w:pPr>
      <w:r w:rsidRPr="00DE2FA9">
        <w:tab/>
      </w:r>
      <w:r w:rsidR="00E43E15">
        <w:t>We</w:t>
      </w:r>
      <w:r w:rsidR="00A22649" w:rsidRPr="00DE2FA9">
        <w:t xml:space="preserve"> initially approved </w:t>
      </w:r>
      <w:r w:rsidR="00435E12">
        <w:t xml:space="preserve">cost </w:t>
      </w:r>
      <w:r w:rsidR="00A22649" w:rsidRPr="00DE2FA9">
        <w:t xml:space="preserve">recovery through the ECRC of FPL’s MTHS Project in the 2009 ECRC proceeding, addressing the Company’s Riviera Beach and Cape Canaveral </w:t>
      </w:r>
      <w:r w:rsidR="00A22649" w:rsidRPr="00DE2FA9">
        <w:lastRenderedPageBreak/>
        <w:t>facilities.</w:t>
      </w:r>
      <w:r w:rsidR="00A22649" w:rsidRPr="00DE2FA9">
        <w:rPr>
          <w:vertAlign w:val="superscript"/>
        </w:rPr>
        <w:footnoteReference w:id="8"/>
      </w:r>
      <w:r w:rsidR="00A22649" w:rsidRPr="00DE2FA9">
        <w:t xml:space="preserve"> Subsequently, </w:t>
      </w:r>
      <w:r w:rsidR="00E43E15">
        <w:t>we</w:t>
      </w:r>
      <w:r w:rsidR="00A22649" w:rsidRPr="00DE2FA9">
        <w:t xml:space="preserve"> approved recovery of costs associated with the Port Everglades and Dania Beach facilities in the 2012 and 2017 ECRC proceedings</w:t>
      </w:r>
      <w:r w:rsidR="00435E12">
        <w:t>.</w:t>
      </w:r>
      <w:r w:rsidR="00A22649" w:rsidRPr="00DE2FA9">
        <w:rPr>
          <w:vertAlign w:val="superscript"/>
        </w:rPr>
        <w:footnoteReference w:id="9"/>
      </w:r>
    </w:p>
    <w:p w:rsidR="00A22649" w:rsidRPr="00DE2FA9" w:rsidRDefault="00A22649" w:rsidP="00A22649">
      <w:pPr>
        <w:jc w:val="both"/>
      </w:pPr>
    </w:p>
    <w:p w:rsidR="00A22649" w:rsidRPr="00DE2FA9" w:rsidRDefault="00C733AA" w:rsidP="00A22649">
      <w:pPr>
        <w:jc w:val="both"/>
      </w:pPr>
      <w:r w:rsidRPr="00DE2FA9">
        <w:tab/>
      </w:r>
      <w:r w:rsidR="00A22649" w:rsidRPr="00DE2FA9">
        <w:t xml:space="preserve">FPL is seeking to recover costs associated with a heating system for Fort Myers to keep water temperatures high enough to maintain a manatee refuge. The proposed addition includes electric heating equipment and associated intake and pumping systems. </w:t>
      </w:r>
    </w:p>
    <w:p w:rsidR="00A22649" w:rsidRPr="00DE2FA9" w:rsidRDefault="00A22649" w:rsidP="00A22649">
      <w:pPr>
        <w:jc w:val="both"/>
      </w:pPr>
    </w:p>
    <w:p w:rsidR="00A22649" w:rsidRPr="00520584" w:rsidRDefault="00B75982" w:rsidP="00A22649">
      <w:pPr>
        <w:keepNext/>
        <w:autoSpaceDE w:val="0"/>
        <w:autoSpaceDN w:val="0"/>
        <w:adjustRightInd w:val="0"/>
        <w:ind w:firstLine="720"/>
        <w:rPr>
          <w:bCs/>
          <w:i/>
        </w:rPr>
      </w:pPr>
      <w:r w:rsidRPr="00520584">
        <w:rPr>
          <w:bCs/>
          <w:i/>
        </w:rPr>
        <w:t xml:space="preserve">2. </w:t>
      </w:r>
      <w:r w:rsidR="00A22649" w:rsidRPr="00520584">
        <w:rPr>
          <w:bCs/>
          <w:i/>
        </w:rPr>
        <w:t>Eligibility Criteria</w:t>
      </w:r>
    </w:p>
    <w:p w:rsidR="00B75982" w:rsidRPr="00DE2FA9" w:rsidRDefault="00B75982" w:rsidP="00A22649">
      <w:pPr>
        <w:keepNext/>
        <w:autoSpaceDE w:val="0"/>
        <w:autoSpaceDN w:val="0"/>
        <w:adjustRightInd w:val="0"/>
        <w:ind w:firstLine="720"/>
        <w:rPr>
          <w:b/>
          <w:bCs/>
          <w:i/>
        </w:rPr>
      </w:pPr>
    </w:p>
    <w:p w:rsidR="00A22649" w:rsidRPr="00DE2FA9" w:rsidRDefault="00C733AA" w:rsidP="00A22649">
      <w:pPr>
        <w:jc w:val="both"/>
      </w:pPr>
      <w:r w:rsidRPr="00DE2FA9">
        <w:tab/>
      </w:r>
      <w:r w:rsidR="00A22649" w:rsidRPr="00DE2FA9">
        <w:t xml:space="preserve">The ECRC, enacted into law in 1993, provides an investor-owned utility </w:t>
      </w:r>
      <w:r w:rsidR="00435E12">
        <w:t>with an</w:t>
      </w:r>
      <w:r w:rsidR="00A22649" w:rsidRPr="00DE2FA9">
        <w:t xml:space="preserve"> opportunity to recover the costs associated with changes in environmental regulations between rate cases. The statute authorizes th</w:t>
      </w:r>
      <w:r w:rsidR="00E43E15">
        <w:t>is</w:t>
      </w:r>
      <w:r w:rsidR="00A22649" w:rsidRPr="00DE2FA9">
        <w:t xml:space="preserve"> Commission to review and decide whether a utility’s environmental compliance costs are recoverable through an environmental cost recovery factor. When </w:t>
      </w:r>
      <w:r w:rsidR="00E43E15">
        <w:t>we</w:t>
      </w:r>
      <w:r w:rsidR="00A22649" w:rsidRPr="00DE2FA9">
        <w:t xml:space="preserve"> first implemented the provisions of Section 366.8255, F.S., </w:t>
      </w:r>
      <w:r w:rsidR="00E43E15">
        <w:t>we</w:t>
      </w:r>
      <w:r w:rsidR="00A22649" w:rsidRPr="00DE2FA9">
        <w:t xml:space="preserve"> identified the criteria required to demonstrate eligibility for cost recovery under the ECRC clause:</w:t>
      </w:r>
      <w:r w:rsidR="00A22649" w:rsidRPr="00DE2FA9">
        <w:rPr>
          <w:vertAlign w:val="superscript"/>
        </w:rPr>
        <w:t xml:space="preserve"> </w:t>
      </w:r>
    </w:p>
    <w:p w:rsidR="00A22649" w:rsidRPr="00DE2FA9" w:rsidRDefault="00A22649" w:rsidP="00A22649">
      <w:pPr>
        <w:jc w:val="right"/>
      </w:pPr>
    </w:p>
    <w:p w:rsidR="00A22649" w:rsidRPr="00DE2FA9" w:rsidRDefault="00B75982" w:rsidP="00A22649">
      <w:pPr>
        <w:ind w:left="720" w:right="720"/>
        <w:jc w:val="both"/>
      </w:pPr>
      <w:r>
        <w:t>a</w:t>
      </w:r>
      <w:r w:rsidR="00A22649" w:rsidRPr="00DE2FA9">
        <w:t>. Such costs were prudently incurred after April 13, 1993;</w:t>
      </w:r>
    </w:p>
    <w:p w:rsidR="00A22649" w:rsidRPr="00DE2FA9" w:rsidRDefault="00A22649" w:rsidP="00A22649">
      <w:pPr>
        <w:ind w:left="720" w:right="720"/>
        <w:jc w:val="both"/>
      </w:pPr>
    </w:p>
    <w:p w:rsidR="00A22649" w:rsidRPr="00DE2FA9" w:rsidRDefault="00B75982" w:rsidP="00A22649">
      <w:pPr>
        <w:ind w:left="720" w:right="720"/>
        <w:jc w:val="both"/>
      </w:pPr>
      <w:r>
        <w:t>b.</w:t>
      </w:r>
      <w:r w:rsidR="00A22649" w:rsidRPr="00DE2FA9">
        <w:t xml:space="preserve"> The activity is legally required to comply with a governmentally imposed environmental regulation enacted, became effective, or whose effect was triggered after the Company’s last test year upon which rates are based; and,</w:t>
      </w:r>
    </w:p>
    <w:p w:rsidR="00A22649" w:rsidRPr="00DE2FA9" w:rsidRDefault="00A22649" w:rsidP="00A22649">
      <w:pPr>
        <w:ind w:left="720" w:right="720"/>
        <w:jc w:val="both"/>
      </w:pPr>
    </w:p>
    <w:p w:rsidR="00A22649" w:rsidRPr="00DE2FA9" w:rsidRDefault="00B75982" w:rsidP="00A22649">
      <w:pPr>
        <w:ind w:left="720" w:right="720"/>
        <w:jc w:val="both"/>
      </w:pPr>
      <w:r>
        <w:t>c.</w:t>
      </w:r>
      <w:r w:rsidR="00A22649" w:rsidRPr="00DE2FA9">
        <w:t xml:space="preserve"> Such costs are not recovered through some other cost recovery mechanism or through base rates.</w:t>
      </w:r>
      <w:r w:rsidR="00A22649" w:rsidRPr="00DE2FA9">
        <w:rPr>
          <w:vertAlign w:val="superscript"/>
        </w:rPr>
        <w:t xml:space="preserve"> </w:t>
      </w:r>
      <w:r w:rsidR="00A22649" w:rsidRPr="00DE2FA9">
        <w:rPr>
          <w:vertAlign w:val="superscript"/>
        </w:rPr>
        <w:footnoteReference w:id="10"/>
      </w:r>
    </w:p>
    <w:p w:rsidR="00A22649" w:rsidRPr="00DE2FA9" w:rsidRDefault="00A22649" w:rsidP="00A22649">
      <w:pPr>
        <w:jc w:val="both"/>
      </w:pPr>
    </w:p>
    <w:p w:rsidR="00A22649" w:rsidRPr="00DE2FA9" w:rsidRDefault="00C733AA" w:rsidP="00A22649">
      <w:pPr>
        <w:spacing w:after="240"/>
        <w:jc w:val="both"/>
      </w:pPr>
      <w:r w:rsidRPr="00DE2FA9">
        <w:tab/>
      </w:r>
      <w:r w:rsidR="00A22649" w:rsidRPr="00DE2FA9">
        <w:t xml:space="preserve">Pursuant to Section 366.8255, F.S., only </w:t>
      </w:r>
      <w:r w:rsidR="00E43E15">
        <w:t>a</w:t>
      </w:r>
      <w:r w:rsidR="00A22649" w:rsidRPr="00DE2FA9">
        <w:t xml:space="preserve"> utility’s prudently incurred environmental compliance costs are allowed to be recovered through the ECRC.</w:t>
      </w:r>
      <w:r w:rsidR="00A22649" w:rsidRPr="00DE2FA9">
        <w:rPr>
          <w:vertAlign w:val="superscript"/>
        </w:rPr>
        <w:footnoteReference w:id="11"/>
      </w:r>
      <w:r w:rsidR="00A22649" w:rsidRPr="00DE2FA9">
        <w:t xml:space="preserve"> </w:t>
      </w:r>
      <w:r w:rsidR="00E43E15">
        <w:t>Our review of FPL’s</w:t>
      </w:r>
      <w:r w:rsidR="00A22649" w:rsidRPr="00DE2FA9">
        <w:t xml:space="preserve"> proposed modification to the MTHS Project is based upon the information in the hearing record regarding these specific modifications and whether these modifications independently meet the ECRC criteria and reasonableness tests.</w:t>
      </w:r>
    </w:p>
    <w:p w:rsidR="00A22649" w:rsidRPr="00520584" w:rsidRDefault="00A22649" w:rsidP="00A22649">
      <w:pPr>
        <w:keepNext/>
        <w:tabs>
          <w:tab w:val="left" w:pos="540"/>
        </w:tabs>
        <w:jc w:val="both"/>
        <w:outlineLvl w:val="2"/>
        <w:rPr>
          <w:bCs/>
          <w:i/>
          <w:iCs/>
        </w:rPr>
      </w:pPr>
      <w:r w:rsidRPr="00DE2FA9">
        <w:rPr>
          <w:b/>
          <w:bCs/>
          <w:iCs/>
        </w:rPr>
        <w:tab/>
      </w:r>
      <w:r w:rsidR="00B75982" w:rsidRPr="00F814DB">
        <w:rPr>
          <w:bCs/>
          <w:i/>
          <w:iCs/>
        </w:rPr>
        <w:t>3.</w:t>
      </w:r>
      <w:r w:rsidR="00B75982" w:rsidRPr="00B53A63">
        <w:rPr>
          <w:bCs/>
          <w:iCs/>
        </w:rPr>
        <w:t xml:space="preserve"> </w:t>
      </w:r>
      <w:r w:rsidRPr="00B53A63">
        <w:rPr>
          <w:bCs/>
          <w:i/>
          <w:iCs/>
        </w:rPr>
        <w:t>Eligi</w:t>
      </w:r>
      <w:r w:rsidRPr="00520584">
        <w:rPr>
          <w:bCs/>
          <w:i/>
          <w:iCs/>
        </w:rPr>
        <w:t>bility Criteria Review</w:t>
      </w:r>
    </w:p>
    <w:p w:rsidR="00B75982" w:rsidRPr="00DE2FA9" w:rsidRDefault="00B75982" w:rsidP="00A22649">
      <w:pPr>
        <w:keepNext/>
        <w:tabs>
          <w:tab w:val="left" w:pos="540"/>
        </w:tabs>
        <w:jc w:val="both"/>
        <w:outlineLvl w:val="2"/>
        <w:rPr>
          <w:b/>
          <w:bCs/>
          <w:i/>
          <w:iCs/>
        </w:rPr>
      </w:pPr>
    </w:p>
    <w:p w:rsidR="00A22649" w:rsidRPr="00DE2FA9" w:rsidRDefault="00C733AA" w:rsidP="00A22649">
      <w:pPr>
        <w:jc w:val="both"/>
      </w:pPr>
      <w:r w:rsidRPr="00DE2FA9">
        <w:tab/>
      </w:r>
      <w:r w:rsidR="00B53A63">
        <w:t xml:space="preserve">Because </w:t>
      </w:r>
      <w:r w:rsidR="00A22649" w:rsidRPr="00DE2FA9">
        <w:t>the proposed modification to the MTHS Project was implemented beginning in 2018, it meets the first criterion</w:t>
      </w:r>
      <w:r w:rsidR="00435E12">
        <w:t xml:space="preserve">. </w:t>
      </w:r>
      <w:r w:rsidR="00A22649" w:rsidRPr="00DE2FA9">
        <w:t xml:space="preserve">FPL is not recovering any MTHS Project costs through an alternate mechanism, </w:t>
      </w:r>
      <w:r w:rsidR="00435E12">
        <w:t xml:space="preserve">and thus, the modification costs </w:t>
      </w:r>
      <w:r w:rsidR="00B53A63">
        <w:t>meet</w:t>
      </w:r>
      <w:r w:rsidR="00A22649" w:rsidRPr="00DE2FA9">
        <w:t xml:space="preserve"> the third criterion. </w:t>
      </w:r>
    </w:p>
    <w:p w:rsidR="00A22649" w:rsidRPr="00DE2FA9" w:rsidRDefault="00C733AA" w:rsidP="00A22649">
      <w:pPr>
        <w:jc w:val="both"/>
      </w:pPr>
      <w:r w:rsidRPr="00DE2FA9">
        <w:lastRenderedPageBreak/>
        <w:tab/>
      </w:r>
      <w:r w:rsidR="00A22649" w:rsidRPr="00DE2FA9">
        <w:t xml:space="preserve">The second criterion is dependent upon </w:t>
      </w:r>
      <w:r w:rsidR="00435E12">
        <w:t xml:space="preserve">the </w:t>
      </w:r>
      <w:r w:rsidR="00A22649" w:rsidRPr="00DE2FA9">
        <w:t xml:space="preserve">timing of the </w:t>
      </w:r>
      <w:r w:rsidR="00B53A63">
        <w:t xml:space="preserve">Company’s </w:t>
      </w:r>
      <w:r w:rsidR="00A22649" w:rsidRPr="00DE2FA9">
        <w:t xml:space="preserve">last rate case and the environmental regulation. FPL’s most recent rate case was resolved by a settlement between many parties, including FPL and OPC, and </w:t>
      </w:r>
      <w:r w:rsidR="00435E12">
        <w:t xml:space="preserve">was </w:t>
      </w:r>
      <w:r w:rsidR="00A22649" w:rsidRPr="00DE2FA9">
        <w:t xml:space="preserve">approved by </w:t>
      </w:r>
      <w:r w:rsidR="00B53A63">
        <w:t xml:space="preserve">order of this </w:t>
      </w:r>
      <w:r w:rsidR="00A22649" w:rsidRPr="00DE2FA9">
        <w:t xml:space="preserve">Commission </w:t>
      </w:r>
      <w:r w:rsidR="00B53A63">
        <w:t>on December 15, 2016.</w:t>
      </w:r>
      <w:r w:rsidR="00A22649" w:rsidRPr="00DE2FA9">
        <w:rPr>
          <w:vertAlign w:val="superscript"/>
        </w:rPr>
        <w:footnoteReference w:id="12"/>
      </w:r>
      <w:r w:rsidR="00A22649" w:rsidRPr="00DE2FA9">
        <w:t xml:space="preserve"> </w:t>
      </w:r>
      <w:r w:rsidR="00435E12">
        <w:t xml:space="preserve">In the instant docket, </w:t>
      </w:r>
      <w:r w:rsidR="00A22649" w:rsidRPr="00DE2FA9">
        <w:t>FPL identifies the environmental regulation requiring the proposed modification of the MTHS Project as FDEP’s Industrial Wastewater Facility Permit (Permit) for Fort Myers, issued January 20, 2016. The Permit states, in relevant part, “</w:t>
      </w:r>
      <w:r w:rsidR="0005503A">
        <w:t>[t]</w:t>
      </w:r>
      <w:r w:rsidR="00A22649" w:rsidRPr="00DE2FA9">
        <w:t>he permittee shall continue compliance with the facility</w:t>
      </w:r>
      <w:r w:rsidR="0005503A">
        <w:t>’</w:t>
      </w:r>
      <w:r w:rsidR="00A22649" w:rsidRPr="00DE2FA9">
        <w:t xml:space="preserve">s Manatee Protection Plan approved by [FDEP] on August 18, 1999.” This requires FPL to maintain a warm water manatee refuge during mid-November through the end of March annually, unless </w:t>
      </w:r>
      <w:r w:rsidR="00435E12">
        <w:t xml:space="preserve">doing so </w:t>
      </w:r>
      <w:r w:rsidR="00A22649" w:rsidRPr="00DE2FA9">
        <w:t xml:space="preserve">endangers the safety or reliability of Fort Myers. FPL argues that operating circumstances have changed since FPL’s most recent rate case, effectively triggering the effects of the Permit, due to a combination of scheduled maintenance outages and reductions in the projected economic dispatch of Fort Myers. </w:t>
      </w:r>
      <w:r w:rsidR="00435E12">
        <w:t>Therefore, t</w:t>
      </w:r>
      <w:r w:rsidR="00A22649" w:rsidRPr="00DE2FA9">
        <w:t>he proposed MTHS Project meets the second criterion.</w:t>
      </w:r>
    </w:p>
    <w:p w:rsidR="00A22649" w:rsidRPr="00DE2FA9" w:rsidRDefault="00A22649" w:rsidP="00A22649">
      <w:pPr>
        <w:jc w:val="both"/>
      </w:pPr>
    </w:p>
    <w:p w:rsidR="00A22649" w:rsidRPr="00DE2FA9" w:rsidRDefault="00C733AA" w:rsidP="00A22649">
      <w:pPr>
        <w:jc w:val="both"/>
      </w:pPr>
      <w:r w:rsidRPr="00DE2FA9">
        <w:tab/>
      </w:r>
      <w:r w:rsidR="00A22649" w:rsidRPr="00DE2FA9">
        <w:t xml:space="preserve">Regarding the reasonableness of expenditures for the modification to the MTHS Project, FPL evaluated alternatives including </w:t>
      </w:r>
      <w:r w:rsidR="00435E12">
        <w:t xml:space="preserve">(1) </w:t>
      </w:r>
      <w:r w:rsidR="00A22649" w:rsidRPr="00DE2FA9">
        <w:t xml:space="preserve">operating Fort Myers out of economic dispatch </w:t>
      </w:r>
      <w:r w:rsidR="00435E12">
        <w:t>and (2)</w:t>
      </w:r>
      <w:r w:rsidR="00A22649" w:rsidRPr="00DE2FA9">
        <w:t xml:space="preserve"> using a temporary diesel system. No other available alternative was as cost-effective at meeting the environmental requirement as the proposed system at Fort Myers. Therefore, the costs associated with the modification of the MTHS Project appear reasonable at this time.</w:t>
      </w:r>
    </w:p>
    <w:p w:rsidR="00A22649" w:rsidRPr="00DE2FA9" w:rsidRDefault="00A22649" w:rsidP="00A22649">
      <w:pPr>
        <w:jc w:val="both"/>
      </w:pPr>
    </w:p>
    <w:p w:rsidR="00A22649" w:rsidRPr="00B75982" w:rsidRDefault="00B75982" w:rsidP="00B75982">
      <w:pPr>
        <w:jc w:val="center"/>
        <w:outlineLvl w:val="2"/>
        <w:rPr>
          <w:b/>
          <w:bCs/>
          <w:iCs/>
          <w:u w:val="single"/>
        </w:rPr>
      </w:pPr>
      <w:r w:rsidRPr="00B75982">
        <w:rPr>
          <w:b/>
          <w:bCs/>
          <w:iCs/>
          <w:u w:val="single"/>
        </w:rPr>
        <w:t>C. Decision</w:t>
      </w:r>
    </w:p>
    <w:p w:rsidR="00B75982" w:rsidRPr="00DE2FA9" w:rsidRDefault="00B75982" w:rsidP="00B75982">
      <w:pPr>
        <w:jc w:val="center"/>
        <w:outlineLvl w:val="2"/>
        <w:rPr>
          <w:b/>
          <w:bCs/>
          <w:iCs/>
        </w:rPr>
      </w:pPr>
    </w:p>
    <w:p w:rsidR="00A22649" w:rsidRPr="00DE2FA9" w:rsidRDefault="00C733AA" w:rsidP="005E13E4">
      <w:pPr>
        <w:jc w:val="both"/>
      </w:pPr>
      <w:r w:rsidRPr="00DE2FA9">
        <w:tab/>
      </w:r>
      <w:r w:rsidR="005E13E4">
        <w:t xml:space="preserve">Based upon the foregoing, we </w:t>
      </w:r>
      <w:r w:rsidR="00A22649" w:rsidRPr="00DE2FA9">
        <w:t>approve FPL’s petition</w:t>
      </w:r>
      <w:r w:rsidR="005E13E4">
        <w:t xml:space="preserve">; the Company shall be allowed </w:t>
      </w:r>
      <w:r w:rsidR="00A22649" w:rsidRPr="00DE2FA9">
        <w:t xml:space="preserve">to recover </w:t>
      </w:r>
      <w:r w:rsidR="005E13E4">
        <w:t xml:space="preserve">reasonable costs </w:t>
      </w:r>
      <w:r w:rsidR="00A22649" w:rsidRPr="00DE2FA9">
        <w:t>associated with its proposed modification to the MTHS Project</w:t>
      </w:r>
      <w:r w:rsidR="005E13E4">
        <w:t xml:space="preserve"> through the ECRC.</w:t>
      </w:r>
    </w:p>
    <w:p w:rsidR="00B75982" w:rsidRDefault="00B75982" w:rsidP="00A22649">
      <w:pPr>
        <w:jc w:val="both"/>
        <w:outlineLvl w:val="0"/>
        <w:rPr>
          <w:b/>
          <w:bCs/>
          <w:kern w:val="32"/>
        </w:rPr>
      </w:pPr>
    </w:p>
    <w:p w:rsidR="001A1CD5" w:rsidRDefault="001A1CD5" w:rsidP="00A22649">
      <w:pPr>
        <w:jc w:val="both"/>
        <w:outlineLvl w:val="0"/>
        <w:rPr>
          <w:b/>
          <w:bCs/>
          <w:kern w:val="32"/>
        </w:rPr>
      </w:pPr>
    </w:p>
    <w:p w:rsidR="00C75362" w:rsidRDefault="00B75982" w:rsidP="007F7173">
      <w:pPr>
        <w:jc w:val="both"/>
        <w:outlineLvl w:val="0"/>
        <w:rPr>
          <w:b/>
        </w:rPr>
      </w:pPr>
      <w:r>
        <w:rPr>
          <w:b/>
          <w:bCs/>
          <w:kern w:val="32"/>
        </w:rPr>
        <w:t>VII</w:t>
      </w:r>
      <w:r w:rsidR="001034DD">
        <w:rPr>
          <w:b/>
          <w:bCs/>
          <w:kern w:val="32"/>
        </w:rPr>
        <w:t>.</w:t>
      </w:r>
      <w:r w:rsidR="00A22649" w:rsidRPr="00631F38">
        <w:rPr>
          <w:b/>
        </w:rPr>
        <w:t> </w:t>
      </w:r>
      <w:r w:rsidR="005E13E4">
        <w:rPr>
          <w:b/>
        </w:rPr>
        <w:tab/>
      </w:r>
      <w:r w:rsidR="00A22649" w:rsidRPr="00631F38">
        <w:rPr>
          <w:b/>
        </w:rPr>
        <w:t xml:space="preserve">FPL’s Petition for Approval of Modification to National Pollution Discharge </w:t>
      </w:r>
      <w:r w:rsidR="005E13E4">
        <w:rPr>
          <w:b/>
        </w:rPr>
        <w:tab/>
      </w:r>
      <w:r w:rsidR="00A22649" w:rsidRPr="00631F38">
        <w:rPr>
          <w:b/>
        </w:rPr>
        <w:t xml:space="preserve">Elimination System Permit Renewal Requirement Project and the recovery of </w:t>
      </w:r>
      <w:r w:rsidR="005E13E4">
        <w:rPr>
          <w:b/>
        </w:rPr>
        <w:tab/>
      </w:r>
      <w:r w:rsidR="00A22649" w:rsidRPr="00631F38">
        <w:rPr>
          <w:b/>
        </w:rPr>
        <w:t xml:space="preserve">associated costs through the ECRC pursuant to Section 366.8255, F.S. </w:t>
      </w:r>
    </w:p>
    <w:p w:rsidR="00C75362" w:rsidRPr="00DE2FA9" w:rsidRDefault="00C75362" w:rsidP="00A22649">
      <w:pPr>
        <w:jc w:val="both"/>
      </w:pPr>
    </w:p>
    <w:p w:rsidR="00A22649" w:rsidRPr="00F354D1" w:rsidRDefault="00F354D1" w:rsidP="00A22649">
      <w:pPr>
        <w:jc w:val="center"/>
        <w:rPr>
          <w:b/>
          <w:u w:val="single"/>
        </w:rPr>
      </w:pPr>
      <w:r w:rsidRPr="00F354D1">
        <w:rPr>
          <w:b/>
          <w:u w:val="single"/>
        </w:rPr>
        <w:t xml:space="preserve">A. </w:t>
      </w:r>
      <w:r w:rsidR="00A22649" w:rsidRPr="00F354D1">
        <w:rPr>
          <w:b/>
          <w:u w:val="single"/>
        </w:rPr>
        <w:t>Parties’ Arguments</w:t>
      </w:r>
    </w:p>
    <w:p w:rsidR="00A22649" w:rsidRPr="00DE2FA9" w:rsidRDefault="00A22649" w:rsidP="00A22649">
      <w:pPr>
        <w:jc w:val="both"/>
        <w:rPr>
          <w:b/>
        </w:rPr>
      </w:pPr>
    </w:p>
    <w:p w:rsidR="00A22649" w:rsidRDefault="00520584" w:rsidP="00A22649">
      <w:pPr>
        <w:ind w:left="720"/>
        <w:jc w:val="both"/>
        <w:outlineLvl w:val="3"/>
        <w:rPr>
          <w:bCs/>
          <w:i/>
          <w:iCs/>
        </w:rPr>
      </w:pPr>
      <w:r w:rsidRPr="00520584">
        <w:rPr>
          <w:bCs/>
          <w:i/>
          <w:iCs/>
        </w:rPr>
        <w:t xml:space="preserve">1. </w:t>
      </w:r>
      <w:r w:rsidR="00A22649" w:rsidRPr="00520584">
        <w:rPr>
          <w:bCs/>
          <w:i/>
          <w:iCs/>
        </w:rPr>
        <w:t>FPL</w:t>
      </w:r>
    </w:p>
    <w:p w:rsidR="00C75362" w:rsidRDefault="00C75362" w:rsidP="00FF1E45">
      <w:pPr>
        <w:keepLines/>
        <w:ind w:left="90"/>
        <w:jc w:val="both"/>
      </w:pPr>
    </w:p>
    <w:p w:rsidR="00FF1E45" w:rsidRPr="00DE2FA9" w:rsidRDefault="00C733AA" w:rsidP="00FF1E45">
      <w:pPr>
        <w:keepLines/>
        <w:ind w:left="90"/>
        <w:jc w:val="both"/>
      </w:pPr>
      <w:r w:rsidRPr="00DE2FA9">
        <w:tab/>
      </w:r>
      <w:r w:rsidR="00A22649" w:rsidRPr="00DE2FA9">
        <w:t>FPL</w:t>
      </w:r>
      <w:r w:rsidR="00FF1E45">
        <w:t>’s</w:t>
      </w:r>
      <w:r w:rsidR="00A22649" w:rsidRPr="00DE2FA9">
        <w:t xml:space="preserve"> proposed modification to the NPDES Project includes the replacement of cooling tower packing material at Plant Scherer Unit 4 (Scherer). FPL asserts that Scherer is likely to be required to limit copper discharge in future environmental permits, and the replacement addressed this concern. FPL seeks ECRC recovery of the modifications to the NPDES Project contingent upon the issuance of a future environmental permit including the copper limitation requirement. FPL argues that the modification to the NPDES Project satisfies the requirements of recovery for the ECRC as it is based on an anticipated environmental regulation.</w:t>
      </w:r>
    </w:p>
    <w:p w:rsidR="00A22649" w:rsidRDefault="00520584" w:rsidP="00286216">
      <w:pPr>
        <w:autoSpaceDE w:val="0"/>
        <w:autoSpaceDN w:val="0"/>
        <w:adjustRightInd w:val="0"/>
        <w:ind w:firstLine="720"/>
        <w:rPr>
          <w:bCs/>
          <w:i/>
          <w:iCs/>
        </w:rPr>
      </w:pPr>
      <w:r w:rsidRPr="00520584">
        <w:rPr>
          <w:bCs/>
          <w:i/>
          <w:iCs/>
        </w:rPr>
        <w:lastRenderedPageBreak/>
        <w:t xml:space="preserve">2. </w:t>
      </w:r>
      <w:r w:rsidR="00A22649" w:rsidRPr="00520584">
        <w:rPr>
          <w:bCs/>
          <w:i/>
          <w:iCs/>
        </w:rPr>
        <w:t>OPC</w:t>
      </w:r>
    </w:p>
    <w:p w:rsidR="00426C3E" w:rsidRPr="00520584" w:rsidRDefault="00426C3E" w:rsidP="00A22649">
      <w:pPr>
        <w:ind w:left="720"/>
        <w:jc w:val="both"/>
        <w:outlineLvl w:val="3"/>
        <w:rPr>
          <w:bCs/>
          <w:i/>
          <w:iCs/>
        </w:rPr>
      </w:pPr>
    </w:p>
    <w:p w:rsidR="00FF1E45" w:rsidRPr="00DE2FA9" w:rsidRDefault="00C733AA" w:rsidP="00FF1E45">
      <w:pPr>
        <w:jc w:val="both"/>
      </w:pPr>
      <w:r w:rsidRPr="00DE2FA9">
        <w:tab/>
      </w:r>
      <w:r w:rsidR="00A22649" w:rsidRPr="00DE2FA9">
        <w:t>OPC expresses concern that the contingent nature of FPL’s request for a modification to the NPDES Project is outside of the scope of Section 366.8255, F.S.</w:t>
      </w:r>
      <w:r w:rsidR="00426C3E">
        <w:t xml:space="preserve"> </w:t>
      </w:r>
      <w:r w:rsidR="00A22649" w:rsidRPr="00DE2FA9">
        <w:t xml:space="preserve">OPC </w:t>
      </w:r>
      <w:r w:rsidR="00426C3E">
        <w:t>contends</w:t>
      </w:r>
      <w:r w:rsidR="00A22649" w:rsidRPr="00DE2FA9">
        <w:t xml:space="preserve"> that the Company’s filing appears to rely upon </w:t>
      </w:r>
      <w:r w:rsidR="00426C3E">
        <w:t>our</w:t>
      </w:r>
      <w:r w:rsidR="00A22649" w:rsidRPr="00DE2FA9">
        <w:t xml:space="preserve"> prior approval of similarly named projects, instead of independent approval. OPC argues that the proposed project is significantly different </w:t>
      </w:r>
      <w:r w:rsidR="00DB2B7B">
        <w:t>than</w:t>
      </w:r>
      <w:r w:rsidR="00A22649" w:rsidRPr="00DE2FA9">
        <w:t xml:space="preserve"> </w:t>
      </w:r>
      <w:r w:rsidR="00557BB6" w:rsidRPr="00DE2FA9">
        <w:t>the projects</w:t>
      </w:r>
      <w:r w:rsidR="00A22649" w:rsidRPr="00DE2FA9">
        <w:t xml:space="preserve"> </w:t>
      </w:r>
      <w:r w:rsidR="00DB2B7B">
        <w:t xml:space="preserve">previously </w:t>
      </w:r>
      <w:r w:rsidR="00A22649" w:rsidRPr="00DE2FA9">
        <w:t xml:space="preserve">approved under the NPDES Project. OPC asserts that </w:t>
      </w:r>
      <w:r w:rsidR="00DB2B7B">
        <w:t>because</w:t>
      </w:r>
      <w:r w:rsidR="00A22649" w:rsidRPr="00DE2FA9">
        <w:t xml:space="preserve"> the project has already been completed, there is no urgency requiring a contingent approval. </w:t>
      </w:r>
      <w:r w:rsidR="00426C3E">
        <w:t xml:space="preserve">OPC argues that we </w:t>
      </w:r>
      <w:r w:rsidR="00557BB6">
        <w:t xml:space="preserve">must </w:t>
      </w:r>
      <w:r w:rsidR="00557BB6" w:rsidRPr="00DE2FA9">
        <w:rPr>
          <w:kern w:val="32"/>
        </w:rPr>
        <w:t>independently</w:t>
      </w:r>
      <w:r w:rsidR="00FF1E45" w:rsidRPr="00DE2FA9">
        <w:rPr>
          <w:kern w:val="32"/>
        </w:rPr>
        <w:t xml:space="preserve"> determine that each cost submitted for recovery meets each element of the statutory requirements for recovery through this clause as set out in Section 366.8255, F</w:t>
      </w:r>
      <w:r w:rsidR="00426C3E">
        <w:rPr>
          <w:kern w:val="32"/>
        </w:rPr>
        <w:t xml:space="preserve">.S. OPC argues that </w:t>
      </w:r>
      <w:r w:rsidR="00FF1E45" w:rsidRPr="00DE2FA9">
        <w:rPr>
          <w:kern w:val="32"/>
        </w:rPr>
        <w:t xml:space="preserve">FPL has not proven that these costs fully meet the statutory test to the extent </w:t>
      </w:r>
      <w:r w:rsidR="00426C3E">
        <w:rPr>
          <w:kern w:val="32"/>
        </w:rPr>
        <w:t xml:space="preserve">that the Company </w:t>
      </w:r>
      <w:r w:rsidR="00FF1E45" w:rsidRPr="00DE2FA9">
        <w:rPr>
          <w:kern w:val="32"/>
        </w:rPr>
        <w:t xml:space="preserve">relies on prior approvals of similar types of projects for meeting </w:t>
      </w:r>
      <w:r w:rsidR="00426C3E">
        <w:rPr>
          <w:kern w:val="32"/>
        </w:rPr>
        <w:t>its</w:t>
      </w:r>
      <w:r w:rsidR="00FF1E45" w:rsidRPr="00DE2FA9">
        <w:rPr>
          <w:kern w:val="32"/>
        </w:rPr>
        <w:t xml:space="preserve"> burden of proof.</w:t>
      </w:r>
      <w:r w:rsidR="00FF1E45" w:rsidRPr="00DE2FA9">
        <w:t xml:space="preserve"> </w:t>
      </w:r>
      <w:r w:rsidR="00426C3E">
        <w:t>OPC concludes that t</w:t>
      </w:r>
      <w:r w:rsidR="00FF1E45" w:rsidRPr="00DE2FA9">
        <w:t>his project may not be ripe for approval.</w:t>
      </w:r>
    </w:p>
    <w:p w:rsidR="00FF1E45" w:rsidRDefault="00FF1E45" w:rsidP="00A22649">
      <w:pPr>
        <w:jc w:val="both"/>
      </w:pPr>
    </w:p>
    <w:p w:rsidR="00A22649" w:rsidRPr="00F354D1" w:rsidRDefault="00F354D1" w:rsidP="00A22649">
      <w:pPr>
        <w:keepNext/>
        <w:jc w:val="center"/>
        <w:rPr>
          <w:b/>
          <w:u w:val="single"/>
        </w:rPr>
      </w:pPr>
      <w:r w:rsidRPr="00F354D1">
        <w:rPr>
          <w:b/>
          <w:u w:val="single"/>
        </w:rPr>
        <w:t xml:space="preserve">B. </w:t>
      </w:r>
      <w:r w:rsidR="00A22649" w:rsidRPr="00F354D1">
        <w:rPr>
          <w:b/>
          <w:u w:val="single"/>
        </w:rPr>
        <w:t>Analysis</w:t>
      </w:r>
    </w:p>
    <w:p w:rsidR="00A22649" w:rsidRPr="00DE2FA9" w:rsidRDefault="00A22649" w:rsidP="00A22649">
      <w:pPr>
        <w:keepNext/>
        <w:jc w:val="both"/>
        <w:rPr>
          <w:b/>
        </w:rPr>
      </w:pPr>
    </w:p>
    <w:p w:rsidR="00A22649" w:rsidRDefault="00520584" w:rsidP="00A22649">
      <w:pPr>
        <w:keepNext/>
        <w:autoSpaceDE w:val="0"/>
        <w:autoSpaceDN w:val="0"/>
        <w:adjustRightInd w:val="0"/>
        <w:ind w:firstLine="720"/>
        <w:rPr>
          <w:bCs/>
          <w:i/>
        </w:rPr>
      </w:pPr>
      <w:r w:rsidRPr="00520584">
        <w:rPr>
          <w:bCs/>
          <w:i/>
        </w:rPr>
        <w:t xml:space="preserve">1. </w:t>
      </w:r>
      <w:r w:rsidR="00A22649" w:rsidRPr="00520584">
        <w:rPr>
          <w:bCs/>
          <w:i/>
        </w:rPr>
        <w:t>NPDES Project and Proposed Modifications</w:t>
      </w:r>
    </w:p>
    <w:p w:rsidR="00426C3E" w:rsidRPr="00520584" w:rsidRDefault="00426C3E" w:rsidP="00A22649">
      <w:pPr>
        <w:keepNext/>
        <w:autoSpaceDE w:val="0"/>
        <w:autoSpaceDN w:val="0"/>
        <w:adjustRightInd w:val="0"/>
        <w:ind w:firstLine="720"/>
        <w:rPr>
          <w:bCs/>
          <w:i/>
        </w:rPr>
      </w:pPr>
    </w:p>
    <w:p w:rsidR="00A22649" w:rsidRPr="00DE2FA9" w:rsidRDefault="00C733AA" w:rsidP="00A22649">
      <w:pPr>
        <w:jc w:val="both"/>
      </w:pPr>
      <w:r w:rsidRPr="00DE2FA9">
        <w:tab/>
      </w:r>
      <w:r w:rsidR="001034DD">
        <w:t>We</w:t>
      </w:r>
      <w:r w:rsidR="00A22649" w:rsidRPr="00DE2FA9">
        <w:t xml:space="preserve"> initially approved recovery through the ECRC of FPL’s NPDES Project in the 2011 ECRC proceeding.</w:t>
      </w:r>
      <w:r w:rsidR="00A22649" w:rsidRPr="00DE2FA9">
        <w:rPr>
          <w:vertAlign w:val="superscript"/>
        </w:rPr>
        <w:footnoteReference w:id="13"/>
      </w:r>
      <w:r w:rsidR="00A22649" w:rsidRPr="00DE2FA9">
        <w:t xml:space="preserve"> The project was focused on complying with then-new FDEP requirements to establish whole effluent toxicity limits and prepare storm water pollution prevention plans. Subsequently, </w:t>
      </w:r>
      <w:r w:rsidR="001034DD">
        <w:t>we</w:t>
      </w:r>
      <w:r w:rsidR="00A22649" w:rsidRPr="00DE2FA9">
        <w:t xml:space="preserve"> approved recovery of costs associated with the St. Lucie facility’s renewed permit</w:t>
      </w:r>
      <w:r w:rsidR="0073267E">
        <w:t>. S</w:t>
      </w:r>
      <w:r w:rsidR="00A22649" w:rsidRPr="00DE2FA9">
        <w:t>pecifically</w:t>
      </w:r>
      <w:r w:rsidR="0073267E">
        <w:t xml:space="preserve">, in 2012, we approved recovery of costs related to </w:t>
      </w:r>
      <w:r w:rsidR="00A22649" w:rsidRPr="00DE2FA9">
        <w:t xml:space="preserve">a requirement </w:t>
      </w:r>
      <w:r w:rsidR="0073267E">
        <w:t xml:space="preserve">for </w:t>
      </w:r>
      <w:r w:rsidR="00A22649" w:rsidRPr="00DE2FA9">
        <w:t>a total residual oxidants plan of study</w:t>
      </w:r>
      <w:r w:rsidR="0073267E">
        <w:t>.</w:t>
      </w:r>
      <w:r w:rsidR="00A22649" w:rsidRPr="00DE2FA9">
        <w:rPr>
          <w:vertAlign w:val="superscript"/>
        </w:rPr>
        <w:footnoteReference w:id="14"/>
      </w:r>
    </w:p>
    <w:p w:rsidR="00A22649" w:rsidRPr="00DE2FA9" w:rsidRDefault="00A22649" w:rsidP="00A22649">
      <w:pPr>
        <w:jc w:val="both"/>
      </w:pPr>
    </w:p>
    <w:p w:rsidR="00A22649" w:rsidRPr="00DE2FA9" w:rsidRDefault="00C733AA" w:rsidP="00A22649">
      <w:pPr>
        <w:jc w:val="both"/>
      </w:pPr>
      <w:r w:rsidRPr="00DE2FA9">
        <w:tab/>
      </w:r>
      <w:r w:rsidR="00A22649" w:rsidRPr="00DE2FA9">
        <w:t>FPL is seeking to recover costs associated with the replacement of cooling tower packing material at Scherer to meet anticipated permit</w:t>
      </w:r>
      <w:r w:rsidR="001034DD">
        <w:t xml:space="preserve"> </w:t>
      </w:r>
      <w:r w:rsidR="00A22649" w:rsidRPr="00DE2FA9">
        <w:t>conditions.</w:t>
      </w:r>
      <w:r w:rsidR="001034DD">
        <w:t xml:space="preserve"> </w:t>
      </w:r>
      <w:r w:rsidR="00A22649" w:rsidRPr="00DE2FA9">
        <w:t>The replacement of cooling tower packing material began in March 2018</w:t>
      </w:r>
      <w:r w:rsidR="00EA0900">
        <w:t>,</w:t>
      </w:r>
      <w:r w:rsidR="00A22649" w:rsidRPr="00DE2FA9">
        <w:t xml:space="preserve"> and was completed in May 2018. FPL is a joint owner of Scherer and its requested recovery is proportional to its ownership interest in Scherer. FPL initially estimated its portion of </w:t>
      </w:r>
      <w:r w:rsidR="001034DD">
        <w:t xml:space="preserve">the </w:t>
      </w:r>
      <w:r w:rsidR="00A22649" w:rsidRPr="00DE2FA9">
        <w:t>costs was $9 million, but the actual cost was $7.9 million.   FPL is not seeking recovery through the ECRC at this time</w:t>
      </w:r>
      <w:r w:rsidR="001034DD">
        <w:t>;</w:t>
      </w:r>
      <w:r w:rsidR="00A22649" w:rsidRPr="00DE2FA9">
        <w:t xml:space="preserve"> therefore</w:t>
      </w:r>
      <w:r w:rsidR="001034DD">
        <w:t>,</w:t>
      </w:r>
      <w:r w:rsidR="00A22649" w:rsidRPr="00DE2FA9">
        <w:t xml:space="preserve"> the cost of the project does not affect FPL’s proposed ECRC expenditures</w:t>
      </w:r>
      <w:r w:rsidR="001034DD">
        <w:t xml:space="preserve"> at this time.</w:t>
      </w:r>
    </w:p>
    <w:p w:rsidR="00A22649" w:rsidRPr="00DE2FA9" w:rsidRDefault="00A22649" w:rsidP="00A22649">
      <w:pPr>
        <w:jc w:val="both"/>
      </w:pPr>
    </w:p>
    <w:p w:rsidR="00A22649" w:rsidRDefault="00520584" w:rsidP="00A22649">
      <w:pPr>
        <w:autoSpaceDE w:val="0"/>
        <w:autoSpaceDN w:val="0"/>
        <w:adjustRightInd w:val="0"/>
        <w:ind w:firstLine="720"/>
        <w:rPr>
          <w:bCs/>
          <w:i/>
        </w:rPr>
      </w:pPr>
      <w:r w:rsidRPr="00520584">
        <w:rPr>
          <w:bCs/>
          <w:i/>
        </w:rPr>
        <w:t xml:space="preserve">2. </w:t>
      </w:r>
      <w:r w:rsidR="00A22649" w:rsidRPr="00520584">
        <w:rPr>
          <w:bCs/>
          <w:i/>
        </w:rPr>
        <w:t>Eligibility Criteria</w:t>
      </w:r>
    </w:p>
    <w:p w:rsidR="00426C3E" w:rsidRPr="00520584" w:rsidRDefault="00426C3E" w:rsidP="00A22649">
      <w:pPr>
        <w:autoSpaceDE w:val="0"/>
        <w:autoSpaceDN w:val="0"/>
        <w:adjustRightInd w:val="0"/>
        <w:ind w:firstLine="720"/>
        <w:rPr>
          <w:bCs/>
          <w:i/>
        </w:rPr>
      </w:pPr>
    </w:p>
    <w:p w:rsidR="00A22649" w:rsidRPr="00DE2FA9" w:rsidRDefault="00C733AA" w:rsidP="00A22649">
      <w:pPr>
        <w:spacing w:after="240"/>
        <w:jc w:val="both"/>
      </w:pPr>
      <w:r w:rsidRPr="00DE2FA9">
        <w:tab/>
      </w:r>
      <w:r w:rsidR="00A22649" w:rsidRPr="00DE2FA9">
        <w:t xml:space="preserve">As discussed </w:t>
      </w:r>
      <w:r w:rsidR="001034DD">
        <w:t xml:space="preserve">above at </w:t>
      </w:r>
      <w:r w:rsidR="00845152">
        <w:t>Section</w:t>
      </w:r>
      <w:r w:rsidR="001034DD">
        <w:t xml:space="preserve"> VI, </w:t>
      </w:r>
      <w:r w:rsidR="00A22649" w:rsidRPr="00DE2FA9">
        <w:t xml:space="preserve">the </w:t>
      </w:r>
      <w:r w:rsidR="00EA0900">
        <w:t xml:space="preserve">eligibility </w:t>
      </w:r>
      <w:r w:rsidR="00A22649" w:rsidRPr="00DE2FA9">
        <w:t xml:space="preserve">criteria for cost recovery under the ECRC include whether: (1) costs were prudently incurred after April 13, 1993; (2) the activity is legally required to comply with a governmentally imposed environmental regulation after the Company’s last rate case test year; and (3) costs are not recovered through another mechanism or </w:t>
      </w:r>
      <w:r w:rsidR="00A22649" w:rsidRPr="00DE2FA9">
        <w:lastRenderedPageBreak/>
        <w:t>through base rates.</w:t>
      </w:r>
      <w:r w:rsidR="00A22649" w:rsidRPr="00DE2FA9">
        <w:rPr>
          <w:vertAlign w:val="superscript"/>
        </w:rPr>
        <w:footnoteReference w:id="15"/>
      </w:r>
      <w:r w:rsidR="00A22649" w:rsidRPr="00DE2FA9">
        <w:t xml:space="preserve"> Pursuant to Section 366.8255, F.S., only </w:t>
      </w:r>
      <w:r w:rsidR="001034DD">
        <w:t>a</w:t>
      </w:r>
      <w:r w:rsidR="00A22649" w:rsidRPr="00DE2FA9">
        <w:t xml:space="preserve"> utility’s prudently incurred environmental compliance costs are allowed to be recovered through the ECRC. </w:t>
      </w:r>
      <w:r w:rsidR="001034DD">
        <w:t xml:space="preserve"> Our </w:t>
      </w:r>
      <w:r w:rsidR="00A22649" w:rsidRPr="00DE2FA9">
        <w:t>review of the proposed modification to the NPDES Project is based upon the information in the hearing record regarding these specific modifications and whether these modifications independently meet the ECRC criteria and reasonableness tests.</w:t>
      </w:r>
    </w:p>
    <w:p w:rsidR="00A22649" w:rsidRDefault="00A22649" w:rsidP="00A22649">
      <w:pPr>
        <w:tabs>
          <w:tab w:val="left" w:pos="540"/>
        </w:tabs>
        <w:jc w:val="both"/>
        <w:outlineLvl w:val="2"/>
        <w:rPr>
          <w:bCs/>
          <w:i/>
          <w:iCs/>
        </w:rPr>
      </w:pPr>
      <w:r w:rsidRPr="00DE2FA9">
        <w:rPr>
          <w:b/>
          <w:bCs/>
          <w:iCs/>
        </w:rPr>
        <w:tab/>
      </w:r>
      <w:r w:rsidR="00520584" w:rsidRPr="00520584">
        <w:rPr>
          <w:bCs/>
          <w:iCs/>
        </w:rPr>
        <w:t xml:space="preserve">3. </w:t>
      </w:r>
      <w:r w:rsidRPr="00520584">
        <w:rPr>
          <w:bCs/>
          <w:i/>
          <w:iCs/>
        </w:rPr>
        <w:t>Eligibility Criteria Review</w:t>
      </w:r>
    </w:p>
    <w:p w:rsidR="00426C3E" w:rsidRPr="00520584" w:rsidRDefault="00426C3E" w:rsidP="00A22649">
      <w:pPr>
        <w:tabs>
          <w:tab w:val="left" w:pos="540"/>
        </w:tabs>
        <w:jc w:val="both"/>
        <w:outlineLvl w:val="2"/>
        <w:rPr>
          <w:bCs/>
          <w:i/>
          <w:iCs/>
        </w:rPr>
      </w:pPr>
    </w:p>
    <w:p w:rsidR="00A22649" w:rsidRPr="00DE2FA9" w:rsidRDefault="00C733AA" w:rsidP="00A22649">
      <w:pPr>
        <w:jc w:val="both"/>
      </w:pPr>
      <w:r w:rsidRPr="00DE2FA9">
        <w:tab/>
      </w:r>
      <w:r w:rsidR="001C66B8">
        <w:t>Because</w:t>
      </w:r>
      <w:r w:rsidR="00A22649" w:rsidRPr="00DE2FA9">
        <w:t xml:space="preserve"> the proposed modification to the NPDES Project was implemented in 2018, </w:t>
      </w:r>
      <w:r w:rsidR="00557BB6" w:rsidRPr="00DE2FA9">
        <w:t>it meets</w:t>
      </w:r>
      <w:r w:rsidR="00A22649" w:rsidRPr="00DE2FA9">
        <w:t xml:space="preserve"> the first criterion. FPL is not currently seeking recovery of costs associated with the proposed modification to the NPDES Project, and the Company plans to recover costs in base capital accounts prior to issuance of the revised permit. The Company requests approval to transfer recovery to the ECRC if the anticipated environmental requirement occurs. As such, current base rates are supporting the expenditures associated with the proposed modification to the NPDES Project. </w:t>
      </w:r>
    </w:p>
    <w:p w:rsidR="00A22649" w:rsidRPr="00DE2FA9" w:rsidRDefault="00A22649" w:rsidP="00A22649">
      <w:pPr>
        <w:jc w:val="both"/>
      </w:pPr>
    </w:p>
    <w:p w:rsidR="00A22649" w:rsidRPr="00DE2FA9" w:rsidRDefault="00C733AA" w:rsidP="00A22649">
      <w:pPr>
        <w:jc w:val="both"/>
      </w:pPr>
      <w:r w:rsidRPr="00DE2FA9">
        <w:tab/>
      </w:r>
      <w:r w:rsidR="00A22649" w:rsidRPr="00DE2FA9">
        <w:t xml:space="preserve">The second criterion is dependent upon </w:t>
      </w:r>
      <w:r w:rsidR="001C66B8">
        <w:t xml:space="preserve">the </w:t>
      </w:r>
      <w:r w:rsidR="00A22649" w:rsidRPr="00DE2FA9">
        <w:t xml:space="preserve">timing of the Utility’s last rate case and the environmental regulation. As discussed </w:t>
      </w:r>
      <w:r w:rsidR="001034DD">
        <w:t xml:space="preserve">above at </w:t>
      </w:r>
      <w:r w:rsidR="00845152">
        <w:t>Section</w:t>
      </w:r>
      <w:r w:rsidR="001034DD">
        <w:t xml:space="preserve"> VI</w:t>
      </w:r>
      <w:r w:rsidR="00557BB6">
        <w:t xml:space="preserve">, </w:t>
      </w:r>
      <w:r w:rsidR="00557BB6" w:rsidRPr="00DE2FA9">
        <w:t>FPL’s</w:t>
      </w:r>
      <w:r w:rsidR="00A22649" w:rsidRPr="00DE2FA9">
        <w:t xml:space="preserve"> base rates were last established by a settlement </w:t>
      </w:r>
      <w:r w:rsidR="001034DD">
        <w:t>approved</w:t>
      </w:r>
      <w:r w:rsidR="001C66B8">
        <w:t xml:space="preserve"> </w:t>
      </w:r>
      <w:r w:rsidR="001034DD">
        <w:t xml:space="preserve">on </w:t>
      </w:r>
      <w:r w:rsidR="00A22649" w:rsidRPr="00DE2FA9">
        <w:t>December 15, 2016.</w:t>
      </w:r>
      <w:r w:rsidR="00A22649" w:rsidRPr="00DE2FA9">
        <w:rPr>
          <w:vertAlign w:val="superscript"/>
        </w:rPr>
        <w:footnoteReference w:id="16"/>
      </w:r>
      <w:r w:rsidR="00A22649" w:rsidRPr="00DE2FA9">
        <w:t xml:space="preserve"> The Company describes repacking activities in 2018 as the modification to the NPDES Project to address anticipated permit conditions.  FPL specifies that the Company’s request is contingent upon a possible outcome of a future permit for Scherer. FPL </w:t>
      </w:r>
      <w:r w:rsidR="001034DD">
        <w:t xml:space="preserve">asserts that </w:t>
      </w:r>
      <w:r w:rsidR="00A22649" w:rsidRPr="00DE2FA9">
        <w:t xml:space="preserve">there are </w:t>
      </w:r>
      <w:r w:rsidR="00A22649" w:rsidRPr="00557BB6">
        <w:t>“indications that there is a probability that there is a concern”</w:t>
      </w:r>
      <w:r w:rsidR="00A22649" w:rsidRPr="00DE2FA9">
        <w:t xml:space="preserve"> regarding copper at Scherer. </w:t>
      </w:r>
    </w:p>
    <w:p w:rsidR="00A22649" w:rsidRPr="00DE2FA9" w:rsidRDefault="00A22649" w:rsidP="00A22649">
      <w:pPr>
        <w:ind w:right="720"/>
        <w:jc w:val="both"/>
      </w:pPr>
    </w:p>
    <w:p w:rsidR="00A22649" w:rsidRPr="00DE2FA9" w:rsidRDefault="00C733AA" w:rsidP="00A22649">
      <w:pPr>
        <w:jc w:val="both"/>
      </w:pPr>
      <w:r w:rsidRPr="00DE2FA9">
        <w:tab/>
      </w:r>
      <w:r w:rsidR="00A22649" w:rsidRPr="00DE2FA9">
        <w:t xml:space="preserve">Based on the record in this docket, </w:t>
      </w:r>
      <w:r w:rsidR="001034DD">
        <w:t xml:space="preserve">we find that it is </w:t>
      </w:r>
      <w:r w:rsidR="00A22649" w:rsidRPr="00DE2FA9">
        <w:t xml:space="preserve">premature to approve recovery of the proposed modification to the NPDES Project, </w:t>
      </w:r>
      <w:r w:rsidR="001034DD">
        <w:t xml:space="preserve">because </w:t>
      </w:r>
      <w:r w:rsidR="00A22649" w:rsidRPr="00DE2FA9">
        <w:t xml:space="preserve">the environmental regulation has not yet been enacted, become effective, or had its effects triggered. Therefore, </w:t>
      </w:r>
      <w:r w:rsidR="001034DD">
        <w:t xml:space="preserve">we find that </w:t>
      </w:r>
      <w:r w:rsidR="00A22649" w:rsidRPr="00DE2FA9">
        <w:t>the proposed modification to the NPDES Project fails the second criterion at this time.</w:t>
      </w:r>
    </w:p>
    <w:p w:rsidR="00C75362" w:rsidRPr="00DE2FA9" w:rsidRDefault="00C75362" w:rsidP="00A22649">
      <w:pPr>
        <w:jc w:val="both"/>
      </w:pPr>
    </w:p>
    <w:p w:rsidR="00A22649" w:rsidRDefault="00F354D1" w:rsidP="00F354D1">
      <w:pPr>
        <w:jc w:val="center"/>
        <w:outlineLvl w:val="2"/>
        <w:rPr>
          <w:b/>
          <w:bCs/>
          <w:iCs/>
          <w:u w:val="single"/>
        </w:rPr>
      </w:pPr>
      <w:r w:rsidRPr="00F354D1">
        <w:rPr>
          <w:b/>
          <w:bCs/>
          <w:iCs/>
          <w:u w:val="single"/>
        </w:rPr>
        <w:t>C. Decision</w:t>
      </w:r>
    </w:p>
    <w:p w:rsidR="00FA41CE" w:rsidRPr="00F354D1" w:rsidRDefault="00FA41CE" w:rsidP="00F354D1">
      <w:pPr>
        <w:jc w:val="center"/>
        <w:outlineLvl w:val="2"/>
        <w:rPr>
          <w:b/>
          <w:bCs/>
          <w:iCs/>
          <w:u w:val="single"/>
        </w:rPr>
      </w:pPr>
    </w:p>
    <w:p w:rsidR="00A22649" w:rsidRPr="00DE2FA9" w:rsidRDefault="00C733AA" w:rsidP="00FA41CE">
      <w:pPr>
        <w:jc w:val="both"/>
      </w:pPr>
      <w:r w:rsidRPr="00DE2FA9">
        <w:tab/>
      </w:r>
      <w:r w:rsidR="00A22649" w:rsidRPr="00DE2FA9">
        <w:t xml:space="preserve">The proposed modification to the NPDES Project does not meet the threshold requirement of being incurred to comply with environmental regulations as required by Section 366.8255, F.S. Therefore, </w:t>
      </w:r>
      <w:r w:rsidR="001034DD">
        <w:t xml:space="preserve">we </w:t>
      </w:r>
      <w:r w:rsidR="00A22649" w:rsidRPr="00DE2FA9">
        <w:t>deny recovery of costs through the ECRC at this time.</w:t>
      </w:r>
    </w:p>
    <w:p w:rsidR="00A22649" w:rsidRDefault="00A22649" w:rsidP="00A22649"/>
    <w:p w:rsidR="00CA0188" w:rsidRPr="00CA0188" w:rsidRDefault="00CA0188" w:rsidP="00A22649">
      <w:pPr>
        <w:rPr>
          <w:b/>
        </w:rPr>
      </w:pPr>
      <w:r w:rsidRPr="005E7D5E">
        <w:rPr>
          <w:b/>
        </w:rPr>
        <w:t xml:space="preserve">VIII. </w:t>
      </w:r>
      <w:r w:rsidR="000D2899" w:rsidRPr="005E7D5E">
        <w:rPr>
          <w:b/>
        </w:rPr>
        <w:tab/>
      </w:r>
      <w:r w:rsidRPr="005E7D5E">
        <w:rPr>
          <w:b/>
        </w:rPr>
        <w:t>Stipulations</w:t>
      </w:r>
    </w:p>
    <w:p w:rsidR="00CA0188" w:rsidRDefault="00CA0188" w:rsidP="00A22649"/>
    <w:p w:rsidR="00CA0188" w:rsidRDefault="00CA0188" w:rsidP="00750E55">
      <w:pPr>
        <w:jc w:val="both"/>
      </w:pPr>
      <w:r>
        <w:tab/>
        <w:t>The ap</w:t>
      </w:r>
      <w:r w:rsidR="000D2899">
        <w:t>proved language resolving the remaining issues in this Docket  is included in A</w:t>
      </w:r>
      <w:r>
        <w:t xml:space="preserve">ttachment A of this </w:t>
      </w:r>
      <w:r w:rsidR="000D2899">
        <w:t>O</w:t>
      </w:r>
      <w:r>
        <w:t xml:space="preserve">rder which is incorporated </w:t>
      </w:r>
      <w:r w:rsidR="000D2899">
        <w:t xml:space="preserve">herein </w:t>
      </w:r>
      <w:r>
        <w:t xml:space="preserve">by reference. </w:t>
      </w:r>
      <w:r w:rsidR="000D2899">
        <w:t xml:space="preserve">Parties either </w:t>
      </w:r>
      <w:r w:rsidR="00C4742E">
        <w:t xml:space="preserve">concurred </w:t>
      </w:r>
      <w:r w:rsidR="000D2899">
        <w:t>with</w:t>
      </w:r>
      <w:r w:rsidR="00C4742E">
        <w:t>,</w:t>
      </w:r>
      <w:r w:rsidR="000D2899">
        <w:t xml:space="preserve"> </w:t>
      </w:r>
      <w:r w:rsidR="00C4742E">
        <w:t xml:space="preserve">or took no position on, </w:t>
      </w:r>
      <w:r w:rsidR="000D2899">
        <w:t xml:space="preserve">the </w:t>
      </w:r>
      <w:r w:rsidR="00C4742E">
        <w:t xml:space="preserve">approved </w:t>
      </w:r>
      <w:r w:rsidR="000D2899">
        <w:t>language</w:t>
      </w:r>
      <w:r w:rsidR="00C4742E">
        <w:t>.</w:t>
      </w:r>
      <w:r w:rsidR="000D2899">
        <w:t xml:space="preserve"> </w:t>
      </w:r>
    </w:p>
    <w:p w:rsidR="00CA0188" w:rsidRPr="00DE2FA9" w:rsidRDefault="00CA0188" w:rsidP="00A22649"/>
    <w:p w:rsidR="00C733AA" w:rsidRPr="00DE2FA9" w:rsidRDefault="00C733AA" w:rsidP="00C733AA">
      <w:pPr>
        <w:pStyle w:val="OrderBody"/>
      </w:pPr>
      <w:r w:rsidRPr="00DE2FA9">
        <w:lastRenderedPageBreak/>
        <w:tab/>
        <w:t>Based on the foregoing, it is</w:t>
      </w:r>
    </w:p>
    <w:p w:rsidR="00C733AA" w:rsidRPr="00DE2FA9" w:rsidRDefault="00C733AA" w:rsidP="00C733AA">
      <w:pPr>
        <w:pStyle w:val="OrderBody"/>
      </w:pPr>
    </w:p>
    <w:p w:rsidR="00C733AA" w:rsidRPr="00DE2FA9" w:rsidRDefault="00C733AA" w:rsidP="00C733AA">
      <w:pPr>
        <w:pStyle w:val="OrderBody"/>
      </w:pPr>
      <w:r w:rsidRPr="00DE2FA9">
        <w:tab/>
        <w:t>ORDERED by the Florida Public Service Commission that</w:t>
      </w:r>
      <w:r w:rsidR="00DE2FA9" w:rsidRPr="00DE2FA9">
        <w:t xml:space="preserve"> the </w:t>
      </w:r>
      <w:r w:rsidR="00557BB6" w:rsidRPr="00DE2FA9">
        <w:t>stipulated</w:t>
      </w:r>
      <w:r w:rsidR="00DE2FA9" w:rsidRPr="00DE2FA9">
        <w:t xml:space="preserve"> language set forth in Attachment A of this Order is approved. It is further</w:t>
      </w:r>
    </w:p>
    <w:p w:rsidR="00DE2FA9" w:rsidRPr="00DE2FA9" w:rsidRDefault="00DE2FA9" w:rsidP="00C733AA">
      <w:pPr>
        <w:pStyle w:val="OrderBody"/>
      </w:pPr>
      <w:r w:rsidRPr="00DE2FA9">
        <w:tab/>
      </w:r>
    </w:p>
    <w:p w:rsidR="00DE2FA9" w:rsidRDefault="00DE2FA9" w:rsidP="00DE2FA9">
      <w:pPr>
        <w:jc w:val="both"/>
      </w:pPr>
      <w:r w:rsidRPr="00DE2FA9">
        <w:tab/>
      </w:r>
      <w:r w:rsidRPr="00F354D1">
        <w:t>ORDERED th</w:t>
      </w:r>
      <w:r w:rsidRPr="00DE2FA9">
        <w:t>at the final true-up amount for the period January 2017 through December 2017</w:t>
      </w:r>
      <w:r w:rsidR="001C66B8">
        <w:t>,</w:t>
      </w:r>
      <w:r w:rsidRPr="00DE2FA9">
        <w:t xml:space="preserve"> for Florida Power &amp; Light Company is an over recovery of $31,560,081. There shall be no adjustment to this amount associated with the TPCCMP Project.</w:t>
      </w:r>
      <w:r w:rsidR="00F354D1">
        <w:t xml:space="preserve"> It is further</w:t>
      </w:r>
    </w:p>
    <w:p w:rsidR="00F354D1" w:rsidRDefault="00F354D1" w:rsidP="00DE2FA9">
      <w:pPr>
        <w:jc w:val="both"/>
      </w:pPr>
    </w:p>
    <w:p w:rsidR="00F354D1" w:rsidRDefault="00F354D1" w:rsidP="00F354D1">
      <w:pPr>
        <w:jc w:val="both"/>
      </w:pPr>
      <w:r>
        <w:tab/>
      </w:r>
      <w:r w:rsidR="00557BB6" w:rsidRPr="00F354D1">
        <w:t>ORDERED</w:t>
      </w:r>
      <w:r w:rsidRPr="00F354D1">
        <w:t xml:space="preserve"> that</w:t>
      </w:r>
      <w:r>
        <w:t xml:space="preserve"> </w:t>
      </w:r>
      <w:r w:rsidR="00557BB6" w:rsidRPr="00DE2FA9">
        <w:t>the</w:t>
      </w:r>
      <w:r w:rsidRPr="00DE2FA9">
        <w:t xml:space="preserve"> actual/estimated true-up amount for the period January 2018 through December 2018</w:t>
      </w:r>
      <w:r w:rsidR="001C66B8">
        <w:t>,</w:t>
      </w:r>
      <w:r w:rsidRPr="00DE2FA9">
        <w:t xml:space="preserve"> for Florida Power &amp; Light Company is an under-recovery of $5,614,420. There sh</w:t>
      </w:r>
      <w:r w:rsidR="00F40FCB">
        <w:t>all</w:t>
      </w:r>
      <w:r w:rsidRPr="00DE2FA9">
        <w:t xml:space="preserve"> be no adjustment to this amount associated with the TPCCMP Project.</w:t>
      </w:r>
      <w:r>
        <w:t xml:space="preserve"> It is further</w:t>
      </w:r>
    </w:p>
    <w:p w:rsidR="00F354D1" w:rsidRDefault="00F354D1" w:rsidP="00F354D1">
      <w:pPr>
        <w:jc w:val="both"/>
      </w:pPr>
    </w:p>
    <w:p w:rsidR="00073D06" w:rsidRDefault="00F354D1" w:rsidP="00073D06">
      <w:pPr>
        <w:jc w:val="both"/>
      </w:pPr>
      <w:r>
        <w:tab/>
      </w:r>
      <w:r w:rsidRPr="00073D06">
        <w:t>ORDERED that</w:t>
      </w:r>
      <w:r>
        <w:t xml:space="preserve"> </w:t>
      </w:r>
      <w:r w:rsidR="00073D06">
        <w:t>t</w:t>
      </w:r>
      <w:r w:rsidR="00073D06" w:rsidRPr="00DE2FA9">
        <w:t xml:space="preserve">he projected amount for the period January 2019 through December 2019 for Florida Power &amp; Light Company is a total of $187,365,910, which includes projected expenditures associated with the TPCCMP Project. </w:t>
      </w:r>
      <w:r w:rsidR="00073D06">
        <w:t>It is further</w:t>
      </w:r>
    </w:p>
    <w:p w:rsidR="00073D06" w:rsidRDefault="00073D06" w:rsidP="00073D06">
      <w:pPr>
        <w:jc w:val="both"/>
      </w:pPr>
    </w:p>
    <w:p w:rsidR="008B2C8A" w:rsidRDefault="00073D06" w:rsidP="008B2C8A">
      <w:pPr>
        <w:jc w:val="both"/>
      </w:pPr>
      <w:r>
        <w:tab/>
      </w:r>
      <w:r w:rsidRPr="008B2C8A">
        <w:t xml:space="preserve">ORDERED that </w:t>
      </w:r>
      <w:r w:rsidR="008B2C8A" w:rsidRPr="008B2C8A">
        <w:t>Florida Power &amp; Light Company the projected cost recovery amount, including true-ups, for the period January 2019 through December 2019 is a total of $161,536,472. This includes projected expenditures associated with the TPCCMP Project.</w:t>
      </w:r>
      <w:r w:rsidR="008B2C8A" w:rsidRPr="00DE2FA9">
        <w:t xml:space="preserve"> </w:t>
      </w:r>
      <w:r w:rsidR="008B2C8A">
        <w:t xml:space="preserve"> It is further</w:t>
      </w:r>
    </w:p>
    <w:p w:rsidR="008B2C8A" w:rsidRDefault="008B2C8A" w:rsidP="008B2C8A">
      <w:pPr>
        <w:jc w:val="both"/>
      </w:pPr>
    </w:p>
    <w:p w:rsidR="00FA41CE" w:rsidRDefault="008B2C8A" w:rsidP="00FA41CE">
      <w:pPr>
        <w:jc w:val="both"/>
        <w:outlineLvl w:val="1"/>
      </w:pPr>
      <w:r>
        <w:tab/>
      </w:r>
      <w:r w:rsidRPr="00FA41CE">
        <w:t>ORDERED that</w:t>
      </w:r>
      <w:r>
        <w:t xml:space="preserve"> </w:t>
      </w:r>
      <w:r w:rsidR="00FA41CE">
        <w:t xml:space="preserve">we approve the factors for </w:t>
      </w:r>
      <w:r w:rsidR="00FA41CE" w:rsidRPr="00DE2FA9">
        <w:t>Florida Power &amp; Light Company</w:t>
      </w:r>
      <w:r w:rsidR="00FA41CE">
        <w:t xml:space="preserve"> that are set forth at </w:t>
      </w:r>
      <w:r w:rsidR="00845152">
        <w:t>Section</w:t>
      </w:r>
      <w:r w:rsidR="00FA41CE">
        <w:t xml:space="preserve"> V of this Order. It is further</w:t>
      </w:r>
    </w:p>
    <w:p w:rsidR="00FA41CE" w:rsidRDefault="00FA41CE" w:rsidP="00FA41CE">
      <w:pPr>
        <w:jc w:val="both"/>
        <w:outlineLvl w:val="1"/>
      </w:pPr>
    </w:p>
    <w:p w:rsidR="00702B26" w:rsidRDefault="00FA41CE" w:rsidP="00702B26">
      <w:pPr>
        <w:jc w:val="both"/>
        <w:outlineLvl w:val="1"/>
      </w:pPr>
      <w:r>
        <w:tab/>
      </w:r>
      <w:r w:rsidRPr="00702B26">
        <w:t>ORDERED that</w:t>
      </w:r>
      <w:r>
        <w:t xml:space="preserve">  </w:t>
      </w:r>
      <w:r w:rsidR="00702B26" w:rsidRPr="00DE2FA9">
        <w:t>Florida Power &amp; Light Company</w:t>
      </w:r>
      <w:r w:rsidR="00702B26">
        <w:t>’s p</w:t>
      </w:r>
      <w:r w:rsidR="00702B26" w:rsidRPr="00DE2FA9">
        <w:t xml:space="preserve">etition and be allowed to recover costs associated with its proposed modification to the </w:t>
      </w:r>
      <w:r w:rsidR="00702B26" w:rsidRPr="00702B26">
        <w:t xml:space="preserve">Manatee Temporary Heating System </w:t>
      </w:r>
      <w:r w:rsidR="00702B26" w:rsidRPr="00DE2FA9">
        <w:t xml:space="preserve">Project </w:t>
      </w:r>
      <w:r w:rsidR="00702B26">
        <w:t xml:space="preserve">is hereby approved. </w:t>
      </w:r>
      <w:r w:rsidR="00702B26" w:rsidRPr="00DE2FA9">
        <w:t>Reasonable costs associated with the project sh</w:t>
      </w:r>
      <w:r w:rsidR="00702B26">
        <w:t>all</w:t>
      </w:r>
      <w:r w:rsidR="00702B26" w:rsidRPr="00DE2FA9">
        <w:t xml:space="preserve"> be allowed to be recovered through the ECRC. </w:t>
      </w:r>
      <w:r w:rsidR="00702B26">
        <w:t>It is further</w:t>
      </w:r>
    </w:p>
    <w:p w:rsidR="00702B26" w:rsidRDefault="00702B26" w:rsidP="00702B26">
      <w:pPr>
        <w:jc w:val="both"/>
        <w:outlineLvl w:val="1"/>
      </w:pPr>
    </w:p>
    <w:p w:rsidR="00702B26" w:rsidRDefault="00702B26" w:rsidP="00702B26">
      <w:pPr>
        <w:jc w:val="both"/>
        <w:outlineLvl w:val="1"/>
      </w:pPr>
      <w:r>
        <w:tab/>
      </w:r>
      <w:r w:rsidRPr="001F14F0">
        <w:t>ORDERED that</w:t>
      </w:r>
      <w:r>
        <w:t xml:space="preserve"> </w:t>
      </w:r>
      <w:r w:rsidR="001F14F0" w:rsidRPr="00DE2FA9">
        <w:t>Florida Power &amp; Light Company</w:t>
      </w:r>
      <w:r w:rsidR="001F14F0">
        <w:t>’s</w:t>
      </w:r>
      <w:r w:rsidR="001F14F0" w:rsidRPr="001F14F0">
        <w:rPr>
          <w:b/>
        </w:rPr>
        <w:t xml:space="preserve"> </w:t>
      </w:r>
      <w:r w:rsidR="001C66B8" w:rsidRPr="001C66B8">
        <w:t>p</w:t>
      </w:r>
      <w:r w:rsidR="001F14F0" w:rsidRPr="00DE2FA9">
        <w:t xml:space="preserve">roposed modification to the </w:t>
      </w:r>
      <w:r w:rsidR="001F14F0" w:rsidRPr="001F14F0">
        <w:t xml:space="preserve">National Pollution Discharge Elimination System </w:t>
      </w:r>
      <w:r w:rsidR="001F14F0" w:rsidRPr="00DE2FA9">
        <w:t xml:space="preserve">Project does not meet the threshold requirement of being necessary to comply with environmental regulations as required by Section 366.8255, F.S. Therefore, </w:t>
      </w:r>
      <w:r w:rsidR="001F14F0">
        <w:t xml:space="preserve">we </w:t>
      </w:r>
      <w:r w:rsidR="001F14F0" w:rsidRPr="00DE2FA9">
        <w:t>deny recovery of costs through the ECRC at this time</w:t>
      </w:r>
      <w:r w:rsidR="001F14F0">
        <w:t>. It is further</w:t>
      </w:r>
    </w:p>
    <w:p w:rsidR="001F14F0" w:rsidRDefault="001F14F0" w:rsidP="00702B26">
      <w:pPr>
        <w:jc w:val="both"/>
        <w:outlineLvl w:val="1"/>
      </w:pPr>
    </w:p>
    <w:p w:rsidR="001F14F0" w:rsidRPr="00DE2FA9" w:rsidRDefault="001F14F0" w:rsidP="001F14F0">
      <w:pPr>
        <w:spacing w:after="200"/>
        <w:ind w:left="90"/>
        <w:jc w:val="both"/>
        <w:rPr>
          <w:rFonts w:eastAsia="Calibri"/>
        </w:rPr>
      </w:pPr>
      <w:r>
        <w:tab/>
        <w:t>ORDERED that as reflected in the approved stipulation set forth in Attachment A of this Order, w</w:t>
      </w:r>
      <w:r w:rsidRPr="00DE2FA9">
        <w:rPr>
          <w:rFonts w:eastAsia="Calibri"/>
        </w:rPr>
        <w:t>hile a separate docket number is assigned each year for administrative convenience, this is a continuing docket and shall remain open.</w:t>
      </w:r>
    </w:p>
    <w:p w:rsidR="00DE2FA9" w:rsidRPr="00DE2FA9" w:rsidRDefault="00DE2FA9" w:rsidP="00C733AA">
      <w:pPr>
        <w:pStyle w:val="OrderBody"/>
      </w:pPr>
    </w:p>
    <w:p w:rsidR="00DE2FA9" w:rsidRPr="00DE2FA9" w:rsidRDefault="00DE2FA9" w:rsidP="00C733AA">
      <w:pPr>
        <w:pStyle w:val="OrderBody"/>
      </w:pPr>
    </w:p>
    <w:p w:rsidR="00C733AA" w:rsidRPr="00DE2FA9" w:rsidRDefault="00C733AA" w:rsidP="00C733AA">
      <w:pPr>
        <w:pStyle w:val="OrderBody"/>
      </w:pPr>
    </w:p>
    <w:p w:rsidR="00C733AA" w:rsidRDefault="00C733AA" w:rsidP="00C733AA">
      <w:pPr>
        <w:pStyle w:val="OrderBody"/>
        <w:keepNext/>
        <w:keepLines/>
      </w:pPr>
      <w:r w:rsidRPr="00DE2FA9">
        <w:lastRenderedPageBreak/>
        <w:tab/>
        <w:t xml:space="preserve">By ORDER of the Florida Public Service Commission this </w:t>
      </w:r>
      <w:bookmarkStart w:id="7" w:name="replaceDate"/>
      <w:bookmarkEnd w:id="7"/>
      <w:r w:rsidR="00362854">
        <w:rPr>
          <w:u w:val="single"/>
        </w:rPr>
        <w:t>20th</w:t>
      </w:r>
      <w:r w:rsidR="00362854">
        <w:t xml:space="preserve"> day of </w:t>
      </w:r>
      <w:r w:rsidR="00362854">
        <w:rPr>
          <w:u w:val="single"/>
        </w:rPr>
        <w:t>December</w:t>
      </w:r>
      <w:r w:rsidR="00362854">
        <w:t xml:space="preserve">, </w:t>
      </w:r>
      <w:r w:rsidR="00362854">
        <w:rPr>
          <w:u w:val="single"/>
        </w:rPr>
        <w:t>2018</w:t>
      </w:r>
      <w:r w:rsidR="00362854">
        <w:t>.</w:t>
      </w:r>
    </w:p>
    <w:p w:rsidR="00362854" w:rsidRPr="00362854" w:rsidRDefault="00362854" w:rsidP="00C733AA">
      <w:pPr>
        <w:pStyle w:val="OrderBody"/>
        <w:keepNext/>
        <w:keepLines/>
      </w:pPr>
    </w:p>
    <w:p w:rsidR="00C733AA" w:rsidRPr="00DE2FA9" w:rsidRDefault="00C733AA" w:rsidP="00C733AA">
      <w:pPr>
        <w:pStyle w:val="OrderBody"/>
        <w:keepNext/>
        <w:keepLines/>
      </w:pPr>
    </w:p>
    <w:p w:rsidR="00C733AA" w:rsidRPr="00DE2FA9" w:rsidRDefault="00C733AA" w:rsidP="00C733A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733AA" w:rsidRPr="00DE2FA9" w:rsidTr="00C733AA">
        <w:tc>
          <w:tcPr>
            <w:tcW w:w="720" w:type="dxa"/>
            <w:shd w:val="clear" w:color="auto" w:fill="auto"/>
          </w:tcPr>
          <w:p w:rsidR="00C733AA" w:rsidRPr="00DE2FA9" w:rsidRDefault="00C733AA" w:rsidP="00C733AA">
            <w:pPr>
              <w:pStyle w:val="OrderBody"/>
              <w:keepNext/>
              <w:keepLines/>
            </w:pPr>
            <w:bookmarkStart w:id="8" w:name="bkmrkSignature" w:colFirst="0" w:colLast="0"/>
          </w:p>
        </w:tc>
        <w:tc>
          <w:tcPr>
            <w:tcW w:w="4320" w:type="dxa"/>
            <w:tcBorders>
              <w:bottom w:val="single" w:sz="4" w:space="0" w:color="auto"/>
            </w:tcBorders>
            <w:shd w:val="clear" w:color="auto" w:fill="auto"/>
          </w:tcPr>
          <w:p w:rsidR="00C733AA" w:rsidRPr="00DE2FA9" w:rsidRDefault="00362854" w:rsidP="00C733AA">
            <w:pPr>
              <w:pStyle w:val="OrderBody"/>
              <w:keepNext/>
              <w:keepLines/>
            </w:pPr>
            <w:r>
              <w:t>/s/ Carlotta S. Stauffer</w:t>
            </w:r>
            <w:bookmarkStart w:id="9" w:name="_GoBack"/>
            <w:bookmarkEnd w:id="9"/>
          </w:p>
        </w:tc>
      </w:tr>
      <w:bookmarkEnd w:id="8"/>
      <w:tr w:rsidR="00C733AA" w:rsidRPr="00DE2FA9" w:rsidTr="00C733AA">
        <w:tc>
          <w:tcPr>
            <w:tcW w:w="720" w:type="dxa"/>
            <w:shd w:val="clear" w:color="auto" w:fill="auto"/>
          </w:tcPr>
          <w:p w:rsidR="00C733AA" w:rsidRPr="00DE2FA9" w:rsidRDefault="00C733AA" w:rsidP="00C733AA">
            <w:pPr>
              <w:pStyle w:val="OrderBody"/>
              <w:keepNext/>
              <w:keepLines/>
            </w:pPr>
          </w:p>
        </w:tc>
        <w:tc>
          <w:tcPr>
            <w:tcW w:w="4320" w:type="dxa"/>
            <w:tcBorders>
              <w:top w:val="single" w:sz="4" w:space="0" w:color="auto"/>
            </w:tcBorders>
            <w:shd w:val="clear" w:color="auto" w:fill="auto"/>
          </w:tcPr>
          <w:p w:rsidR="00C733AA" w:rsidRPr="00DE2FA9" w:rsidRDefault="00C733AA" w:rsidP="00C733AA">
            <w:pPr>
              <w:pStyle w:val="OrderBody"/>
              <w:keepNext/>
              <w:keepLines/>
            </w:pPr>
            <w:r w:rsidRPr="00DE2FA9">
              <w:t>CARLOTTA S. STAUFFER</w:t>
            </w:r>
          </w:p>
          <w:p w:rsidR="00C733AA" w:rsidRPr="00DE2FA9" w:rsidRDefault="00C733AA" w:rsidP="00C733AA">
            <w:pPr>
              <w:pStyle w:val="OrderBody"/>
              <w:keepNext/>
              <w:keepLines/>
            </w:pPr>
            <w:r w:rsidRPr="00DE2FA9">
              <w:t>Commission Clerk</w:t>
            </w:r>
          </w:p>
        </w:tc>
      </w:tr>
    </w:tbl>
    <w:p w:rsidR="00C733AA" w:rsidRPr="00DE2FA9" w:rsidRDefault="00C733AA" w:rsidP="00C733AA">
      <w:pPr>
        <w:pStyle w:val="OrderSigInfo"/>
        <w:keepNext/>
        <w:keepLines/>
        <w:rPr>
          <w:szCs w:val="24"/>
        </w:rPr>
      </w:pPr>
      <w:r w:rsidRPr="00DE2FA9">
        <w:rPr>
          <w:szCs w:val="24"/>
        </w:rPr>
        <w:t>Florida Public Service Commission</w:t>
      </w:r>
    </w:p>
    <w:p w:rsidR="00C733AA" w:rsidRPr="00DE2FA9" w:rsidRDefault="00C733AA" w:rsidP="00C733AA">
      <w:pPr>
        <w:pStyle w:val="OrderSigInfo"/>
        <w:keepNext/>
        <w:keepLines/>
        <w:rPr>
          <w:szCs w:val="24"/>
        </w:rPr>
      </w:pPr>
      <w:r w:rsidRPr="00DE2FA9">
        <w:rPr>
          <w:szCs w:val="24"/>
        </w:rPr>
        <w:t>2540 Shumard Oak Boulevard</w:t>
      </w:r>
    </w:p>
    <w:p w:rsidR="00C733AA" w:rsidRPr="00DE2FA9" w:rsidRDefault="00C733AA" w:rsidP="00C733AA">
      <w:pPr>
        <w:pStyle w:val="OrderSigInfo"/>
        <w:keepNext/>
        <w:keepLines/>
        <w:rPr>
          <w:szCs w:val="24"/>
        </w:rPr>
      </w:pPr>
      <w:r w:rsidRPr="00DE2FA9">
        <w:rPr>
          <w:szCs w:val="24"/>
        </w:rPr>
        <w:t>Tallahassee, Florida 32399</w:t>
      </w:r>
    </w:p>
    <w:p w:rsidR="00C733AA" w:rsidRPr="00DE2FA9" w:rsidRDefault="00C733AA" w:rsidP="00C733AA">
      <w:pPr>
        <w:pStyle w:val="OrderSigInfo"/>
        <w:keepNext/>
        <w:keepLines/>
        <w:rPr>
          <w:szCs w:val="24"/>
        </w:rPr>
      </w:pPr>
      <w:r w:rsidRPr="00DE2FA9">
        <w:rPr>
          <w:szCs w:val="24"/>
        </w:rPr>
        <w:t>(850) 413</w:t>
      </w:r>
      <w:r w:rsidRPr="00DE2FA9">
        <w:rPr>
          <w:szCs w:val="24"/>
        </w:rPr>
        <w:noBreakHyphen/>
        <w:t>6770</w:t>
      </w:r>
    </w:p>
    <w:p w:rsidR="00C733AA" w:rsidRPr="00DE2FA9" w:rsidRDefault="00C733AA" w:rsidP="00C733AA">
      <w:pPr>
        <w:pStyle w:val="OrderSigInfo"/>
        <w:keepNext/>
        <w:keepLines/>
        <w:rPr>
          <w:szCs w:val="24"/>
        </w:rPr>
      </w:pPr>
      <w:r w:rsidRPr="00DE2FA9">
        <w:rPr>
          <w:szCs w:val="24"/>
        </w:rPr>
        <w:t>www.floridapsc.com</w:t>
      </w:r>
    </w:p>
    <w:p w:rsidR="00C733AA" w:rsidRPr="00DE2FA9" w:rsidRDefault="00C733AA" w:rsidP="00C733AA">
      <w:pPr>
        <w:pStyle w:val="OrderSigInfo"/>
        <w:keepNext/>
        <w:keepLines/>
        <w:rPr>
          <w:szCs w:val="24"/>
        </w:rPr>
      </w:pPr>
    </w:p>
    <w:p w:rsidR="00C733AA" w:rsidRPr="00DE2FA9" w:rsidRDefault="00C733AA" w:rsidP="00C733AA">
      <w:pPr>
        <w:pStyle w:val="OrderSigInfo"/>
        <w:keepNext/>
        <w:keepLines/>
        <w:rPr>
          <w:szCs w:val="24"/>
        </w:rPr>
      </w:pPr>
      <w:r w:rsidRPr="00DE2FA9">
        <w:rPr>
          <w:szCs w:val="24"/>
        </w:rPr>
        <w:t>Copies furnished:  A copy of this document is provided to the parties of record at the time of issuance and, if applicable, interested persons.</w:t>
      </w:r>
    </w:p>
    <w:p w:rsidR="00C733AA" w:rsidRPr="00DE2FA9" w:rsidRDefault="00C733AA" w:rsidP="00C733AA">
      <w:pPr>
        <w:pStyle w:val="OrderBody"/>
        <w:keepNext/>
        <w:keepLines/>
      </w:pPr>
    </w:p>
    <w:p w:rsidR="00C733AA" w:rsidRPr="00DE2FA9" w:rsidRDefault="00C733AA" w:rsidP="00C733AA">
      <w:pPr>
        <w:pStyle w:val="OrderBody"/>
        <w:keepNext/>
        <w:keepLines/>
      </w:pPr>
    </w:p>
    <w:p w:rsidR="00C733AA" w:rsidRPr="00DE2FA9" w:rsidRDefault="00C733AA" w:rsidP="00C733AA">
      <w:pPr>
        <w:pStyle w:val="OrderBody"/>
        <w:keepNext/>
        <w:keepLines/>
      </w:pPr>
      <w:r w:rsidRPr="00DE2FA9">
        <w:t>CWM</w:t>
      </w:r>
    </w:p>
    <w:p w:rsidR="00C733AA" w:rsidRPr="00DE2FA9" w:rsidRDefault="00C733AA" w:rsidP="001C66B8">
      <w:pPr>
        <w:pStyle w:val="OrderBody"/>
      </w:pPr>
    </w:p>
    <w:p w:rsidR="00C733AA" w:rsidRPr="00DE2FA9" w:rsidRDefault="00C733AA" w:rsidP="001C66B8">
      <w:pPr>
        <w:pStyle w:val="OrderBody"/>
      </w:pPr>
    </w:p>
    <w:p w:rsidR="00C733AA" w:rsidRPr="00DE2FA9" w:rsidRDefault="00C733AA" w:rsidP="001C66B8">
      <w:pPr>
        <w:pStyle w:val="OrderBody"/>
      </w:pPr>
    </w:p>
    <w:p w:rsidR="000A03B5" w:rsidRDefault="000A03B5" w:rsidP="000A03B5">
      <w:pPr>
        <w:pStyle w:val="CenterUnderline"/>
      </w:pPr>
      <w:r>
        <w:t>NOTICE OF FURTHER PROCEEDINGS OR JUDICIAL REVIEW</w:t>
      </w:r>
    </w:p>
    <w:p w:rsidR="00C733AA" w:rsidRDefault="00C733AA" w:rsidP="000A03B5">
      <w:pPr>
        <w:pStyle w:val="CenterUnderline"/>
      </w:pPr>
    </w:p>
    <w:p w:rsidR="000A03B5" w:rsidRDefault="000A03B5" w:rsidP="000A03B5">
      <w:pPr>
        <w:pStyle w:val="OrderBody"/>
      </w:pPr>
    </w:p>
    <w:p w:rsidR="000A03B5" w:rsidRDefault="000A03B5" w:rsidP="000A03B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03B5" w:rsidRDefault="000A03B5" w:rsidP="000A03B5">
      <w:pPr>
        <w:pStyle w:val="OrderBody"/>
      </w:pPr>
    </w:p>
    <w:p w:rsidR="000A03B5" w:rsidRDefault="000A03B5" w:rsidP="000A03B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3612F" w:rsidRPr="00DE2FA9" w:rsidRDefault="00D3612F">
      <w:pPr>
        <w:rPr>
          <w:b/>
        </w:rPr>
      </w:pPr>
      <w:r w:rsidRPr="00DE2FA9">
        <w:rPr>
          <w:b/>
        </w:rPr>
        <w:br w:type="page"/>
      </w:r>
    </w:p>
    <w:p w:rsidR="00D3612F" w:rsidRPr="00DE2FA9" w:rsidRDefault="00D3612F" w:rsidP="00D3612F">
      <w:pPr>
        <w:pStyle w:val="OrderBody"/>
        <w:jc w:val="center"/>
        <w:rPr>
          <w:b/>
          <w:u w:val="single"/>
        </w:rPr>
      </w:pPr>
      <w:r w:rsidRPr="00DE2FA9">
        <w:rPr>
          <w:b/>
          <w:u w:val="single"/>
        </w:rPr>
        <w:lastRenderedPageBreak/>
        <w:t>ATTACHMENT A.  APPROVED STIPULATIONS</w:t>
      </w:r>
    </w:p>
    <w:p w:rsidR="00D3612F" w:rsidRPr="00DE2FA9" w:rsidRDefault="00D3612F" w:rsidP="00C733AA">
      <w:pPr>
        <w:pStyle w:val="OrderBody"/>
      </w:pPr>
    </w:p>
    <w:p w:rsidR="00D3612F" w:rsidRPr="00DE2FA9" w:rsidRDefault="00D3612F" w:rsidP="001A1CD5">
      <w:pPr>
        <w:spacing w:after="200"/>
        <w:ind w:hanging="1440"/>
        <w:jc w:val="both"/>
        <w:rPr>
          <w:rFonts w:eastAsia="Calibri"/>
          <w:b/>
        </w:rPr>
      </w:pPr>
      <w:r w:rsidRPr="00DE2FA9">
        <w:rPr>
          <w:rFonts w:eastAsia="Calibri"/>
          <w:b/>
          <w:bCs/>
        </w:rPr>
        <w:tab/>
      </w:r>
      <w:r w:rsidR="00E27EAF">
        <w:rPr>
          <w:rFonts w:eastAsia="Calibri"/>
          <w:b/>
          <w:bCs/>
        </w:rPr>
        <w:t>T</w:t>
      </w:r>
      <w:r w:rsidRPr="00DE2FA9">
        <w:rPr>
          <w:rFonts w:eastAsia="Calibri"/>
          <w:b/>
        </w:rPr>
        <w:t>he final environmental cost recovery true-up amounts for the period January 2017 through December 2017</w:t>
      </w:r>
    </w:p>
    <w:p w:rsidR="00D3612F" w:rsidRPr="00DE2FA9" w:rsidRDefault="00D3612F" w:rsidP="00D3612F">
      <w:pPr>
        <w:spacing w:line="276" w:lineRule="auto"/>
        <w:ind w:left="900" w:hanging="900"/>
        <w:jc w:val="both"/>
        <w:rPr>
          <w:rFonts w:eastAsia="Calibri"/>
          <w:b/>
        </w:rPr>
      </w:pPr>
    </w:p>
    <w:tbl>
      <w:tblPr>
        <w:tblW w:w="45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2195"/>
      </w:tblGrid>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r w:rsidRPr="00DE2FA9">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tc>
      </w:tr>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r w:rsidRPr="00DE2FA9">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$4,814,791 </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r w:rsidRPr="00DE2FA9">
              <w:t xml:space="preserve">Over-Recovery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r w:rsidRPr="00DE2FA9">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$1,498,666 </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r w:rsidRPr="00DE2FA9">
              <w:t xml:space="preserve">Over-Recovery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r w:rsidRPr="00DE2FA9">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$3,179,666 </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r w:rsidRPr="00DE2FA9">
              <w:t xml:space="preserve">Over-Recovery </w:t>
            </w:r>
          </w:p>
        </w:tc>
      </w:tr>
    </w:tbl>
    <w:p w:rsidR="00D3612F" w:rsidRDefault="00D3612F" w:rsidP="001A1CD5">
      <w:pPr>
        <w:spacing w:after="200"/>
        <w:jc w:val="both"/>
        <w:rPr>
          <w:rFonts w:eastAsia="Calibri"/>
        </w:rPr>
      </w:pPr>
      <w:r w:rsidRPr="00DE2FA9">
        <w:rPr>
          <w:rFonts w:eastAsia="Calibri"/>
        </w:rPr>
        <w:tab/>
      </w:r>
      <w:r w:rsidRPr="00DE2FA9">
        <w:rPr>
          <w:rFonts w:eastAsia="Calibri"/>
        </w:rPr>
        <w:tab/>
      </w:r>
      <w:r w:rsidR="00E27EAF">
        <w:rPr>
          <w:rFonts w:eastAsia="Calibri"/>
        </w:rPr>
        <w:t xml:space="preserve">For FPL </w:t>
      </w:r>
      <w:r w:rsidR="00845152">
        <w:rPr>
          <w:rFonts w:eastAsia="Calibri"/>
        </w:rPr>
        <w:t>s</w:t>
      </w:r>
      <w:r w:rsidR="00E27EAF">
        <w:rPr>
          <w:rFonts w:eastAsia="Calibri"/>
        </w:rPr>
        <w:t xml:space="preserve">ee </w:t>
      </w:r>
      <w:r w:rsidR="00845152">
        <w:rPr>
          <w:rFonts w:eastAsia="Calibri"/>
        </w:rPr>
        <w:t>Section</w:t>
      </w:r>
      <w:r w:rsidR="00E27EAF">
        <w:rPr>
          <w:rFonts w:eastAsia="Calibri"/>
        </w:rPr>
        <w:t xml:space="preserve"> I of this Order</w:t>
      </w:r>
    </w:p>
    <w:p w:rsidR="00C75362" w:rsidRPr="00DE2FA9" w:rsidRDefault="00C75362" w:rsidP="001A1CD5">
      <w:pPr>
        <w:spacing w:after="200"/>
        <w:jc w:val="both"/>
        <w:rPr>
          <w:rFonts w:eastAsia="Calibri"/>
        </w:rPr>
      </w:pPr>
    </w:p>
    <w:p w:rsidR="00C75362" w:rsidRPr="00DE2FA9" w:rsidRDefault="00C75362" w:rsidP="001A1CD5">
      <w:pPr>
        <w:spacing w:after="200"/>
        <w:ind w:hanging="1440"/>
        <w:jc w:val="both"/>
        <w:rPr>
          <w:rFonts w:eastAsia="Calibri"/>
          <w:b/>
        </w:rPr>
      </w:pPr>
      <w:r>
        <w:rPr>
          <w:rFonts w:eastAsia="Calibri"/>
          <w:b/>
          <w:bCs/>
        </w:rPr>
        <w:tab/>
      </w:r>
      <w:r w:rsidR="00E27EAF" w:rsidRPr="001A1CD5">
        <w:rPr>
          <w:rFonts w:eastAsia="Calibri"/>
          <w:b/>
        </w:rPr>
        <w:t>The</w:t>
      </w:r>
      <w:r w:rsidR="00E27EAF">
        <w:rPr>
          <w:rFonts w:eastAsia="Calibri"/>
          <w:b/>
          <w:bCs/>
        </w:rPr>
        <w:t xml:space="preserve"> </w:t>
      </w:r>
      <w:r w:rsidR="00D3612F" w:rsidRPr="00DE2FA9">
        <w:rPr>
          <w:rFonts w:eastAsia="Calibri"/>
          <w:b/>
        </w:rPr>
        <w:t>estimated/actual environmental cost recovery true-up amounts for the period January 2018 through December 2018</w:t>
      </w:r>
    </w:p>
    <w:p w:rsidR="00D3612F" w:rsidRPr="00DE2FA9" w:rsidRDefault="00D3612F" w:rsidP="00D3612F">
      <w:pPr>
        <w:ind w:left="1080" w:hanging="1080"/>
        <w:jc w:val="both"/>
        <w:rPr>
          <w:rFonts w:eastAsia="Calibri"/>
          <w:b/>
        </w:rPr>
      </w:pPr>
    </w:p>
    <w:tbl>
      <w:tblPr>
        <w:tblW w:w="42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1835"/>
      </w:tblGrid>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both"/>
            </w:pPr>
          </w:p>
        </w:tc>
      </w:tr>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$4,444,194 </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both"/>
            </w:pPr>
            <w:r w:rsidRPr="00DE2FA9">
              <w:t xml:space="preserve">Over-Recovery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$13,472,483 </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both"/>
            </w:pPr>
            <w:r w:rsidRPr="00DE2FA9">
              <w:t xml:space="preserve">Over-Recovery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$9,436,937 </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both"/>
            </w:pPr>
            <w:r w:rsidRPr="00DE2FA9">
              <w:t xml:space="preserve">Over-Recovery </w:t>
            </w:r>
          </w:p>
        </w:tc>
      </w:tr>
    </w:tbl>
    <w:p w:rsidR="00D3612F" w:rsidRPr="00DE2FA9" w:rsidRDefault="00D3612F" w:rsidP="001A1CD5">
      <w:pPr>
        <w:spacing w:after="200"/>
        <w:jc w:val="both"/>
        <w:rPr>
          <w:rFonts w:eastAsia="Calibri"/>
        </w:rPr>
      </w:pPr>
      <w:r w:rsidRPr="00DE2FA9">
        <w:rPr>
          <w:rFonts w:eastAsia="Calibri"/>
        </w:rPr>
        <w:tab/>
      </w:r>
      <w:r w:rsidRPr="00DE2FA9">
        <w:rPr>
          <w:rFonts w:eastAsia="Calibri"/>
        </w:rPr>
        <w:tab/>
      </w:r>
      <w:r w:rsidR="00E27EAF">
        <w:rPr>
          <w:rFonts w:eastAsia="Calibri"/>
        </w:rPr>
        <w:t xml:space="preserve">For </w:t>
      </w:r>
      <w:r w:rsidRPr="00DE2FA9">
        <w:rPr>
          <w:rFonts w:eastAsia="Calibri"/>
        </w:rPr>
        <w:t>FPL</w:t>
      </w:r>
      <w:r w:rsidR="00E27EAF">
        <w:rPr>
          <w:rFonts w:eastAsia="Calibri"/>
        </w:rPr>
        <w:t xml:space="preserve"> see </w:t>
      </w:r>
      <w:r w:rsidR="00845152">
        <w:rPr>
          <w:rFonts w:eastAsia="Calibri"/>
        </w:rPr>
        <w:t>Section</w:t>
      </w:r>
      <w:r w:rsidR="00E27EAF">
        <w:rPr>
          <w:rFonts w:eastAsia="Calibri"/>
        </w:rPr>
        <w:t xml:space="preserve"> II of this Order</w:t>
      </w:r>
      <w:r w:rsidRPr="00DE2FA9">
        <w:rPr>
          <w:rFonts w:eastAsia="Calibri"/>
        </w:rPr>
        <w:t>.</w:t>
      </w:r>
    </w:p>
    <w:p w:rsidR="00D3612F" w:rsidRPr="00DE2FA9" w:rsidRDefault="00D3612F" w:rsidP="001A1CD5">
      <w:pPr>
        <w:spacing w:after="200"/>
        <w:jc w:val="both"/>
        <w:rPr>
          <w:rFonts w:eastAsia="Calibri"/>
          <w:b/>
          <w:bCs/>
        </w:rPr>
      </w:pPr>
    </w:p>
    <w:p w:rsidR="00D3612F" w:rsidRPr="00DE2FA9" w:rsidRDefault="00E27EAF" w:rsidP="00C75362">
      <w:pPr>
        <w:spacing w:after="200"/>
        <w:ind w:hanging="1440"/>
        <w:jc w:val="both"/>
        <w:rPr>
          <w:rFonts w:eastAsia="Calibri"/>
          <w:b/>
        </w:rPr>
      </w:pPr>
      <w:r>
        <w:rPr>
          <w:rFonts w:eastAsia="Calibri"/>
          <w:b/>
        </w:rPr>
        <w:tab/>
        <w:t xml:space="preserve">The </w:t>
      </w:r>
      <w:r w:rsidR="00D3612F" w:rsidRPr="00DE2FA9">
        <w:rPr>
          <w:rFonts w:eastAsia="Calibri"/>
          <w:b/>
        </w:rPr>
        <w:t>projected environmental cost recovery amounts for the period January 2019 through December 2019</w:t>
      </w:r>
    </w:p>
    <w:tbl>
      <w:tblPr>
        <w:tblW w:w="24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p>
        </w:tc>
      </w:tr>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$65,034,322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$57,919,982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$184,156,532 </w:t>
            </w:r>
          </w:p>
        </w:tc>
      </w:tr>
    </w:tbl>
    <w:p w:rsidR="00D3612F" w:rsidRDefault="00D3612F" w:rsidP="001A1CD5">
      <w:pPr>
        <w:spacing w:after="200"/>
        <w:jc w:val="both"/>
        <w:rPr>
          <w:rFonts w:eastAsia="Calibri"/>
        </w:rPr>
      </w:pPr>
      <w:r w:rsidRPr="00DE2FA9">
        <w:rPr>
          <w:rFonts w:eastAsia="Calibri"/>
        </w:rPr>
        <w:tab/>
      </w:r>
      <w:r w:rsidRPr="00DE2FA9">
        <w:rPr>
          <w:rFonts w:eastAsia="Calibri"/>
        </w:rPr>
        <w:tab/>
      </w:r>
      <w:r w:rsidR="00E27EAF">
        <w:rPr>
          <w:rFonts w:eastAsia="Calibri"/>
        </w:rPr>
        <w:t xml:space="preserve">For FPL see </w:t>
      </w:r>
      <w:r w:rsidR="00845152">
        <w:rPr>
          <w:rFonts w:eastAsia="Calibri"/>
        </w:rPr>
        <w:t>Section</w:t>
      </w:r>
      <w:r w:rsidR="00E27EAF">
        <w:rPr>
          <w:rFonts w:eastAsia="Calibri"/>
        </w:rPr>
        <w:t xml:space="preserve"> III of this Order. </w:t>
      </w:r>
    </w:p>
    <w:p w:rsidR="001A1CD5" w:rsidRDefault="001A1CD5" w:rsidP="001A1CD5">
      <w:pPr>
        <w:spacing w:after="200"/>
        <w:jc w:val="both"/>
        <w:rPr>
          <w:rFonts w:eastAsia="Calibri"/>
        </w:rPr>
      </w:pPr>
    </w:p>
    <w:p w:rsidR="00D3612F" w:rsidRPr="00DE2FA9" w:rsidRDefault="00E27EAF" w:rsidP="00C75362">
      <w:pPr>
        <w:spacing w:after="200"/>
        <w:ind w:left="90" w:hanging="90"/>
        <w:jc w:val="both"/>
        <w:rPr>
          <w:rFonts w:eastAsia="Calibri"/>
          <w:b/>
        </w:rPr>
      </w:pPr>
      <w:r>
        <w:rPr>
          <w:rFonts w:eastAsia="Calibri"/>
          <w:b/>
        </w:rPr>
        <w:tab/>
        <w:t>T</w:t>
      </w:r>
      <w:r w:rsidR="00D3612F" w:rsidRPr="00DE2FA9">
        <w:rPr>
          <w:rFonts w:eastAsia="Calibri"/>
          <w:b/>
        </w:rPr>
        <w:t>he environmental cost recovery amounts, including true-up amounts, for the period January 2019 through December 2019</w:t>
      </w:r>
    </w:p>
    <w:tbl>
      <w:tblPr>
        <w:tblW w:w="24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p>
        </w:tc>
      </w:tr>
      <w:tr w:rsidR="00D3612F" w:rsidRPr="00DE2FA9" w:rsidTr="00D3612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$55,815,494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$42,980,454 </w:t>
            </w:r>
          </w:p>
        </w:tc>
      </w:tr>
      <w:tr w:rsidR="00D3612F" w:rsidRPr="00DE2FA9" w:rsidTr="00D361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3612F" w:rsidRPr="00DE2FA9" w:rsidRDefault="00D3612F" w:rsidP="00D3612F">
            <w:pPr>
              <w:jc w:val="both"/>
            </w:pPr>
            <w:r w:rsidRPr="00DE2FA9">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3612F" w:rsidRPr="00DE2FA9" w:rsidRDefault="00D3612F" w:rsidP="00D3612F">
            <w:pPr>
              <w:jc w:val="right"/>
            </w:pPr>
            <w:r w:rsidRPr="00DE2FA9">
              <w:t xml:space="preserve">$171,663,438 </w:t>
            </w:r>
          </w:p>
        </w:tc>
      </w:tr>
    </w:tbl>
    <w:p w:rsidR="00D3612F" w:rsidRPr="00DE2FA9" w:rsidRDefault="00E27EAF" w:rsidP="00D3612F">
      <w:pPr>
        <w:spacing w:after="200" w:line="276" w:lineRule="auto"/>
        <w:ind w:left="720" w:firstLine="720"/>
        <w:jc w:val="both"/>
        <w:rPr>
          <w:rFonts w:eastAsia="Calibri"/>
        </w:rPr>
      </w:pPr>
      <w:r>
        <w:rPr>
          <w:rFonts w:eastAsia="Calibri"/>
        </w:rPr>
        <w:t xml:space="preserve">For FPL see </w:t>
      </w:r>
      <w:r w:rsidR="00845152">
        <w:rPr>
          <w:rFonts w:eastAsia="Calibri"/>
        </w:rPr>
        <w:t>Section</w:t>
      </w:r>
      <w:r>
        <w:rPr>
          <w:rFonts w:eastAsia="Calibri"/>
        </w:rPr>
        <w:t xml:space="preserve"> IV of this Order.</w:t>
      </w:r>
    </w:p>
    <w:p w:rsidR="00D3612F" w:rsidRPr="00DE2FA9" w:rsidRDefault="00E27EAF" w:rsidP="007F7173">
      <w:pPr>
        <w:spacing w:after="200"/>
        <w:jc w:val="both"/>
        <w:rPr>
          <w:rFonts w:eastAsia="Calibri"/>
          <w:b/>
        </w:rPr>
      </w:pPr>
      <w:r w:rsidRPr="007F7173">
        <w:rPr>
          <w:rFonts w:eastAsia="Calibri"/>
          <w:b/>
          <w:bCs/>
        </w:rPr>
        <w:lastRenderedPageBreak/>
        <w:t>D</w:t>
      </w:r>
      <w:r w:rsidR="00D3612F" w:rsidRPr="007F7173">
        <w:rPr>
          <w:rFonts w:eastAsia="Calibri"/>
          <w:b/>
          <w:bCs/>
        </w:rPr>
        <w:t>epreciation</w:t>
      </w:r>
      <w:r w:rsidR="00D3612F" w:rsidRPr="00DE2FA9">
        <w:rPr>
          <w:rFonts w:eastAsia="Calibri"/>
          <w:b/>
        </w:rPr>
        <w:t xml:space="preserve"> rates </w:t>
      </w:r>
      <w:r>
        <w:rPr>
          <w:rFonts w:eastAsia="Calibri"/>
          <w:b/>
        </w:rPr>
        <w:t xml:space="preserve">to </w:t>
      </w:r>
      <w:r w:rsidR="00D3612F" w:rsidRPr="00DE2FA9">
        <w:rPr>
          <w:rFonts w:eastAsia="Calibri"/>
          <w:b/>
        </w:rPr>
        <w:t>be used to develop the depreciation expense included in the total environmental cost recovery amounts for the period January 2019 through December 2019</w:t>
      </w:r>
    </w:p>
    <w:p w:rsidR="00D3612F" w:rsidRDefault="00D3612F" w:rsidP="00D3612F">
      <w:pPr>
        <w:keepNext/>
        <w:spacing w:after="200"/>
        <w:ind w:left="1440"/>
        <w:jc w:val="both"/>
        <w:rPr>
          <w:rFonts w:eastAsia="Calibri"/>
        </w:rPr>
      </w:pPr>
      <w:r w:rsidRPr="00C75362">
        <w:rPr>
          <w:rFonts w:eastAsia="Calibri"/>
        </w:rPr>
        <w:t>The depreciation rates used to calculate depreciation expense shall be the rates that are in effect during the period the allowed capital investment is in service, with the following exception: TECO -- Big Bend Fuel Oil Tanks I &amp; 2, which were retired in 2016, will be depreciated over a five-year period from the date of retirement.</w:t>
      </w:r>
    </w:p>
    <w:p w:rsidR="001A1CD5" w:rsidRPr="00DE2FA9" w:rsidRDefault="001A1CD5" w:rsidP="00D3612F">
      <w:pPr>
        <w:keepNext/>
        <w:spacing w:after="200"/>
        <w:ind w:left="1440"/>
        <w:jc w:val="both"/>
        <w:rPr>
          <w:rFonts w:eastAsia="Calibri"/>
        </w:rPr>
      </w:pPr>
    </w:p>
    <w:p w:rsidR="00D3612F" w:rsidRPr="00DE2FA9" w:rsidRDefault="00E27EAF" w:rsidP="00C75362">
      <w:pPr>
        <w:spacing w:after="200"/>
        <w:jc w:val="both"/>
        <w:rPr>
          <w:rFonts w:eastAsia="Calibri"/>
          <w:b/>
          <w:bCs/>
        </w:rPr>
      </w:pPr>
      <w:r>
        <w:rPr>
          <w:rFonts w:eastAsia="Calibri"/>
          <w:b/>
          <w:bCs/>
        </w:rPr>
        <w:t>T</w:t>
      </w:r>
      <w:r w:rsidR="00D3612F" w:rsidRPr="00DE2FA9">
        <w:rPr>
          <w:rFonts w:eastAsia="Calibri"/>
          <w:b/>
          <w:bCs/>
        </w:rPr>
        <w:t>he appropriate jurisdictional separation factors for the projected period January 2019 through December 2019</w:t>
      </w:r>
    </w:p>
    <w:p w:rsidR="00D3612F" w:rsidRPr="00DE2FA9" w:rsidRDefault="00D3612F" w:rsidP="00D3612F">
      <w:pPr>
        <w:spacing w:after="200" w:line="276" w:lineRule="auto"/>
        <w:ind w:left="1440"/>
        <w:jc w:val="both"/>
        <w:rPr>
          <w:rFonts w:eastAsia="Calibri"/>
        </w:rPr>
      </w:pPr>
      <w:r w:rsidRPr="00DE2FA9">
        <w:rPr>
          <w:rFonts w:eastAsia="Calibri"/>
        </w:rPr>
        <w:t>The appropriate jurisdictional separation factors for the period January 2019 through December 2019 are as follows:</w:t>
      </w:r>
    </w:p>
    <w:p w:rsidR="00D3612F" w:rsidRPr="00DE2FA9" w:rsidRDefault="00D3612F" w:rsidP="00D3612F">
      <w:pPr>
        <w:spacing w:after="200" w:line="276" w:lineRule="auto"/>
        <w:jc w:val="both"/>
        <w:rPr>
          <w:rFonts w:eastAsia="Calibri"/>
          <w:b/>
          <w:bCs/>
        </w:rPr>
      </w:pPr>
      <w:r w:rsidRPr="00DE2FA9">
        <w:rPr>
          <w:rFonts w:eastAsia="Calibri"/>
          <w:b/>
          <w:bCs/>
        </w:rPr>
        <w:t>FPL:</w:t>
      </w:r>
      <w:r w:rsidRPr="00DE2FA9">
        <w:rPr>
          <w:rFonts w:eastAsia="Calibri"/>
          <w:b/>
          <w:bCs/>
        </w:rPr>
        <w:tab/>
      </w:r>
      <w:r w:rsidRPr="00DE2FA9">
        <w:rPr>
          <w:rFonts w:eastAsia="Calibri"/>
          <w:b/>
          <w:bCs/>
        </w:rPr>
        <w:tab/>
      </w:r>
      <w:r w:rsidRPr="00DE2FA9">
        <w:rPr>
          <w:rFonts w:eastAsia="Calibri"/>
        </w:rPr>
        <w:t>Retail Energy Jurisdictional Factor - Base/Solar</w:t>
      </w:r>
      <w:r w:rsidRPr="00DE2FA9">
        <w:rPr>
          <w:rFonts w:eastAsia="Calibri"/>
        </w:rPr>
        <w:tab/>
      </w:r>
      <w:r w:rsidRPr="00DE2FA9">
        <w:rPr>
          <w:rFonts w:eastAsia="Calibri"/>
        </w:rPr>
        <w:tab/>
        <w:t xml:space="preserve">  95.9309%</w:t>
      </w:r>
      <w:r w:rsidRPr="00DE2FA9">
        <w:rPr>
          <w:rFonts w:eastAsia="Calibri"/>
          <w:b/>
          <w:bCs/>
        </w:rPr>
        <w:tab/>
      </w:r>
      <w:r w:rsidRPr="00DE2FA9">
        <w:rPr>
          <w:rFonts w:eastAsia="Calibri"/>
          <w:b/>
          <w:bCs/>
        </w:rPr>
        <w:tab/>
      </w:r>
      <w:r w:rsidRPr="00DE2FA9">
        <w:rPr>
          <w:rFonts w:eastAsia="Calibri"/>
          <w:b/>
          <w:bCs/>
        </w:rPr>
        <w:tab/>
      </w:r>
      <w:r w:rsidRPr="00DE2FA9">
        <w:rPr>
          <w:rFonts w:eastAsia="Calibri"/>
          <w:b/>
          <w:bCs/>
        </w:rPr>
        <w:tab/>
      </w:r>
      <w:r w:rsidRPr="00DE2FA9">
        <w:rPr>
          <w:rFonts w:eastAsia="Calibri"/>
        </w:rPr>
        <w:t xml:space="preserve">Retail Energy Jurisdictional Factor - Intermediate </w:t>
      </w:r>
      <w:r w:rsidRPr="00DE2FA9">
        <w:rPr>
          <w:rFonts w:eastAsia="Calibri"/>
        </w:rPr>
        <w:tab/>
        <w:t xml:space="preserve">  </w:t>
      </w:r>
      <w:r w:rsidRPr="00DE2FA9">
        <w:rPr>
          <w:rFonts w:eastAsia="Calibri"/>
        </w:rPr>
        <w:tab/>
        <w:t xml:space="preserve">  94.4167%</w:t>
      </w:r>
      <w:r w:rsidRPr="00DE2FA9">
        <w:rPr>
          <w:rFonts w:eastAsia="Calibri"/>
        </w:rPr>
        <w:tab/>
      </w:r>
      <w:r w:rsidRPr="00DE2FA9">
        <w:rPr>
          <w:rFonts w:eastAsia="Calibri"/>
        </w:rPr>
        <w:tab/>
      </w:r>
      <w:r w:rsidRPr="00DE2FA9">
        <w:rPr>
          <w:rFonts w:eastAsia="Calibri"/>
        </w:rPr>
        <w:tab/>
      </w:r>
      <w:r w:rsidRPr="00DE2FA9">
        <w:rPr>
          <w:rFonts w:eastAsia="Calibri"/>
        </w:rPr>
        <w:tab/>
        <w:t>Retail Energy Jurisdictional Factor - Peaking</w:t>
      </w:r>
      <w:r w:rsidRPr="00DE2FA9">
        <w:rPr>
          <w:rFonts w:eastAsia="Calibri"/>
        </w:rPr>
        <w:tab/>
        <w:t xml:space="preserve"> </w:t>
      </w:r>
      <w:r w:rsidRPr="00DE2FA9">
        <w:rPr>
          <w:rFonts w:eastAsia="Calibri"/>
        </w:rPr>
        <w:tab/>
        <w:t xml:space="preserve">  95.5155%</w:t>
      </w:r>
      <w:r w:rsidRPr="00DE2FA9">
        <w:rPr>
          <w:rFonts w:eastAsia="Calibri"/>
          <w:b/>
          <w:bCs/>
        </w:rPr>
        <w:tab/>
      </w:r>
      <w:r w:rsidRPr="00DE2FA9">
        <w:rPr>
          <w:rFonts w:eastAsia="Calibri"/>
          <w:b/>
          <w:bCs/>
        </w:rPr>
        <w:tab/>
      </w:r>
      <w:r w:rsidRPr="00DE2FA9">
        <w:rPr>
          <w:rFonts w:eastAsia="Calibri"/>
          <w:b/>
          <w:bCs/>
        </w:rPr>
        <w:tab/>
      </w:r>
      <w:r w:rsidRPr="00DE2FA9">
        <w:rPr>
          <w:rFonts w:eastAsia="Calibri"/>
          <w:b/>
          <w:bCs/>
        </w:rPr>
        <w:tab/>
      </w:r>
      <w:r w:rsidRPr="00DE2FA9">
        <w:rPr>
          <w:rFonts w:eastAsia="Calibri"/>
        </w:rPr>
        <w:t xml:space="preserve">Retail Demand Jurisdictional Factor - Transmission    </w:t>
      </w:r>
      <w:r w:rsidRPr="00DE2FA9">
        <w:rPr>
          <w:rFonts w:eastAsia="Calibri"/>
        </w:rPr>
        <w:tab/>
        <w:t xml:space="preserve">  89.2071%</w:t>
      </w:r>
      <w:r w:rsidRPr="00DE2FA9">
        <w:rPr>
          <w:rFonts w:eastAsia="Calibri"/>
          <w:b/>
          <w:bCs/>
        </w:rPr>
        <w:tab/>
      </w:r>
      <w:r w:rsidRPr="00DE2FA9">
        <w:rPr>
          <w:rFonts w:eastAsia="Calibri"/>
          <w:b/>
          <w:bCs/>
        </w:rPr>
        <w:tab/>
      </w:r>
      <w:r w:rsidRPr="00DE2FA9">
        <w:rPr>
          <w:rFonts w:eastAsia="Calibri"/>
          <w:b/>
          <w:bCs/>
        </w:rPr>
        <w:tab/>
      </w:r>
      <w:r w:rsidRPr="00DE2FA9">
        <w:rPr>
          <w:rFonts w:eastAsia="Calibri"/>
          <w:b/>
          <w:bCs/>
        </w:rPr>
        <w:tab/>
      </w:r>
      <w:r w:rsidRPr="00DE2FA9">
        <w:rPr>
          <w:rFonts w:eastAsia="Calibri"/>
        </w:rPr>
        <w:t xml:space="preserve">Retail Demand Jurisdictional Factor - Base/Solar      </w:t>
      </w:r>
      <w:r w:rsidRPr="00DE2FA9">
        <w:rPr>
          <w:rFonts w:eastAsia="Calibri"/>
        </w:rPr>
        <w:tab/>
        <w:t xml:space="preserve">  95.7589%</w:t>
      </w:r>
      <w:r w:rsidRPr="00DE2FA9">
        <w:rPr>
          <w:rFonts w:eastAsia="Calibri"/>
          <w:b/>
          <w:bCs/>
        </w:rPr>
        <w:tab/>
      </w:r>
      <w:r w:rsidRPr="00DE2FA9">
        <w:rPr>
          <w:rFonts w:eastAsia="Calibri"/>
          <w:b/>
          <w:bCs/>
        </w:rPr>
        <w:tab/>
      </w:r>
      <w:r w:rsidRPr="00DE2FA9">
        <w:rPr>
          <w:rFonts w:eastAsia="Calibri"/>
          <w:b/>
          <w:bCs/>
        </w:rPr>
        <w:tab/>
      </w:r>
      <w:r w:rsidRPr="00DE2FA9">
        <w:rPr>
          <w:rFonts w:eastAsia="Calibri"/>
          <w:b/>
          <w:bCs/>
        </w:rPr>
        <w:tab/>
      </w:r>
      <w:r w:rsidRPr="00DE2FA9">
        <w:rPr>
          <w:rFonts w:eastAsia="Calibri"/>
        </w:rPr>
        <w:t xml:space="preserve">Retail Demand Jurisdictional Factor - Intermediate     </w:t>
      </w:r>
      <w:r w:rsidRPr="00DE2FA9">
        <w:rPr>
          <w:rFonts w:eastAsia="Calibri"/>
        </w:rPr>
        <w:tab/>
        <w:t xml:space="preserve">  94.2474%</w:t>
      </w:r>
      <w:r w:rsidRPr="00DE2FA9">
        <w:rPr>
          <w:rFonts w:eastAsia="Calibri"/>
          <w:b/>
          <w:bCs/>
        </w:rPr>
        <w:tab/>
      </w:r>
      <w:r w:rsidRPr="00DE2FA9">
        <w:rPr>
          <w:rFonts w:eastAsia="Calibri"/>
          <w:b/>
          <w:bCs/>
        </w:rPr>
        <w:tab/>
      </w:r>
      <w:r w:rsidRPr="00DE2FA9">
        <w:rPr>
          <w:rFonts w:eastAsia="Calibri"/>
          <w:b/>
          <w:bCs/>
        </w:rPr>
        <w:tab/>
      </w:r>
      <w:r w:rsidRPr="00DE2FA9">
        <w:rPr>
          <w:rFonts w:eastAsia="Calibri"/>
          <w:b/>
          <w:bCs/>
        </w:rPr>
        <w:tab/>
      </w:r>
      <w:r w:rsidRPr="00DE2FA9">
        <w:rPr>
          <w:rFonts w:eastAsia="Calibri"/>
        </w:rPr>
        <w:t xml:space="preserve">Retail Demand Jurisdictional Factor - Peaking       </w:t>
      </w:r>
      <w:r w:rsidRPr="00DE2FA9">
        <w:rPr>
          <w:rFonts w:eastAsia="Calibri"/>
        </w:rPr>
        <w:tab/>
        <w:t xml:space="preserve"> </w:t>
      </w:r>
      <w:r w:rsidRPr="00DE2FA9">
        <w:rPr>
          <w:rFonts w:eastAsia="Calibri"/>
        </w:rPr>
        <w:tab/>
        <w:t xml:space="preserve">  95.3443%</w:t>
      </w:r>
      <w:r w:rsidRPr="00DE2FA9">
        <w:rPr>
          <w:rFonts w:eastAsia="Calibri"/>
        </w:rPr>
        <w:tab/>
      </w:r>
      <w:r w:rsidRPr="00DE2FA9">
        <w:rPr>
          <w:rFonts w:eastAsia="Calibri"/>
        </w:rPr>
        <w:tab/>
      </w:r>
      <w:r w:rsidRPr="00DE2FA9">
        <w:rPr>
          <w:rFonts w:eastAsia="Calibri"/>
        </w:rPr>
        <w:tab/>
      </w:r>
      <w:r w:rsidRPr="00DE2FA9">
        <w:rPr>
          <w:rFonts w:eastAsia="Calibri"/>
        </w:rPr>
        <w:tab/>
        <w:t xml:space="preserve">Retail Demand Jurisdictional Factor - General Plant </w:t>
      </w:r>
      <w:r w:rsidRPr="00DE2FA9">
        <w:rPr>
          <w:rFonts w:eastAsia="Calibri"/>
        </w:rPr>
        <w:tab/>
        <w:t xml:space="preserve">  96.9214%</w:t>
      </w:r>
      <w:r w:rsidRPr="00DE2FA9">
        <w:rPr>
          <w:rFonts w:eastAsia="Calibri"/>
          <w:b/>
          <w:bCs/>
        </w:rPr>
        <w:tab/>
      </w:r>
      <w:r w:rsidRPr="00DE2FA9">
        <w:rPr>
          <w:rFonts w:eastAsia="Calibri"/>
          <w:b/>
          <w:bCs/>
        </w:rPr>
        <w:tab/>
      </w:r>
      <w:r w:rsidRPr="00DE2FA9">
        <w:rPr>
          <w:rFonts w:eastAsia="Calibri"/>
          <w:b/>
          <w:bCs/>
        </w:rPr>
        <w:tab/>
      </w:r>
      <w:r w:rsidRPr="00DE2FA9">
        <w:rPr>
          <w:rFonts w:eastAsia="Calibri"/>
          <w:b/>
          <w:bCs/>
        </w:rPr>
        <w:tab/>
      </w:r>
      <w:r w:rsidRPr="00DE2FA9">
        <w:rPr>
          <w:rFonts w:eastAsia="Calibri"/>
        </w:rPr>
        <w:t xml:space="preserve">Retail Demand Jurisdictional Factor - Distribution  </w:t>
      </w:r>
      <w:r w:rsidRPr="00DE2FA9">
        <w:rPr>
          <w:rFonts w:eastAsia="Calibri"/>
        </w:rPr>
        <w:tab/>
      </w:r>
      <w:r w:rsidRPr="00DE2FA9">
        <w:rPr>
          <w:rFonts w:eastAsia="Calibri"/>
        </w:rPr>
        <w:tab/>
        <w:t>100.0000%</w:t>
      </w:r>
    </w:p>
    <w:p w:rsidR="00D3612F" w:rsidRPr="00DE2FA9" w:rsidRDefault="00D3612F" w:rsidP="00D3612F">
      <w:pPr>
        <w:ind w:left="1440" w:hanging="1440"/>
        <w:jc w:val="both"/>
        <w:rPr>
          <w:rFonts w:eastAsia="Calibri"/>
          <w:bCs/>
        </w:rPr>
      </w:pPr>
      <w:r w:rsidRPr="00DE2FA9">
        <w:rPr>
          <w:rFonts w:eastAsia="Calibri"/>
          <w:b/>
          <w:bCs/>
        </w:rPr>
        <w:t>DEF:</w:t>
      </w:r>
      <w:r w:rsidRPr="00DE2FA9">
        <w:rPr>
          <w:rFonts w:eastAsia="Calibri"/>
          <w:b/>
          <w:bCs/>
        </w:rPr>
        <w:tab/>
      </w:r>
      <w:r w:rsidRPr="00DE2FA9">
        <w:rPr>
          <w:rFonts w:eastAsia="Calibri"/>
          <w:bCs/>
        </w:rPr>
        <w:t>The Energy separation factor is calculated for each month based on retail kWh sales as a percentage of projected total kWh sales.  The remaining separation factors are below and are consistent with DEF’s 2017 Second Revised and Restated Stipulation and Settlement Agreement (“2017 Agreement”) approved in Order No. PSC-2017-0451-AS-EU.</w:t>
      </w:r>
    </w:p>
    <w:p w:rsidR="00D3612F" w:rsidRPr="00DE2FA9" w:rsidRDefault="00D3612F" w:rsidP="00D3612F">
      <w:pPr>
        <w:ind w:left="1440"/>
        <w:jc w:val="both"/>
        <w:rPr>
          <w:rFonts w:eastAsia="Calibri"/>
          <w:bCs/>
        </w:rPr>
      </w:pPr>
    </w:p>
    <w:p w:rsidR="00D3612F" w:rsidRPr="00DE2FA9" w:rsidRDefault="00D3612F" w:rsidP="00D3612F">
      <w:pPr>
        <w:ind w:left="1440"/>
        <w:jc w:val="both"/>
        <w:rPr>
          <w:rFonts w:eastAsia="Calibri"/>
          <w:bCs/>
        </w:rPr>
      </w:pPr>
      <w:r w:rsidRPr="00DE2FA9">
        <w:rPr>
          <w:rFonts w:eastAsia="Calibri"/>
          <w:bCs/>
        </w:rPr>
        <w:t xml:space="preserve">Transmission Average 12 CP Demand – </w:t>
      </w:r>
      <w:r w:rsidRPr="00DE2FA9">
        <w:rPr>
          <w:rFonts w:eastAsia="Calibri"/>
          <w:bCs/>
        </w:rPr>
        <w:tab/>
        <w:t>70.203%</w:t>
      </w:r>
    </w:p>
    <w:p w:rsidR="00D3612F" w:rsidRPr="00DE2FA9" w:rsidRDefault="00D3612F" w:rsidP="00D3612F">
      <w:pPr>
        <w:ind w:left="1440"/>
        <w:jc w:val="both"/>
        <w:rPr>
          <w:rFonts w:eastAsia="Calibri"/>
          <w:bCs/>
        </w:rPr>
      </w:pPr>
      <w:r w:rsidRPr="00DE2FA9">
        <w:rPr>
          <w:rFonts w:eastAsia="Calibri"/>
          <w:bCs/>
        </w:rPr>
        <w:t xml:space="preserve">Distribution Primary Demand – </w:t>
      </w:r>
      <w:r w:rsidRPr="00DE2FA9">
        <w:rPr>
          <w:rFonts w:eastAsia="Calibri"/>
          <w:bCs/>
        </w:rPr>
        <w:tab/>
      </w:r>
      <w:r w:rsidRPr="00DE2FA9">
        <w:rPr>
          <w:rFonts w:eastAsia="Calibri"/>
          <w:bCs/>
        </w:rPr>
        <w:tab/>
        <w:t>99.561%</w:t>
      </w:r>
    </w:p>
    <w:p w:rsidR="00D3612F" w:rsidRPr="00DE2FA9" w:rsidRDefault="00D3612F" w:rsidP="00D3612F">
      <w:pPr>
        <w:ind w:left="1440"/>
        <w:jc w:val="both"/>
        <w:rPr>
          <w:rFonts w:eastAsia="Calibri"/>
          <w:bCs/>
        </w:rPr>
      </w:pPr>
    </w:p>
    <w:p w:rsidR="00D3612F" w:rsidRPr="00DE2FA9" w:rsidRDefault="00D3612F" w:rsidP="00D3612F">
      <w:pPr>
        <w:ind w:left="1440"/>
        <w:jc w:val="both"/>
        <w:rPr>
          <w:rFonts w:eastAsia="Calibri"/>
          <w:bCs/>
        </w:rPr>
      </w:pPr>
      <w:r w:rsidRPr="00DE2FA9">
        <w:rPr>
          <w:rFonts w:eastAsia="Calibri"/>
          <w:bCs/>
        </w:rPr>
        <w:t>Production Demand:</w:t>
      </w:r>
    </w:p>
    <w:p w:rsidR="00D3612F" w:rsidRPr="00DE2FA9" w:rsidRDefault="00D3612F" w:rsidP="00D3612F">
      <w:pPr>
        <w:ind w:left="1440"/>
        <w:jc w:val="both"/>
        <w:rPr>
          <w:rFonts w:eastAsia="Calibri"/>
          <w:bCs/>
        </w:rPr>
      </w:pPr>
      <w:r w:rsidRPr="00DE2FA9">
        <w:rPr>
          <w:rFonts w:eastAsia="Calibri"/>
          <w:bCs/>
        </w:rPr>
        <w:t xml:space="preserve">Production Base – </w:t>
      </w:r>
      <w:r w:rsidRPr="00DE2FA9">
        <w:rPr>
          <w:rFonts w:eastAsia="Calibri"/>
          <w:bCs/>
        </w:rPr>
        <w:tab/>
      </w:r>
      <w:r w:rsidRPr="00DE2FA9">
        <w:rPr>
          <w:rFonts w:eastAsia="Calibri"/>
          <w:bCs/>
        </w:rPr>
        <w:tab/>
      </w:r>
      <w:r w:rsidRPr="00DE2FA9">
        <w:rPr>
          <w:rFonts w:eastAsia="Calibri"/>
          <w:bCs/>
        </w:rPr>
        <w:tab/>
      </w:r>
      <w:r w:rsidRPr="00DE2FA9">
        <w:rPr>
          <w:rFonts w:eastAsia="Calibri"/>
          <w:bCs/>
        </w:rPr>
        <w:tab/>
        <w:t>92.885%</w:t>
      </w:r>
    </w:p>
    <w:p w:rsidR="00D3612F" w:rsidRPr="00DE2FA9" w:rsidRDefault="00D3612F" w:rsidP="00D3612F">
      <w:pPr>
        <w:ind w:left="1440"/>
        <w:jc w:val="both"/>
        <w:rPr>
          <w:rFonts w:eastAsia="Calibri"/>
          <w:bCs/>
        </w:rPr>
      </w:pPr>
      <w:r w:rsidRPr="00DE2FA9">
        <w:rPr>
          <w:rFonts w:eastAsia="Calibri"/>
          <w:bCs/>
        </w:rPr>
        <w:t xml:space="preserve">Production Intermediate – </w:t>
      </w:r>
      <w:r w:rsidRPr="00DE2FA9">
        <w:rPr>
          <w:rFonts w:eastAsia="Calibri"/>
          <w:bCs/>
        </w:rPr>
        <w:tab/>
      </w:r>
      <w:r w:rsidRPr="00DE2FA9">
        <w:rPr>
          <w:rFonts w:eastAsia="Calibri"/>
          <w:bCs/>
        </w:rPr>
        <w:tab/>
      </w:r>
      <w:r w:rsidRPr="00DE2FA9">
        <w:rPr>
          <w:rFonts w:eastAsia="Calibri"/>
          <w:bCs/>
        </w:rPr>
        <w:tab/>
        <w:t>72.703%</w:t>
      </w:r>
    </w:p>
    <w:p w:rsidR="00D3612F" w:rsidRPr="00DE2FA9" w:rsidRDefault="00D3612F" w:rsidP="00D3612F">
      <w:pPr>
        <w:ind w:left="1440"/>
        <w:jc w:val="both"/>
        <w:rPr>
          <w:rFonts w:eastAsia="Calibri"/>
          <w:bCs/>
        </w:rPr>
      </w:pPr>
      <w:r w:rsidRPr="00DE2FA9">
        <w:rPr>
          <w:rFonts w:eastAsia="Calibri"/>
          <w:bCs/>
        </w:rPr>
        <w:t xml:space="preserve">Production Peaking – </w:t>
      </w:r>
      <w:r w:rsidRPr="00DE2FA9">
        <w:rPr>
          <w:rFonts w:eastAsia="Calibri"/>
          <w:bCs/>
        </w:rPr>
        <w:tab/>
      </w:r>
      <w:r w:rsidRPr="00DE2FA9">
        <w:rPr>
          <w:rFonts w:eastAsia="Calibri"/>
          <w:bCs/>
        </w:rPr>
        <w:tab/>
      </w:r>
      <w:r w:rsidRPr="00DE2FA9">
        <w:rPr>
          <w:rFonts w:eastAsia="Calibri"/>
          <w:bCs/>
        </w:rPr>
        <w:tab/>
      </w:r>
      <w:r w:rsidRPr="00DE2FA9">
        <w:rPr>
          <w:rFonts w:eastAsia="Calibri"/>
          <w:bCs/>
        </w:rPr>
        <w:tab/>
        <w:t>95.924%</w:t>
      </w:r>
    </w:p>
    <w:p w:rsidR="00D3612F" w:rsidRPr="00DE2FA9" w:rsidRDefault="00D3612F" w:rsidP="00D3612F">
      <w:pPr>
        <w:ind w:left="1440"/>
        <w:jc w:val="both"/>
        <w:rPr>
          <w:rFonts w:eastAsia="Calibri"/>
          <w:bCs/>
        </w:rPr>
      </w:pPr>
      <w:r w:rsidRPr="00DE2FA9">
        <w:rPr>
          <w:rFonts w:eastAsia="Calibri"/>
          <w:bCs/>
        </w:rPr>
        <w:t xml:space="preserve">Production A&amp;G – </w:t>
      </w:r>
      <w:r w:rsidRPr="00DE2FA9">
        <w:rPr>
          <w:rFonts w:eastAsia="Calibri"/>
          <w:bCs/>
        </w:rPr>
        <w:tab/>
      </w:r>
      <w:r w:rsidRPr="00DE2FA9">
        <w:rPr>
          <w:rFonts w:eastAsia="Calibri"/>
          <w:bCs/>
        </w:rPr>
        <w:tab/>
      </w:r>
      <w:r w:rsidRPr="00DE2FA9">
        <w:rPr>
          <w:rFonts w:eastAsia="Calibri"/>
          <w:bCs/>
        </w:rPr>
        <w:tab/>
      </w:r>
      <w:r w:rsidRPr="00DE2FA9">
        <w:rPr>
          <w:rFonts w:eastAsia="Calibri"/>
          <w:bCs/>
        </w:rPr>
        <w:tab/>
        <w:t xml:space="preserve">93.221% </w:t>
      </w:r>
    </w:p>
    <w:p w:rsidR="00D3612F" w:rsidRPr="00DE2FA9" w:rsidRDefault="00D3612F" w:rsidP="00D3612F">
      <w:pPr>
        <w:ind w:left="1440"/>
        <w:jc w:val="both"/>
        <w:rPr>
          <w:rFonts w:eastAsia="Calibri"/>
          <w:bCs/>
        </w:rPr>
      </w:pPr>
    </w:p>
    <w:p w:rsidR="00C75362" w:rsidRDefault="00C75362" w:rsidP="00D3612F">
      <w:pPr>
        <w:jc w:val="both"/>
        <w:rPr>
          <w:rFonts w:eastAsia="Calibri"/>
          <w:b/>
          <w:bCs/>
        </w:rPr>
      </w:pPr>
    </w:p>
    <w:p w:rsidR="00D3612F" w:rsidRPr="00DE2FA9" w:rsidRDefault="00D3612F" w:rsidP="00D3612F">
      <w:pPr>
        <w:jc w:val="both"/>
        <w:rPr>
          <w:rFonts w:eastAsia="Calibri"/>
          <w:b/>
          <w:bCs/>
        </w:rPr>
      </w:pPr>
      <w:r w:rsidRPr="00DE2FA9">
        <w:rPr>
          <w:rFonts w:eastAsia="Calibri"/>
          <w:b/>
          <w:bCs/>
        </w:rPr>
        <w:t>TECO:</w:t>
      </w:r>
      <w:r w:rsidRPr="00DE2FA9">
        <w:rPr>
          <w:rFonts w:eastAsia="Calibri"/>
          <w:b/>
          <w:bCs/>
        </w:rPr>
        <w:tab/>
      </w:r>
      <w:r w:rsidRPr="00DE2FA9">
        <w:rPr>
          <w:rFonts w:eastAsia="Calibri"/>
        </w:rPr>
        <w:t>Energy: 100.00%</w:t>
      </w:r>
    </w:p>
    <w:p w:rsidR="00D3612F" w:rsidRPr="00DE2FA9" w:rsidRDefault="00D3612F" w:rsidP="00D3612F">
      <w:pPr>
        <w:ind w:left="1440"/>
        <w:jc w:val="both"/>
        <w:rPr>
          <w:rFonts w:eastAsia="Calibri"/>
        </w:rPr>
      </w:pPr>
      <w:r w:rsidRPr="00DE2FA9">
        <w:rPr>
          <w:rFonts w:eastAsia="Calibri"/>
        </w:rPr>
        <w:t>Demand: 100.00%</w:t>
      </w:r>
    </w:p>
    <w:p w:rsidR="00D3612F" w:rsidRPr="00DE2FA9" w:rsidRDefault="00D3612F" w:rsidP="00D3612F">
      <w:pPr>
        <w:ind w:left="720"/>
        <w:jc w:val="both"/>
        <w:rPr>
          <w:rFonts w:eastAsia="Calibri"/>
          <w:b/>
          <w:bCs/>
        </w:rPr>
      </w:pPr>
    </w:p>
    <w:p w:rsidR="00D3612F" w:rsidRPr="00DE2FA9" w:rsidRDefault="00D3612F" w:rsidP="00D3612F">
      <w:pPr>
        <w:ind w:left="1440" w:hanging="1440"/>
        <w:jc w:val="both"/>
        <w:rPr>
          <w:rFonts w:eastAsia="Calibri"/>
          <w:b/>
          <w:bCs/>
        </w:rPr>
      </w:pPr>
      <w:r w:rsidRPr="00DE2FA9">
        <w:rPr>
          <w:rFonts w:eastAsia="Calibri"/>
          <w:b/>
          <w:bCs/>
        </w:rPr>
        <w:t>GULF:</w:t>
      </w:r>
      <w:r w:rsidRPr="00DE2FA9">
        <w:rPr>
          <w:rFonts w:eastAsia="Calibri"/>
          <w:b/>
          <w:bCs/>
        </w:rPr>
        <w:tab/>
      </w:r>
      <w:r w:rsidRPr="00DE2FA9">
        <w:rPr>
          <w:rFonts w:eastAsia="Calibri"/>
        </w:rPr>
        <w:t>The demand jurisdictional separation factor is 97.18277%.  Energy jurisdictional separation factors are calculated each month based on projected retail kWh sales as a percentage of projected total territorial kWh sales</w:t>
      </w:r>
    </w:p>
    <w:p w:rsidR="00D3612F" w:rsidRPr="00DE2FA9" w:rsidRDefault="00D3612F" w:rsidP="00D3612F">
      <w:pPr>
        <w:ind w:left="1440" w:hanging="1440"/>
        <w:jc w:val="both"/>
        <w:rPr>
          <w:rFonts w:eastAsia="Calibri"/>
          <w:b/>
          <w:bCs/>
        </w:rPr>
      </w:pPr>
    </w:p>
    <w:p w:rsidR="00D3612F" w:rsidRPr="00DE2FA9" w:rsidRDefault="00E27EAF" w:rsidP="007F7173">
      <w:pPr>
        <w:spacing w:after="200"/>
        <w:jc w:val="both"/>
        <w:rPr>
          <w:rFonts w:eastAsia="Calibri"/>
          <w:b/>
        </w:rPr>
      </w:pPr>
      <w:r>
        <w:rPr>
          <w:rFonts w:eastAsia="Calibri"/>
          <w:b/>
        </w:rPr>
        <w:t>T</w:t>
      </w:r>
      <w:r w:rsidR="00D3612F" w:rsidRPr="00DE2FA9">
        <w:rPr>
          <w:rFonts w:eastAsia="Calibri"/>
          <w:b/>
        </w:rPr>
        <w:t xml:space="preserve">he appropriate environmental cost recovery factors for the period January 2019 </w:t>
      </w:r>
      <w:r w:rsidR="00D3612F" w:rsidRPr="007F7173">
        <w:rPr>
          <w:rFonts w:eastAsia="Calibri"/>
          <w:b/>
          <w:bCs/>
        </w:rPr>
        <w:t>through</w:t>
      </w:r>
      <w:r w:rsidR="00D3612F" w:rsidRPr="00DE2FA9">
        <w:rPr>
          <w:rFonts w:eastAsia="Calibri"/>
          <w:b/>
        </w:rPr>
        <w:t xml:space="preserve"> December 2019</w:t>
      </w:r>
      <w:r w:rsidR="001C66B8">
        <w:rPr>
          <w:rFonts w:eastAsia="Calibri"/>
          <w:b/>
        </w:rPr>
        <w:t>,</w:t>
      </w:r>
      <w:r w:rsidR="00D3612F" w:rsidRPr="00DE2FA9">
        <w:rPr>
          <w:rFonts w:eastAsia="Calibri"/>
          <w:b/>
        </w:rPr>
        <w:t xml:space="preserve"> for each rate group</w:t>
      </w:r>
    </w:p>
    <w:p w:rsidR="00D3612F" w:rsidRPr="00DE2FA9" w:rsidRDefault="00D3612F" w:rsidP="00D3612F">
      <w:pPr>
        <w:ind w:left="1440"/>
        <w:jc w:val="both"/>
        <w:rPr>
          <w:rFonts w:eastAsia="Calibri"/>
          <w:bCs/>
        </w:rPr>
      </w:pPr>
      <w:r w:rsidRPr="00DE2FA9">
        <w:rPr>
          <w:rFonts w:eastAsia="Calibri"/>
          <w:bCs/>
        </w:rPr>
        <w:t>The appropriate environmental cost recovery factors for the period January 2019 through December 2019 for each rate group are as follows:</w:t>
      </w:r>
    </w:p>
    <w:p w:rsidR="00D3612F" w:rsidRPr="00DE2FA9" w:rsidRDefault="00D3612F" w:rsidP="00D3612F">
      <w:pPr>
        <w:ind w:left="1440"/>
        <w:jc w:val="both"/>
        <w:rPr>
          <w:rFonts w:eastAsia="Calibri"/>
          <w:bCs/>
        </w:rPr>
      </w:pPr>
    </w:p>
    <w:p w:rsidR="00D3612F" w:rsidRPr="00E27EAF" w:rsidRDefault="00D3612F" w:rsidP="00D3612F">
      <w:pPr>
        <w:spacing w:after="200" w:line="276" w:lineRule="auto"/>
        <w:jc w:val="both"/>
        <w:rPr>
          <w:rFonts w:eastAsia="Calibri"/>
        </w:rPr>
      </w:pPr>
      <w:r w:rsidRPr="00DE2FA9">
        <w:rPr>
          <w:rFonts w:eastAsia="Calibri"/>
          <w:b/>
          <w:bCs/>
        </w:rPr>
        <w:t>FPL:</w:t>
      </w:r>
      <w:r w:rsidRPr="00DE2FA9">
        <w:rPr>
          <w:rFonts w:eastAsia="Calibri"/>
          <w:b/>
          <w:bCs/>
        </w:rPr>
        <w:tab/>
      </w:r>
      <w:r w:rsidRPr="00DE2FA9">
        <w:rPr>
          <w:rFonts w:eastAsia="Calibri"/>
          <w:b/>
          <w:bCs/>
        </w:rPr>
        <w:tab/>
      </w:r>
      <w:r w:rsidR="00E27EAF" w:rsidRPr="00E27EAF">
        <w:rPr>
          <w:rFonts w:eastAsia="Calibri"/>
          <w:bCs/>
        </w:rPr>
        <w:t xml:space="preserve">For FPL see </w:t>
      </w:r>
      <w:r w:rsidR="00845152">
        <w:rPr>
          <w:rFonts w:eastAsia="Calibri"/>
          <w:bCs/>
        </w:rPr>
        <w:t>Section</w:t>
      </w:r>
      <w:r w:rsidR="00E27EAF" w:rsidRPr="00E27EAF">
        <w:rPr>
          <w:rFonts w:eastAsia="Calibri"/>
          <w:bCs/>
        </w:rPr>
        <w:t xml:space="preserve"> V of this Order</w:t>
      </w:r>
      <w:r w:rsidRPr="00E27EAF">
        <w:rPr>
          <w:rFonts w:eastAsia="Calibri"/>
        </w:rPr>
        <w:t>.</w:t>
      </w:r>
    </w:p>
    <w:p w:rsidR="00D3612F" w:rsidRPr="00DE2FA9" w:rsidRDefault="00D3612F" w:rsidP="00D3612F">
      <w:pPr>
        <w:rPr>
          <w:rFonts w:eastAsia="Calibri"/>
        </w:rPr>
      </w:pPr>
      <w:r w:rsidRPr="00DE2FA9">
        <w:rPr>
          <w:rFonts w:eastAsia="Calibri"/>
          <w:b/>
          <w:bCs/>
        </w:rPr>
        <w:t>DEF:</w:t>
      </w:r>
    </w:p>
    <w:tbl>
      <w:tblPr>
        <w:tblW w:w="53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D3612F" w:rsidRPr="00DE2FA9" w:rsidTr="00D3612F">
        <w:trPr>
          <w:trHeight w:val="534"/>
        </w:trPr>
        <w:tc>
          <w:tcPr>
            <w:tcW w:w="3348" w:type="dxa"/>
            <w:tcBorders>
              <w:top w:val="single" w:sz="4" w:space="0" w:color="auto"/>
              <w:left w:val="single" w:sz="4" w:space="0" w:color="auto"/>
              <w:bottom w:val="single" w:sz="4" w:space="0" w:color="auto"/>
              <w:right w:val="single" w:sz="4" w:space="0" w:color="auto"/>
            </w:tcBorders>
            <w:vAlign w:val="center"/>
            <w:hideMark/>
          </w:tcPr>
          <w:p w:rsidR="00D3612F" w:rsidRPr="00DE2FA9" w:rsidRDefault="00D3612F" w:rsidP="00D3612F">
            <w:pPr>
              <w:keepNext/>
              <w:suppressLineNumbers/>
              <w:jc w:val="center"/>
              <w:rPr>
                <w:rFonts w:eastAsia="Calibri"/>
                <w:b/>
              </w:rPr>
            </w:pPr>
            <w:r w:rsidRPr="00DE2FA9">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3612F" w:rsidRPr="00DE2FA9" w:rsidRDefault="00D3612F" w:rsidP="00D3612F">
            <w:pPr>
              <w:keepNext/>
              <w:suppressLineNumbers/>
              <w:jc w:val="center"/>
              <w:rPr>
                <w:rFonts w:eastAsia="Calibri"/>
                <w:b/>
              </w:rPr>
            </w:pPr>
            <w:r w:rsidRPr="00DE2FA9">
              <w:rPr>
                <w:rFonts w:eastAsia="Calibri"/>
                <w:b/>
              </w:rPr>
              <w:t>ECRC FACTORS</w:t>
            </w:r>
          </w:p>
        </w:tc>
      </w:tr>
      <w:tr w:rsidR="00D3612F" w:rsidRPr="00DE2FA9" w:rsidTr="00D3612F">
        <w:trPr>
          <w:trHeight w:val="282"/>
        </w:trPr>
        <w:tc>
          <w:tcPr>
            <w:tcW w:w="3348"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rPr>
                <w:rFonts w:eastAsia="Calibri"/>
              </w:rPr>
            </w:pPr>
            <w:r w:rsidRPr="00DE2FA9">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jc w:val="center"/>
              <w:rPr>
                <w:rFonts w:eastAsia="Calibri"/>
              </w:rPr>
            </w:pPr>
            <w:r w:rsidRPr="00DE2FA9">
              <w:rPr>
                <w:rFonts w:eastAsia="Calibri"/>
              </w:rPr>
              <w:t>0.143 cents/kWh</w:t>
            </w:r>
          </w:p>
        </w:tc>
      </w:tr>
      <w:tr w:rsidR="00D3612F" w:rsidRPr="00DE2FA9" w:rsidTr="00D3612F">
        <w:trPr>
          <w:trHeight w:val="1138"/>
        </w:trPr>
        <w:tc>
          <w:tcPr>
            <w:tcW w:w="3348"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tabs>
                <w:tab w:val="left" w:pos="576"/>
                <w:tab w:val="left" w:pos="1440"/>
                <w:tab w:val="left" w:pos="1728"/>
                <w:tab w:val="left" w:pos="5904"/>
              </w:tabs>
              <w:rPr>
                <w:rFonts w:eastAsia="Calibri"/>
              </w:rPr>
            </w:pPr>
            <w:r w:rsidRPr="00DE2FA9">
              <w:rPr>
                <w:rFonts w:eastAsia="Calibri"/>
              </w:rPr>
              <w:t>General Service Non-Demand</w:t>
            </w:r>
          </w:p>
          <w:p w:rsidR="00D3612F" w:rsidRPr="00DE2FA9" w:rsidRDefault="00D3612F" w:rsidP="00D3612F">
            <w:pPr>
              <w:keepNext/>
              <w:suppressLineNumbers/>
              <w:tabs>
                <w:tab w:val="left" w:pos="576"/>
                <w:tab w:val="left" w:pos="1440"/>
                <w:tab w:val="left" w:pos="1728"/>
                <w:tab w:val="left" w:pos="5904"/>
              </w:tabs>
              <w:rPr>
                <w:rFonts w:eastAsia="Calibri"/>
              </w:rPr>
            </w:pPr>
            <w:r w:rsidRPr="00DE2FA9">
              <w:rPr>
                <w:rFonts w:eastAsia="Calibri"/>
              </w:rPr>
              <w:t>@ Secondary Voltage</w:t>
            </w:r>
          </w:p>
          <w:p w:rsidR="00D3612F" w:rsidRPr="00DE2FA9" w:rsidRDefault="00D3612F" w:rsidP="00D3612F">
            <w:pPr>
              <w:keepNext/>
              <w:suppressLineNumbers/>
              <w:tabs>
                <w:tab w:val="left" w:pos="576"/>
                <w:tab w:val="left" w:pos="1440"/>
                <w:tab w:val="left" w:pos="1728"/>
                <w:tab w:val="left" w:pos="5904"/>
              </w:tabs>
              <w:rPr>
                <w:rFonts w:eastAsia="Calibri"/>
              </w:rPr>
            </w:pPr>
            <w:r w:rsidRPr="00DE2FA9">
              <w:rPr>
                <w:rFonts w:eastAsia="Calibri"/>
              </w:rPr>
              <w:t>@ Primary Voltage</w:t>
            </w:r>
          </w:p>
          <w:p w:rsidR="00D3612F" w:rsidRPr="00DE2FA9" w:rsidRDefault="00D3612F" w:rsidP="00D3612F">
            <w:pPr>
              <w:keepNext/>
              <w:suppressLineNumbers/>
              <w:tabs>
                <w:tab w:val="left" w:pos="576"/>
                <w:tab w:val="left" w:pos="1440"/>
                <w:tab w:val="left" w:pos="1728"/>
                <w:tab w:val="left" w:pos="5904"/>
              </w:tabs>
              <w:rPr>
                <w:rFonts w:eastAsia="Calibri"/>
              </w:rPr>
            </w:pPr>
            <w:r w:rsidRPr="00DE2FA9">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3612F" w:rsidRPr="00DE2FA9" w:rsidRDefault="00D3612F" w:rsidP="00D3612F">
            <w:pPr>
              <w:keepNext/>
              <w:suppressLineNumbers/>
              <w:jc w:val="center"/>
              <w:rPr>
                <w:rFonts w:eastAsia="Calibri"/>
              </w:rPr>
            </w:pPr>
          </w:p>
          <w:p w:rsidR="00D3612F" w:rsidRPr="00DE2FA9" w:rsidRDefault="00D3612F" w:rsidP="00D3612F">
            <w:pPr>
              <w:keepNext/>
              <w:suppressLineNumbers/>
              <w:jc w:val="center"/>
              <w:rPr>
                <w:rFonts w:eastAsia="Calibri"/>
              </w:rPr>
            </w:pPr>
            <w:r w:rsidRPr="00DE2FA9">
              <w:rPr>
                <w:rFonts w:eastAsia="Calibri"/>
              </w:rPr>
              <w:t>0.143 cents/kWh</w:t>
            </w:r>
          </w:p>
          <w:p w:rsidR="00D3612F" w:rsidRPr="00DE2FA9" w:rsidRDefault="00D3612F" w:rsidP="00D3612F">
            <w:pPr>
              <w:keepNext/>
              <w:suppressLineNumbers/>
              <w:jc w:val="center"/>
              <w:rPr>
                <w:rFonts w:eastAsia="Calibri"/>
              </w:rPr>
            </w:pPr>
            <w:r w:rsidRPr="00DE2FA9">
              <w:rPr>
                <w:rFonts w:eastAsia="Calibri"/>
              </w:rPr>
              <w:t>0.142 cents/kWh</w:t>
            </w:r>
          </w:p>
          <w:p w:rsidR="00D3612F" w:rsidRPr="00DE2FA9" w:rsidRDefault="00D3612F" w:rsidP="00D3612F">
            <w:pPr>
              <w:keepNext/>
              <w:suppressLineNumbers/>
              <w:jc w:val="center"/>
              <w:rPr>
                <w:rFonts w:eastAsia="Calibri"/>
              </w:rPr>
            </w:pPr>
            <w:r w:rsidRPr="00DE2FA9">
              <w:rPr>
                <w:rFonts w:eastAsia="Calibri"/>
              </w:rPr>
              <w:t>0.140 cents/kWh</w:t>
            </w:r>
          </w:p>
        </w:tc>
      </w:tr>
      <w:tr w:rsidR="00D3612F" w:rsidRPr="00DE2FA9" w:rsidTr="00D3612F">
        <w:trPr>
          <w:trHeight w:val="282"/>
        </w:trPr>
        <w:tc>
          <w:tcPr>
            <w:tcW w:w="3348"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rPr>
                <w:rFonts w:eastAsia="Calibri"/>
              </w:rPr>
            </w:pPr>
            <w:r w:rsidRPr="00DE2FA9">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jc w:val="center"/>
              <w:rPr>
                <w:rFonts w:eastAsia="Calibri"/>
              </w:rPr>
            </w:pPr>
            <w:r w:rsidRPr="00DE2FA9">
              <w:rPr>
                <w:rFonts w:eastAsia="Calibri"/>
              </w:rPr>
              <w:t>0.141 cents/kWh</w:t>
            </w:r>
          </w:p>
        </w:tc>
      </w:tr>
      <w:tr w:rsidR="00D3612F" w:rsidRPr="00DE2FA9" w:rsidTr="00D3612F">
        <w:trPr>
          <w:trHeight w:val="1171"/>
        </w:trPr>
        <w:tc>
          <w:tcPr>
            <w:tcW w:w="3348"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tabs>
                <w:tab w:val="left" w:pos="576"/>
                <w:tab w:val="left" w:pos="1440"/>
                <w:tab w:val="left" w:pos="1728"/>
                <w:tab w:val="left" w:pos="5904"/>
              </w:tabs>
              <w:rPr>
                <w:rFonts w:eastAsia="Calibri"/>
              </w:rPr>
            </w:pPr>
            <w:r w:rsidRPr="00DE2FA9">
              <w:rPr>
                <w:rFonts w:eastAsia="Calibri"/>
              </w:rPr>
              <w:t>General Service Demand</w:t>
            </w:r>
          </w:p>
          <w:p w:rsidR="00D3612F" w:rsidRPr="00DE2FA9" w:rsidRDefault="00D3612F" w:rsidP="00D3612F">
            <w:pPr>
              <w:keepNext/>
              <w:suppressLineNumbers/>
              <w:jc w:val="both"/>
              <w:rPr>
                <w:rFonts w:eastAsia="Calibri"/>
              </w:rPr>
            </w:pPr>
            <w:r w:rsidRPr="00DE2FA9">
              <w:rPr>
                <w:rFonts w:eastAsia="Calibri"/>
              </w:rPr>
              <w:t>@ Secondary Voltage</w:t>
            </w:r>
          </w:p>
          <w:p w:rsidR="00D3612F" w:rsidRPr="00DE2FA9" w:rsidRDefault="00D3612F" w:rsidP="00D3612F">
            <w:pPr>
              <w:keepNext/>
              <w:suppressLineNumbers/>
              <w:jc w:val="both"/>
              <w:rPr>
                <w:rFonts w:eastAsia="Calibri"/>
              </w:rPr>
            </w:pPr>
            <w:r w:rsidRPr="00DE2FA9">
              <w:rPr>
                <w:rFonts w:eastAsia="Calibri"/>
              </w:rPr>
              <w:t>@ Primary Voltage</w:t>
            </w:r>
          </w:p>
          <w:p w:rsidR="00D3612F" w:rsidRPr="00DE2FA9" w:rsidRDefault="00D3612F" w:rsidP="00D3612F">
            <w:pPr>
              <w:keepNext/>
              <w:suppressLineNumbers/>
              <w:jc w:val="both"/>
              <w:rPr>
                <w:rFonts w:eastAsia="Calibri"/>
              </w:rPr>
            </w:pPr>
            <w:r w:rsidRPr="00DE2FA9">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3612F" w:rsidRPr="00DE2FA9" w:rsidRDefault="00D3612F" w:rsidP="00D3612F">
            <w:pPr>
              <w:keepNext/>
              <w:suppressLineNumbers/>
              <w:suppressAutoHyphens/>
              <w:jc w:val="center"/>
              <w:outlineLvl w:val="2"/>
              <w:rPr>
                <w:rFonts w:eastAsia="Calibri"/>
              </w:rPr>
            </w:pPr>
          </w:p>
          <w:p w:rsidR="00D3612F" w:rsidRPr="00DE2FA9" w:rsidRDefault="00D3612F" w:rsidP="00D3612F">
            <w:pPr>
              <w:keepNext/>
              <w:suppressLineNumbers/>
              <w:jc w:val="center"/>
              <w:rPr>
                <w:rFonts w:eastAsia="Calibri"/>
              </w:rPr>
            </w:pPr>
            <w:r w:rsidRPr="00DE2FA9">
              <w:rPr>
                <w:rFonts w:eastAsia="Calibri"/>
              </w:rPr>
              <w:t>0.141 cents/kWh</w:t>
            </w:r>
          </w:p>
          <w:p w:rsidR="00D3612F" w:rsidRPr="00DE2FA9" w:rsidRDefault="00D3612F" w:rsidP="00D3612F">
            <w:pPr>
              <w:keepNext/>
              <w:suppressLineNumbers/>
              <w:jc w:val="center"/>
              <w:rPr>
                <w:rFonts w:eastAsia="Calibri"/>
              </w:rPr>
            </w:pPr>
            <w:r w:rsidRPr="00DE2FA9">
              <w:rPr>
                <w:rFonts w:eastAsia="Calibri"/>
              </w:rPr>
              <w:t>0.140 cents/kWh</w:t>
            </w:r>
          </w:p>
          <w:p w:rsidR="00D3612F" w:rsidRPr="00DE2FA9" w:rsidRDefault="00D3612F" w:rsidP="00D3612F">
            <w:pPr>
              <w:keepNext/>
              <w:suppressLineNumbers/>
              <w:jc w:val="center"/>
              <w:rPr>
                <w:rFonts w:eastAsia="Calibri"/>
              </w:rPr>
            </w:pPr>
            <w:r w:rsidRPr="00DE2FA9">
              <w:rPr>
                <w:rFonts w:eastAsia="Calibri"/>
              </w:rPr>
              <w:t>0.138 cents/kWh</w:t>
            </w:r>
          </w:p>
        </w:tc>
      </w:tr>
      <w:tr w:rsidR="00D3612F" w:rsidRPr="00DE2FA9" w:rsidTr="00D3612F">
        <w:trPr>
          <w:trHeight w:val="1138"/>
        </w:trPr>
        <w:tc>
          <w:tcPr>
            <w:tcW w:w="3348"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Curtailable</w:t>
            </w:r>
          </w:p>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 Secondary Voltage</w:t>
            </w:r>
          </w:p>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 Primary Voltage</w:t>
            </w:r>
          </w:p>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3612F" w:rsidRPr="00DE2FA9" w:rsidRDefault="00D3612F" w:rsidP="00D3612F">
            <w:pPr>
              <w:keepNext/>
              <w:suppressLineNumbers/>
              <w:jc w:val="center"/>
              <w:rPr>
                <w:rFonts w:eastAsia="Calibri"/>
              </w:rPr>
            </w:pPr>
          </w:p>
          <w:p w:rsidR="00D3612F" w:rsidRPr="00DE2FA9" w:rsidRDefault="00D3612F" w:rsidP="00D3612F">
            <w:pPr>
              <w:keepNext/>
              <w:suppressLineNumbers/>
              <w:jc w:val="center"/>
              <w:rPr>
                <w:rFonts w:eastAsia="Calibri"/>
              </w:rPr>
            </w:pPr>
            <w:r w:rsidRPr="00DE2FA9">
              <w:rPr>
                <w:rFonts w:eastAsia="Calibri"/>
              </w:rPr>
              <w:t>0.137 cents/kWh</w:t>
            </w:r>
          </w:p>
          <w:p w:rsidR="00D3612F" w:rsidRPr="00DE2FA9" w:rsidRDefault="00D3612F" w:rsidP="00D3612F">
            <w:pPr>
              <w:keepNext/>
              <w:suppressLineNumbers/>
              <w:jc w:val="center"/>
              <w:rPr>
                <w:rFonts w:eastAsia="Calibri"/>
              </w:rPr>
            </w:pPr>
            <w:r w:rsidRPr="00DE2FA9">
              <w:rPr>
                <w:rFonts w:eastAsia="Calibri"/>
              </w:rPr>
              <w:t>0.136 cents/kWh</w:t>
            </w:r>
          </w:p>
          <w:p w:rsidR="00D3612F" w:rsidRPr="00DE2FA9" w:rsidRDefault="00D3612F" w:rsidP="00D3612F">
            <w:pPr>
              <w:keepNext/>
              <w:suppressLineNumbers/>
              <w:jc w:val="center"/>
              <w:rPr>
                <w:rFonts w:eastAsia="Calibri"/>
              </w:rPr>
            </w:pPr>
            <w:r w:rsidRPr="00DE2FA9">
              <w:rPr>
                <w:rFonts w:eastAsia="Calibri"/>
              </w:rPr>
              <w:t>0.134 cents/kWh</w:t>
            </w:r>
          </w:p>
        </w:tc>
      </w:tr>
      <w:tr w:rsidR="00D3612F" w:rsidRPr="00DE2FA9" w:rsidTr="00D3612F">
        <w:trPr>
          <w:trHeight w:val="291"/>
        </w:trPr>
        <w:tc>
          <w:tcPr>
            <w:tcW w:w="3348"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Interruptible</w:t>
            </w:r>
          </w:p>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 Secondary Voltage</w:t>
            </w:r>
          </w:p>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 Primary Voltage</w:t>
            </w:r>
          </w:p>
          <w:p w:rsidR="00D3612F" w:rsidRPr="00DE2FA9" w:rsidRDefault="00D3612F" w:rsidP="00D3612F">
            <w:pPr>
              <w:keepNext/>
              <w:suppressLineNumbers/>
              <w:tabs>
                <w:tab w:val="left" w:pos="576"/>
                <w:tab w:val="left" w:pos="1440"/>
                <w:tab w:val="left" w:pos="1728"/>
                <w:tab w:val="left" w:pos="5904"/>
              </w:tabs>
              <w:ind w:firstLine="90"/>
              <w:jc w:val="both"/>
              <w:rPr>
                <w:rFonts w:eastAsia="Calibri"/>
              </w:rPr>
            </w:pPr>
            <w:r w:rsidRPr="00DE2FA9">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3612F" w:rsidRPr="00DE2FA9" w:rsidRDefault="00D3612F" w:rsidP="00D3612F">
            <w:pPr>
              <w:keepNext/>
              <w:suppressLineNumbers/>
              <w:jc w:val="center"/>
              <w:rPr>
                <w:rFonts w:eastAsia="Calibri"/>
              </w:rPr>
            </w:pPr>
          </w:p>
          <w:p w:rsidR="00D3612F" w:rsidRPr="00DE2FA9" w:rsidRDefault="00D3612F" w:rsidP="00D3612F">
            <w:pPr>
              <w:keepNext/>
              <w:suppressLineNumbers/>
              <w:jc w:val="center"/>
              <w:rPr>
                <w:rFonts w:eastAsia="Calibri"/>
              </w:rPr>
            </w:pPr>
            <w:r w:rsidRPr="00DE2FA9">
              <w:rPr>
                <w:rFonts w:eastAsia="Calibri"/>
              </w:rPr>
              <w:t>0.138 cents/kWh</w:t>
            </w:r>
          </w:p>
          <w:p w:rsidR="00D3612F" w:rsidRPr="00DE2FA9" w:rsidRDefault="00D3612F" w:rsidP="00D3612F">
            <w:pPr>
              <w:keepNext/>
              <w:suppressLineNumbers/>
              <w:jc w:val="center"/>
              <w:rPr>
                <w:rFonts w:eastAsia="Calibri"/>
              </w:rPr>
            </w:pPr>
            <w:r w:rsidRPr="00DE2FA9">
              <w:rPr>
                <w:rFonts w:eastAsia="Calibri"/>
              </w:rPr>
              <w:t>0.137 cents/kWh</w:t>
            </w:r>
          </w:p>
          <w:p w:rsidR="00D3612F" w:rsidRPr="00DE2FA9" w:rsidRDefault="00D3612F" w:rsidP="00D3612F">
            <w:pPr>
              <w:keepNext/>
              <w:suppressLineNumbers/>
              <w:jc w:val="center"/>
              <w:rPr>
                <w:rFonts w:eastAsia="Calibri"/>
              </w:rPr>
            </w:pPr>
            <w:r w:rsidRPr="00DE2FA9">
              <w:rPr>
                <w:rFonts w:eastAsia="Calibri"/>
              </w:rPr>
              <w:t>0.135 cents/kWh</w:t>
            </w:r>
          </w:p>
        </w:tc>
      </w:tr>
      <w:tr w:rsidR="00D3612F" w:rsidRPr="00DE2FA9" w:rsidTr="00D3612F">
        <w:trPr>
          <w:trHeight w:val="291"/>
        </w:trPr>
        <w:tc>
          <w:tcPr>
            <w:tcW w:w="3348"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suppressLineNumbers/>
              <w:rPr>
                <w:rFonts w:eastAsia="Calibri"/>
              </w:rPr>
            </w:pPr>
            <w:r w:rsidRPr="00DE2FA9">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rsidR="00D3612F" w:rsidRPr="00DE2FA9" w:rsidRDefault="00D3612F" w:rsidP="00D3612F">
            <w:pPr>
              <w:suppressLineNumbers/>
              <w:jc w:val="center"/>
              <w:rPr>
                <w:rFonts w:eastAsia="Calibri"/>
              </w:rPr>
            </w:pPr>
            <w:r w:rsidRPr="00DE2FA9">
              <w:rPr>
                <w:rFonts w:eastAsia="Calibri"/>
              </w:rPr>
              <w:t>0.138 cents/kWh</w:t>
            </w:r>
          </w:p>
        </w:tc>
      </w:tr>
    </w:tbl>
    <w:p w:rsidR="00D3612F" w:rsidRPr="00DE2FA9" w:rsidRDefault="00D3612F" w:rsidP="00D3612F">
      <w:pPr>
        <w:spacing w:after="200" w:line="276" w:lineRule="auto"/>
        <w:ind w:left="1440" w:right="-360" w:hanging="720"/>
        <w:jc w:val="both"/>
        <w:rPr>
          <w:rFonts w:eastAsia="Calibri"/>
          <w:b/>
          <w:bCs/>
        </w:rPr>
      </w:pPr>
    </w:p>
    <w:p w:rsidR="00E27EAF" w:rsidRDefault="00E27EAF" w:rsidP="00D3612F">
      <w:pPr>
        <w:ind w:right="-360"/>
        <w:jc w:val="both"/>
        <w:rPr>
          <w:rFonts w:eastAsia="Calibri"/>
          <w:b/>
          <w:bCs/>
        </w:rPr>
      </w:pPr>
    </w:p>
    <w:p w:rsidR="000A03B5" w:rsidRDefault="000A03B5">
      <w:pPr>
        <w:rPr>
          <w:rFonts w:eastAsia="Calibri"/>
          <w:b/>
          <w:bCs/>
        </w:rPr>
      </w:pPr>
      <w:r>
        <w:rPr>
          <w:rFonts w:eastAsia="Calibri"/>
          <w:b/>
          <w:bCs/>
        </w:rPr>
        <w:br w:type="page"/>
      </w:r>
    </w:p>
    <w:p w:rsidR="00D3612F" w:rsidRPr="00C75362" w:rsidRDefault="00D3612F" w:rsidP="00D3612F">
      <w:pPr>
        <w:ind w:right="-360"/>
        <w:jc w:val="both"/>
        <w:rPr>
          <w:rFonts w:eastAsia="Calibri"/>
          <w:b/>
          <w:bCs/>
        </w:rPr>
      </w:pPr>
      <w:r w:rsidRPr="00C75362">
        <w:rPr>
          <w:rFonts w:eastAsia="Calibri"/>
          <w:b/>
          <w:bCs/>
        </w:rPr>
        <w:lastRenderedPageBreak/>
        <w:t>TECO:</w:t>
      </w:r>
      <w:r w:rsidRPr="00C75362">
        <w:rPr>
          <w:rFonts w:eastAsia="Calibri"/>
          <w:b/>
          <w:bCs/>
        </w:rPr>
        <w:tab/>
      </w:r>
      <w:r w:rsidRPr="00C75362">
        <w:rPr>
          <w:rFonts w:eastAsia="Calibri"/>
          <w:b/>
          <w:bCs/>
        </w:rPr>
        <w:tab/>
      </w:r>
    </w:p>
    <w:p w:rsidR="00D3612F" w:rsidRPr="00DE2FA9" w:rsidRDefault="00D3612F" w:rsidP="00D3612F">
      <w:pPr>
        <w:ind w:left="720" w:right="-360" w:firstLine="720"/>
        <w:jc w:val="both"/>
        <w:rPr>
          <w:rFonts w:eastAsia="Calibri"/>
          <w:b/>
          <w:color w:val="000000"/>
          <w:u w:val="single"/>
        </w:rPr>
      </w:pPr>
      <w:r w:rsidRPr="00DE2FA9">
        <w:rPr>
          <w:rFonts w:eastAsia="Calibri"/>
          <w:b/>
          <w:u w:val="single"/>
        </w:rPr>
        <w:t>Rate Class</w:t>
      </w:r>
      <w:r w:rsidRPr="00DE2FA9">
        <w:rPr>
          <w:rFonts w:eastAsia="Calibri"/>
        </w:rPr>
        <w:tab/>
      </w:r>
      <w:r w:rsidRPr="00DE2FA9">
        <w:rPr>
          <w:rFonts w:eastAsia="Calibri"/>
        </w:rPr>
        <w:tab/>
      </w:r>
      <w:r w:rsidRPr="00DE2FA9">
        <w:rPr>
          <w:rFonts w:eastAsia="Calibri"/>
        </w:rPr>
        <w:tab/>
      </w:r>
      <w:r w:rsidRPr="00DE2FA9">
        <w:rPr>
          <w:rFonts w:eastAsia="Calibri"/>
        </w:rPr>
        <w:tab/>
      </w:r>
      <w:r w:rsidRPr="00DE2FA9">
        <w:rPr>
          <w:rFonts w:eastAsia="Calibri"/>
        </w:rPr>
        <w:tab/>
      </w:r>
      <w:r w:rsidRPr="00DE2FA9">
        <w:rPr>
          <w:rFonts w:eastAsia="Calibri"/>
        </w:rPr>
        <w:tab/>
      </w:r>
      <w:r w:rsidRPr="00DE2FA9">
        <w:rPr>
          <w:rFonts w:eastAsia="Calibri"/>
          <w:b/>
          <w:u w:val="single"/>
        </w:rPr>
        <w:t>Factor (¢/kWh</w:t>
      </w:r>
      <w:r w:rsidRPr="00DE2FA9">
        <w:rPr>
          <w:rFonts w:eastAsia="Calibri"/>
          <w:b/>
          <w:color w:val="000000"/>
          <w:u w:val="single"/>
        </w:rPr>
        <w:t>)</w:t>
      </w:r>
    </w:p>
    <w:p w:rsidR="00D3612F" w:rsidRPr="00DE2FA9" w:rsidRDefault="00D3612F" w:rsidP="00D3612F">
      <w:pPr>
        <w:ind w:left="720" w:right="-360" w:hanging="720"/>
        <w:jc w:val="both"/>
        <w:rPr>
          <w:rFonts w:eastAsia="Calibri"/>
          <w:b/>
          <w:u w:val="single"/>
        </w:rPr>
      </w:pPr>
    </w:p>
    <w:p w:rsidR="00D3612F" w:rsidRPr="00DE2FA9" w:rsidRDefault="00D3612F" w:rsidP="00D3612F">
      <w:pPr>
        <w:tabs>
          <w:tab w:val="left" w:pos="-1440"/>
          <w:tab w:val="left" w:pos="-720"/>
          <w:tab w:val="left" w:pos="720"/>
          <w:tab w:val="left" w:pos="1440"/>
          <w:tab w:val="left" w:pos="7200"/>
        </w:tabs>
        <w:ind w:right="-360" w:firstLine="1440"/>
        <w:rPr>
          <w:rFonts w:eastAsia="Calibri"/>
        </w:rPr>
      </w:pPr>
      <w:r w:rsidRPr="00DE2FA9">
        <w:rPr>
          <w:rFonts w:eastAsia="Calibri"/>
        </w:rPr>
        <w:t>RS</w:t>
      </w:r>
      <w:r w:rsidRPr="00DE2FA9">
        <w:rPr>
          <w:rFonts w:eastAsia="Calibri"/>
        </w:rPr>
        <w:tab/>
        <w:t>0.222</w:t>
      </w:r>
    </w:p>
    <w:p w:rsidR="00D3612F" w:rsidRPr="00DE2FA9" w:rsidRDefault="00D3612F" w:rsidP="00D3612F">
      <w:pPr>
        <w:tabs>
          <w:tab w:val="left" w:pos="-1440"/>
          <w:tab w:val="left" w:pos="-720"/>
          <w:tab w:val="left" w:pos="720"/>
          <w:tab w:val="left" w:pos="1440"/>
          <w:tab w:val="left" w:pos="7200"/>
        </w:tabs>
        <w:ind w:right="-360" w:firstLine="1440"/>
        <w:rPr>
          <w:rFonts w:eastAsia="Calibri"/>
        </w:rPr>
      </w:pPr>
      <w:r w:rsidRPr="00DE2FA9">
        <w:rPr>
          <w:rFonts w:eastAsia="Calibri"/>
        </w:rPr>
        <w:t>GS, CS</w:t>
      </w:r>
      <w:r w:rsidRPr="00DE2FA9">
        <w:rPr>
          <w:rFonts w:eastAsia="Calibri"/>
        </w:rPr>
        <w:tab/>
        <w:t>0.221</w:t>
      </w:r>
    </w:p>
    <w:p w:rsidR="00D3612F" w:rsidRPr="00DE2FA9" w:rsidRDefault="00D3612F" w:rsidP="00D3612F">
      <w:pPr>
        <w:tabs>
          <w:tab w:val="left" w:pos="-1440"/>
          <w:tab w:val="left" w:pos="-720"/>
          <w:tab w:val="left" w:pos="720"/>
          <w:tab w:val="left" w:pos="1440"/>
          <w:tab w:val="left" w:pos="6840"/>
        </w:tabs>
        <w:ind w:right="-360" w:firstLine="1440"/>
        <w:rPr>
          <w:rFonts w:eastAsia="Calibri"/>
        </w:rPr>
      </w:pPr>
      <w:r w:rsidRPr="00DE2FA9">
        <w:rPr>
          <w:rFonts w:eastAsia="Calibri"/>
        </w:rPr>
        <w:t>GSD, SBF</w:t>
      </w:r>
    </w:p>
    <w:p w:rsidR="00D3612F" w:rsidRPr="00DE2FA9" w:rsidRDefault="00D3612F" w:rsidP="00D3612F">
      <w:pPr>
        <w:tabs>
          <w:tab w:val="left" w:pos="-1440"/>
          <w:tab w:val="left" w:pos="-720"/>
          <w:tab w:val="left" w:pos="720"/>
          <w:tab w:val="left" w:pos="1440"/>
          <w:tab w:val="left" w:pos="1800"/>
          <w:tab w:val="left" w:pos="7200"/>
        </w:tabs>
        <w:ind w:right="-360"/>
        <w:rPr>
          <w:rFonts w:eastAsia="Calibri"/>
        </w:rPr>
      </w:pPr>
      <w:r w:rsidRPr="00DE2FA9">
        <w:rPr>
          <w:rFonts w:eastAsia="Calibri"/>
        </w:rPr>
        <w:tab/>
      </w:r>
      <w:r w:rsidRPr="00DE2FA9">
        <w:rPr>
          <w:rFonts w:eastAsia="Calibri"/>
        </w:rPr>
        <w:tab/>
      </w:r>
      <w:r w:rsidRPr="00DE2FA9">
        <w:rPr>
          <w:rFonts w:eastAsia="Calibri"/>
        </w:rPr>
        <w:tab/>
        <w:t>Secondary</w:t>
      </w:r>
      <w:r w:rsidRPr="00DE2FA9">
        <w:rPr>
          <w:rFonts w:eastAsia="Calibri"/>
        </w:rPr>
        <w:tab/>
        <w:t>0.220</w:t>
      </w:r>
    </w:p>
    <w:p w:rsidR="00D3612F" w:rsidRPr="00DE2FA9" w:rsidRDefault="00D3612F" w:rsidP="00D3612F">
      <w:pPr>
        <w:tabs>
          <w:tab w:val="left" w:pos="-1440"/>
          <w:tab w:val="left" w:pos="-720"/>
          <w:tab w:val="left" w:pos="720"/>
          <w:tab w:val="left" w:pos="1440"/>
          <w:tab w:val="left" w:pos="1800"/>
          <w:tab w:val="left" w:pos="7200"/>
        </w:tabs>
        <w:ind w:right="-360"/>
        <w:rPr>
          <w:rFonts w:eastAsia="Calibri"/>
        </w:rPr>
      </w:pPr>
      <w:r w:rsidRPr="00DE2FA9">
        <w:rPr>
          <w:rFonts w:eastAsia="Calibri"/>
        </w:rPr>
        <w:tab/>
      </w:r>
      <w:r w:rsidRPr="00DE2FA9">
        <w:rPr>
          <w:rFonts w:eastAsia="Calibri"/>
        </w:rPr>
        <w:tab/>
      </w:r>
      <w:r w:rsidRPr="00DE2FA9">
        <w:rPr>
          <w:rFonts w:eastAsia="Calibri"/>
        </w:rPr>
        <w:tab/>
        <w:t>Primary</w:t>
      </w:r>
      <w:r w:rsidRPr="00DE2FA9">
        <w:rPr>
          <w:rFonts w:eastAsia="Calibri"/>
        </w:rPr>
        <w:tab/>
        <w:t>0.218</w:t>
      </w:r>
    </w:p>
    <w:p w:rsidR="00D3612F" w:rsidRPr="00DE2FA9" w:rsidRDefault="00D3612F" w:rsidP="00D3612F">
      <w:pPr>
        <w:tabs>
          <w:tab w:val="left" w:pos="-1440"/>
          <w:tab w:val="left" w:pos="-720"/>
          <w:tab w:val="left" w:pos="720"/>
          <w:tab w:val="left" w:pos="1440"/>
          <w:tab w:val="left" w:pos="1800"/>
          <w:tab w:val="left" w:pos="7200"/>
        </w:tabs>
        <w:ind w:right="-360"/>
        <w:rPr>
          <w:rFonts w:eastAsia="Calibri"/>
        </w:rPr>
      </w:pPr>
      <w:r w:rsidRPr="00DE2FA9">
        <w:rPr>
          <w:rFonts w:eastAsia="Calibri"/>
        </w:rPr>
        <w:tab/>
      </w:r>
      <w:r w:rsidRPr="00DE2FA9">
        <w:rPr>
          <w:rFonts w:eastAsia="Calibri"/>
        </w:rPr>
        <w:tab/>
      </w:r>
      <w:r w:rsidRPr="00DE2FA9">
        <w:rPr>
          <w:rFonts w:eastAsia="Calibri"/>
        </w:rPr>
        <w:tab/>
        <w:t>Transmission</w:t>
      </w:r>
      <w:r w:rsidRPr="00DE2FA9">
        <w:rPr>
          <w:rFonts w:eastAsia="Calibri"/>
        </w:rPr>
        <w:tab/>
        <w:t>0.216</w:t>
      </w:r>
    </w:p>
    <w:p w:rsidR="00D3612F" w:rsidRPr="00DE2FA9" w:rsidRDefault="00D3612F" w:rsidP="00D3612F">
      <w:pPr>
        <w:tabs>
          <w:tab w:val="left" w:pos="4590"/>
          <w:tab w:val="left" w:pos="6660"/>
          <w:tab w:val="left" w:pos="6840"/>
        </w:tabs>
        <w:ind w:right="-360" w:firstLine="1440"/>
        <w:rPr>
          <w:rFonts w:eastAsia="Calibri"/>
        </w:rPr>
      </w:pPr>
      <w:r w:rsidRPr="00DE2FA9">
        <w:rPr>
          <w:rFonts w:eastAsia="Calibri"/>
        </w:rPr>
        <w:t>IS</w:t>
      </w:r>
    </w:p>
    <w:p w:rsidR="00D3612F" w:rsidRPr="00DE2FA9" w:rsidRDefault="00D3612F" w:rsidP="00D3612F">
      <w:pPr>
        <w:tabs>
          <w:tab w:val="left" w:pos="1800"/>
          <w:tab w:val="left" w:pos="4590"/>
          <w:tab w:val="left" w:pos="6840"/>
        </w:tabs>
        <w:ind w:right="-360" w:firstLine="1440"/>
        <w:rPr>
          <w:rFonts w:eastAsia="Calibri"/>
        </w:rPr>
      </w:pPr>
      <w:r w:rsidRPr="00DE2FA9">
        <w:rPr>
          <w:rFonts w:eastAsia="Calibri"/>
        </w:rPr>
        <w:tab/>
        <w:t>Secondary</w:t>
      </w:r>
      <w:r w:rsidRPr="00DE2FA9">
        <w:rPr>
          <w:rFonts w:eastAsia="Calibri"/>
        </w:rPr>
        <w:tab/>
      </w:r>
      <w:r w:rsidRPr="00DE2FA9">
        <w:rPr>
          <w:rFonts w:eastAsia="Calibri"/>
        </w:rPr>
        <w:tab/>
      </w:r>
      <w:r w:rsidRPr="00DE2FA9">
        <w:rPr>
          <w:rFonts w:eastAsia="Calibri"/>
        </w:rPr>
        <w:tab/>
        <w:t>0.217</w:t>
      </w:r>
    </w:p>
    <w:p w:rsidR="00D3612F" w:rsidRPr="00DE2FA9" w:rsidRDefault="00D3612F" w:rsidP="00D3612F">
      <w:pPr>
        <w:tabs>
          <w:tab w:val="left" w:pos="1800"/>
          <w:tab w:val="left" w:pos="4590"/>
          <w:tab w:val="left" w:pos="6840"/>
        </w:tabs>
        <w:ind w:right="-360" w:firstLine="1440"/>
        <w:rPr>
          <w:rFonts w:eastAsia="Calibri"/>
        </w:rPr>
      </w:pPr>
      <w:r w:rsidRPr="00DE2FA9">
        <w:rPr>
          <w:rFonts w:eastAsia="Calibri"/>
        </w:rPr>
        <w:tab/>
        <w:t>Primary</w:t>
      </w:r>
      <w:r w:rsidRPr="00DE2FA9">
        <w:rPr>
          <w:rFonts w:eastAsia="Calibri"/>
        </w:rPr>
        <w:tab/>
      </w:r>
      <w:r w:rsidRPr="00DE2FA9">
        <w:rPr>
          <w:rFonts w:eastAsia="Calibri"/>
        </w:rPr>
        <w:tab/>
      </w:r>
      <w:r w:rsidRPr="00DE2FA9">
        <w:rPr>
          <w:rFonts w:eastAsia="Calibri"/>
        </w:rPr>
        <w:tab/>
        <w:t>0.214</w:t>
      </w:r>
    </w:p>
    <w:p w:rsidR="00D3612F" w:rsidRPr="00DE2FA9" w:rsidRDefault="00D3612F" w:rsidP="00D3612F">
      <w:pPr>
        <w:tabs>
          <w:tab w:val="left" w:pos="1800"/>
          <w:tab w:val="left" w:pos="4590"/>
          <w:tab w:val="left" w:pos="6840"/>
        </w:tabs>
        <w:ind w:right="-360" w:firstLine="1440"/>
        <w:rPr>
          <w:rFonts w:eastAsia="Calibri"/>
        </w:rPr>
      </w:pPr>
      <w:r w:rsidRPr="00DE2FA9">
        <w:rPr>
          <w:rFonts w:eastAsia="Calibri"/>
        </w:rPr>
        <w:tab/>
        <w:t>Transmission</w:t>
      </w:r>
      <w:r w:rsidRPr="00DE2FA9">
        <w:rPr>
          <w:rFonts w:eastAsia="Calibri"/>
        </w:rPr>
        <w:tab/>
      </w:r>
      <w:r w:rsidRPr="00DE2FA9">
        <w:rPr>
          <w:rFonts w:eastAsia="Calibri"/>
        </w:rPr>
        <w:tab/>
      </w:r>
      <w:r w:rsidRPr="00DE2FA9">
        <w:rPr>
          <w:rFonts w:eastAsia="Calibri"/>
        </w:rPr>
        <w:tab/>
        <w:t>0.212</w:t>
      </w:r>
    </w:p>
    <w:p w:rsidR="00D3612F" w:rsidRPr="00DE2FA9" w:rsidRDefault="00D3612F" w:rsidP="00D3612F">
      <w:pPr>
        <w:tabs>
          <w:tab w:val="left" w:pos="1800"/>
          <w:tab w:val="left" w:pos="4590"/>
          <w:tab w:val="left" w:pos="6840"/>
        </w:tabs>
        <w:ind w:right="-360" w:firstLine="1440"/>
        <w:rPr>
          <w:rFonts w:eastAsia="Calibri"/>
        </w:rPr>
      </w:pPr>
    </w:p>
    <w:p w:rsidR="00D3612F" w:rsidRPr="00DE2FA9" w:rsidRDefault="00D3612F" w:rsidP="00D3612F">
      <w:pPr>
        <w:tabs>
          <w:tab w:val="left" w:pos="-1440"/>
          <w:tab w:val="left" w:pos="-720"/>
          <w:tab w:val="left" w:pos="720"/>
          <w:tab w:val="left" w:pos="1440"/>
          <w:tab w:val="left" w:pos="7200"/>
        </w:tabs>
        <w:ind w:right="-360" w:firstLine="1440"/>
        <w:rPr>
          <w:rFonts w:eastAsia="Calibri"/>
        </w:rPr>
      </w:pPr>
      <w:r w:rsidRPr="00DE2FA9">
        <w:rPr>
          <w:rFonts w:eastAsia="Calibri"/>
        </w:rPr>
        <w:t>LS1</w:t>
      </w:r>
      <w:r w:rsidRPr="00DE2FA9">
        <w:rPr>
          <w:rFonts w:eastAsia="Calibri"/>
        </w:rPr>
        <w:tab/>
        <w:t>0.217</w:t>
      </w:r>
    </w:p>
    <w:p w:rsidR="00D3612F" w:rsidRPr="00DE2FA9" w:rsidRDefault="00D3612F" w:rsidP="00D3612F">
      <w:pPr>
        <w:tabs>
          <w:tab w:val="left" w:pos="-1440"/>
          <w:tab w:val="left" w:pos="-720"/>
          <w:tab w:val="left" w:pos="720"/>
          <w:tab w:val="left" w:pos="1440"/>
          <w:tab w:val="left" w:pos="7200"/>
        </w:tabs>
        <w:ind w:right="-360" w:firstLine="1440"/>
        <w:rPr>
          <w:rFonts w:eastAsia="Calibri"/>
        </w:rPr>
      </w:pPr>
    </w:p>
    <w:p w:rsidR="00D3612F" w:rsidRDefault="00D3612F" w:rsidP="00D3612F">
      <w:pPr>
        <w:tabs>
          <w:tab w:val="left" w:pos="-1440"/>
          <w:tab w:val="left" w:pos="-720"/>
          <w:tab w:val="left" w:pos="720"/>
          <w:tab w:val="left" w:pos="1440"/>
          <w:tab w:val="left" w:pos="7200"/>
          <w:tab w:val="right" w:pos="8640"/>
        </w:tabs>
        <w:ind w:right="-360" w:firstLine="1440"/>
      </w:pPr>
      <w:r w:rsidRPr="00DE2FA9">
        <w:t>Average Factor</w:t>
      </w:r>
      <w:r w:rsidRPr="00DE2FA9">
        <w:tab/>
        <w:t>0.221</w:t>
      </w:r>
    </w:p>
    <w:p w:rsidR="000A03B5" w:rsidRPr="00DE2FA9" w:rsidRDefault="000A03B5" w:rsidP="00D3612F">
      <w:pPr>
        <w:tabs>
          <w:tab w:val="left" w:pos="-1440"/>
          <w:tab w:val="left" w:pos="-720"/>
          <w:tab w:val="left" w:pos="720"/>
          <w:tab w:val="left" w:pos="1440"/>
          <w:tab w:val="left" w:pos="7200"/>
          <w:tab w:val="right" w:pos="8640"/>
        </w:tabs>
        <w:ind w:right="-360" w:firstLine="1440"/>
      </w:pPr>
    </w:p>
    <w:p w:rsidR="00D3612F" w:rsidRPr="00DE2FA9" w:rsidRDefault="00D3612F" w:rsidP="00D3612F">
      <w:pPr>
        <w:keepNext/>
        <w:tabs>
          <w:tab w:val="left" w:pos="-1440"/>
          <w:tab w:val="left" w:pos="-720"/>
          <w:tab w:val="left" w:pos="0"/>
          <w:tab w:val="left" w:pos="720"/>
          <w:tab w:val="left" w:pos="2160"/>
          <w:tab w:val="left" w:pos="2880"/>
          <w:tab w:val="left" w:pos="3600"/>
          <w:tab w:val="left" w:pos="5040"/>
        </w:tabs>
        <w:spacing w:after="200" w:line="276" w:lineRule="auto"/>
        <w:jc w:val="both"/>
        <w:rPr>
          <w:rFonts w:eastAsia="Calibri"/>
        </w:rPr>
      </w:pPr>
      <w:r w:rsidRPr="00DE2FA9">
        <w:rPr>
          <w:rFonts w:eastAsia="Calibri"/>
          <w:b/>
          <w:bCs/>
        </w:rPr>
        <w:t>GULF:</w:t>
      </w:r>
    </w:p>
    <w:tbl>
      <w:tblPr>
        <w:tblW w:w="0" w:type="auto"/>
        <w:tblInd w:w="1810" w:type="dxa"/>
        <w:tblLayout w:type="fixed"/>
        <w:tblCellMar>
          <w:left w:w="100" w:type="dxa"/>
          <w:right w:w="100" w:type="dxa"/>
        </w:tblCellMar>
        <w:tblLook w:val="04A0" w:firstRow="1" w:lastRow="0" w:firstColumn="1" w:lastColumn="0" w:noHBand="0" w:noVBand="1"/>
      </w:tblPr>
      <w:tblGrid>
        <w:gridCol w:w="2754"/>
        <w:gridCol w:w="3366"/>
      </w:tblGrid>
      <w:tr w:rsidR="00D3612F" w:rsidRPr="00DE2FA9" w:rsidTr="00D3612F">
        <w:trPr>
          <w:cantSplit/>
          <w:trHeight w:val="876"/>
        </w:trPr>
        <w:tc>
          <w:tcPr>
            <w:tcW w:w="2754" w:type="dxa"/>
            <w:tcBorders>
              <w:top w:val="single" w:sz="6" w:space="0" w:color="auto"/>
              <w:left w:val="single" w:sz="6" w:space="0" w:color="auto"/>
              <w:bottom w:val="single" w:sz="6" w:space="0" w:color="auto"/>
              <w:right w:val="single" w:sz="6" w:space="0" w:color="auto"/>
            </w:tcBorders>
          </w:tcPr>
          <w:p w:rsidR="00D3612F" w:rsidRPr="00DE2FA9" w:rsidRDefault="00D3612F" w:rsidP="00D3612F">
            <w:pPr>
              <w:jc w:val="center"/>
              <w:rPr>
                <w:rFonts w:eastAsia="Calibri"/>
                <w:b/>
                <w:bCs/>
              </w:rPr>
            </w:pPr>
          </w:p>
          <w:p w:rsidR="00D3612F" w:rsidRPr="00DE2FA9" w:rsidRDefault="00D3612F" w:rsidP="00D3612F">
            <w:pPr>
              <w:jc w:val="center"/>
              <w:rPr>
                <w:rFonts w:eastAsia="Calibri"/>
                <w:b/>
                <w:bCs/>
              </w:rPr>
            </w:pPr>
            <w:r w:rsidRPr="00DE2FA9">
              <w:rPr>
                <w:rFonts w:eastAsia="Calibri"/>
                <w:b/>
                <w:bCs/>
              </w:rPr>
              <w:t>RATE</w:t>
            </w:r>
          </w:p>
          <w:p w:rsidR="00D3612F" w:rsidRPr="00DE2FA9" w:rsidRDefault="00D3612F" w:rsidP="00D3612F">
            <w:pPr>
              <w:jc w:val="center"/>
              <w:rPr>
                <w:rFonts w:eastAsia="Calibri"/>
              </w:rPr>
            </w:pPr>
            <w:r w:rsidRPr="00DE2FA9">
              <w:rPr>
                <w:rFonts w:eastAsia="Calibri"/>
                <w:b/>
                <w:bCs/>
              </w:rPr>
              <w:t>CLASS</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b/>
                <w:bCs/>
              </w:rPr>
              <w:t>ENVIRONMENTAL COST RECOVERY FACTORS</w:t>
            </w:r>
          </w:p>
          <w:p w:rsidR="00D3612F" w:rsidRPr="00DE2FA9" w:rsidRDefault="00D3612F" w:rsidP="00D3612F">
            <w:pPr>
              <w:jc w:val="center"/>
              <w:rPr>
                <w:rFonts w:eastAsia="Calibri"/>
              </w:rPr>
            </w:pPr>
            <w:r w:rsidRPr="00DE2FA9">
              <w:rPr>
                <w:rFonts w:eastAsia="Calibri"/>
                <w:b/>
                <w:bCs/>
              </w:rPr>
              <w:t>¢/kWh</w:t>
            </w:r>
          </w:p>
        </w:tc>
      </w:tr>
      <w:tr w:rsidR="00D3612F" w:rsidRPr="00DE2FA9" w:rsidTr="00D3612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rPr>
                <w:rFonts w:eastAsia="Calibri"/>
              </w:rPr>
            </w:pPr>
            <w:r w:rsidRPr="00DE2FA9">
              <w:rPr>
                <w:rFonts w:eastAsia="Calibri"/>
              </w:rPr>
              <w:t>RS, RSVP, RSTOU</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rPr>
              <w:t>1.810</w:t>
            </w:r>
          </w:p>
        </w:tc>
      </w:tr>
      <w:tr w:rsidR="00D3612F" w:rsidRPr="00DE2FA9" w:rsidTr="00D3612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rPr>
                <w:rFonts w:eastAsia="Calibri"/>
              </w:rPr>
            </w:pPr>
            <w:r w:rsidRPr="00DE2FA9">
              <w:rPr>
                <w:rFonts w:eastAsia="Calibri"/>
              </w:rPr>
              <w:t>GS</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rPr>
              <w:t>1.669</w:t>
            </w:r>
          </w:p>
        </w:tc>
      </w:tr>
      <w:tr w:rsidR="00D3612F" w:rsidRPr="00DE2FA9" w:rsidTr="00D3612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rPr>
                <w:rFonts w:eastAsia="Calibri"/>
              </w:rPr>
            </w:pPr>
            <w:r w:rsidRPr="00DE2FA9">
              <w:rPr>
                <w:rFonts w:eastAsia="Calibri"/>
              </w:rPr>
              <w:t>GSD, GSDT, GSTOU</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rPr>
              <w:t>1.483</w:t>
            </w:r>
          </w:p>
        </w:tc>
      </w:tr>
      <w:tr w:rsidR="00D3612F" w:rsidRPr="00DE2FA9" w:rsidTr="00D3612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rPr>
                <w:rFonts w:eastAsia="Calibri"/>
              </w:rPr>
            </w:pPr>
            <w:r w:rsidRPr="00DE2FA9">
              <w:rPr>
                <w:rFonts w:eastAsia="Calibri"/>
              </w:rPr>
              <w:t>LP, LPT</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rPr>
              <w:t>1.327</w:t>
            </w:r>
          </w:p>
        </w:tc>
      </w:tr>
      <w:tr w:rsidR="00D3612F" w:rsidRPr="00DE2FA9" w:rsidTr="00D3612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rPr>
                <w:rFonts w:eastAsia="Calibri"/>
              </w:rPr>
            </w:pPr>
            <w:r w:rsidRPr="00DE2FA9">
              <w:rPr>
                <w:rFonts w:eastAsia="Calibri"/>
              </w:rPr>
              <w:t>PX, PXT, RTP, SBS</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rPr>
              <w:t>1.272</w:t>
            </w:r>
          </w:p>
        </w:tc>
      </w:tr>
      <w:tr w:rsidR="00D3612F" w:rsidRPr="00DE2FA9" w:rsidTr="00D3612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rPr>
                <w:rFonts w:eastAsia="Calibri"/>
              </w:rPr>
            </w:pPr>
            <w:r w:rsidRPr="00DE2FA9">
              <w:rPr>
                <w:rFonts w:eastAsia="Calibri"/>
              </w:rPr>
              <w:t>OS-I/II</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rPr>
              <w:t>0.511</w:t>
            </w:r>
          </w:p>
        </w:tc>
      </w:tr>
      <w:tr w:rsidR="00D3612F" w:rsidRPr="00DE2FA9" w:rsidTr="00D3612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rPr>
                <w:rFonts w:eastAsia="Calibri"/>
              </w:rPr>
            </w:pPr>
            <w:r w:rsidRPr="00DE2FA9">
              <w:rPr>
                <w:rFonts w:eastAsia="Calibri"/>
              </w:rPr>
              <w:t>OS-III</w:t>
            </w:r>
          </w:p>
        </w:tc>
        <w:tc>
          <w:tcPr>
            <w:tcW w:w="3366" w:type="dxa"/>
            <w:tcBorders>
              <w:top w:val="single" w:sz="6" w:space="0" w:color="auto"/>
              <w:left w:val="single" w:sz="6" w:space="0" w:color="auto"/>
              <w:bottom w:val="single" w:sz="6" w:space="0" w:color="auto"/>
              <w:right w:val="single" w:sz="6" w:space="0" w:color="auto"/>
            </w:tcBorders>
            <w:hideMark/>
          </w:tcPr>
          <w:p w:rsidR="00D3612F" w:rsidRPr="00DE2FA9" w:rsidRDefault="00D3612F" w:rsidP="00D3612F">
            <w:pPr>
              <w:jc w:val="center"/>
              <w:rPr>
                <w:rFonts w:eastAsia="Calibri"/>
              </w:rPr>
            </w:pPr>
            <w:r w:rsidRPr="00DE2FA9">
              <w:rPr>
                <w:rFonts w:eastAsia="Calibri"/>
              </w:rPr>
              <w:t>1.172</w:t>
            </w:r>
          </w:p>
        </w:tc>
      </w:tr>
    </w:tbl>
    <w:p w:rsidR="00D3612F" w:rsidRPr="00DE2FA9" w:rsidRDefault="00D3612F" w:rsidP="00D3612F">
      <w:pPr>
        <w:spacing w:after="200" w:line="276" w:lineRule="auto"/>
        <w:ind w:left="1440" w:hanging="1440"/>
        <w:jc w:val="both"/>
        <w:rPr>
          <w:rFonts w:eastAsia="Calibri"/>
          <w:b/>
          <w:bCs/>
        </w:rPr>
      </w:pPr>
    </w:p>
    <w:p w:rsidR="00D3612F" w:rsidRPr="00DE2FA9" w:rsidRDefault="00E27EAF" w:rsidP="007F7173">
      <w:pPr>
        <w:spacing w:after="200"/>
        <w:jc w:val="both"/>
        <w:rPr>
          <w:rFonts w:eastAsia="Calibri"/>
          <w:b/>
        </w:rPr>
      </w:pPr>
      <w:r>
        <w:rPr>
          <w:rFonts w:eastAsia="Calibri"/>
          <w:b/>
        </w:rPr>
        <w:t>T</w:t>
      </w:r>
      <w:r w:rsidR="00D3612F" w:rsidRPr="00DE2FA9">
        <w:rPr>
          <w:rFonts w:eastAsia="Calibri"/>
          <w:b/>
        </w:rPr>
        <w:t>he effective date of the new environmental cost recovery factors for billing purposes</w:t>
      </w:r>
    </w:p>
    <w:p w:rsidR="00D3612F" w:rsidRDefault="00D3612F" w:rsidP="00D3612F">
      <w:pPr>
        <w:spacing w:after="200"/>
        <w:ind w:left="1440"/>
        <w:jc w:val="both"/>
        <w:rPr>
          <w:rFonts w:eastAsia="Calibri"/>
        </w:rPr>
      </w:pPr>
      <w:r w:rsidRPr="00DE2FA9">
        <w:rPr>
          <w:rFonts w:eastAsia="Calibri"/>
        </w:rPr>
        <w:t>The factors shall be effective beginning with the specified environmental cost recovery cycle and thereafter for the period January 2019 through December 2019. Billing cycles may start before January 1, 2019 and the last cycle may read after December 31, 2019, so that each customer is billed for twelve months regardless of when the adjustment factor became effective. These charges will continue in effect until modified by the Commission.</w:t>
      </w:r>
    </w:p>
    <w:p w:rsidR="00C75362" w:rsidRPr="00DE2FA9" w:rsidRDefault="00C75362" w:rsidP="00D3612F">
      <w:pPr>
        <w:spacing w:after="200"/>
        <w:ind w:left="1440"/>
        <w:jc w:val="both"/>
        <w:rPr>
          <w:rFonts w:eastAsia="Calibri"/>
        </w:rPr>
      </w:pPr>
    </w:p>
    <w:p w:rsidR="00D3612F" w:rsidRPr="00DE2FA9" w:rsidRDefault="00D3612F" w:rsidP="00D3612F">
      <w:pPr>
        <w:jc w:val="center"/>
      </w:pPr>
    </w:p>
    <w:p w:rsidR="00D3612F" w:rsidRPr="00DE2FA9" w:rsidRDefault="00E27EAF" w:rsidP="007F7173">
      <w:pPr>
        <w:spacing w:after="200"/>
        <w:jc w:val="both"/>
        <w:rPr>
          <w:b/>
          <w:bCs/>
        </w:rPr>
      </w:pPr>
      <w:r>
        <w:rPr>
          <w:b/>
        </w:rPr>
        <w:lastRenderedPageBreak/>
        <w:t xml:space="preserve">Whether </w:t>
      </w:r>
      <w:r w:rsidR="00D3612F" w:rsidRPr="00DE2FA9">
        <w:rPr>
          <w:b/>
          <w:bCs/>
        </w:rPr>
        <w:t xml:space="preserve">the Commission </w:t>
      </w:r>
      <w:r w:rsidR="001C66B8">
        <w:rPr>
          <w:b/>
          <w:bCs/>
        </w:rPr>
        <w:t xml:space="preserve">should </w:t>
      </w:r>
      <w:r w:rsidR="00D3612F" w:rsidRPr="00DE2FA9">
        <w:rPr>
          <w:b/>
          <w:bCs/>
        </w:rPr>
        <w:t xml:space="preserve">approve DEF’s FGD Blowdown Pond Closure Project </w:t>
      </w:r>
      <w:r w:rsidR="00D3612F" w:rsidRPr="007F7173">
        <w:rPr>
          <w:rFonts w:eastAsia="Calibri"/>
          <w:b/>
        </w:rPr>
        <w:t>and</w:t>
      </w:r>
      <w:r w:rsidR="00D3612F" w:rsidRPr="00DE2FA9">
        <w:rPr>
          <w:b/>
          <w:bCs/>
        </w:rPr>
        <w:t xml:space="preserve"> the recovery of the associated costs through the ECRC pursuant to Section 366.8255, F.S. </w:t>
      </w:r>
    </w:p>
    <w:p w:rsidR="00D3612F" w:rsidRPr="00DE2FA9" w:rsidRDefault="00D3612F" w:rsidP="00D3612F">
      <w:pPr>
        <w:ind w:left="1440" w:hanging="1440"/>
        <w:jc w:val="both"/>
        <w:rPr>
          <w:b/>
          <w:bCs/>
        </w:rPr>
      </w:pPr>
      <w:r w:rsidRPr="00DE2FA9">
        <w:rPr>
          <w:bCs/>
        </w:rPr>
        <w:tab/>
        <w:t xml:space="preserve">Yes. In Order No. PSC-2015-0536-FOF-EI, the Commission found that DEFs Coal Combustion Residual Rule (“CCR”) Program (Project 18) met the criteria for recovery through the Environmental Cost Recovery Clause (“ECRC”).  DEF’s FGD Blowdown Pond Closure Project is reasonable, meets the CCR rule requirements for the Crystal River facility, and complies with the requirements of section 366.8255, Florida Statutes and Order No. PSC-1994-0044-FOF-EI.  </w:t>
      </w:r>
      <w:r w:rsidRPr="00DE2FA9">
        <w:rPr>
          <w:b/>
          <w:bCs/>
        </w:rPr>
        <w:tab/>
      </w:r>
    </w:p>
    <w:p w:rsidR="00D3612F" w:rsidRPr="00DE2FA9" w:rsidRDefault="00D3612F" w:rsidP="00D3612F">
      <w:pPr>
        <w:spacing w:after="200"/>
        <w:ind w:left="1440"/>
        <w:jc w:val="both"/>
        <w:rPr>
          <w:rFonts w:eastAsia="Calibri"/>
        </w:rPr>
      </w:pPr>
    </w:p>
    <w:p w:rsidR="00D3612F" w:rsidRPr="00DE2FA9" w:rsidRDefault="00D3612F" w:rsidP="007F7173">
      <w:pPr>
        <w:spacing w:after="200"/>
        <w:jc w:val="both"/>
        <w:rPr>
          <w:rFonts w:eastAsia="Calibri"/>
          <w:b/>
        </w:rPr>
      </w:pPr>
      <w:r w:rsidRPr="00DE2FA9">
        <w:rPr>
          <w:rFonts w:eastAsia="Calibri"/>
          <w:b/>
        </w:rPr>
        <w:t xml:space="preserve">How costs associated with DEF’s proposed Crystal River FGD Blowdown Pond Closure </w:t>
      </w:r>
      <w:r w:rsidRPr="007F7173">
        <w:rPr>
          <w:b/>
          <w:bCs/>
        </w:rPr>
        <w:t>project</w:t>
      </w:r>
      <w:r w:rsidRPr="00DE2FA9">
        <w:rPr>
          <w:rFonts w:eastAsia="Calibri"/>
          <w:b/>
        </w:rPr>
        <w:t xml:space="preserve"> </w:t>
      </w:r>
      <w:r w:rsidR="00E27EAF">
        <w:rPr>
          <w:rFonts w:eastAsia="Calibri"/>
          <w:b/>
        </w:rPr>
        <w:t>sh</w:t>
      </w:r>
      <w:r w:rsidR="00F40FCB">
        <w:rPr>
          <w:rFonts w:eastAsia="Calibri"/>
          <w:b/>
        </w:rPr>
        <w:t>all</w:t>
      </w:r>
      <w:r w:rsidR="00E27EAF">
        <w:rPr>
          <w:rFonts w:eastAsia="Calibri"/>
          <w:b/>
        </w:rPr>
        <w:t xml:space="preserve"> </w:t>
      </w:r>
      <w:r w:rsidRPr="00DE2FA9">
        <w:rPr>
          <w:rFonts w:eastAsia="Calibri"/>
          <w:b/>
        </w:rPr>
        <w:t>be allocated to rate classes</w:t>
      </w:r>
    </w:p>
    <w:p w:rsidR="00D3612F" w:rsidRPr="00DE2FA9" w:rsidRDefault="00D3612F" w:rsidP="00D3612F">
      <w:pPr>
        <w:spacing w:after="200"/>
        <w:ind w:left="1440"/>
        <w:jc w:val="both"/>
        <w:rPr>
          <w:rFonts w:eastAsia="Calibri"/>
          <w:bCs/>
        </w:rPr>
      </w:pPr>
      <w:r w:rsidRPr="00DE2FA9">
        <w:rPr>
          <w:rFonts w:eastAsia="Calibri"/>
          <w:bCs/>
        </w:rPr>
        <w:t>Consistent with CCR O&amp;M costs approved in Order No. PSC-2015-0536-FOF-EI, O&amp;M costs associated with the FGD Blowdown Pond Closure shall be allocated to rate classes on an energy basis.</w:t>
      </w:r>
    </w:p>
    <w:p w:rsidR="00D3612F" w:rsidRPr="00DE2FA9" w:rsidRDefault="00D3612F" w:rsidP="00D3612F">
      <w:pPr>
        <w:ind w:left="1440" w:hanging="1440"/>
        <w:rPr>
          <w:rFonts w:eastAsia="Calibri"/>
          <w:b/>
          <w:u w:val="single"/>
        </w:rPr>
      </w:pPr>
    </w:p>
    <w:p w:rsidR="00D3612F" w:rsidRPr="00DE2FA9" w:rsidRDefault="00E27EAF" w:rsidP="007F7173">
      <w:pPr>
        <w:spacing w:after="200"/>
        <w:jc w:val="both"/>
        <w:rPr>
          <w:b/>
        </w:rPr>
      </w:pPr>
      <w:r w:rsidRPr="00E27EAF">
        <w:rPr>
          <w:b/>
        </w:rPr>
        <w:t>Whether t</w:t>
      </w:r>
      <w:r w:rsidR="00D3612F" w:rsidRPr="00DE2FA9">
        <w:rPr>
          <w:b/>
        </w:rPr>
        <w:t xml:space="preserve">he Commission </w:t>
      </w:r>
      <w:r w:rsidR="00557BB6">
        <w:rPr>
          <w:b/>
        </w:rPr>
        <w:t>should</w:t>
      </w:r>
      <w:r>
        <w:rPr>
          <w:b/>
        </w:rPr>
        <w:t xml:space="preserve"> </w:t>
      </w:r>
      <w:r w:rsidR="00D3612F" w:rsidRPr="00DE2FA9">
        <w:rPr>
          <w:b/>
        </w:rPr>
        <w:t>approve FPL’s Petition for Approval of the Solar Site Avian Monitoring Project and the recovery of the associated costs through the ECRC pursuant to Section 366.8255, F.S.</w:t>
      </w:r>
    </w:p>
    <w:p w:rsidR="00D3612F" w:rsidRPr="00DE2FA9" w:rsidRDefault="00D3612F" w:rsidP="00D3612F">
      <w:pPr>
        <w:ind w:left="1440" w:hanging="1440"/>
        <w:jc w:val="both"/>
        <w:rPr>
          <w:b/>
        </w:rPr>
      </w:pPr>
    </w:p>
    <w:p w:rsidR="00D3612F" w:rsidRPr="00DE2FA9" w:rsidRDefault="00CC09E5" w:rsidP="00D3612F">
      <w:pPr>
        <w:ind w:left="1440" w:hanging="1440"/>
        <w:jc w:val="both"/>
        <w:rPr>
          <w:b/>
          <w:bCs/>
        </w:rPr>
      </w:pPr>
      <w:r w:rsidRPr="00DE2FA9">
        <w:tab/>
      </w:r>
      <w:r w:rsidR="00D3612F" w:rsidRPr="00E27EAF">
        <w:t>Yes. F</w:t>
      </w:r>
      <w:r w:rsidR="00D3612F" w:rsidRPr="00DE2FA9">
        <w:t xml:space="preserve">PL is required to obtain a siting permit from the Alachua County Department of Growth Management (“Alachua DGM”) for its Horizon Solar Energy Center (“HSEC”). Pursuant to the Development Review Committee Order DR-17-04 issued by the Alachua DGM on February 16, 2017, FPL is required to conduct avian mortality monitoring and report the results of that monitoring as a permit condition for the HSEC. </w:t>
      </w:r>
    </w:p>
    <w:p w:rsidR="00D3612F" w:rsidRPr="00DE2FA9" w:rsidRDefault="00D3612F" w:rsidP="00D3612F">
      <w:pPr>
        <w:ind w:left="1440" w:hanging="1440"/>
        <w:rPr>
          <w:rFonts w:eastAsia="Calibri"/>
          <w:b/>
          <w:u w:val="single"/>
        </w:rPr>
      </w:pPr>
    </w:p>
    <w:p w:rsidR="00D3612F" w:rsidRPr="00DE2FA9" w:rsidRDefault="00D3612F" w:rsidP="00D3612F">
      <w:pPr>
        <w:ind w:left="1440" w:hanging="1440"/>
        <w:rPr>
          <w:rFonts w:eastAsia="Calibri"/>
          <w:b/>
          <w:u w:val="single"/>
        </w:rPr>
      </w:pPr>
    </w:p>
    <w:p w:rsidR="00D3612F" w:rsidRPr="00DE2FA9" w:rsidRDefault="00D3612F" w:rsidP="007F7173">
      <w:pPr>
        <w:spacing w:after="200"/>
        <w:jc w:val="both"/>
        <w:rPr>
          <w:b/>
        </w:rPr>
      </w:pPr>
      <w:r w:rsidRPr="00DE2FA9">
        <w:rPr>
          <w:b/>
        </w:rPr>
        <w:t xml:space="preserve">How </w:t>
      </w:r>
      <w:r w:rsidR="00E27EAF">
        <w:rPr>
          <w:b/>
        </w:rPr>
        <w:t>c</w:t>
      </w:r>
      <w:r w:rsidRPr="00DE2FA9">
        <w:rPr>
          <w:b/>
        </w:rPr>
        <w:t xml:space="preserve">osts associated with FPL’s proposed Solar Site Avian Monitoring and Reporting project </w:t>
      </w:r>
      <w:r w:rsidR="00E27EAF">
        <w:rPr>
          <w:b/>
        </w:rPr>
        <w:t xml:space="preserve">should </w:t>
      </w:r>
      <w:r w:rsidRPr="00DE2FA9">
        <w:rPr>
          <w:b/>
        </w:rPr>
        <w:t>be allocated to rate classes</w:t>
      </w:r>
    </w:p>
    <w:p w:rsidR="00D3612F" w:rsidRPr="00DE2FA9" w:rsidRDefault="00D3612F" w:rsidP="00D3612F">
      <w:pPr>
        <w:ind w:left="1440" w:hanging="1440"/>
        <w:jc w:val="both"/>
        <w:rPr>
          <w:b/>
          <w:bCs/>
        </w:rPr>
      </w:pPr>
    </w:p>
    <w:p w:rsidR="00D3612F" w:rsidRPr="00DE2FA9" w:rsidRDefault="00D3612F" w:rsidP="00CC09E5">
      <w:pPr>
        <w:ind w:left="1440" w:hanging="1440"/>
        <w:jc w:val="both"/>
        <w:rPr>
          <w:rFonts w:eastAsia="Calibri"/>
          <w:b/>
          <w:u w:val="single"/>
        </w:rPr>
      </w:pPr>
      <w:r w:rsidRPr="00DE2FA9">
        <w:rPr>
          <w:b/>
          <w:bCs/>
        </w:rPr>
        <w:tab/>
      </w:r>
      <w:r w:rsidRPr="00DE2FA9">
        <w:t>O&amp;M costs associated with FPL’s proposed Solar Site Avian Monitoring and Reporting project sh</w:t>
      </w:r>
      <w:r w:rsidR="00F40FCB">
        <w:t>all</w:t>
      </w:r>
      <w:r w:rsidRPr="00DE2FA9">
        <w:t xml:space="preserve"> be allocated to rate classes based 100% on Energy.</w:t>
      </w:r>
      <w:r w:rsidRPr="00DE2FA9">
        <w:rPr>
          <w:b/>
        </w:rPr>
        <w:t xml:space="preserve"> </w:t>
      </w:r>
      <w:r w:rsidRPr="00DE2FA9">
        <w:t>FPL does not expect to incur any capital costs associated with this project.</w:t>
      </w:r>
      <w:r w:rsidRPr="00DE2FA9">
        <w:rPr>
          <w:b/>
        </w:rPr>
        <w:t xml:space="preserve">  </w:t>
      </w:r>
    </w:p>
    <w:p w:rsidR="00D3612F" w:rsidRDefault="00D3612F" w:rsidP="00D3612F">
      <w:pPr>
        <w:ind w:left="1440" w:hanging="1440"/>
        <w:rPr>
          <w:rFonts w:eastAsia="Calibri"/>
          <w:b/>
          <w:u w:val="single"/>
        </w:rPr>
      </w:pPr>
    </w:p>
    <w:p w:rsidR="00C75362" w:rsidRDefault="00C75362" w:rsidP="00D3612F">
      <w:pPr>
        <w:ind w:left="1440" w:hanging="1440"/>
        <w:rPr>
          <w:rFonts w:eastAsia="Calibri"/>
          <w:b/>
          <w:u w:val="single"/>
        </w:rPr>
      </w:pPr>
    </w:p>
    <w:p w:rsidR="00C75362" w:rsidRDefault="00C75362" w:rsidP="00D3612F">
      <w:pPr>
        <w:ind w:left="1440" w:hanging="1440"/>
        <w:rPr>
          <w:rFonts w:eastAsia="Calibri"/>
          <w:b/>
          <w:u w:val="single"/>
        </w:rPr>
      </w:pPr>
    </w:p>
    <w:p w:rsidR="00C75362" w:rsidRPr="00DE2FA9" w:rsidRDefault="00C75362" w:rsidP="00D3612F">
      <w:pPr>
        <w:ind w:left="1440" w:hanging="1440"/>
        <w:rPr>
          <w:rFonts w:eastAsia="Calibri"/>
          <w:b/>
          <w:u w:val="single"/>
        </w:rPr>
      </w:pPr>
    </w:p>
    <w:p w:rsidR="00D3612F" w:rsidRPr="00DE2FA9" w:rsidRDefault="00D3612F" w:rsidP="00D3612F">
      <w:pPr>
        <w:ind w:left="1440" w:hanging="1440"/>
        <w:rPr>
          <w:rFonts w:eastAsia="Calibri"/>
          <w:b/>
          <w:u w:val="single"/>
        </w:rPr>
      </w:pPr>
    </w:p>
    <w:p w:rsidR="00D3612F" w:rsidRPr="00DE2FA9" w:rsidRDefault="00D3612F" w:rsidP="00D3612F">
      <w:pPr>
        <w:ind w:left="1440" w:hanging="1440"/>
        <w:rPr>
          <w:rFonts w:eastAsia="Calibri"/>
          <w:b/>
          <w:u w:val="single"/>
        </w:rPr>
      </w:pPr>
    </w:p>
    <w:p w:rsidR="00D3612F" w:rsidRDefault="00E27EAF" w:rsidP="007F7173">
      <w:pPr>
        <w:jc w:val="both"/>
        <w:rPr>
          <w:rFonts w:eastAsia="Calibri"/>
          <w:b/>
        </w:rPr>
      </w:pPr>
      <w:r w:rsidRPr="00E27EAF">
        <w:rPr>
          <w:rFonts w:eastAsia="Calibri"/>
          <w:b/>
        </w:rPr>
        <w:lastRenderedPageBreak/>
        <w:t xml:space="preserve">Whether </w:t>
      </w:r>
      <w:r w:rsidR="00D3612F" w:rsidRPr="00E27EAF">
        <w:rPr>
          <w:rFonts w:eastAsia="Calibri"/>
          <w:b/>
        </w:rPr>
        <w:t>t</w:t>
      </w:r>
      <w:r w:rsidR="00D3612F" w:rsidRPr="00DE2FA9">
        <w:rPr>
          <w:rFonts w:eastAsia="Calibri"/>
          <w:b/>
        </w:rPr>
        <w:t xml:space="preserve">he Commission </w:t>
      </w:r>
      <w:r>
        <w:rPr>
          <w:rFonts w:eastAsia="Calibri"/>
          <w:b/>
        </w:rPr>
        <w:t xml:space="preserve">should </w:t>
      </w:r>
      <w:r w:rsidR="00D3612F" w:rsidRPr="00DE2FA9">
        <w:rPr>
          <w:rFonts w:eastAsia="Calibri"/>
          <w:b/>
        </w:rPr>
        <w:t>approve Gulf’s 316(b) Cooling Water Intake Structure Regulation Project and the recovery of the associated costs through the ECRC pursuant to Section 366.8255, F.S.</w:t>
      </w:r>
    </w:p>
    <w:p w:rsidR="00D3612F" w:rsidRPr="00DE2FA9" w:rsidRDefault="00D3612F" w:rsidP="00D3612F">
      <w:pPr>
        <w:rPr>
          <w:rFonts w:eastAsia="Calibri"/>
          <w:b/>
        </w:rPr>
      </w:pPr>
    </w:p>
    <w:p w:rsidR="00D3612F" w:rsidRDefault="00D3612F" w:rsidP="00D3612F">
      <w:pPr>
        <w:ind w:left="1440"/>
        <w:jc w:val="both"/>
        <w:rPr>
          <w:rFonts w:eastAsia="Calibri"/>
        </w:rPr>
      </w:pPr>
      <w:r w:rsidRPr="00DE2FA9">
        <w:rPr>
          <w:rFonts w:eastAsia="Calibri"/>
        </w:rPr>
        <w:t>Yes, the 316(b) Cooling Water Intake Structure Regulation project meets the criteria for recovery through the Environmental Cost Recovery Clause. Recovery of related costs through the ECRC shall be approved.</w:t>
      </w:r>
    </w:p>
    <w:p w:rsidR="00C75362" w:rsidRPr="00DE2FA9" w:rsidRDefault="00C75362" w:rsidP="00D3612F">
      <w:pPr>
        <w:ind w:left="1440"/>
        <w:jc w:val="both"/>
        <w:rPr>
          <w:rFonts w:eastAsia="Calibri"/>
        </w:rPr>
      </w:pPr>
    </w:p>
    <w:p w:rsidR="00D3612F" w:rsidRPr="00DE2FA9" w:rsidRDefault="00D3612F" w:rsidP="00D3612F">
      <w:pPr>
        <w:ind w:left="1440"/>
        <w:jc w:val="both"/>
        <w:rPr>
          <w:rFonts w:eastAsia="Calibri"/>
        </w:rPr>
      </w:pPr>
    </w:p>
    <w:p w:rsidR="00D3612F" w:rsidRPr="00DE2FA9" w:rsidRDefault="00D3612F" w:rsidP="007F7173">
      <w:pPr>
        <w:jc w:val="both"/>
        <w:rPr>
          <w:rFonts w:eastAsia="Calibri"/>
          <w:b/>
        </w:rPr>
      </w:pPr>
      <w:r w:rsidRPr="00DE2FA9">
        <w:rPr>
          <w:rFonts w:eastAsia="Calibri"/>
          <w:b/>
        </w:rPr>
        <w:t xml:space="preserve">How costs associated with Gulf’s proposed 316(b) Cooling Water Intake Structure Regulation project </w:t>
      </w:r>
      <w:r w:rsidR="00E27EAF">
        <w:rPr>
          <w:rFonts w:eastAsia="Calibri"/>
          <w:b/>
        </w:rPr>
        <w:t>sh</w:t>
      </w:r>
      <w:r w:rsidR="001C66B8">
        <w:rPr>
          <w:rFonts w:eastAsia="Calibri"/>
          <w:b/>
        </w:rPr>
        <w:t>ould</w:t>
      </w:r>
      <w:r w:rsidR="00E27EAF">
        <w:rPr>
          <w:rFonts w:eastAsia="Calibri"/>
          <w:b/>
        </w:rPr>
        <w:t xml:space="preserve"> </w:t>
      </w:r>
      <w:r w:rsidRPr="00DE2FA9">
        <w:rPr>
          <w:rFonts w:eastAsia="Calibri"/>
          <w:b/>
        </w:rPr>
        <w:t>be allocated to rate classes</w:t>
      </w:r>
    </w:p>
    <w:p w:rsidR="00D3612F" w:rsidRPr="00DE2FA9" w:rsidRDefault="00D3612F" w:rsidP="007F7173">
      <w:pPr>
        <w:ind w:left="1440" w:hanging="1440"/>
        <w:jc w:val="both"/>
        <w:rPr>
          <w:rFonts w:eastAsia="Calibri"/>
          <w:b/>
          <w:bCs/>
        </w:rPr>
      </w:pPr>
    </w:p>
    <w:p w:rsidR="00D3612F" w:rsidRDefault="00D3612F" w:rsidP="00D3612F">
      <w:pPr>
        <w:spacing w:after="200"/>
        <w:ind w:left="1440"/>
        <w:jc w:val="both"/>
        <w:rPr>
          <w:rFonts w:eastAsia="Calibri"/>
          <w:bCs/>
        </w:rPr>
      </w:pPr>
      <w:r w:rsidRPr="00DE2FA9">
        <w:rPr>
          <w:rFonts w:eastAsia="Calibri"/>
          <w:bCs/>
        </w:rPr>
        <w:t>Capital costs for the 316(b) Cooling Water Intake Structure Regulation program shall be allocated to the rate classes on an average 12-MCP demand and 1/13</w:t>
      </w:r>
      <w:r w:rsidRPr="00DE2FA9">
        <w:rPr>
          <w:rFonts w:eastAsia="Calibri"/>
          <w:bCs/>
          <w:vertAlign w:val="superscript"/>
        </w:rPr>
        <w:t>th</w:t>
      </w:r>
      <w:r w:rsidRPr="00DE2FA9">
        <w:rPr>
          <w:rFonts w:eastAsia="Calibri"/>
          <w:bCs/>
        </w:rPr>
        <w:t xml:space="preserve"> energy basis. O&amp;M cost for the program sh</w:t>
      </w:r>
      <w:r w:rsidR="00F40FCB">
        <w:rPr>
          <w:rFonts w:eastAsia="Calibri"/>
          <w:bCs/>
        </w:rPr>
        <w:t>all</w:t>
      </w:r>
      <w:r w:rsidRPr="00DE2FA9">
        <w:rPr>
          <w:rFonts w:eastAsia="Calibri"/>
          <w:bCs/>
        </w:rPr>
        <w:t xml:space="preserve"> be allocated on a demand basis.</w:t>
      </w:r>
    </w:p>
    <w:p w:rsidR="00C75362" w:rsidRPr="00DE2FA9" w:rsidRDefault="00C75362" w:rsidP="00D3612F">
      <w:pPr>
        <w:spacing w:after="200"/>
        <w:ind w:left="1440"/>
        <w:jc w:val="both"/>
        <w:rPr>
          <w:rFonts w:eastAsia="Calibri"/>
        </w:rPr>
      </w:pPr>
    </w:p>
    <w:p w:rsidR="00D3612F" w:rsidRDefault="00E27EAF" w:rsidP="007F7173">
      <w:pPr>
        <w:jc w:val="both"/>
        <w:rPr>
          <w:rFonts w:eastAsia="Calibri"/>
          <w:b/>
        </w:rPr>
      </w:pPr>
      <w:r>
        <w:rPr>
          <w:rFonts w:eastAsia="Calibri"/>
          <w:b/>
        </w:rPr>
        <w:t xml:space="preserve">Whether </w:t>
      </w:r>
      <w:r w:rsidR="00D3612F" w:rsidRPr="00DE2FA9">
        <w:rPr>
          <w:rFonts w:eastAsia="Calibri"/>
          <w:b/>
        </w:rPr>
        <w:t xml:space="preserve">the Commission </w:t>
      </w:r>
      <w:r>
        <w:rPr>
          <w:rFonts w:eastAsia="Calibri"/>
          <w:b/>
        </w:rPr>
        <w:t xml:space="preserve">should </w:t>
      </w:r>
      <w:r w:rsidR="00D3612F" w:rsidRPr="00DE2FA9">
        <w:rPr>
          <w:rFonts w:eastAsia="Calibri"/>
          <w:b/>
        </w:rPr>
        <w:t xml:space="preserve">approve TECO’s petition for approval of the Big Bend Unit 1 Section 316(b) Impingement Mortality project and the recovery of the associated costs through the ECRC pursuant to Section 366.8255, F.S. </w:t>
      </w:r>
    </w:p>
    <w:p w:rsidR="007F7173" w:rsidRPr="00DE2FA9" w:rsidRDefault="007F7173" w:rsidP="007F7173">
      <w:pPr>
        <w:jc w:val="both"/>
        <w:rPr>
          <w:rFonts w:eastAsia="Calibri"/>
          <w:b/>
        </w:rPr>
      </w:pPr>
    </w:p>
    <w:p w:rsidR="00D3612F" w:rsidRDefault="00D3612F" w:rsidP="00D3612F">
      <w:pPr>
        <w:spacing w:after="200"/>
        <w:ind w:left="1440"/>
        <w:jc w:val="both"/>
        <w:rPr>
          <w:rFonts w:eastAsia="Calibri"/>
        </w:rPr>
      </w:pPr>
      <w:r w:rsidRPr="00DE2FA9">
        <w:rPr>
          <w:rFonts w:eastAsia="Calibri"/>
        </w:rPr>
        <w:t>Yes, the Big Bend Unit 1 Section 316(b) Impingement Mortality project meets the criteria for recovery through the Environmental Cost Recovery Clause. Recovery of related costs through the ECRC shall be approved.</w:t>
      </w:r>
    </w:p>
    <w:p w:rsidR="00C75362" w:rsidRPr="00DE2FA9" w:rsidRDefault="00C75362" w:rsidP="00D3612F">
      <w:pPr>
        <w:spacing w:after="200"/>
        <w:ind w:left="1440"/>
        <w:jc w:val="both"/>
        <w:rPr>
          <w:rFonts w:eastAsia="Calibri"/>
        </w:rPr>
      </w:pPr>
    </w:p>
    <w:p w:rsidR="00D3612F" w:rsidRDefault="00D3612F" w:rsidP="007F7173">
      <w:pPr>
        <w:jc w:val="both"/>
        <w:rPr>
          <w:rFonts w:eastAsia="Calibri"/>
          <w:b/>
        </w:rPr>
      </w:pPr>
      <w:r w:rsidRPr="00DE2FA9">
        <w:rPr>
          <w:rFonts w:eastAsia="Calibri"/>
          <w:b/>
        </w:rPr>
        <w:t xml:space="preserve">How </w:t>
      </w:r>
      <w:r w:rsidR="00E27EAF">
        <w:rPr>
          <w:rFonts w:eastAsia="Calibri"/>
          <w:b/>
        </w:rPr>
        <w:t>c</w:t>
      </w:r>
      <w:r w:rsidRPr="00DE2FA9">
        <w:rPr>
          <w:rFonts w:eastAsia="Calibri"/>
          <w:b/>
        </w:rPr>
        <w:t xml:space="preserve">osts associated with TECO’s proposed Big Bend Unit 1 Section 316(b) Impingement Mortality project </w:t>
      </w:r>
      <w:r w:rsidR="00E27EAF">
        <w:rPr>
          <w:rFonts w:eastAsia="Calibri"/>
          <w:b/>
        </w:rPr>
        <w:t>sh</w:t>
      </w:r>
      <w:r w:rsidR="001C66B8">
        <w:rPr>
          <w:rFonts w:eastAsia="Calibri"/>
          <w:b/>
        </w:rPr>
        <w:t>ould</w:t>
      </w:r>
      <w:r w:rsidR="00E27EAF">
        <w:rPr>
          <w:rFonts w:eastAsia="Calibri"/>
          <w:b/>
        </w:rPr>
        <w:t xml:space="preserve"> </w:t>
      </w:r>
      <w:r w:rsidRPr="00DE2FA9">
        <w:rPr>
          <w:rFonts w:eastAsia="Calibri"/>
          <w:b/>
        </w:rPr>
        <w:t>be allocated to rate classes</w:t>
      </w:r>
    </w:p>
    <w:p w:rsidR="007F7173" w:rsidRPr="00DE2FA9" w:rsidRDefault="007F7173" w:rsidP="007F7173">
      <w:pPr>
        <w:jc w:val="both"/>
        <w:rPr>
          <w:rFonts w:eastAsia="Calibri"/>
          <w:b/>
        </w:rPr>
      </w:pPr>
    </w:p>
    <w:p w:rsidR="00D3612F" w:rsidRDefault="00D3612F" w:rsidP="00D3612F">
      <w:pPr>
        <w:spacing w:after="200"/>
        <w:ind w:left="1440"/>
        <w:jc w:val="both"/>
        <w:rPr>
          <w:rFonts w:eastAsia="Calibri"/>
        </w:rPr>
      </w:pPr>
      <w:r w:rsidRPr="00DE2FA9">
        <w:rPr>
          <w:rFonts w:eastAsia="Calibri"/>
        </w:rPr>
        <w:t>The capital expenditures sh</w:t>
      </w:r>
      <w:r w:rsidR="00F40FCB">
        <w:rPr>
          <w:rFonts w:eastAsia="Calibri"/>
        </w:rPr>
        <w:t>all</w:t>
      </w:r>
      <w:r w:rsidRPr="00DE2FA9">
        <w:rPr>
          <w:rFonts w:eastAsia="Calibri"/>
        </w:rPr>
        <w:t xml:space="preserve"> be allocated to rate classes on a demand basis, and operation and maintenance expenses shall be allocated to rate classes on an energy basis. For 2018 and 2019, only capital expenditures are projected, so all costs will be allocated on a demand basis.</w:t>
      </w:r>
    </w:p>
    <w:p w:rsidR="00C75362" w:rsidRPr="00DE2FA9" w:rsidRDefault="00C75362" w:rsidP="00D3612F">
      <w:pPr>
        <w:spacing w:after="200"/>
        <w:ind w:left="1440"/>
        <w:jc w:val="both"/>
        <w:rPr>
          <w:rFonts w:eastAsia="Calibri"/>
          <w:bCs/>
        </w:rPr>
      </w:pPr>
    </w:p>
    <w:p w:rsidR="00D3612F" w:rsidRDefault="00F40FCB" w:rsidP="007F7173">
      <w:pPr>
        <w:jc w:val="both"/>
        <w:rPr>
          <w:rFonts w:eastAsia="Calibri"/>
          <w:b/>
        </w:rPr>
      </w:pPr>
      <w:r>
        <w:rPr>
          <w:rFonts w:eastAsia="Calibri"/>
          <w:b/>
        </w:rPr>
        <w:t xml:space="preserve">Whether </w:t>
      </w:r>
      <w:r w:rsidR="00D3612F" w:rsidRPr="00DE2FA9">
        <w:rPr>
          <w:rFonts w:eastAsia="Calibri"/>
          <w:b/>
        </w:rPr>
        <w:t xml:space="preserve">the Commission </w:t>
      </w:r>
      <w:r>
        <w:rPr>
          <w:rFonts w:eastAsia="Calibri"/>
          <w:b/>
        </w:rPr>
        <w:t>sh</w:t>
      </w:r>
      <w:r w:rsidR="001C66B8">
        <w:rPr>
          <w:rFonts w:eastAsia="Calibri"/>
          <w:b/>
        </w:rPr>
        <w:t>ould</w:t>
      </w:r>
      <w:r>
        <w:rPr>
          <w:rFonts w:eastAsia="Calibri"/>
          <w:b/>
        </w:rPr>
        <w:t xml:space="preserve"> </w:t>
      </w:r>
      <w:r w:rsidR="00D3612F" w:rsidRPr="00DE2FA9">
        <w:rPr>
          <w:rFonts w:eastAsia="Calibri"/>
          <w:b/>
        </w:rPr>
        <w:t xml:space="preserve">approve TECO’s petition for approval of the Big Bend Station Effluent Limitations Guidelines (ELG) Rule Compliance project and the recovery of the associated costs through the ECRC pursuant to Section 366.8255, F.S. </w:t>
      </w:r>
    </w:p>
    <w:p w:rsidR="007F7173" w:rsidRPr="00DE2FA9" w:rsidRDefault="007F7173" w:rsidP="007F7173">
      <w:pPr>
        <w:jc w:val="both"/>
        <w:rPr>
          <w:rFonts w:eastAsia="Calibri"/>
          <w:b/>
        </w:rPr>
      </w:pPr>
    </w:p>
    <w:p w:rsidR="00D3612F" w:rsidRPr="00DE2FA9" w:rsidRDefault="00D3612F" w:rsidP="00D3612F">
      <w:pPr>
        <w:spacing w:after="200"/>
        <w:ind w:left="1440"/>
        <w:jc w:val="both"/>
        <w:rPr>
          <w:rFonts w:eastAsia="Calibri"/>
        </w:rPr>
      </w:pPr>
      <w:r w:rsidRPr="00DE2FA9">
        <w:rPr>
          <w:rFonts w:eastAsia="Calibri"/>
        </w:rPr>
        <w:t>Yes, the Big Bend Station effluent Limitations Guidelines (ELG) Rule Compliance project meets the criteria for recovery through the Environmental Cost Recovery Clause. Recovery of related costs through the ECRC shall be approved.</w:t>
      </w:r>
    </w:p>
    <w:p w:rsidR="00D3612F" w:rsidRDefault="00D3612F" w:rsidP="00C12384">
      <w:pPr>
        <w:jc w:val="both"/>
        <w:rPr>
          <w:rFonts w:eastAsia="Calibri"/>
          <w:b/>
          <w:bCs/>
        </w:rPr>
      </w:pPr>
      <w:r w:rsidRPr="00DE2FA9">
        <w:rPr>
          <w:rFonts w:eastAsia="Calibri"/>
          <w:b/>
        </w:rPr>
        <w:lastRenderedPageBreak/>
        <w:t xml:space="preserve">How costs associated with TECO’s proposed Big Bend Section ELG Rule Compliance project </w:t>
      </w:r>
      <w:r w:rsidR="00F40FCB">
        <w:rPr>
          <w:rFonts w:eastAsia="Calibri"/>
          <w:b/>
        </w:rPr>
        <w:t>sh</w:t>
      </w:r>
      <w:r w:rsidR="001C66B8">
        <w:rPr>
          <w:rFonts w:eastAsia="Calibri"/>
          <w:b/>
        </w:rPr>
        <w:t xml:space="preserve">ould </w:t>
      </w:r>
      <w:r w:rsidRPr="00DE2FA9">
        <w:rPr>
          <w:rFonts w:eastAsia="Calibri"/>
          <w:b/>
        </w:rPr>
        <w:t>be allocated to rate classes</w:t>
      </w:r>
      <w:r w:rsidRPr="00DE2FA9">
        <w:rPr>
          <w:rFonts w:eastAsia="Calibri"/>
          <w:b/>
          <w:bCs/>
        </w:rPr>
        <w:tab/>
      </w:r>
    </w:p>
    <w:p w:rsidR="00C12384" w:rsidRPr="00DE2FA9" w:rsidRDefault="00C12384" w:rsidP="00C12384">
      <w:pPr>
        <w:jc w:val="both"/>
        <w:rPr>
          <w:rFonts w:eastAsia="Calibri"/>
          <w:b/>
        </w:rPr>
      </w:pPr>
    </w:p>
    <w:p w:rsidR="00D3612F" w:rsidRDefault="00D3612F" w:rsidP="00D3612F">
      <w:pPr>
        <w:spacing w:after="200"/>
        <w:ind w:left="1440"/>
        <w:jc w:val="both"/>
        <w:rPr>
          <w:rFonts w:eastAsia="Calibri"/>
        </w:rPr>
      </w:pPr>
      <w:r w:rsidRPr="00DE2FA9">
        <w:rPr>
          <w:rFonts w:eastAsia="Calibri"/>
        </w:rPr>
        <w:t>The capital expenditures sh</w:t>
      </w:r>
      <w:r w:rsidR="00F40FCB">
        <w:rPr>
          <w:rFonts w:eastAsia="Calibri"/>
        </w:rPr>
        <w:t>all</w:t>
      </w:r>
      <w:r w:rsidRPr="00DE2FA9">
        <w:rPr>
          <w:rFonts w:eastAsia="Calibri"/>
        </w:rPr>
        <w:t xml:space="preserve"> be allocated to rate classes on a demand basis, and operation and maintenance expenses sh</w:t>
      </w:r>
      <w:r w:rsidR="00F40FCB">
        <w:rPr>
          <w:rFonts w:eastAsia="Calibri"/>
        </w:rPr>
        <w:t>all</w:t>
      </w:r>
      <w:r w:rsidRPr="00DE2FA9">
        <w:rPr>
          <w:rFonts w:eastAsia="Calibri"/>
        </w:rPr>
        <w:t xml:space="preserve"> be allocated to rate classes on an energy basis. For 2018 and 2019, only capital expenditures are projected, so all costs will be allocated on a demand basis.</w:t>
      </w:r>
    </w:p>
    <w:p w:rsidR="00C75362" w:rsidRPr="00DE2FA9" w:rsidRDefault="00C75362" w:rsidP="00D3612F">
      <w:pPr>
        <w:spacing w:after="200"/>
        <w:ind w:left="1440"/>
        <w:jc w:val="both"/>
        <w:rPr>
          <w:rFonts w:eastAsia="Calibri"/>
          <w:b/>
          <w:bCs/>
        </w:rPr>
      </w:pPr>
    </w:p>
    <w:p w:rsidR="00D3612F" w:rsidRDefault="00F40FCB" w:rsidP="00C12384">
      <w:pPr>
        <w:jc w:val="both"/>
        <w:rPr>
          <w:rFonts w:eastAsia="Calibri"/>
          <w:b/>
          <w:bCs/>
        </w:rPr>
      </w:pPr>
      <w:r>
        <w:rPr>
          <w:rFonts w:eastAsia="Calibri"/>
          <w:b/>
        </w:rPr>
        <w:t xml:space="preserve">Whether </w:t>
      </w:r>
      <w:r w:rsidR="00D3612F" w:rsidRPr="00DE2FA9">
        <w:rPr>
          <w:rFonts w:eastAsia="Calibri"/>
          <w:b/>
          <w:bCs/>
        </w:rPr>
        <w:t xml:space="preserve">the Commission </w:t>
      </w:r>
      <w:r>
        <w:rPr>
          <w:rFonts w:eastAsia="Calibri"/>
          <w:b/>
          <w:bCs/>
        </w:rPr>
        <w:t>sh</w:t>
      </w:r>
      <w:r w:rsidR="001C66B8">
        <w:rPr>
          <w:rFonts w:eastAsia="Calibri"/>
          <w:b/>
          <w:bCs/>
        </w:rPr>
        <w:t>ould</w:t>
      </w:r>
      <w:r>
        <w:rPr>
          <w:rFonts w:eastAsia="Calibri"/>
          <w:b/>
          <w:bCs/>
        </w:rPr>
        <w:t xml:space="preserve"> </w:t>
      </w:r>
      <w:r w:rsidR="00D3612F" w:rsidRPr="00DE2FA9">
        <w:rPr>
          <w:rFonts w:eastAsia="Calibri"/>
          <w:b/>
          <w:bCs/>
        </w:rPr>
        <w:t xml:space="preserve">approve revised tariffs reflecting the environmental cost </w:t>
      </w:r>
      <w:r w:rsidR="00D3612F" w:rsidRPr="00C12384">
        <w:rPr>
          <w:rFonts w:eastAsia="Calibri"/>
          <w:b/>
        </w:rPr>
        <w:t>recovery</w:t>
      </w:r>
      <w:r w:rsidR="00D3612F" w:rsidRPr="00DE2FA9">
        <w:rPr>
          <w:rFonts w:eastAsia="Calibri"/>
          <w:b/>
          <w:bCs/>
        </w:rPr>
        <w:t xml:space="preserve"> amounts and environmental cost recovery factors determined to be appropriate in this proceeding</w:t>
      </w:r>
    </w:p>
    <w:p w:rsidR="00C12384" w:rsidRPr="00DE2FA9" w:rsidRDefault="00C12384" w:rsidP="00C12384">
      <w:pPr>
        <w:jc w:val="both"/>
        <w:rPr>
          <w:rFonts w:eastAsia="Calibri"/>
          <w:b/>
        </w:rPr>
      </w:pPr>
    </w:p>
    <w:p w:rsidR="00D3612F" w:rsidRDefault="00D3612F" w:rsidP="00D3612F">
      <w:pPr>
        <w:spacing w:after="200"/>
        <w:ind w:left="1440"/>
        <w:jc w:val="both"/>
        <w:rPr>
          <w:rFonts w:eastAsia="Calibri"/>
        </w:rPr>
      </w:pPr>
      <w:r w:rsidRPr="00DE2FA9">
        <w:rPr>
          <w:rFonts w:eastAsia="Calibri"/>
        </w:rPr>
        <w:t>Yes. The Commission shall approve revised tariffs reflecting the environmental cost recovery factors determined to be appropriate in this proceeding. Staff shall verify that the revised tariffs are consistent with the Commission’s decision.</w:t>
      </w:r>
    </w:p>
    <w:p w:rsidR="00C75362" w:rsidRPr="00DE2FA9" w:rsidRDefault="00C75362" w:rsidP="00D3612F">
      <w:pPr>
        <w:spacing w:after="200"/>
        <w:ind w:left="1440"/>
        <w:jc w:val="both"/>
        <w:rPr>
          <w:rFonts w:eastAsia="Calibri"/>
        </w:rPr>
      </w:pPr>
    </w:p>
    <w:p w:rsidR="00D3612F" w:rsidRDefault="00F40FCB" w:rsidP="00D3612F">
      <w:pPr>
        <w:spacing w:after="200" w:line="276" w:lineRule="auto"/>
        <w:rPr>
          <w:rFonts w:eastAsia="Calibri"/>
          <w:b/>
          <w:bCs/>
        </w:rPr>
      </w:pPr>
      <w:r>
        <w:rPr>
          <w:rFonts w:eastAsia="Calibri"/>
          <w:b/>
        </w:rPr>
        <w:t>Whether th</w:t>
      </w:r>
      <w:r w:rsidR="00D3612F" w:rsidRPr="00DE2FA9">
        <w:rPr>
          <w:rFonts w:eastAsia="Calibri"/>
          <w:b/>
          <w:bCs/>
        </w:rPr>
        <w:t xml:space="preserve">is docket </w:t>
      </w:r>
      <w:r>
        <w:rPr>
          <w:rFonts w:eastAsia="Calibri"/>
          <w:b/>
          <w:bCs/>
        </w:rPr>
        <w:t>sh</w:t>
      </w:r>
      <w:r w:rsidR="001C66B8">
        <w:rPr>
          <w:rFonts w:eastAsia="Calibri"/>
          <w:b/>
          <w:bCs/>
        </w:rPr>
        <w:t>ould</w:t>
      </w:r>
      <w:r>
        <w:rPr>
          <w:rFonts w:eastAsia="Calibri"/>
          <w:b/>
          <w:bCs/>
        </w:rPr>
        <w:t xml:space="preserve"> </w:t>
      </w:r>
      <w:r w:rsidR="00D3612F" w:rsidRPr="00DE2FA9">
        <w:rPr>
          <w:rFonts w:eastAsia="Calibri"/>
          <w:b/>
          <w:bCs/>
        </w:rPr>
        <w:t xml:space="preserve">be closed </w:t>
      </w:r>
    </w:p>
    <w:p w:rsidR="00D3612F" w:rsidRPr="00DE2FA9" w:rsidRDefault="00D3612F" w:rsidP="00D3612F">
      <w:pPr>
        <w:spacing w:after="200"/>
        <w:ind w:left="1440"/>
        <w:jc w:val="both"/>
        <w:rPr>
          <w:rFonts w:eastAsia="Calibri"/>
        </w:rPr>
      </w:pPr>
      <w:r w:rsidRPr="00DE2FA9">
        <w:rPr>
          <w:rFonts w:eastAsia="Calibri"/>
        </w:rPr>
        <w:t>No. While a separate docket number is assigned each year for administrative convenience, this is a continuing docket and shall remain open.</w:t>
      </w:r>
    </w:p>
    <w:p w:rsidR="00D3612F" w:rsidRPr="00DE2FA9" w:rsidRDefault="00D3612F" w:rsidP="00C733AA">
      <w:pPr>
        <w:pStyle w:val="OrderBody"/>
      </w:pPr>
    </w:p>
    <w:p w:rsidR="00DE2FA9" w:rsidRPr="00DE2FA9" w:rsidRDefault="00DE2FA9">
      <w:pPr>
        <w:pStyle w:val="OrderBody"/>
      </w:pPr>
    </w:p>
    <w:sectPr w:rsidR="00DE2FA9" w:rsidRPr="00DE2FA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42E" w:rsidRDefault="00C4742E">
      <w:r>
        <w:separator/>
      </w:r>
    </w:p>
  </w:endnote>
  <w:endnote w:type="continuationSeparator" w:id="0">
    <w:p w:rsidR="00C4742E" w:rsidRDefault="00C4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2E" w:rsidRDefault="00C4742E">
    <w:pPr>
      <w:pStyle w:val="Footer"/>
    </w:pPr>
  </w:p>
  <w:p w:rsidR="00C4742E" w:rsidRDefault="00C47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42E" w:rsidRDefault="00C4742E">
      <w:r>
        <w:separator/>
      </w:r>
    </w:p>
  </w:footnote>
  <w:footnote w:type="continuationSeparator" w:id="0">
    <w:p w:rsidR="00C4742E" w:rsidRDefault="00C4742E">
      <w:r>
        <w:continuationSeparator/>
      </w:r>
    </w:p>
  </w:footnote>
  <w:footnote w:id="1">
    <w:p w:rsidR="00C4742E" w:rsidRDefault="00C4742E" w:rsidP="00A22649">
      <w:pPr>
        <w:pStyle w:val="FootnoteText"/>
      </w:pPr>
      <w:r>
        <w:rPr>
          <w:rStyle w:val="FootnoteReference"/>
        </w:rPr>
        <w:footnoteRef/>
      </w:r>
      <w:r>
        <w:t xml:space="preserve">Order No. PSC-2018-0014-FOF-EI, issued January 5, 2018, in Docket No. 20180007-EI, </w:t>
      </w:r>
      <w:r w:rsidRPr="00617009">
        <w:rPr>
          <w:i/>
        </w:rPr>
        <w:t>In re: Environmental cost recovery clause.</w:t>
      </w:r>
    </w:p>
  </w:footnote>
  <w:footnote w:id="2">
    <w:p w:rsidR="00C4742E" w:rsidRDefault="00C4742E" w:rsidP="00A22649">
      <w:pPr>
        <w:pStyle w:val="FootnoteText"/>
      </w:pPr>
      <w:r>
        <w:rPr>
          <w:rStyle w:val="FootnoteReference"/>
        </w:rPr>
        <w:footnoteRef/>
      </w:r>
      <w:r>
        <w:t>TPCCMP Project costs include $</w:t>
      </w:r>
      <w:r w:rsidRPr="00065E4B">
        <w:t>11,150,044</w:t>
      </w:r>
      <w:r>
        <w:t xml:space="preserve"> for operation and maintenance (O&amp;M) and $</w:t>
      </w:r>
      <w:r w:rsidRPr="00065E4B">
        <w:t>3,042,331</w:t>
      </w:r>
      <w:r>
        <w:t xml:space="preserve"> in recoverable costs for capital investment, for a total of $</w:t>
      </w:r>
      <w:r w:rsidRPr="00065E4B">
        <w:t>14,192,375</w:t>
      </w:r>
      <w:r>
        <w:t>.</w:t>
      </w:r>
    </w:p>
  </w:footnote>
  <w:footnote w:id="3">
    <w:p w:rsidR="00C4742E" w:rsidRDefault="00C4742E" w:rsidP="00A22649">
      <w:pPr>
        <w:pStyle w:val="FootnoteText"/>
      </w:pPr>
      <w:r>
        <w:rPr>
          <w:rStyle w:val="FootnoteReference"/>
        </w:rPr>
        <w:footnoteRef/>
      </w:r>
      <w:r>
        <w:t xml:space="preserve">Order No. </w:t>
      </w:r>
      <w:r w:rsidRPr="00617009">
        <w:t>PSC-09-0759-FOF-EI</w:t>
      </w:r>
      <w:r>
        <w:t xml:space="preserve">, issued November 18, 2009, in Docket No. 20090007-EI, </w:t>
      </w:r>
      <w:r w:rsidRPr="00617009">
        <w:rPr>
          <w:i/>
        </w:rPr>
        <w:t xml:space="preserve">In re: Environmental cost recovery clause. </w:t>
      </w:r>
    </w:p>
  </w:footnote>
  <w:footnote w:id="4">
    <w:p w:rsidR="00C4742E" w:rsidRDefault="00C4742E" w:rsidP="00A22649">
      <w:pPr>
        <w:pStyle w:val="FootnoteText"/>
      </w:pPr>
      <w:r>
        <w:rPr>
          <w:rStyle w:val="FootnoteReference"/>
        </w:rPr>
        <w:footnoteRef/>
      </w:r>
      <w:r>
        <w:t xml:space="preserve">Order No. PSC-2018-0014-FOF-EI, issued January 5, 2018, in Docket No. 20180007-EI, </w:t>
      </w:r>
      <w:r w:rsidRPr="00617009">
        <w:rPr>
          <w:i/>
        </w:rPr>
        <w:t>In re: Environmental cost recovery clause.</w:t>
      </w:r>
    </w:p>
  </w:footnote>
  <w:footnote w:id="5">
    <w:p w:rsidR="00C4742E" w:rsidRDefault="00C4742E" w:rsidP="00A22649">
      <w:pPr>
        <w:pStyle w:val="FootnoteText"/>
      </w:pPr>
      <w:r>
        <w:rPr>
          <w:rStyle w:val="FootnoteReference"/>
        </w:rPr>
        <w:footnoteRef/>
      </w:r>
      <w:r>
        <w:t>TPCCMP Project costs include $</w:t>
      </w:r>
      <w:r w:rsidRPr="00E96D76">
        <w:t>28,268,375</w:t>
      </w:r>
      <w:r>
        <w:t xml:space="preserve"> for O&amp;M and $</w:t>
      </w:r>
      <w:r w:rsidRPr="00E96D76">
        <w:t>4,504,185</w:t>
      </w:r>
      <w:r>
        <w:t xml:space="preserve"> in recoverable costs for capital investment, for a total of $</w:t>
      </w:r>
      <w:r w:rsidRPr="00E96D76">
        <w:t>32,772,560</w:t>
      </w:r>
      <w:r>
        <w:t>.</w:t>
      </w:r>
    </w:p>
  </w:footnote>
  <w:footnote w:id="6">
    <w:p w:rsidR="00C4742E" w:rsidRDefault="00C4742E" w:rsidP="00A22649">
      <w:pPr>
        <w:pStyle w:val="FootnoteText"/>
      </w:pPr>
      <w:r>
        <w:rPr>
          <w:rStyle w:val="FootnoteReference"/>
        </w:rPr>
        <w:footnoteRef/>
      </w:r>
      <w:r>
        <w:t>TPCCMP Project costs include $</w:t>
      </w:r>
      <w:r w:rsidRPr="00E96D76">
        <w:t>17,735,378</w:t>
      </w:r>
      <w:r>
        <w:t xml:space="preserve"> for O&amp;M and $</w:t>
      </w:r>
      <w:r w:rsidRPr="00E96D76">
        <w:t>6,534,008</w:t>
      </w:r>
      <w:r>
        <w:t xml:space="preserve"> in recoverable costs for capital investment, for a total of $</w:t>
      </w:r>
      <w:r w:rsidRPr="00E96D76">
        <w:t>24,269,386</w:t>
      </w:r>
      <w:r>
        <w:t>.</w:t>
      </w:r>
    </w:p>
  </w:footnote>
  <w:footnote w:id="7">
    <w:p w:rsidR="00C4742E" w:rsidRDefault="00C4742E" w:rsidP="00A22649">
      <w:pPr>
        <w:pStyle w:val="FootnoteText"/>
      </w:pPr>
      <w:r>
        <w:rPr>
          <w:rStyle w:val="FootnoteReference"/>
        </w:rPr>
        <w:footnoteRef/>
      </w:r>
      <w:r>
        <w:t>TPCCMP Project costs include $</w:t>
      </w:r>
      <w:r w:rsidRPr="00E96D76">
        <w:t>57,153,797</w:t>
      </w:r>
      <w:r>
        <w:t xml:space="preserve"> for O&amp;M and $</w:t>
      </w:r>
      <w:r w:rsidRPr="00E96D76">
        <w:t>14,080,524</w:t>
      </w:r>
      <w:r>
        <w:t xml:space="preserve"> in recoverable costs for capital investment, for a total of $</w:t>
      </w:r>
      <w:r w:rsidRPr="00E96D76">
        <w:t>71,234,321</w:t>
      </w:r>
      <w:r>
        <w:t>.</w:t>
      </w:r>
    </w:p>
  </w:footnote>
  <w:footnote w:id="8">
    <w:p w:rsidR="00C4742E" w:rsidRDefault="00C4742E" w:rsidP="00A22649">
      <w:pPr>
        <w:pStyle w:val="FootnoteText"/>
      </w:pPr>
      <w:r>
        <w:rPr>
          <w:rStyle w:val="FootnoteReference"/>
        </w:rPr>
        <w:footnoteRef/>
      </w:r>
      <w:r>
        <w:t xml:space="preserve">Order No. </w:t>
      </w:r>
      <w:r w:rsidRPr="00617009">
        <w:t>PSC-09-0759-FOF-EI</w:t>
      </w:r>
      <w:r>
        <w:t xml:space="preserve">, issued November 18, 2009, in Docket No. 20090007-EI, </w:t>
      </w:r>
      <w:r w:rsidRPr="00617009">
        <w:rPr>
          <w:i/>
        </w:rPr>
        <w:t xml:space="preserve">In re: Environmental cost recovery clause. </w:t>
      </w:r>
    </w:p>
  </w:footnote>
  <w:footnote w:id="9">
    <w:p w:rsidR="00C4742E" w:rsidRPr="001D4D28" w:rsidRDefault="00C4742E" w:rsidP="00A22649">
      <w:pPr>
        <w:pStyle w:val="FootnoteText"/>
      </w:pPr>
      <w:r>
        <w:rPr>
          <w:rStyle w:val="FootnoteReference"/>
        </w:rPr>
        <w:footnoteRef/>
      </w:r>
      <w:r>
        <w:t>Order No. PSC-</w:t>
      </w:r>
      <w:r w:rsidRPr="001D4D28">
        <w:t>12-0613</w:t>
      </w:r>
      <w:r>
        <w:t xml:space="preserve">-FOF-EI, issued November 16, 2012, in Docket No. 20120007-EI, </w:t>
      </w:r>
      <w:r w:rsidRPr="00617009">
        <w:rPr>
          <w:i/>
        </w:rPr>
        <w:t>In re: Environmental cost recovery clause</w:t>
      </w:r>
      <w:r>
        <w:t xml:space="preserve"> and Order No. PSC-</w:t>
      </w:r>
      <w:r w:rsidRPr="001D4D28">
        <w:t>2018-0014</w:t>
      </w:r>
      <w:r>
        <w:t xml:space="preserve">-FOF-EI, issued January 5, 2018, in Docket No. 20180007, </w:t>
      </w:r>
      <w:r w:rsidRPr="00617009">
        <w:rPr>
          <w:i/>
        </w:rPr>
        <w:t>In re: Environmental cost recovery clause</w:t>
      </w:r>
      <w:r>
        <w:rPr>
          <w:i/>
        </w:rPr>
        <w:t>.</w:t>
      </w:r>
    </w:p>
  </w:footnote>
  <w:footnote w:id="10">
    <w:p w:rsidR="00C4742E" w:rsidRPr="00742804" w:rsidRDefault="00C4742E" w:rsidP="00A22649">
      <w:pPr>
        <w:pStyle w:val="FootnoteText"/>
        <w:rPr>
          <w:i/>
        </w:rPr>
      </w:pPr>
      <w:r>
        <w:rPr>
          <w:rStyle w:val="FootnoteReference"/>
        </w:rPr>
        <w:footnoteRef/>
      </w:r>
      <w:r>
        <w:t xml:space="preserve">Order No. PSC-94-0044-FOF-EI, issued January 12, </w:t>
      </w:r>
      <w:r w:rsidRPr="009679F3">
        <w:t xml:space="preserve">1994, in Docket No. </w:t>
      </w:r>
      <w:r>
        <w:t>19</w:t>
      </w:r>
      <w:r w:rsidRPr="009679F3">
        <w:t xml:space="preserve">930613-EI, </w:t>
      </w:r>
      <w:r w:rsidRPr="00742804">
        <w:rPr>
          <w:i/>
        </w:rPr>
        <w:t>In re: Petition to establish an environmental cost recovery clause pursuant to Sec</w:t>
      </w:r>
      <w:r>
        <w:rPr>
          <w:i/>
        </w:rPr>
        <w:t>tion 366.8255, Florida Statutes, by Gulf Power Company.</w:t>
      </w:r>
    </w:p>
  </w:footnote>
  <w:footnote w:id="11">
    <w:p w:rsidR="00C4742E" w:rsidRPr="001856C0" w:rsidRDefault="00C4742E" w:rsidP="00A22649">
      <w:pPr>
        <w:jc w:val="both"/>
        <w:rPr>
          <w:i/>
          <w:color w:val="252525"/>
          <w:sz w:val="20"/>
          <w:szCs w:val="20"/>
        </w:rPr>
      </w:pPr>
      <w:r w:rsidRPr="009679F3">
        <w:rPr>
          <w:rStyle w:val="FootnoteReference"/>
        </w:rPr>
        <w:footnoteRef/>
      </w:r>
      <w:r w:rsidRPr="009679F3">
        <w:rPr>
          <w:sz w:val="20"/>
          <w:szCs w:val="20"/>
        </w:rPr>
        <w:t>Order No.</w:t>
      </w:r>
      <w:r w:rsidRPr="009679F3">
        <w:rPr>
          <w:color w:val="212121"/>
          <w:sz w:val="20"/>
          <w:szCs w:val="20"/>
        </w:rPr>
        <w:t xml:space="preserve"> PSC-05-0164-PAA-EI, issued on February 10, 2005</w:t>
      </w:r>
      <w:r w:rsidRPr="00346146">
        <w:rPr>
          <w:color w:val="212121"/>
          <w:sz w:val="20"/>
          <w:szCs w:val="20"/>
        </w:rPr>
        <w:t xml:space="preserve">, in </w:t>
      </w:r>
      <w:r w:rsidRPr="00E22822">
        <w:rPr>
          <w:color w:val="212121"/>
          <w:sz w:val="20"/>
          <w:szCs w:val="20"/>
        </w:rPr>
        <w:t xml:space="preserve">Docket No. </w:t>
      </w:r>
      <w:r>
        <w:rPr>
          <w:color w:val="212121"/>
          <w:sz w:val="20"/>
          <w:szCs w:val="20"/>
        </w:rPr>
        <w:t>20</w:t>
      </w:r>
      <w:r w:rsidRPr="00E22822">
        <w:rPr>
          <w:color w:val="212121"/>
          <w:sz w:val="20"/>
          <w:szCs w:val="20"/>
        </w:rPr>
        <w:t>041300-EI</w:t>
      </w:r>
      <w:r w:rsidRPr="00346146">
        <w:rPr>
          <w:color w:val="212121"/>
          <w:sz w:val="20"/>
          <w:szCs w:val="20"/>
        </w:rPr>
        <w:t>,</w:t>
      </w:r>
      <w:r w:rsidRPr="00346146">
        <w:rPr>
          <w:i/>
          <w:color w:val="212121"/>
          <w:sz w:val="20"/>
          <w:szCs w:val="20"/>
        </w:rPr>
        <w:t xml:space="preserve"> </w:t>
      </w:r>
      <w:r w:rsidRPr="00E22822">
        <w:rPr>
          <w:i/>
          <w:color w:val="252525"/>
          <w:sz w:val="20"/>
          <w:szCs w:val="20"/>
        </w:rPr>
        <w:t xml:space="preserve">In </w:t>
      </w:r>
      <w:r>
        <w:rPr>
          <w:i/>
          <w:color w:val="252525"/>
          <w:sz w:val="20"/>
          <w:szCs w:val="20"/>
        </w:rPr>
        <w:t>r</w:t>
      </w:r>
      <w:r w:rsidRPr="00E22822">
        <w:rPr>
          <w:i/>
          <w:color w:val="252525"/>
          <w:sz w:val="20"/>
          <w:szCs w:val="20"/>
        </w:rPr>
        <w:t>e: Petition for Approval of New Environmental Program for Cost Recovery Through Environmental Cost Recovery Clause, by Tampa Electric Company.</w:t>
      </w:r>
    </w:p>
  </w:footnote>
  <w:footnote w:id="12">
    <w:p w:rsidR="00C4742E" w:rsidRDefault="00C4742E" w:rsidP="00A22649">
      <w:pPr>
        <w:pStyle w:val="FootnoteText"/>
      </w:pPr>
      <w:r>
        <w:rPr>
          <w:rStyle w:val="FootnoteReference"/>
        </w:rPr>
        <w:footnoteRef/>
      </w:r>
      <w:r>
        <w:t xml:space="preserve">Order No. PSC-16-0560-AS-EI, issued December 15, 2016, in Docket No. 20160021-EI, </w:t>
      </w:r>
      <w:r w:rsidRPr="00A9005E">
        <w:rPr>
          <w:i/>
        </w:rPr>
        <w:t>In re: Petition for rate increase by Florida Power &amp; Light Company.</w:t>
      </w:r>
    </w:p>
  </w:footnote>
  <w:footnote w:id="13">
    <w:p w:rsidR="00C4742E" w:rsidRDefault="00C4742E" w:rsidP="00A22649">
      <w:pPr>
        <w:pStyle w:val="FootnoteText"/>
      </w:pPr>
      <w:r>
        <w:rPr>
          <w:rStyle w:val="FootnoteReference"/>
        </w:rPr>
        <w:footnoteRef/>
      </w:r>
      <w:r>
        <w:t xml:space="preserve">Order No. PSC-11-0553-FOF-EI, issued December 7, 2011, in Docket No. 20110007-EI, </w:t>
      </w:r>
      <w:r w:rsidRPr="00617009">
        <w:rPr>
          <w:i/>
        </w:rPr>
        <w:t>In re: Environmental cost recovery clause.</w:t>
      </w:r>
    </w:p>
  </w:footnote>
  <w:footnote w:id="14">
    <w:p w:rsidR="00C4742E" w:rsidRDefault="00C4742E" w:rsidP="00A22649">
      <w:pPr>
        <w:pStyle w:val="FootnoteText"/>
      </w:pPr>
      <w:r>
        <w:rPr>
          <w:rStyle w:val="FootnoteReference"/>
        </w:rPr>
        <w:footnoteRef/>
      </w:r>
      <w:r>
        <w:t>Order No. PSC-</w:t>
      </w:r>
      <w:r w:rsidRPr="001D4D28">
        <w:t>12-0613</w:t>
      </w:r>
      <w:r>
        <w:t xml:space="preserve">-FOF-EI, issued November 16, 2012, in Docket No. 20120007-EI, </w:t>
      </w:r>
      <w:r w:rsidRPr="00617009">
        <w:rPr>
          <w:i/>
        </w:rPr>
        <w:t>In re: Environmental cost recovery clause</w:t>
      </w:r>
      <w:r>
        <w:rPr>
          <w:i/>
        </w:rPr>
        <w:t>.</w:t>
      </w:r>
    </w:p>
  </w:footnote>
  <w:footnote w:id="15">
    <w:p w:rsidR="00C4742E" w:rsidRPr="00742804" w:rsidRDefault="00C4742E" w:rsidP="00A22649">
      <w:pPr>
        <w:pStyle w:val="FootnoteText"/>
        <w:rPr>
          <w:i/>
        </w:rPr>
      </w:pPr>
      <w:r>
        <w:rPr>
          <w:rStyle w:val="FootnoteReference"/>
        </w:rPr>
        <w:footnoteRef/>
      </w:r>
      <w:r>
        <w:t xml:space="preserve">Order No. PSC-94-0044-FOF-EI, issued January 12, </w:t>
      </w:r>
      <w:r w:rsidRPr="009679F3">
        <w:t xml:space="preserve">1994, in Docket No. </w:t>
      </w:r>
      <w:r>
        <w:t>19</w:t>
      </w:r>
      <w:r w:rsidRPr="009679F3">
        <w:t xml:space="preserve">930613-EI, </w:t>
      </w:r>
      <w:r w:rsidRPr="00742804">
        <w:rPr>
          <w:i/>
        </w:rPr>
        <w:t>In re: Petition to establish an environmental cost recovery clause pursuant to Sec</w:t>
      </w:r>
      <w:r>
        <w:rPr>
          <w:i/>
        </w:rPr>
        <w:t>tion 366.8255, Florida Statutes, by Gulf Power Company.</w:t>
      </w:r>
    </w:p>
  </w:footnote>
  <w:footnote w:id="16">
    <w:p w:rsidR="00C4742E" w:rsidRDefault="00C4742E" w:rsidP="00A22649">
      <w:pPr>
        <w:pStyle w:val="FootnoteText"/>
      </w:pPr>
      <w:r>
        <w:rPr>
          <w:rStyle w:val="FootnoteReference"/>
        </w:rPr>
        <w:footnoteRef/>
      </w:r>
      <w:r>
        <w:t xml:space="preserve">Order No. PSC-16-0560-AS-EI, issued December 15, 2016, in Docket No. 20160021-EI, </w:t>
      </w:r>
      <w:r w:rsidRPr="00A9005E">
        <w:rPr>
          <w:i/>
        </w:rPr>
        <w:t>In re: Petition for rate increase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42E" w:rsidRDefault="00C4742E">
    <w:pPr>
      <w:pStyle w:val="OrderHeader"/>
    </w:pPr>
    <w:r>
      <w:t xml:space="preserve">ORDER NO. </w:t>
    </w:r>
    <w:fldSimple w:instr=" REF OrderNo0594 ">
      <w:r w:rsidR="00362854">
        <w:t>PSC-2018-0594-FOF-EI</w:t>
      </w:r>
    </w:fldSimple>
  </w:p>
  <w:p w:rsidR="00C4742E" w:rsidRDefault="00C4742E">
    <w:pPr>
      <w:pStyle w:val="OrderHeader"/>
    </w:pPr>
    <w:bookmarkStart w:id="10" w:name="HeaderDocketNo"/>
    <w:bookmarkEnd w:id="10"/>
    <w:r>
      <w:t>DOCKET NO. 20180007-EI</w:t>
    </w:r>
  </w:p>
  <w:p w:rsidR="00C4742E" w:rsidRDefault="00C474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2854">
      <w:rPr>
        <w:rStyle w:val="PageNumber"/>
        <w:noProof/>
      </w:rPr>
      <w:t>22</w:t>
    </w:r>
    <w:r>
      <w:rPr>
        <w:rStyle w:val="PageNumber"/>
      </w:rPr>
      <w:fldChar w:fldCharType="end"/>
    </w:r>
  </w:p>
  <w:p w:rsidR="00C4742E" w:rsidRDefault="00C4742E">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A22649"/>
    <w:rsid w:val="000022B8"/>
    <w:rsid w:val="00035A8C"/>
    <w:rsid w:val="00040B0C"/>
    <w:rsid w:val="00053AB9"/>
    <w:rsid w:val="0005503A"/>
    <w:rsid w:val="00056229"/>
    <w:rsid w:val="00057AF1"/>
    <w:rsid w:val="00065FC2"/>
    <w:rsid w:val="00067685"/>
    <w:rsid w:val="00073D06"/>
    <w:rsid w:val="00076E6B"/>
    <w:rsid w:val="0008247D"/>
    <w:rsid w:val="00084FE6"/>
    <w:rsid w:val="00090AFC"/>
    <w:rsid w:val="000A03B5"/>
    <w:rsid w:val="000B783E"/>
    <w:rsid w:val="000C3752"/>
    <w:rsid w:val="000C40ED"/>
    <w:rsid w:val="000D02B8"/>
    <w:rsid w:val="000D06E8"/>
    <w:rsid w:val="000D2347"/>
    <w:rsid w:val="000D2899"/>
    <w:rsid w:val="000D2A63"/>
    <w:rsid w:val="000E050C"/>
    <w:rsid w:val="000E20F0"/>
    <w:rsid w:val="000E344D"/>
    <w:rsid w:val="000E3F6D"/>
    <w:rsid w:val="000F359F"/>
    <w:rsid w:val="000F3B2C"/>
    <w:rsid w:val="000F63EB"/>
    <w:rsid w:val="000F648A"/>
    <w:rsid w:val="000F7BE3"/>
    <w:rsid w:val="001034DD"/>
    <w:rsid w:val="001052BA"/>
    <w:rsid w:val="001107B3"/>
    <w:rsid w:val="001114B1"/>
    <w:rsid w:val="001139D8"/>
    <w:rsid w:val="00116AD3"/>
    <w:rsid w:val="00121957"/>
    <w:rsid w:val="0012387E"/>
    <w:rsid w:val="00126593"/>
    <w:rsid w:val="00142A96"/>
    <w:rsid w:val="0014617C"/>
    <w:rsid w:val="001513DE"/>
    <w:rsid w:val="00154A71"/>
    <w:rsid w:val="00187E32"/>
    <w:rsid w:val="00194E81"/>
    <w:rsid w:val="001A15E7"/>
    <w:rsid w:val="001A1CD5"/>
    <w:rsid w:val="001A33C9"/>
    <w:rsid w:val="001A58F3"/>
    <w:rsid w:val="001C2847"/>
    <w:rsid w:val="001C3F8C"/>
    <w:rsid w:val="001C6097"/>
    <w:rsid w:val="001C66B8"/>
    <w:rsid w:val="001D008A"/>
    <w:rsid w:val="001E0152"/>
    <w:rsid w:val="001E0FF5"/>
    <w:rsid w:val="001F14F0"/>
    <w:rsid w:val="002002ED"/>
    <w:rsid w:val="002170E5"/>
    <w:rsid w:val="00220D57"/>
    <w:rsid w:val="0022721A"/>
    <w:rsid w:val="00230BB9"/>
    <w:rsid w:val="002328B6"/>
    <w:rsid w:val="00241CEF"/>
    <w:rsid w:val="0025124E"/>
    <w:rsid w:val="00252B30"/>
    <w:rsid w:val="002613E4"/>
    <w:rsid w:val="0026544B"/>
    <w:rsid w:val="00276CDC"/>
    <w:rsid w:val="00277655"/>
    <w:rsid w:val="002824B7"/>
    <w:rsid w:val="00282AC4"/>
    <w:rsid w:val="00286216"/>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62854"/>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7591"/>
    <w:rsid w:val="0042527B"/>
    <w:rsid w:val="00426C3E"/>
    <w:rsid w:val="00435E12"/>
    <w:rsid w:val="0045537F"/>
    <w:rsid w:val="00457DC7"/>
    <w:rsid w:val="00472BCC"/>
    <w:rsid w:val="004938FC"/>
    <w:rsid w:val="004A25CD"/>
    <w:rsid w:val="004A26CC"/>
    <w:rsid w:val="004B2108"/>
    <w:rsid w:val="004B3A2B"/>
    <w:rsid w:val="004B70D3"/>
    <w:rsid w:val="004C3106"/>
    <w:rsid w:val="004C312D"/>
    <w:rsid w:val="004D2D1B"/>
    <w:rsid w:val="004D5067"/>
    <w:rsid w:val="004D6838"/>
    <w:rsid w:val="004D72BC"/>
    <w:rsid w:val="004E469D"/>
    <w:rsid w:val="004F2DDE"/>
    <w:rsid w:val="004F7826"/>
    <w:rsid w:val="0050097F"/>
    <w:rsid w:val="00514B1F"/>
    <w:rsid w:val="00520584"/>
    <w:rsid w:val="005217B2"/>
    <w:rsid w:val="00525E93"/>
    <w:rsid w:val="0052671D"/>
    <w:rsid w:val="00550D47"/>
    <w:rsid w:val="0055595D"/>
    <w:rsid w:val="00556A10"/>
    <w:rsid w:val="00557BB6"/>
    <w:rsid w:val="00557F50"/>
    <w:rsid w:val="00571D3D"/>
    <w:rsid w:val="005769FF"/>
    <w:rsid w:val="0058264B"/>
    <w:rsid w:val="00583725"/>
    <w:rsid w:val="00584A02"/>
    <w:rsid w:val="005868AA"/>
    <w:rsid w:val="00590845"/>
    <w:rsid w:val="005963C2"/>
    <w:rsid w:val="005A0D69"/>
    <w:rsid w:val="005A31F4"/>
    <w:rsid w:val="005A73EA"/>
    <w:rsid w:val="005B45F7"/>
    <w:rsid w:val="005B63EA"/>
    <w:rsid w:val="005C1A88"/>
    <w:rsid w:val="005C5033"/>
    <w:rsid w:val="005E13E4"/>
    <w:rsid w:val="005E751B"/>
    <w:rsid w:val="005E7D5E"/>
    <w:rsid w:val="005F3354"/>
    <w:rsid w:val="0060005E"/>
    <w:rsid w:val="0060095B"/>
    <w:rsid w:val="00601266"/>
    <w:rsid w:val="00610E73"/>
    <w:rsid w:val="00616DF2"/>
    <w:rsid w:val="0063168D"/>
    <w:rsid w:val="00631F38"/>
    <w:rsid w:val="006531A4"/>
    <w:rsid w:val="00660774"/>
    <w:rsid w:val="0066389A"/>
    <w:rsid w:val="0066495C"/>
    <w:rsid w:val="00665CC7"/>
    <w:rsid w:val="00672612"/>
    <w:rsid w:val="006763B0"/>
    <w:rsid w:val="00677F18"/>
    <w:rsid w:val="00693483"/>
    <w:rsid w:val="006A0BF3"/>
    <w:rsid w:val="006B0DA6"/>
    <w:rsid w:val="006C547E"/>
    <w:rsid w:val="006D2B51"/>
    <w:rsid w:val="006D5575"/>
    <w:rsid w:val="006E42BE"/>
    <w:rsid w:val="00702B26"/>
    <w:rsid w:val="00704C5D"/>
    <w:rsid w:val="007072BC"/>
    <w:rsid w:val="00715275"/>
    <w:rsid w:val="00721B44"/>
    <w:rsid w:val="007232A2"/>
    <w:rsid w:val="00726366"/>
    <w:rsid w:val="0073267E"/>
    <w:rsid w:val="00733B6B"/>
    <w:rsid w:val="00740808"/>
    <w:rsid w:val="007467C4"/>
    <w:rsid w:val="00750506"/>
    <w:rsid w:val="00750E55"/>
    <w:rsid w:val="0076170F"/>
    <w:rsid w:val="0076669C"/>
    <w:rsid w:val="00766E46"/>
    <w:rsid w:val="00777727"/>
    <w:rsid w:val="00782B79"/>
    <w:rsid w:val="007865E9"/>
    <w:rsid w:val="00792383"/>
    <w:rsid w:val="00794D5A"/>
    <w:rsid w:val="00794DD9"/>
    <w:rsid w:val="00794E22"/>
    <w:rsid w:val="007A060F"/>
    <w:rsid w:val="007C0FBC"/>
    <w:rsid w:val="007C36E3"/>
    <w:rsid w:val="007C7134"/>
    <w:rsid w:val="007D3D20"/>
    <w:rsid w:val="007D742E"/>
    <w:rsid w:val="007E3AFD"/>
    <w:rsid w:val="007F7173"/>
    <w:rsid w:val="00801DAD"/>
    <w:rsid w:val="00803189"/>
    <w:rsid w:val="00804E7A"/>
    <w:rsid w:val="00805FBB"/>
    <w:rsid w:val="008169A4"/>
    <w:rsid w:val="008278FE"/>
    <w:rsid w:val="00832598"/>
    <w:rsid w:val="0083397E"/>
    <w:rsid w:val="0083534B"/>
    <w:rsid w:val="00842602"/>
    <w:rsid w:val="00845152"/>
    <w:rsid w:val="00847B45"/>
    <w:rsid w:val="00863A66"/>
    <w:rsid w:val="008703D7"/>
    <w:rsid w:val="00874429"/>
    <w:rsid w:val="00883D9A"/>
    <w:rsid w:val="008919EF"/>
    <w:rsid w:val="00892B20"/>
    <w:rsid w:val="008A12EC"/>
    <w:rsid w:val="008B2C8A"/>
    <w:rsid w:val="008C21C8"/>
    <w:rsid w:val="008C6375"/>
    <w:rsid w:val="008C6A5B"/>
    <w:rsid w:val="008E26A5"/>
    <w:rsid w:val="008E306D"/>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244"/>
    <w:rsid w:val="009924CF"/>
    <w:rsid w:val="00994100"/>
    <w:rsid w:val="009A6B17"/>
    <w:rsid w:val="009D4C29"/>
    <w:rsid w:val="009E01D8"/>
    <w:rsid w:val="009F5675"/>
    <w:rsid w:val="009F6AD2"/>
    <w:rsid w:val="00A00D8D"/>
    <w:rsid w:val="00A01BB6"/>
    <w:rsid w:val="00A16B71"/>
    <w:rsid w:val="00A22649"/>
    <w:rsid w:val="00A429ED"/>
    <w:rsid w:val="00A4303C"/>
    <w:rsid w:val="00A44A1D"/>
    <w:rsid w:val="00A470FD"/>
    <w:rsid w:val="00A62DAB"/>
    <w:rsid w:val="00A6757A"/>
    <w:rsid w:val="00A726A6"/>
    <w:rsid w:val="00A74842"/>
    <w:rsid w:val="00A91678"/>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3A63"/>
    <w:rsid w:val="00B54DAA"/>
    <w:rsid w:val="00B55AB0"/>
    <w:rsid w:val="00B55EE5"/>
    <w:rsid w:val="00B71D1F"/>
    <w:rsid w:val="00B71F29"/>
    <w:rsid w:val="00B73DE6"/>
    <w:rsid w:val="00B75982"/>
    <w:rsid w:val="00B761CD"/>
    <w:rsid w:val="00B86EF0"/>
    <w:rsid w:val="00B96969"/>
    <w:rsid w:val="00B97900"/>
    <w:rsid w:val="00BA1229"/>
    <w:rsid w:val="00BA44A8"/>
    <w:rsid w:val="00BE0BEE"/>
    <w:rsid w:val="00BF6691"/>
    <w:rsid w:val="00C028FC"/>
    <w:rsid w:val="00C037F2"/>
    <w:rsid w:val="00C0386D"/>
    <w:rsid w:val="00C03F02"/>
    <w:rsid w:val="00C065A1"/>
    <w:rsid w:val="00C10ED5"/>
    <w:rsid w:val="00C12384"/>
    <w:rsid w:val="00C151A6"/>
    <w:rsid w:val="00C24098"/>
    <w:rsid w:val="00C30A4E"/>
    <w:rsid w:val="00C411F3"/>
    <w:rsid w:val="00C44105"/>
    <w:rsid w:val="00C4742E"/>
    <w:rsid w:val="00C55A33"/>
    <w:rsid w:val="00C66692"/>
    <w:rsid w:val="00C673B5"/>
    <w:rsid w:val="00C7063D"/>
    <w:rsid w:val="00C733AA"/>
    <w:rsid w:val="00C75362"/>
    <w:rsid w:val="00C830BC"/>
    <w:rsid w:val="00C8524D"/>
    <w:rsid w:val="00C91123"/>
    <w:rsid w:val="00CA0188"/>
    <w:rsid w:val="00CA71FF"/>
    <w:rsid w:val="00CB5276"/>
    <w:rsid w:val="00CB5BFC"/>
    <w:rsid w:val="00CB68D7"/>
    <w:rsid w:val="00CC09E5"/>
    <w:rsid w:val="00CC7E68"/>
    <w:rsid w:val="00CD7132"/>
    <w:rsid w:val="00CE0E6F"/>
    <w:rsid w:val="00CE3B21"/>
    <w:rsid w:val="00CE56FC"/>
    <w:rsid w:val="00CE5B71"/>
    <w:rsid w:val="00CF4CFE"/>
    <w:rsid w:val="00D02E0F"/>
    <w:rsid w:val="00D03EE8"/>
    <w:rsid w:val="00D13535"/>
    <w:rsid w:val="00D17B79"/>
    <w:rsid w:val="00D23FEA"/>
    <w:rsid w:val="00D269CA"/>
    <w:rsid w:val="00D30B48"/>
    <w:rsid w:val="00D3168A"/>
    <w:rsid w:val="00D3612F"/>
    <w:rsid w:val="00D46FAA"/>
    <w:rsid w:val="00D47A40"/>
    <w:rsid w:val="00D51D33"/>
    <w:rsid w:val="00D57BB2"/>
    <w:rsid w:val="00D57E57"/>
    <w:rsid w:val="00D70752"/>
    <w:rsid w:val="00D80E2D"/>
    <w:rsid w:val="00D84D5E"/>
    <w:rsid w:val="00D8560E"/>
    <w:rsid w:val="00D8758F"/>
    <w:rsid w:val="00DA4EDD"/>
    <w:rsid w:val="00DA6B78"/>
    <w:rsid w:val="00DB2B7B"/>
    <w:rsid w:val="00DC1D94"/>
    <w:rsid w:val="00DC42CF"/>
    <w:rsid w:val="00DE057F"/>
    <w:rsid w:val="00DE2082"/>
    <w:rsid w:val="00DE2289"/>
    <w:rsid w:val="00DE2FA9"/>
    <w:rsid w:val="00DF09A7"/>
    <w:rsid w:val="00E001D6"/>
    <w:rsid w:val="00E026B7"/>
    <w:rsid w:val="00E03A76"/>
    <w:rsid w:val="00E04410"/>
    <w:rsid w:val="00E07484"/>
    <w:rsid w:val="00E11351"/>
    <w:rsid w:val="00E20AC8"/>
    <w:rsid w:val="00E27EAF"/>
    <w:rsid w:val="00E4225C"/>
    <w:rsid w:val="00E43E15"/>
    <w:rsid w:val="00E44879"/>
    <w:rsid w:val="00E72914"/>
    <w:rsid w:val="00E75AE0"/>
    <w:rsid w:val="00E83C1F"/>
    <w:rsid w:val="00EA0900"/>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54D1"/>
    <w:rsid w:val="00F37E07"/>
    <w:rsid w:val="00F40FCB"/>
    <w:rsid w:val="00F4182A"/>
    <w:rsid w:val="00F54380"/>
    <w:rsid w:val="00F54B47"/>
    <w:rsid w:val="00F61247"/>
    <w:rsid w:val="00F6702E"/>
    <w:rsid w:val="00F70E84"/>
    <w:rsid w:val="00F814DB"/>
    <w:rsid w:val="00FA092B"/>
    <w:rsid w:val="00FA41CE"/>
    <w:rsid w:val="00FA4F6C"/>
    <w:rsid w:val="00FA6EFD"/>
    <w:rsid w:val="00FB74EA"/>
    <w:rsid w:val="00FD2C9E"/>
    <w:rsid w:val="00FD4786"/>
    <w:rsid w:val="00FD616C"/>
    <w:rsid w:val="00FE53F2"/>
    <w:rsid w:val="00FF0A00"/>
    <w:rsid w:val="00FF1C57"/>
    <w:rsid w:val="00FF1E45"/>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22649"/>
  </w:style>
  <w:style w:type="paragraph" w:customStyle="1" w:styleId="yiv7965082155msonormal">
    <w:name w:val="yiv7965082155msonormal"/>
    <w:basedOn w:val="Normal"/>
    <w:rsid w:val="002328B6"/>
    <w:pPr>
      <w:spacing w:before="100" w:beforeAutospacing="1" w:after="100" w:afterAutospacing="1"/>
    </w:pPr>
    <w:rPr>
      <w:rFonts w:ascii="Times" w:eastAsia="MS Mincho" w:hAnsi="Times"/>
      <w:sz w:val="20"/>
      <w:szCs w:val="20"/>
    </w:rPr>
  </w:style>
  <w:style w:type="paragraph" w:styleId="BalloonText">
    <w:name w:val="Balloon Text"/>
    <w:basedOn w:val="Normal"/>
    <w:link w:val="BalloonTextChar"/>
    <w:rsid w:val="00CE5B71"/>
    <w:rPr>
      <w:rFonts w:ascii="Tahoma" w:hAnsi="Tahoma" w:cs="Tahoma"/>
      <w:sz w:val="16"/>
      <w:szCs w:val="16"/>
    </w:rPr>
  </w:style>
  <w:style w:type="character" w:customStyle="1" w:styleId="BalloonTextChar">
    <w:name w:val="Balloon Text Char"/>
    <w:basedOn w:val="DefaultParagraphFont"/>
    <w:link w:val="BalloonText"/>
    <w:rsid w:val="00CE5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22649"/>
  </w:style>
  <w:style w:type="paragraph" w:customStyle="1" w:styleId="yiv7965082155msonormal">
    <w:name w:val="yiv7965082155msonormal"/>
    <w:basedOn w:val="Normal"/>
    <w:rsid w:val="002328B6"/>
    <w:pPr>
      <w:spacing w:before="100" w:beforeAutospacing="1" w:after="100" w:afterAutospacing="1"/>
    </w:pPr>
    <w:rPr>
      <w:rFonts w:ascii="Times" w:eastAsia="MS Mincho" w:hAnsi="Times"/>
      <w:sz w:val="20"/>
      <w:szCs w:val="20"/>
    </w:rPr>
  </w:style>
  <w:style w:type="paragraph" w:styleId="BalloonText">
    <w:name w:val="Balloon Text"/>
    <w:basedOn w:val="Normal"/>
    <w:link w:val="BalloonTextChar"/>
    <w:rsid w:val="00CE5B71"/>
    <w:rPr>
      <w:rFonts w:ascii="Tahoma" w:hAnsi="Tahoma" w:cs="Tahoma"/>
      <w:sz w:val="16"/>
      <w:szCs w:val="16"/>
    </w:rPr>
  </w:style>
  <w:style w:type="character" w:customStyle="1" w:styleId="BalloonTextChar">
    <w:name w:val="Balloon Text Char"/>
    <w:basedOn w:val="DefaultParagraphFont"/>
    <w:link w:val="BalloonText"/>
    <w:rsid w:val="00CE5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22</Pages>
  <Words>5950</Words>
  <Characters>33957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2018-12-19T22:02:00Z</dcterms:created>
  <dcterms:modified xsi:type="dcterms:W3CDTF">2018-12-20T13:47:00Z</dcterms:modified>
</cp:coreProperties>
</file>